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E4B07AD-CB5B-4593-8287-6E8616D8453A" style="width:455.05pt;height:323.7pt">
            <v:imagedata r:id="rId9" o:title=""/>
          </v:shape>
        </w:pict>
      </w:r>
    </w:p>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bookmarkStart w:id="1" w:name="_Ref66357778"/>
      <w:bookmarkEnd w:id="0"/>
    </w:p>
    <w:p>
      <w:pPr>
        <w:pStyle w:val="Heading1"/>
        <w:rPr>
          <w:noProof/>
          <w:lang w:val="en-IE"/>
        </w:rPr>
      </w:pPr>
      <w:bookmarkStart w:id="2" w:name="_GoBack"/>
      <w:bookmarkEnd w:id="2"/>
      <w:r>
        <w:rPr>
          <w:noProof/>
          <w:lang w:val="en-IE"/>
        </w:rPr>
        <w:lastRenderedPageBreak/>
        <w:t>Introduction</w:t>
      </w:r>
      <w:bookmarkEnd w:id="1"/>
    </w:p>
    <w:p>
      <w:pPr>
        <w:pStyle w:val="Text1"/>
        <w:ind w:left="0"/>
        <w:rPr>
          <w:noProof/>
          <w:lang w:val="en-IE"/>
        </w:rPr>
      </w:pPr>
      <w:r>
        <w:rPr>
          <w:noProof/>
          <w:lang w:val="en-IE"/>
        </w:rPr>
        <w:t xml:space="preserve">Article 113 of the Staff Regulations (SR) and Article 142a of the Conditions of Employment of Other Servants (CEOS) provide that the Commission shall submit a report to the European Parliament and the Council on the functioning of the SR and the CEOS. This report implements the aforementioned provisions. </w:t>
      </w:r>
    </w:p>
    <w:p>
      <w:pPr>
        <w:pStyle w:val="Heading1"/>
        <w:rPr>
          <w:noProof/>
          <w:lang w:val="en-IE"/>
        </w:rPr>
      </w:pPr>
      <w:r>
        <w:rPr>
          <w:noProof/>
          <w:lang w:val="en-IE"/>
        </w:rPr>
        <w:t>Scope of the report</w:t>
      </w:r>
    </w:p>
    <w:p>
      <w:pPr>
        <w:pStyle w:val="Text1"/>
        <w:ind w:left="0"/>
        <w:rPr>
          <w:i/>
          <w:iCs/>
          <w:noProof/>
          <w:lang w:val="en-IE"/>
        </w:rPr>
      </w:pPr>
      <w:r>
        <w:rPr>
          <w:noProof/>
          <w:lang w:val="en-IE"/>
        </w:rPr>
        <w:t>This report covers the period from 1 January 2014 until 31 December 2019. The beginning of the period refers to the entry into force of the last reform of the SR (hereafter the 2014 reform). The Commission has set the end of the reference period on 31 December 2019 to ensure that the report is built on sufficiently consolidated and verified data. Whenever possible and where relevant, this report also refers to developments from 2020.</w:t>
      </w:r>
    </w:p>
    <w:p>
      <w:pPr>
        <w:pStyle w:val="Text2"/>
        <w:ind w:left="0"/>
        <w:rPr>
          <w:noProof/>
          <w:lang w:val="en-IE"/>
        </w:rPr>
      </w:pPr>
      <w:r>
        <w:rPr>
          <w:noProof/>
          <w:lang w:val="en-IE"/>
        </w:rPr>
        <w:t xml:space="preserve">In line with the principle of unicity of the SR, this report covers all statutory staff members, i.e. those employed under the SR as well as the CEOS. </w:t>
      </w:r>
    </w:p>
    <w:p>
      <w:pPr>
        <w:pStyle w:val="Text2"/>
        <w:ind w:left="0"/>
        <w:rPr>
          <w:noProof/>
          <w:lang w:val="en-IE"/>
        </w:rPr>
      </w:pPr>
      <w:r>
        <w:rPr>
          <w:noProof/>
          <w:lang w:val="en-IE"/>
        </w:rPr>
        <w:t>The co-legislator defined broadly the material scope of the present report by referring to the functioning of the SR and the CEOS in a generic fashion. Hence, this report covers matters subject to recurring reporting by the Commission to the co-legislator as well as matters on which the Commission reports for the first time</w:t>
      </w:r>
      <w:r>
        <w:rPr>
          <w:rStyle w:val="FootnoteReference"/>
          <w:noProof/>
          <w:lang w:val="en-IE"/>
        </w:rPr>
        <w:footnoteReference w:id="1"/>
      </w:r>
      <w:r>
        <w:rPr>
          <w:noProof/>
          <w:lang w:val="en-IE"/>
        </w:rPr>
        <w:t xml:space="preserve"> since 2014. In addition, in order to provide a more comprehensive picture of the functioning of the SR/CEOS during the reference period, this report also refers to acts by other EU institutions, which have to do with the overall implementation of the SR/CEOS.</w:t>
      </w:r>
    </w:p>
    <w:p>
      <w:pPr>
        <w:pStyle w:val="Heading1"/>
        <w:rPr>
          <w:noProof/>
          <w:lang w:val="en-IE"/>
        </w:rPr>
      </w:pPr>
      <w:r>
        <w:rPr>
          <w:noProof/>
          <w:lang w:val="en-IE"/>
        </w:rPr>
        <w:t xml:space="preserve">Reports on the implementation of the SR and the CEOS adopted between 2014-2019 </w:t>
      </w:r>
    </w:p>
    <w:p>
      <w:pPr>
        <w:pStyle w:val="Heading2"/>
        <w:rPr>
          <w:noProof/>
          <w:lang w:val="en-IE"/>
        </w:rPr>
      </w:pPr>
      <w:r>
        <w:rPr>
          <w:noProof/>
          <w:lang w:val="en-IE"/>
        </w:rPr>
        <w:t>Reports pursuant to Article 16, paragraph 4 of the SR on ethics</w:t>
      </w:r>
    </w:p>
    <w:p>
      <w:pPr>
        <w:pStyle w:val="Text2"/>
        <w:ind w:left="0"/>
        <w:rPr>
          <w:noProof/>
          <w:lang w:val="en-IE"/>
        </w:rPr>
      </w:pPr>
      <w:r>
        <w:rPr>
          <w:noProof/>
          <w:lang w:val="en-IE"/>
        </w:rPr>
        <w:t>The 2014 reform of the SR</w:t>
      </w:r>
      <w:r>
        <w:rPr>
          <w:noProof/>
          <w:szCs w:val="24"/>
          <w:lang w:val="en-IE"/>
        </w:rPr>
        <w:t xml:space="preserve"> </w:t>
      </w:r>
      <w:r>
        <w:rPr>
          <w:noProof/>
          <w:lang w:val="en-IE"/>
        </w:rPr>
        <w:t>reinforced the ethical legal framework by introducing new provisions requiring an assessment of conflicts of interest upon recruitment or reintegration after a period of leave on personal grounds. These provisions explicitly address the issue of lobbying and advocacy during leave on personal grounds</w:t>
      </w:r>
      <w:r>
        <w:rPr>
          <w:rStyle w:val="FootnoteReference"/>
          <w:noProof/>
          <w:lang w:val="en-IE"/>
        </w:rPr>
        <w:footnoteReference w:id="2"/>
      </w:r>
      <w:r>
        <w:rPr>
          <w:noProof/>
          <w:szCs w:val="24"/>
          <w:lang w:val="en-IE"/>
        </w:rPr>
        <w:t xml:space="preserve">. </w:t>
      </w:r>
    </w:p>
    <w:p>
      <w:pPr>
        <w:pStyle w:val="Text2"/>
        <w:ind w:left="0"/>
        <w:rPr>
          <w:noProof/>
          <w:lang w:val="en-IE"/>
        </w:rPr>
      </w:pPr>
      <w:r>
        <w:rPr>
          <w:noProof/>
          <w:lang w:val="en-IE"/>
        </w:rPr>
        <w:t xml:space="preserve">On top of the existing possibility to impose conditions, including a prohibition of the activity, under Article 16, second paragraph, the reform also introduced a specific and explicit provision for former senior managers who, under the third paragraph of Article 16 of the SR, are in principle prohibited by the Appointing Authority to engage in lobbying or advocacy vis-à-vis staff of their former institution, for a period of one year after having left the service. </w:t>
      </w:r>
    </w:p>
    <w:p>
      <w:pPr>
        <w:pStyle w:val="Text2"/>
        <w:ind w:left="0"/>
        <w:rPr>
          <w:noProof/>
          <w:lang w:val="en-IE"/>
        </w:rPr>
      </w:pPr>
      <w:r>
        <w:rPr>
          <w:noProof/>
          <w:lang w:val="en-IE"/>
        </w:rPr>
        <w:t xml:space="preserve">Under the fourth paragraph of Article 16 of the SR, each institution is to publish annually information on the implementation of the above-mentioned provision regarding former senior management, including a list of the assessed cases (Annex 1). </w:t>
      </w:r>
    </w:p>
    <w:p>
      <w:pPr>
        <w:pStyle w:val="Text2"/>
        <w:ind w:left="0"/>
        <w:rPr>
          <w:noProof/>
          <w:lang w:val="en-IE"/>
        </w:rPr>
      </w:pPr>
      <w:r>
        <w:rPr>
          <w:noProof/>
          <w:lang w:val="en-IE"/>
        </w:rPr>
        <w:t>The SR as amended in the last reform are thus a solid base to address the risk of any real, perceived or potential conflict of interest situation in relation to EU staff</w:t>
      </w:r>
      <w:r>
        <w:rPr>
          <w:noProof/>
          <w:szCs w:val="24"/>
          <w:lang w:val="en-IE"/>
        </w:rPr>
        <w:t xml:space="preserve">. </w:t>
      </w:r>
      <w:r>
        <w:rPr>
          <w:noProof/>
          <w:lang w:val="en-IE"/>
        </w:rPr>
        <w:t>On this basis,  the Commission is regularly revising its internal legal framework and practices in order to integrate the lessons learned from experience</w:t>
      </w:r>
      <w:r>
        <w:rPr>
          <w:noProof/>
          <w:szCs w:val="24"/>
          <w:lang w:val="en-IE"/>
        </w:rPr>
        <w:t xml:space="preserve">, </w:t>
      </w:r>
      <w:r>
        <w:rPr>
          <w:noProof/>
          <w:lang w:val="en-IE"/>
        </w:rPr>
        <w:t>embedding suggestions and recommendations from other institutions as best practices</w:t>
      </w:r>
      <w:r>
        <w:rPr>
          <w:rStyle w:val="FootnoteReference"/>
          <w:noProof/>
          <w:lang w:val="en-IE"/>
        </w:rPr>
        <w:footnoteReference w:id="3"/>
      </w:r>
      <w:r>
        <w:rPr>
          <w:noProof/>
          <w:lang w:val="en-IE"/>
        </w:rPr>
        <w:t>.</w:t>
      </w:r>
      <w:r>
        <w:rPr>
          <w:noProof/>
          <w:szCs w:val="24"/>
          <w:lang w:val="en-IE"/>
        </w:rPr>
        <w:t xml:space="preserve"> </w:t>
      </w:r>
    </w:p>
    <w:p>
      <w:pPr>
        <w:pStyle w:val="Heading2"/>
        <w:rPr>
          <w:noProof/>
          <w:lang w:val="en-IE"/>
        </w:rPr>
      </w:pPr>
      <w:r>
        <w:rPr>
          <w:noProof/>
          <w:lang w:val="en-IE"/>
        </w:rPr>
        <w:t>Report pursuant to Article 27 of the SR and Article 12 CEOS on geographical balance</w:t>
      </w:r>
    </w:p>
    <w:p>
      <w:pPr>
        <w:autoSpaceDE w:val="0"/>
        <w:autoSpaceDN w:val="0"/>
        <w:adjustRightInd w:val="0"/>
        <w:rPr>
          <w:noProof/>
          <w:lang w:val="en-IE"/>
        </w:rPr>
      </w:pPr>
      <w:r>
        <w:rPr>
          <w:noProof/>
          <w:lang w:val="en-IE"/>
        </w:rPr>
        <w:t>The Commission adopted a Report on geographical balance on 15 June 2018</w:t>
      </w:r>
      <w:r>
        <w:rPr>
          <w:rStyle w:val="FootnoteReference"/>
          <w:noProof/>
          <w:lang w:val="en-IE"/>
        </w:rPr>
        <w:footnoteReference w:id="4"/>
      </w:r>
      <w:r>
        <w:rPr>
          <w:noProof/>
          <w:lang w:val="en-IE"/>
        </w:rPr>
        <w:t>. This report covers a three-year period starting on 1 January 2014 as foreseen under Article 27 of the SR.</w:t>
      </w:r>
    </w:p>
    <w:p>
      <w:pPr>
        <w:autoSpaceDE w:val="0"/>
        <w:autoSpaceDN w:val="0"/>
        <w:adjustRightInd w:val="0"/>
        <w:rPr>
          <w:noProof/>
          <w:lang w:val="en-IE"/>
        </w:rPr>
      </w:pPr>
      <w:r>
        <w:rPr>
          <w:noProof/>
          <w:lang w:val="en-IE"/>
        </w:rPr>
        <w:t>The report concluded that ten nationalities among the pre-2004 Member States</w:t>
      </w:r>
      <w:r>
        <w:rPr>
          <w:rStyle w:val="FootnoteReference"/>
          <w:noProof/>
          <w:lang w:val="en-IE"/>
        </w:rPr>
        <w:footnoteReference w:id="5"/>
      </w:r>
      <w:r>
        <w:rPr>
          <w:noProof/>
          <w:lang w:val="en-IE"/>
        </w:rPr>
        <w:t xml:space="preserve"> are significantly under-represented within the junior grade administrators in the Commission. These ten Member States will therefore be progressively more under-represented in the next years, unless measures are quickly taken to have more recruits from those Member States. In other institutions and agencies, whereas certain imbalances can be observed, the latter are either non-significant or justified by objective criteria.</w:t>
      </w:r>
    </w:p>
    <w:p>
      <w:pPr>
        <w:autoSpaceDE w:val="0"/>
        <w:autoSpaceDN w:val="0"/>
        <w:adjustRightInd w:val="0"/>
        <w:rPr>
          <w:noProof/>
          <w:lang w:val="en-IE"/>
        </w:rPr>
      </w:pPr>
      <w:r>
        <w:rPr>
          <w:noProof/>
          <w:lang w:val="en-IE"/>
        </w:rPr>
        <w:t>The report also showed that under-representation is closely linked to a low interest in a career with the EU civil service, as reflected in the low participation of nationals of those countries in the open competitions launched and managed by the European Personnel Selection Office (EPSO).</w:t>
      </w:r>
    </w:p>
    <w:p>
      <w:pPr>
        <w:autoSpaceDE w:val="0"/>
        <w:autoSpaceDN w:val="0"/>
        <w:adjustRightInd w:val="0"/>
        <w:rPr>
          <w:noProof/>
          <w:lang w:val="en-IE"/>
        </w:rPr>
      </w:pPr>
      <w:r>
        <w:rPr>
          <w:noProof/>
          <w:lang w:val="en-IE"/>
        </w:rPr>
        <w:t xml:space="preserve">Following the adoption of this report, the Commission and the other institutions have been working with EPSO to identify redressing measures. In this context, an inter-institutional Special Working Group was set up in April 2019 and addressed a number of recommendations to EPSO’s Management Board. </w:t>
      </w:r>
    </w:p>
    <w:p>
      <w:pPr>
        <w:autoSpaceDE w:val="0"/>
        <w:autoSpaceDN w:val="0"/>
        <w:adjustRightInd w:val="0"/>
        <w:rPr>
          <w:noProof/>
          <w:szCs w:val="24"/>
          <w:lang w:val="en-IE"/>
        </w:rPr>
      </w:pPr>
      <w:r>
        <w:rPr>
          <w:noProof/>
          <w:lang w:val="en-IE"/>
        </w:rPr>
        <w:t>In parallel, the Court of Auditors published a special report on 29 October 2020 pertaining to the suitability of EPSO’s competition-based selection process</w:t>
      </w:r>
      <w:r>
        <w:rPr>
          <w:rStyle w:val="FootnoteReference"/>
          <w:noProof/>
          <w:lang w:val="en-IE"/>
        </w:rPr>
        <w:footnoteReference w:id="6"/>
      </w:r>
      <w:r>
        <w:rPr>
          <w:noProof/>
          <w:lang w:val="en-IE"/>
        </w:rPr>
        <w:t>. First, the report notably underlined that the communication and events targeting countries whose nationals are underrepresented in competitions or among EU staff were yet to produce a visible impact on the geographical balance of applicants. The Court of Auditors also observed that a proportion of laureates are already employed in one of the institutions, on temporary or on contract staff contracts. In fact, according to the Commission estimates, this concerns</w:t>
      </w:r>
      <w:r>
        <w:rPr>
          <w:noProof/>
          <w:szCs w:val="24"/>
          <w:lang w:val="en-IE"/>
        </w:rPr>
        <w:t xml:space="preserve"> a significant share – which, depending on the Function Group, can represent up to the majority – of the laureates of EPSO competitions, notably for generalists competitions where about two thirds already work in the institutions</w:t>
      </w:r>
      <w:r>
        <w:rPr>
          <w:rStyle w:val="FootnoteReference"/>
          <w:noProof/>
          <w:szCs w:val="24"/>
          <w:lang w:val="en-IE"/>
        </w:rPr>
        <w:footnoteReference w:id="7"/>
      </w:r>
      <w:r>
        <w:rPr>
          <w:noProof/>
          <w:szCs w:val="24"/>
          <w:lang w:val="en-IE"/>
        </w:rPr>
        <w:t xml:space="preserve">. This affects the </w:t>
      </w:r>
      <w:r>
        <w:rPr>
          <w:noProof/>
          <w:lang w:val="en-IE"/>
        </w:rPr>
        <w:t>level of representation of nationals of each Member State among the staff of the institutions</w:t>
      </w:r>
      <w:r>
        <w:rPr>
          <w:noProof/>
          <w:szCs w:val="24"/>
          <w:lang w:val="en-IE"/>
        </w:rPr>
        <w:t>.</w:t>
      </w:r>
    </w:p>
    <w:p>
      <w:pPr>
        <w:autoSpaceDE w:val="0"/>
        <w:autoSpaceDN w:val="0"/>
        <w:adjustRightInd w:val="0"/>
        <w:rPr>
          <w:noProof/>
          <w:lang w:val="en-IE"/>
        </w:rPr>
      </w:pPr>
      <w:r>
        <w:rPr>
          <w:noProof/>
          <w:szCs w:val="24"/>
          <w:lang w:val="en-IE"/>
        </w:rPr>
        <w:t>In addition, the Court of Auditors report highlighted that a survey sent to a number of middle managers in the European Parliament, the European Commission and the Court of Justice about their recent recruitment experience, indicated that 22% of recently recruited administrator officials were younger than 35. 62% were over 40, which makes it likely that they already had at least 10 years of professional experience when they joined the institutions, more than what is usually required for the grades of the competitions. In turn, the mismatch between prior professional experience and the competition grades potentially influences the attractiveness of EU competitions for underrepresented Member States.</w:t>
      </w:r>
    </w:p>
    <w:p>
      <w:pPr>
        <w:autoSpaceDE w:val="0"/>
        <w:autoSpaceDN w:val="0"/>
        <w:adjustRightInd w:val="0"/>
        <w:rPr>
          <w:noProof/>
          <w:lang w:val="en-IE"/>
        </w:rPr>
      </w:pPr>
      <w:r>
        <w:rPr>
          <w:noProof/>
          <w:lang w:val="en-IE"/>
        </w:rPr>
        <w:t>The report includes a number of recommendations, notably to improve EPSO’s capacity to adapt to a fast-changing recruitment environment, which should boost the attractiveness of EU careers.</w:t>
      </w:r>
    </w:p>
    <w:p>
      <w:pPr>
        <w:pStyle w:val="Heading2"/>
        <w:rPr>
          <w:noProof/>
          <w:lang w:val="en-IE"/>
        </w:rPr>
      </w:pPr>
      <w:r>
        <w:rPr>
          <w:noProof/>
          <w:lang w:val="en-IE"/>
        </w:rPr>
        <w:t>Reports pursuant to Articles 56a, 56b and 56c of the SR on special allowances for shift work, standby duty and arduous working conditions</w:t>
      </w:r>
    </w:p>
    <w:p>
      <w:pPr>
        <w:rPr>
          <w:noProof/>
          <w:lang w:val="en-IE"/>
        </w:rPr>
      </w:pPr>
      <w:r>
        <w:rPr>
          <w:noProof/>
          <w:lang w:val="en-IE"/>
        </w:rPr>
        <w:t>During the reference period, the Commission adopted six reports pursuant to Articles 56a, 56b and 56c of the SR on special allowances for shift work, standby duty and arduous working conditions, on the use of these allowances for 2014 to 2019</w:t>
      </w:r>
      <w:r>
        <w:rPr>
          <w:rStyle w:val="FootnoteReference"/>
          <w:noProof/>
          <w:lang w:val="en-IE"/>
        </w:rPr>
        <w:footnoteReference w:id="8"/>
      </w:r>
      <w:r>
        <w:rPr>
          <w:noProof/>
          <w:lang w:val="en-IE"/>
        </w:rPr>
        <w:t xml:space="preserve">. </w:t>
      </w:r>
    </w:p>
    <w:p>
      <w:pPr>
        <w:rPr>
          <w:noProof/>
          <w:lang w:val="en-IE"/>
        </w:rPr>
      </w:pPr>
      <w:r>
        <w:rPr>
          <w:noProof/>
          <w:lang w:val="en-IE"/>
        </w:rPr>
        <w:t>These reports have illustrated that of all institutions, the Commission uses the standby duty allowance the most</w:t>
      </w:r>
      <w:r>
        <w:rPr>
          <w:rStyle w:val="FootnoteReference"/>
          <w:noProof/>
          <w:lang w:val="en-IE"/>
        </w:rPr>
        <w:footnoteReference w:id="9"/>
      </w:r>
      <w:r>
        <w:rPr>
          <w:noProof/>
          <w:lang w:val="en-IE"/>
        </w:rPr>
        <w:t xml:space="preserve"> and is the sole user of the particularly arduous working conditions allowance</w:t>
      </w:r>
      <w:r>
        <w:rPr>
          <w:rStyle w:val="FootnoteReference"/>
          <w:noProof/>
          <w:lang w:val="en-IE"/>
        </w:rPr>
        <w:footnoteReference w:id="10"/>
      </w:r>
      <w:r>
        <w:rPr>
          <w:noProof/>
          <w:lang w:val="en-IE"/>
        </w:rPr>
        <w:t xml:space="preserve"> (Annexes 2 – 4). At the same time, the European Parliament and the Council mainly use shift work allowances. The observed increased use of shift work had a significant and direct impact on the overall budget expenditure</w:t>
      </w:r>
      <w:r>
        <w:rPr>
          <w:rStyle w:val="FootnoteReference"/>
          <w:noProof/>
          <w:lang w:val="en-IE"/>
        </w:rPr>
        <w:footnoteReference w:id="11"/>
      </w:r>
      <w:r>
        <w:rPr>
          <w:noProof/>
          <w:lang w:val="en-IE"/>
        </w:rPr>
        <w:t xml:space="preserve"> (Annex 5).</w:t>
      </w:r>
    </w:p>
    <w:p>
      <w:pPr>
        <w:pStyle w:val="Heading2"/>
        <w:rPr>
          <w:noProof/>
          <w:lang w:val="en-IE"/>
        </w:rPr>
      </w:pPr>
      <w:r>
        <w:rPr>
          <w:noProof/>
          <w:lang w:val="en-IE"/>
        </w:rPr>
        <w:t>Report pursuant to Article 77 of the SR assessing the statutory pensionable age</w:t>
      </w:r>
    </w:p>
    <w:p>
      <w:pPr>
        <w:pStyle w:val="Text1"/>
        <w:ind w:left="0"/>
        <w:rPr>
          <w:noProof/>
          <w:lang w:val="en-IE"/>
        </w:rPr>
      </w:pPr>
      <w:r>
        <w:rPr>
          <w:noProof/>
          <w:lang w:val="en-IE"/>
        </w:rPr>
        <w:t>The Commission Report assessing the statutory pensionable age has been adopted during the internal adoption process of this report</w:t>
      </w:r>
      <w:r>
        <w:rPr>
          <w:rStyle w:val="FootnoteReference"/>
          <w:noProof/>
          <w:lang w:val="en-IE"/>
        </w:rPr>
        <w:footnoteReference w:id="12"/>
      </w:r>
      <w:r>
        <w:rPr>
          <w:noProof/>
          <w:lang w:val="en-IE"/>
        </w:rPr>
        <w:t>.</w:t>
      </w:r>
    </w:p>
    <w:p>
      <w:pPr>
        <w:pStyle w:val="Heading2"/>
        <w:rPr>
          <w:noProof/>
          <w:lang w:val="en-IE"/>
        </w:rPr>
      </w:pPr>
      <w:r>
        <w:rPr>
          <w:noProof/>
          <w:lang w:val="en-IE"/>
        </w:rPr>
        <w:t xml:space="preserve">Reporting on the implementation of Annex XI to the SR </w:t>
      </w:r>
    </w:p>
    <w:p>
      <w:pPr>
        <w:rPr>
          <w:noProof/>
          <w:lang w:val="en-IE"/>
        </w:rPr>
      </w:pPr>
      <w:r>
        <w:rPr>
          <w:noProof/>
          <w:lang w:val="en-IE"/>
        </w:rPr>
        <w:t xml:space="preserve">The current method for the annual update of the remuneration and pensions of EU staff and Members of the EU institutions was adopted as part of the 2014 reform of the SR. The SR provide that the method will be in force until at least the end of 2023. </w:t>
      </w:r>
      <w:r>
        <w:rPr>
          <w:noProof/>
          <w:szCs w:val="24"/>
          <w:lang w:val="en-IE"/>
        </w:rPr>
        <w:t xml:space="preserve">The SR set defined reporting obligations for the Commission (i.e. annual reports, interim report, and final report). </w:t>
      </w:r>
    </w:p>
    <w:p>
      <w:pPr>
        <w:rPr>
          <w:noProof/>
          <w:lang w:val="en-IE"/>
        </w:rPr>
      </w:pPr>
      <w:r>
        <w:rPr>
          <w:noProof/>
          <w:lang w:val="en-IE"/>
        </w:rPr>
        <w:t>In accordance with Article 15, paragraph 4 of Annex XI to the SR, the Commission submitted an interim report on the implementation of Annex XI in December 2018. It concluded that during the assessment period Annex XI was implemented according to the applicable rules</w:t>
      </w:r>
      <w:r>
        <w:rPr>
          <w:rStyle w:val="FootnoteReference"/>
          <w:noProof/>
          <w:lang w:val="en-IE"/>
        </w:rPr>
        <w:footnoteReference w:id="13"/>
      </w:r>
      <w:r>
        <w:rPr>
          <w:noProof/>
          <w:szCs w:val="24"/>
          <w:lang w:val="en-IE"/>
        </w:rPr>
        <w:t xml:space="preserve">. </w:t>
      </w:r>
    </w:p>
    <w:p>
      <w:pPr>
        <w:rPr>
          <w:noProof/>
          <w:lang w:val="en-IE"/>
        </w:rPr>
      </w:pPr>
      <w:r>
        <w:rPr>
          <w:noProof/>
          <w:lang w:val="en-IE"/>
        </w:rPr>
        <w:t xml:space="preserve">Between 2015 and 2020, the Commission has also adopted six annual reports on the budgetary implications of the update of remuneration and pensions. Following an initial phase of a higher-than-average increase of the update in 2015 and 2016 (that could be seen as a </w:t>
      </w:r>
      <w:r>
        <w:rPr>
          <w:noProof/>
          <w:szCs w:val="24"/>
          <w:lang w:val="en-IE"/>
        </w:rPr>
        <w:t>“</w:t>
      </w:r>
      <w:r>
        <w:rPr>
          <w:noProof/>
          <w:lang w:val="en-IE"/>
        </w:rPr>
        <w:t>catch-up</w:t>
      </w:r>
      <w:r>
        <w:rPr>
          <w:noProof/>
          <w:szCs w:val="24"/>
          <w:lang w:val="en-IE"/>
        </w:rPr>
        <w:t>”</w:t>
      </w:r>
      <w:r>
        <w:rPr>
          <w:noProof/>
          <w:lang w:val="en-IE"/>
        </w:rPr>
        <w:t xml:space="preserve"> effect in the Member States after the 2008-2012 economic and social crisis), the following yearly exercises in 2017, 2018 and 2019 resulted into moderate nominal salary increases</w:t>
      </w:r>
      <w:r>
        <w:rPr>
          <w:noProof/>
          <w:szCs w:val="24"/>
          <w:lang w:val="en-IE"/>
        </w:rPr>
        <w:t>.</w:t>
      </w:r>
    </w:p>
    <w:p>
      <w:pPr>
        <w:rPr>
          <w:noProof/>
          <w:lang w:val="en-IE"/>
        </w:rPr>
      </w:pPr>
      <w:r>
        <w:rPr>
          <w:noProof/>
          <w:lang w:val="en-IE"/>
        </w:rPr>
        <w:t>Concerning the implementation of the principle of equality of purchasing power among EU staff in different places of employment, via the system of correction coefficients, a few issues were identified to be closely followed during the 2018-2022 implementation period.</w:t>
      </w:r>
    </w:p>
    <w:p>
      <w:pPr>
        <w:rPr>
          <w:noProof/>
          <w:lang w:val="en-IE"/>
        </w:rPr>
      </w:pPr>
      <w:r>
        <w:rPr>
          <w:noProof/>
          <w:lang w:val="en-IE"/>
        </w:rPr>
        <w:t xml:space="preserve">It is to be noted that in 2020, the exception clause provided under Article 11 of Annex XI applied automatically due to the economic downturn resulting from the Covid-19 pandemic. As a result, the gain of purchasing power that national civil servants in central governments of the reference Member States received during the July 2019 – July 2020 period was not part of the 2020 update and was postponed until the EU GDP would recover its pre-crisis level. </w:t>
      </w:r>
    </w:p>
    <w:p>
      <w:pPr>
        <w:rPr>
          <w:noProof/>
          <w:lang w:val="en-IE"/>
        </w:rPr>
      </w:pPr>
      <w:r>
        <w:rPr>
          <w:noProof/>
          <w:lang w:val="en-IE"/>
        </w:rPr>
        <w:t xml:space="preserve">As the method contains an automatic annual update and automatic crisis clauses, it effectively remedied the difficulties in the implementation of the previous methods. At the same time, the method was constantly scrutinised by the European Parliament and the Council via the annual reports delivered by the Commission. </w:t>
      </w:r>
    </w:p>
    <w:p>
      <w:pPr>
        <w:rPr>
          <w:noProof/>
          <w:lang w:val="en-IE"/>
        </w:rPr>
      </w:pPr>
      <w:r>
        <w:rPr>
          <w:noProof/>
          <w:lang w:val="en-IE"/>
        </w:rPr>
        <w:t>The implementation of Annex XI will be analysed again in the final report on the evolution of the purchasing power of the Union officials and national civil servants that the Commission is required to submit to the European Parliament and the Council by March 2022, on the basis of which the Commission shall, if appropriate, make a legislative proposal to amend the provisions in the SR on the method.</w:t>
      </w:r>
    </w:p>
    <w:p>
      <w:pPr>
        <w:pStyle w:val="Heading2"/>
        <w:rPr>
          <w:noProof/>
          <w:lang w:val="en-IE"/>
        </w:rPr>
      </w:pPr>
      <w:r>
        <w:rPr>
          <w:noProof/>
          <w:lang w:val="en-IE"/>
        </w:rPr>
        <w:t>Reporting on the implementation of Annex XII to the SR</w:t>
      </w:r>
    </w:p>
    <w:p>
      <w:pPr>
        <w:rPr>
          <w:noProof/>
          <w:lang w:val="en-IE"/>
        </w:rPr>
      </w:pPr>
      <w:r>
        <w:rPr>
          <w:noProof/>
          <w:lang w:val="en-IE"/>
        </w:rPr>
        <w:t>In December 2018, the Commission also submitted an interim report on the implementation of Annex XII</w:t>
      </w:r>
      <w:r>
        <w:rPr>
          <w:rStyle w:val="FootnoteReference"/>
          <w:noProof/>
          <w:lang w:val="en-IE"/>
        </w:rPr>
        <w:footnoteReference w:id="14"/>
      </w:r>
      <w:r>
        <w:rPr>
          <w:noProof/>
          <w:lang w:val="en-IE"/>
        </w:rPr>
        <w:t>. The report showed that the application of Annex XII to the SR fulfilled its specific aim to guarantee that the Pension System of European Officials (PSEO) is in balance (incl. the pension contribution paid by the staff to the budget to cover one third of the pension rights acquired every year). It further confirmed that the 2004 and 2014 SR reforms delivered increasing yearly savings resulting from reduced benefits and increased pensionable age</w:t>
      </w:r>
      <w:r>
        <w:rPr>
          <w:rStyle w:val="FootnoteReference"/>
          <w:noProof/>
          <w:lang w:val="en-IE"/>
        </w:rPr>
        <w:footnoteReference w:id="15"/>
      </w:r>
      <w:r>
        <w:rPr>
          <w:noProof/>
          <w:szCs w:val="24"/>
          <w:lang w:val="en-IE"/>
        </w:rPr>
        <w:t xml:space="preserve">. </w:t>
      </w:r>
    </w:p>
    <w:p>
      <w:pPr>
        <w:rPr>
          <w:noProof/>
          <w:szCs w:val="24"/>
          <w:lang w:val="en-IE"/>
        </w:rPr>
      </w:pPr>
      <w:r>
        <w:rPr>
          <w:noProof/>
          <w:lang w:val="en-IE"/>
        </w:rPr>
        <w:t>The implementation of Annex XII will be further analysed in the final report that</w:t>
      </w:r>
      <w:r>
        <w:rPr>
          <w:noProof/>
          <w:szCs w:val="24"/>
          <w:lang w:val="en-IE"/>
        </w:rPr>
        <w:t xml:space="preserve"> the Commission is required to submit to the European Parliament and the Council in 2022 based on which the Commission shall, if appropriate, make a legislative proposal to amend the provisions in the SR on the functioning of the pension system. </w:t>
      </w:r>
    </w:p>
    <w:p>
      <w:pPr>
        <w:pStyle w:val="Heading2"/>
        <w:rPr>
          <w:noProof/>
          <w:lang w:val="en-IE"/>
        </w:rPr>
      </w:pPr>
      <w:r>
        <w:rPr>
          <w:noProof/>
          <w:lang w:val="en-IE"/>
        </w:rPr>
        <w:t>Reports pursuant to Article 28(a) paragraph 11 CEOS on the financial situation of the unemployment insurance scheme</w:t>
      </w:r>
    </w:p>
    <w:p>
      <w:pPr>
        <w:rPr>
          <w:noProof/>
          <w:lang w:val="en-IE"/>
        </w:rPr>
      </w:pPr>
      <w:r>
        <w:rPr>
          <w:noProof/>
          <w:lang w:val="en-IE"/>
        </w:rPr>
        <w:t>Under Article 28, paragraph 10 of the CEOS, the Commission shall present, every two years, a report on the financial situation of the unemployment insurance scheme. The Commission adopted two reports during the reference period</w:t>
      </w:r>
      <w:r>
        <w:rPr>
          <w:rStyle w:val="FootnoteReference"/>
          <w:noProof/>
          <w:lang w:val="en-IE"/>
        </w:rPr>
        <w:footnoteReference w:id="16"/>
      </w:r>
      <w:r>
        <w:rPr>
          <w:noProof/>
          <w:lang w:val="en-IE"/>
        </w:rPr>
        <w:t>. These reports showed successive annual deficits from 2013 to 2015 leading to a fall in the unemployment fund’s reserve</w:t>
      </w:r>
      <w:r>
        <w:rPr>
          <w:rStyle w:val="FootnoteReference"/>
          <w:noProof/>
          <w:lang w:val="en-IE"/>
        </w:rPr>
        <w:footnoteReference w:id="17"/>
      </w:r>
      <w:r>
        <w:rPr>
          <w:noProof/>
          <w:lang w:val="en-IE"/>
        </w:rPr>
        <w:t>. The 2016, 2017 and 2018 financial years brought successive surpluses allowing the reserve to grow considerably</w:t>
      </w:r>
      <w:r>
        <w:rPr>
          <w:rStyle w:val="FootnoteReference"/>
          <w:noProof/>
          <w:lang w:val="en-IE"/>
        </w:rPr>
        <w:footnoteReference w:id="18"/>
      </w:r>
      <w:r>
        <w:rPr>
          <w:noProof/>
          <w:lang w:val="en-IE"/>
        </w:rPr>
        <w:t>.</w:t>
      </w:r>
    </w:p>
    <w:p>
      <w:pPr>
        <w:rPr>
          <w:noProof/>
          <w:lang w:val="en-IE"/>
        </w:rPr>
      </w:pPr>
      <w:r>
        <w:rPr>
          <w:noProof/>
          <w:lang w:val="en-IE"/>
        </w:rPr>
        <w:t xml:space="preserve">In accordance with the conclusions of the 2016 report on the financial position of the unemployment insurance scheme, and taking particular account of the identified risk factors, the Commission carried out regular monitoring of the scheme’s financial position. In particular, the Commission continued to assess whether the balance of the scheme required adjustment of the contribution rates, which form the basis on which the scheme is financed. Up to the end of 2019, such adjustment has not been necessary. </w:t>
      </w:r>
    </w:p>
    <w:p>
      <w:pPr>
        <w:pStyle w:val="Heading2"/>
        <w:rPr>
          <w:noProof/>
          <w:lang w:val="en-IE"/>
        </w:rPr>
      </w:pPr>
      <w:r>
        <w:rPr>
          <w:noProof/>
          <w:lang w:val="en-IE"/>
        </w:rPr>
        <w:t>Reports pursuant to Article 79 CEOS on the use of contract staff</w:t>
      </w:r>
    </w:p>
    <w:p>
      <w:pPr>
        <w:rPr>
          <w:noProof/>
          <w:lang w:val="en-IE"/>
        </w:rPr>
      </w:pPr>
      <w:r>
        <w:rPr>
          <w:noProof/>
          <w:lang w:val="en-IE"/>
        </w:rPr>
        <w:t>Under Article 79, paragraph 3 of the CEOS, the Commission is to report on the use of contract agents yearly. The Commission has fulfilled its obligation for the years 2014 to 2018, whilst at the time of writing the reports covering 2019 and 2020 are in preparation. All data refer to 31 December of each year.</w:t>
      </w:r>
    </w:p>
    <w:p>
      <w:pPr>
        <w:pStyle w:val="Heading3"/>
        <w:rPr>
          <w:noProof/>
          <w:lang w:val="en-IE"/>
        </w:rPr>
      </w:pPr>
      <w:r>
        <w:rPr>
          <w:noProof/>
          <w:lang w:val="en-IE"/>
        </w:rPr>
        <w:t xml:space="preserve">Evolution of the number of contract agents </w:t>
      </w:r>
    </w:p>
    <w:p>
      <w:pPr>
        <w:rPr>
          <w:noProof/>
          <w:szCs w:val="24"/>
          <w:lang w:val="en-IE"/>
        </w:rPr>
      </w:pPr>
      <w:r>
        <w:rPr>
          <w:noProof/>
          <w:szCs w:val="24"/>
          <w:lang w:val="en-IE"/>
        </w:rPr>
        <w:t xml:space="preserve">At the end of 2014, the Commission, the other institutions and the agencies employed 11 064 contract agents. Four years later, they employed 13 841 contract agents (+25.1%) (Annex 6). </w:t>
      </w:r>
    </w:p>
    <w:p>
      <w:pPr>
        <w:rPr>
          <w:noProof/>
          <w:szCs w:val="24"/>
          <w:lang w:val="en-IE"/>
        </w:rPr>
      </w:pPr>
      <w:r>
        <w:rPr>
          <w:noProof/>
          <w:szCs w:val="24"/>
          <w:lang w:val="en-IE"/>
        </w:rPr>
        <w:t>This increase is significantly different across the different groups of institutions/agencies. While the Commission has a variation of + 12.4% over this period, the other institutions have an increase of + 27.7% and the agencies + 54.7% (see annexes 6 and 7). In addition, the increase rate varied overtime, notably in the Commission and the agencies in 2017 and 2018. In particular, the Commission presented increases not higher than 1% in 2017 and 2018.</w:t>
      </w:r>
    </w:p>
    <w:p>
      <w:pPr>
        <w:rPr>
          <w:noProof/>
          <w:szCs w:val="24"/>
          <w:lang w:val="en-IE"/>
        </w:rPr>
      </w:pPr>
      <w:r>
        <w:rPr>
          <w:noProof/>
          <w:lang w:val="en-IE"/>
        </w:rPr>
        <w:t>It is worth noting that, as for officials and temporary agents, engagement of contract staff is carried out on the basis of the required profile and the applicants' professional abilities and language capabilities, without any definition of quotas based on nationality.</w:t>
      </w:r>
    </w:p>
    <w:p>
      <w:pPr>
        <w:rPr>
          <w:noProof/>
          <w:lang w:val="en-IE"/>
        </w:rPr>
      </w:pPr>
      <w:r>
        <w:rPr>
          <w:noProof/>
          <w:lang w:val="en-IE"/>
        </w:rPr>
        <w:t xml:space="preserve">Annexes 8 to 11 present the distribution of contract agents by nationality and function group, in 2014 and 2018 respectively. As regards nationalities of contract staff, Italy, Belgium, France and Spain, ranked as the first four nationalities in contract staff population, comprising jointly about 60% of the total number of contract agents. For contract staff in function groups (FG) III and IV, the abovementioned four Member States account for 55% of the number of contract agents in these function groups. This composition of geographical representation results from a combination of factors, in particular geographical proximity to the location of the institution’s respective places of employment (for the Commission, mainly Brussels, the city of Luxembourg and Ispra), the salary levels and the duration of the offered contracts. </w:t>
      </w:r>
    </w:p>
    <w:p>
      <w:pPr>
        <w:pStyle w:val="Heading3"/>
        <w:rPr>
          <w:noProof/>
          <w:lang w:val="en-IE"/>
        </w:rPr>
      </w:pPr>
      <w:r>
        <w:rPr>
          <w:noProof/>
          <w:lang w:val="en-IE"/>
        </w:rPr>
        <w:t>Career structure of contract staff</w:t>
      </w:r>
    </w:p>
    <w:p>
      <w:pPr>
        <w:tabs>
          <w:tab w:val="left" w:pos="426"/>
        </w:tabs>
        <w:rPr>
          <w:noProof/>
          <w:lang w:val="en-IE" w:eastAsia="en-GB" w:bidi="en-GB"/>
        </w:rPr>
      </w:pPr>
      <w:r>
        <w:rPr>
          <w:noProof/>
          <w:lang w:val="en-IE" w:eastAsia="en-GB" w:bidi="en-GB"/>
        </w:rPr>
        <w:t>Article 80 of the CEOS establishes a link between each function group and the duties that are performed (Annex 12).</w:t>
      </w:r>
      <w:r>
        <w:rPr>
          <w:noProof/>
          <w:lang w:val="en-IE"/>
        </w:rPr>
        <w:t xml:space="preserve"> </w:t>
      </w:r>
    </w:p>
    <w:p>
      <w:pPr>
        <w:rPr>
          <w:noProof/>
          <w:lang w:val="en-IE"/>
        </w:rPr>
      </w:pPr>
      <w:r>
        <w:rPr>
          <w:noProof/>
          <w:lang w:val="en-IE"/>
        </w:rPr>
        <w:t>In November 2017, new General Implementing Provisions (GIPs) on contract agents</w:t>
      </w:r>
      <w:r>
        <w:rPr>
          <w:rStyle w:val="FootnoteReference"/>
          <w:noProof/>
          <w:lang w:val="en-IE"/>
        </w:rPr>
        <w:footnoteReference w:id="19"/>
      </w:r>
      <w:r>
        <w:rPr>
          <w:noProof/>
          <w:lang w:val="en-IE"/>
        </w:rPr>
        <w:t xml:space="preserve"> entered into force. These GIPs provide for the possibility to align the function group with the level of functions performed</w:t>
      </w:r>
      <w:r>
        <w:rPr>
          <w:rStyle w:val="FootnoteReference"/>
          <w:noProof/>
          <w:lang w:val="en-IE"/>
        </w:rPr>
        <w:footnoteReference w:id="20"/>
      </w:r>
      <w:r>
        <w:rPr>
          <w:noProof/>
          <w:lang w:val="en-IE"/>
        </w:rPr>
        <w:t>. The first exercise took place in 2019 for contract agents based in Luxembourg and has been followed by additional screenings and changes in function groups</w:t>
      </w:r>
      <w:r>
        <w:rPr>
          <w:rStyle w:val="FootnoteReference"/>
          <w:noProof/>
          <w:lang w:val="en-IE"/>
        </w:rPr>
        <w:footnoteReference w:id="21"/>
      </w:r>
      <w:r>
        <w:rPr>
          <w:noProof/>
          <w:lang w:val="en-IE"/>
        </w:rPr>
        <w:t>. Further exercises are currently under study and will be launched based on a wider assessment of the correspondence between the level of tasks and the matching function group.</w:t>
      </w:r>
    </w:p>
    <w:p>
      <w:pPr>
        <w:pStyle w:val="Heading3"/>
        <w:rPr>
          <w:noProof/>
          <w:lang w:val="en-IE"/>
        </w:rPr>
      </w:pPr>
      <w:r>
        <w:rPr>
          <w:noProof/>
          <w:lang w:val="en-IE"/>
        </w:rPr>
        <w:t>Internal competitions open to contract agents in the Commission</w:t>
      </w:r>
    </w:p>
    <w:p>
      <w:pPr>
        <w:pStyle w:val="Text2"/>
        <w:spacing w:after="0"/>
        <w:ind w:left="0"/>
        <w:rPr>
          <w:noProof/>
          <w:lang w:val="en-IE"/>
        </w:rPr>
      </w:pPr>
      <w:r>
        <w:rPr>
          <w:noProof/>
          <w:lang w:val="en-IE"/>
        </w:rPr>
        <w:t>Under Article 82(7) CEOS, contract agents can, on an exceptional basis, participate in the internal competitions for officials. Two internal competitions open to contract agents have since been organised by the Commission, in 2016 and in 2018 (Annex 13). The Commission has no information on the use of this provision by other institutions.</w:t>
      </w:r>
    </w:p>
    <w:p>
      <w:pPr>
        <w:pStyle w:val="Heading1"/>
        <w:rPr>
          <w:noProof/>
          <w:lang w:val="en-IE"/>
        </w:rPr>
      </w:pPr>
      <w:r>
        <w:rPr>
          <w:noProof/>
          <w:lang w:val="en-IE"/>
        </w:rPr>
        <w:t xml:space="preserve">Ad hoc reports provided under the Article 6 of the SR </w:t>
      </w:r>
    </w:p>
    <w:p>
      <w:pPr>
        <w:pStyle w:val="Heading2"/>
        <w:rPr>
          <w:noProof/>
          <w:lang w:val="en-IE"/>
        </w:rPr>
      </w:pPr>
      <w:r>
        <w:rPr>
          <w:noProof/>
          <w:lang w:val="en-IE"/>
        </w:rPr>
        <w:t>Report pursuant to Article 6(3) on the promotion rates laid down Annex IB</w:t>
      </w:r>
    </w:p>
    <w:p>
      <w:pPr>
        <w:rPr>
          <w:noProof/>
          <w:lang w:val="en-IE"/>
        </w:rPr>
      </w:pPr>
      <w:r>
        <w:rPr>
          <w:noProof/>
          <w:lang w:val="en-IE"/>
        </w:rPr>
        <w:t xml:space="preserve">According to Article 6(2) of the SR relating to the vacant posts in the establishment plan, the Commission is required to ensure that, from 1 January 2014 on, the number of vacant positions at every grade of the staff establishment plan (i.e. number of posts allocated to each institution) on 1 January of each year corresponds to the number of officials in the lower grade in active employment on 1 January of the preceding year, multiplied by the rates laid down in Annex I, Section B of the SR for that grade. </w:t>
      </w:r>
    </w:p>
    <w:p>
      <w:pPr>
        <w:rPr>
          <w:noProof/>
          <w:lang w:val="en-IE"/>
        </w:rPr>
      </w:pPr>
      <w:r>
        <w:rPr>
          <w:rFonts w:eastAsiaTheme="minorHAnsi"/>
          <w:noProof/>
          <w:szCs w:val="24"/>
          <w:lang w:val="en-IE" w:eastAsia="en-US"/>
        </w:rPr>
        <w:t xml:space="preserve">The Budgetary Authority is bound by the rates, which represent a guarantee for the institutions that a defined number of vacant positions should be put at their disposal in each grade. It is then to each institution, taking into account its specific context and objectives, to define its own personnel policy within the boundaries of this guarantee. </w:t>
      </w:r>
    </w:p>
    <w:p>
      <w:pPr>
        <w:spacing w:after="160" w:line="259" w:lineRule="auto"/>
        <w:rPr>
          <w:rFonts w:eastAsiaTheme="minorHAnsi"/>
          <w:noProof/>
          <w:szCs w:val="24"/>
          <w:lang w:val="en-IE" w:eastAsia="en-US"/>
        </w:rPr>
      </w:pPr>
      <w:r>
        <w:rPr>
          <w:rFonts w:eastAsiaTheme="minorHAnsi"/>
          <w:noProof/>
          <w:szCs w:val="24"/>
          <w:lang w:val="en-IE" w:eastAsia="en-US"/>
        </w:rPr>
        <w:t>Making vacant posts available in a given grade allows the Institutions to either promote, certify (appoint officials members of the Assistant function group (AST) to be appointed to an Administrator (AD) post) or recruit within the limits of the recruitment grades as stipulated in the SR. Article 6 of the SR gives a structure to the Establishment plan by setting an availability rule regarding vacant posts and by referring to the principle of promotion based on comparative merits as set in Article 45.</w:t>
      </w:r>
    </w:p>
    <w:p>
      <w:pPr>
        <w:rPr>
          <w:noProof/>
          <w:szCs w:val="24"/>
          <w:lang w:val="en-IE"/>
        </w:rPr>
      </w:pPr>
      <w:r>
        <w:rPr>
          <w:noProof/>
          <w:lang w:val="en-IE"/>
        </w:rPr>
        <w:t xml:space="preserve">In the Commission, there are two types of promotions. Promotions </w:t>
      </w:r>
      <w:r>
        <w:rPr>
          <w:i/>
          <w:iCs/>
          <w:noProof/>
          <w:lang w:val="en-IE"/>
        </w:rPr>
        <w:t xml:space="preserve">première filière </w:t>
      </w:r>
      <w:r>
        <w:rPr>
          <w:noProof/>
          <w:lang w:val="en-IE"/>
        </w:rPr>
        <w:t xml:space="preserve">(i.e. related to appointment to positions of Head of Unit, Adviser, Senior Expert and Senior Assistant) presented for all institutions in Annex 14 and </w:t>
      </w:r>
      <w:r>
        <w:rPr>
          <w:i/>
          <w:iCs/>
          <w:noProof/>
          <w:lang w:val="en-IE"/>
        </w:rPr>
        <w:t>seconde filière</w:t>
      </w:r>
      <w:r>
        <w:rPr>
          <w:noProof/>
          <w:lang w:val="en-IE"/>
        </w:rPr>
        <w:t xml:space="preserve"> presented for all institutions in Annex 15, which include all grades concerned by the regular annual promotion exercise</w:t>
      </w:r>
      <w:r>
        <w:rPr>
          <w:rStyle w:val="FootnoteReference"/>
          <w:noProof/>
          <w:lang w:val="en-IE"/>
        </w:rPr>
        <w:footnoteReference w:id="22"/>
      </w:r>
      <w:r>
        <w:rPr>
          <w:noProof/>
          <w:lang w:val="en-IE"/>
        </w:rPr>
        <w:t xml:space="preserve">.  </w:t>
      </w:r>
      <w:r>
        <w:rPr>
          <w:noProof/>
          <w:szCs w:val="24"/>
          <w:lang w:val="en-IE"/>
        </w:rPr>
        <w:t xml:space="preserve">Among the 21 grades concerned by the annual promotion exercise, three main categories can be identified. </w:t>
      </w:r>
    </w:p>
    <w:p>
      <w:pPr>
        <w:rPr>
          <w:noProof/>
          <w:szCs w:val="24"/>
          <w:lang w:val="en-IE"/>
        </w:rPr>
      </w:pPr>
      <w:r>
        <w:rPr>
          <w:noProof/>
          <w:szCs w:val="24"/>
          <w:lang w:val="en-IE"/>
        </w:rPr>
        <w:t>The first category includes grades in which the actual number of promotions to the higher grade equals</w:t>
      </w:r>
      <w:r>
        <w:rPr>
          <w:rStyle w:val="FootnoteReference"/>
          <w:noProof/>
          <w:szCs w:val="24"/>
          <w:lang w:val="en-IE"/>
        </w:rPr>
        <w:footnoteReference w:id="23"/>
      </w:r>
      <w:r>
        <w:rPr>
          <w:noProof/>
          <w:szCs w:val="24"/>
          <w:lang w:val="en-IE"/>
        </w:rPr>
        <w:t xml:space="preserve"> the thresholds set in Article 6 of the SR. This includes AD grades 11, 10, 9, 8 and 7 as well as AST grades 8, 7, 6, 5 and 4. </w:t>
      </w:r>
    </w:p>
    <w:p>
      <w:pPr>
        <w:rPr>
          <w:noProof/>
          <w:lang w:val="en-IE"/>
        </w:rPr>
      </w:pPr>
      <w:r>
        <w:rPr>
          <w:noProof/>
          <w:lang w:val="en-IE"/>
        </w:rPr>
        <w:t>The second category includes grades in which the actual number of promotions to the higher grade exceeds the thresholds set in Article 6 of the SR. This includes AD grades 6 and 5 as well as AST grades: 3, 2, 1</w:t>
      </w:r>
      <w:r>
        <w:rPr>
          <w:noProof/>
          <w:vertAlign w:val="superscript"/>
          <w:lang w:val="en-IE"/>
        </w:rPr>
        <w:footnoteReference w:id="24"/>
      </w:r>
      <w:r>
        <w:rPr>
          <w:noProof/>
          <w:lang w:val="en-IE"/>
        </w:rPr>
        <w:t xml:space="preserve"> and 4</w:t>
      </w:r>
      <w:r>
        <w:rPr>
          <w:noProof/>
          <w:szCs w:val="24"/>
          <w:lang w:val="en-IE"/>
        </w:rPr>
        <w:t xml:space="preserve"> </w:t>
      </w:r>
      <w:r>
        <w:rPr>
          <w:noProof/>
          <w:lang w:val="en-IE"/>
        </w:rPr>
        <w:t>D (an intermediary grade introduced by the 2004 reform of the SR</w:t>
      </w:r>
      <w:r>
        <w:rPr>
          <w:noProof/>
          <w:szCs w:val="24"/>
          <w:lang w:val="en-IE"/>
        </w:rPr>
        <w:t>).</w:t>
      </w:r>
    </w:p>
    <w:p>
      <w:pPr>
        <w:rPr>
          <w:noProof/>
          <w:szCs w:val="24"/>
          <w:lang w:val="en-IE"/>
        </w:rPr>
      </w:pPr>
      <w:r>
        <w:rPr>
          <w:noProof/>
          <w:szCs w:val="24"/>
          <w:lang w:val="en-IE"/>
        </w:rPr>
        <w:t xml:space="preserve">For the AST 4 D grade, in the absence of any recruitment in this grade, its population has been decreasing over the years. Consequently, the proportion of jobholders deserving a promotion based on their merits has been increasing over time (i.e. the “emptying grade effect”). The same comment applies, </w:t>
      </w:r>
      <w:r>
        <w:rPr>
          <w:i/>
          <w:noProof/>
          <w:szCs w:val="24"/>
          <w:lang w:val="en-IE"/>
        </w:rPr>
        <w:t>mutatis mutandis</w:t>
      </w:r>
      <w:r>
        <w:rPr>
          <w:noProof/>
          <w:szCs w:val="24"/>
          <w:lang w:val="en-IE"/>
        </w:rPr>
        <w:t xml:space="preserve"> for grade AST 1 for the 2014-2017 period.</w:t>
      </w:r>
    </w:p>
    <w:p>
      <w:pPr>
        <w:rPr>
          <w:noProof/>
          <w:szCs w:val="24"/>
          <w:lang w:val="en-IE"/>
        </w:rPr>
      </w:pPr>
      <w:r>
        <w:rPr>
          <w:noProof/>
          <w:szCs w:val="24"/>
          <w:lang w:val="en-IE"/>
        </w:rPr>
        <w:t>Concerning the AD5-AD6 grades, the higher promotion rates in these two entry grades can be explained by the management’s willingness to incentivise recently appointed jobholders</w:t>
      </w:r>
      <w:r>
        <w:rPr>
          <w:noProof/>
          <w:lang w:val="en-IE"/>
        </w:rPr>
        <w:t xml:space="preserve"> </w:t>
      </w:r>
      <w:r>
        <w:rPr>
          <w:noProof/>
          <w:szCs w:val="24"/>
          <w:lang w:val="en-IE"/>
        </w:rPr>
        <w:t>with a relatively fast first promotion corresponding to their merits.</w:t>
      </w:r>
    </w:p>
    <w:p>
      <w:pPr>
        <w:pStyle w:val="Text2"/>
        <w:ind w:left="0"/>
        <w:rPr>
          <w:noProof/>
          <w:lang w:val="en-IE"/>
        </w:rPr>
      </w:pPr>
      <w:r>
        <w:rPr>
          <w:noProof/>
          <w:lang w:val="en-IE"/>
        </w:rPr>
        <w:t xml:space="preserve">The third category includes grades in which the actual number of promotions to the higher grade does not reach the thresholds set in Article 6 of the SR. This includes AD grades 13 and 12, AST grades 10 as well as AST-SC grades 2 and 1. </w:t>
      </w:r>
    </w:p>
    <w:p>
      <w:pPr>
        <w:pStyle w:val="Text2"/>
        <w:ind w:left="0"/>
        <w:rPr>
          <w:noProof/>
          <w:lang w:val="en-IE"/>
        </w:rPr>
      </w:pPr>
      <w:r>
        <w:rPr>
          <w:noProof/>
          <w:lang w:val="en-IE"/>
        </w:rPr>
        <w:t>For the AST-SC grades, the recruitment started in 2015 thereby mechanically lowering the promotion rates in these grades for the first three promotion exercises. The promotion rate is increasing over time through the so-called “filling up grade effect” and figures for 2019 show that the threshold set for AST-SC2 grade was already exceeded. The rate for AST-SC1 grade has been reached in 2020 as the “filling up grade” effect disappeared.</w:t>
      </w:r>
    </w:p>
    <w:p>
      <w:pPr>
        <w:pStyle w:val="Text2"/>
        <w:ind w:left="0"/>
        <w:rPr>
          <w:noProof/>
          <w:lang w:val="en-IE"/>
        </w:rPr>
      </w:pPr>
      <w:r>
        <w:rPr>
          <w:noProof/>
          <w:lang w:val="en-IE"/>
        </w:rPr>
        <w:t>As regards the AST 10 grade, following the 2014 reform of the SR, only AST 9 jobholders appointed to a position of senior assistants become AST 10 (</w:t>
      </w:r>
      <w:r>
        <w:rPr>
          <w:i/>
          <w:iCs/>
          <w:noProof/>
          <w:lang w:val="en-IE"/>
        </w:rPr>
        <w:t>première filière</w:t>
      </w:r>
      <w:r>
        <w:rPr>
          <w:noProof/>
          <w:lang w:val="en-IE"/>
        </w:rPr>
        <w:t>). The population in AST 10 grade is therefore directly linked to the number of appointments of senior assistants, thereby explaining the significant variations of the promotion rates over time in this grade.</w:t>
      </w:r>
    </w:p>
    <w:p>
      <w:pPr>
        <w:pStyle w:val="Text2"/>
        <w:ind w:left="0"/>
        <w:rPr>
          <w:noProof/>
          <w:lang w:val="en-IE"/>
        </w:rPr>
      </w:pPr>
      <w:r>
        <w:rPr>
          <w:noProof/>
          <w:lang w:val="en-IE"/>
        </w:rPr>
        <w:t>Concerning the AD 12 and AD 13 grades, in view of the career provisions introduced by the 2014 reform of the SR, promotion rates calculated on the basis of the population in active employment (irrespective of its eligibility for promotion) are low. This notably results from the requirement to link promotions in higher grades with the post occupied.</w:t>
      </w:r>
    </w:p>
    <w:p>
      <w:pPr>
        <w:pStyle w:val="Heading2"/>
        <w:rPr>
          <w:noProof/>
          <w:lang w:val="en-IE"/>
        </w:rPr>
      </w:pPr>
      <w:r>
        <w:rPr>
          <w:noProof/>
          <w:lang w:val="en-IE"/>
        </w:rPr>
        <w:t>Report pursuant to Article 6(4) of the SR on AST/SC function group and the transitional provisions laid down in Article 31 of Annex XIII relating to AST function group</w:t>
      </w:r>
    </w:p>
    <w:p>
      <w:pPr>
        <w:pStyle w:val="Heading3"/>
        <w:rPr>
          <w:noProof/>
          <w:lang w:val="en-IE"/>
        </w:rPr>
      </w:pPr>
      <w:r>
        <w:rPr>
          <w:noProof/>
          <w:lang w:val="en-IE"/>
        </w:rPr>
        <w:t>AST careers</w:t>
      </w:r>
    </w:p>
    <w:p>
      <w:pPr>
        <w:rPr>
          <w:noProof/>
          <w:lang w:val="en-IE"/>
        </w:rPr>
      </w:pPr>
      <w:r>
        <w:rPr>
          <w:noProof/>
          <w:lang w:val="en-IE"/>
        </w:rPr>
        <w:t>The 2014 reform sought to address some of the effects of the changes brought to the general assistants’ (AST) career by the 2004 reform. The latter reform merged the categories of secretarial, clerical and assistant staff into one AST function group and enhanced the linear career progression through promotion. In particular, this change disconnected pay and grade from the level of responsibility</w:t>
      </w:r>
      <w:r>
        <w:rPr>
          <w:rStyle w:val="FootnoteReference"/>
          <w:noProof/>
          <w:lang w:val="en-IE"/>
        </w:rPr>
        <w:footnoteReference w:id="25"/>
      </w:r>
      <w:r>
        <w:rPr>
          <w:noProof/>
          <w:szCs w:val="24"/>
          <w:lang w:val="en-IE"/>
        </w:rPr>
        <w:t>.</w:t>
      </w:r>
    </w:p>
    <w:p>
      <w:pPr>
        <w:rPr>
          <w:noProof/>
          <w:szCs w:val="24"/>
          <w:lang w:val="en-IE"/>
        </w:rPr>
      </w:pPr>
      <w:r>
        <w:rPr>
          <w:noProof/>
          <w:szCs w:val="24"/>
          <w:lang w:val="en-IE"/>
        </w:rPr>
        <w:t>In this context, and in line with the changes introduced to the AD career</w:t>
      </w:r>
      <w:r>
        <w:rPr>
          <w:rStyle w:val="FootnoteReference"/>
          <w:noProof/>
          <w:szCs w:val="24"/>
          <w:lang w:val="en-IE"/>
        </w:rPr>
        <w:footnoteReference w:id="26"/>
      </w:r>
      <w:r>
        <w:rPr>
          <w:noProof/>
          <w:szCs w:val="24"/>
          <w:lang w:val="en-IE"/>
        </w:rPr>
        <w:t xml:space="preserve">, the 2014 reform of the SR revised the career structure for AST staff in order to strengthen the link between grade and function. Career progress through promotion is limited to grade AST 9 and access to grades AST 10 and AST 11 is conditioned by succeeding in a selection procedure for a senior assistant post, which requires the highest level of expertise and responsibility in this category. </w:t>
      </w:r>
    </w:p>
    <w:p>
      <w:pPr>
        <w:rPr>
          <w:noProof/>
          <w:szCs w:val="24"/>
          <w:lang w:val="en-IE"/>
        </w:rPr>
      </w:pPr>
      <w:r>
        <w:rPr>
          <w:noProof/>
          <w:szCs w:val="24"/>
          <w:lang w:val="en-IE"/>
        </w:rPr>
        <w:t>Lastly, since 2014, assistants are no longer recruited for secretarial and clerical tasks, for which the AST/SC function group was created.</w:t>
      </w:r>
    </w:p>
    <w:p>
      <w:pPr>
        <w:pStyle w:val="Heading3"/>
        <w:rPr>
          <w:noProof/>
          <w:lang w:val="en-IE"/>
        </w:rPr>
      </w:pPr>
      <w:r>
        <w:rPr>
          <w:noProof/>
          <w:lang w:val="en-IE"/>
        </w:rPr>
        <w:t>Function group AST/SC</w:t>
      </w:r>
    </w:p>
    <w:p>
      <w:pPr>
        <w:rPr>
          <w:noProof/>
          <w:szCs w:val="24"/>
          <w:lang w:val="en-IE"/>
        </w:rPr>
      </w:pPr>
      <w:r>
        <w:rPr>
          <w:noProof/>
          <w:szCs w:val="24"/>
          <w:lang w:val="en-IE"/>
        </w:rPr>
        <w:t>AST/SC officials carry out clerical and secretarial tasks, office management and other equivalent tasks requiring a certain degree of autonomy. This function group is composed of six grades, ranging from grade SC 1 to grade SC 6.</w:t>
      </w:r>
    </w:p>
    <w:p>
      <w:pPr>
        <w:rPr>
          <w:noProof/>
          <w:szCs w:val="24"/>
          <w:lang w:val="en-IE"/>
        </w:rPr>
      </w:pPr>
      <w:r>
        <w:rPr>
          <w:noProof/>
          <w:szCs w:val="24"/>
          <w:lang w:val="en-IE"/>
        </w:rPr>
        <w:t xml:space="preserve">With the establishment of the AST/SC function group by the 2014 reform of the SR, secretarial and clerical functions have been actively separated from the AST function group. As a result, recruitment of secretaries/clerks exclusively took place in the AST/SC function group. </w:t>
      </w:r>
    </w:p>
    <w:p>
      <w:pPr>
        <w:rPr>
          <w:noProof/>
          <w:szCs w:val="24"/>
          <w:lang w:val="en-IE"/>
        </w:rPr>
      </w:pPr>
      <w:r>
        <w:rPr>
          <w:noProof/>
          <w:szCs w:val="24"/>
          <w:lang w:val="en-IE"/>
        </w:rPr>
        <w:t>Over the years, several competitions for AST/SC staff have been organised and completed. The first AST/SC officials were recruited in 2015. Further, the institution organised two internal competitions in 2016 and 2018. These competitions advertised profiles of secretaries, clerks, and administrative and financial support staff in grades SC 1 or SC 2.</w:t>
      </w:r>
    </w:p>
    <w:p>
      <w:pPr>
        <w:pStyle w:val="Heading3"/>
        <w:rPr>
          <w:noProof/>
          <w:lang w:val="en-IE"/>
        </w:rPr>
      </w:pPr>
      <w:r>
        <w:rPr>
          <w:noProof/>
          <w:lang w:val="en-IE"/>
        </w:rPr>
        <w:t>Assistants in transition</w:t>
      </w:r>
    </w:p>
    <w:p>
      <w:pPr>
        <w:rPr>
          <w:noProof/>
          <w:lang w:val="en-IE"/>
        </w:rPr>
      </w:pPr>
      <w:r>
        <w:rPr>
          <w:noProof/>
          <w:lang w:val="en-IE"/>
        </w:rPr>
        <w:t>In accordance with Article 31, paragraph 2 of Annex XIII to the SR, a number of transitional measures were introduced as of 1 January 2014 for AST staff recruited before this date. Such transitional arrangements were necessary to apply the new rules whilst maintaining the rights acquired by the staff who were employed before the entry into force of these amendments.</w:t>
      </w:r>
    </w:p>
    <w:p>
      <w:pPr>
        <w:rPr>
          <w:noProof/>
          <w:szCs w:val="24"/>
          <w:lang w:val="en-IE"/>
        </w:rPr>
      </w:pPr>
      <w:r>
        <w:rPr>
          <w:noProof/>
          <w:szCs w:val="24"/>
          <w:lang w:val="en-IE"/>
        </w:rPr>
        <w:t>Under the 2014 reform, AST staff members in service on 31 December 2013 at the Commission were classified as follows</w:t>
      </w:r>
      <w:r>
        <w:rPr>
          <w:rStyle w:val="FootnoteReference"/>
          <w:noProof/>
          <w:szCs w:val="24"/>
          <w:lang w:val="en-IE"/>
        </w:rPr>
        <w:footnoteReference w:id="27"/>
      </w:r>
      <w:r>
        <w:rPr>
          <w:noProof/>
          <w:szCs w:val="24"/>
          <w:lang w:val="en-IE"/>
        </w:rPr>
        <w:t>:</w:t>
      </w:r>
    </w:p>
    <w:p>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Officials in grade AST 10 and AST 11 were assigned to posts of ‘senior assistant in transition’.</w:t>
      </w:r>
    </w:p>
    <w:p>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Officials who, before 1 May 2004, were in the former category B, or in the former category C or D and have become members of the function group AST without restriction as well as officials recruited after 1 May 2004, were all assigned to posts of ‘assistant in transition’.</w:t>
      </w:r>
    </w:p>
    <w:p>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Officials who were in the former category C before 1 May 2004 were assigned to posts of ‘administrative assistant in transition’.</w:t>
      </w:r>
    </w:p>
    <w:p>
      <w:pPr>
        <w:pStyle w:val="ListParagraph"/>
        <w:numPr>
          <w:ilvl w:val="0"/>
          <w:numId w:val="4"/>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Officials who were in the former category D before 1 May 2004 were assigned to posts of ‘support agent in transition’.</w:t>
      </w:r>
    </w:p>
    <w:p>
      <w:pPr>
        <w:rPr>
          <w:b/>
          <w:noProof/>
          <w:szCs w:val="24"/>
          <w:lang w:val="en-IE"/>
        </w:rPr>
      </w:pPr>
      <w:r>
        <w:rPr>
          <w:noProof/>
          <w:szCs w:val="24"/>
          <w:lang w:val="en-IE"/>
        </w:rPr>
        <w:t xml:space="preserve">Annex 16 presents the figures for each type of post in transition. Since the entry into force of the 2014 reform of the SR, the number of assistants in transition has been reduced considerably through the progressive retirement of staff members that were in service on 31 December 2013 or staff moving out of transition by applying to a published vacancy. </w:t>
      </w:r>
    </w:p>
    <w:p>
      <w:pPr>
        <w:pStyle w:val="Heading3"/>
        <w:rPr>
          <w:noProof/>
          <w:lang w:val="en-IE"/>
        </w:rPr>
      </w:pPr>
      <w:r>
        <w:rPr>
          <w:noProof/>
          <w:lang w:val="en-IE"/>
        </w:rPr>
        <w:t>Evolution of AST and AST/SC staff</w:t>
      </w:r>
    </w:p>
    <w:p>
      <w:pPr>
        <w:rPr>
          <w:noProof/>
          <w:szCs w:val="24"/>
          <w:lang w:val="en-IE"/>
        </w:rPr>
      </w:pPr>
      <w:r>
        <w:rPr>
          <w:noProof/>
          <w:szCs w:val="24"/>
          <w:lang w:val="en-IE"/>
        </w:rPr>
        <w:t xml:space="preserve">On 31 December 2019, out of 32 847 Commission active staff, 7 824 (24%) were AST officials and temporary agents. Compared to 2014, the number of assistants dropped by 24%. Although not all to the same degree, other EU institutions also experienced a reduction of their AST population (Annex 17). </w:t>
      </w:r>
    </w:p>
    <w:p>
      <w:pPr>
        <w:rPr>
          <w:noProof/>
          <w:szCs w:val="24"/>
          <w:lang w:val="en-IE"/>
        </w:rPr>
      </w:pPr>
      <w:r>
        <w:rPr>
          <w:noProof/>
          <w:szCs w:val="24"/>
          <w:lang w:val="en-IE"/>
        </w:rPr>
        <w:t xml:space="preserve">The decrease in the number of staff in the AST category partly stems from the creation of the AST/SC function group that has stopped recruitment of assistants (AST) for clerical and secretarial roles and from the reduction of the total number of AST functions. In the context of staff cuts over the 2013-2017 period, Commission services subject to reduction of their workforce had the tendency to renounce to AST posts in favour of AD posts. </w:t>
      </w:r>
    </w:p>
    <w:p>
      <w:pPr>
        <w:rPr>
          <w:noProof/>
          <w:szCs w:val="24"/>
          <w:lang w:val="en-IE"/>
        </w:rPr>
      </w:pPr>
      <w:r>
        <w:rPr>
          <w:noProof/>
          <w:szCs w:val="24"/>
          <w:lang w:val="en-IE"/>
        </w:rPr>
        <w:t xml:space="preserve">In the meantime, AST/SC staff has been building up, representing currently around 10% of the combined AST and AST/SC population or 2.7% of the total staff (officials and temporary agents). </w:t>
      </w:r>
    </w:p>
    <w:p>
      <w:pPr>
        <w:rPr>
          <w:noProof/>
          <w:szCs w:val="24"/>
          <w:lang w:val="en-IE"/>
        </w:rPr>
      </w:pPr>
      <w:r>
        <w:rPr>
          <w:noProof/>
          <w:szCs w:val="24"/>
          <w:lang w:val="en-IE"/>
        </w:rPr>
        <w:t xml:space="preserve">Over the last six years, the population of officials in the former C and D categories has also been reduced by more than half (55%). This reduction is mainly due to retirements. Only around one-sixth of outflows concern staff who have become members of the AST function group without restriction, in line with Article 31 paragraph 3 of Annex XIII to the SR. </w:t>
      </w:r>
    </w:p>
    <w:p>
      <w:pPr>
        <w:pStyle w:val="Heading1"/>
        <w:rPr>
          <w:noProof/>
          <w:lang w:val="en-IE"/>
        </w:rPr>
      </w:pPr>
      <w:r>
        <w:rPr>
          <w:noProof/>
          <w:lang w:val="en-IE"/>
        </w:rPr>
        <w:t>Delegated act adopted by the Commission under the SR</w:t>
      </w:r>
    </w:p>
    <w:p>
      <w:pPr>
        <w:rPr>
          <w:noProof/>
          <w:szCs w:val="24"/>
          <w:lang w:val="en-IE"/>
        </w:rPr>
      </w:pPr>
      <w:r>
        <w:rPr>
          <w:noProof/>
          <w:szCs w:val="24"/>
          <w:lang w:val="en-IE"/>
        </w:rPr>
        <w:t xml:space="preserve">Under Articles 111 and 112 of the SR, the Commission shall be empowered to adopt delegated acts concerning certain aspects of working conditions, the implementation of the rules on remuneration and the social security scheme. </w:t>
      </w:r>
    </w:p>
    <w:p>
      <w:pPr>
        <w:rPr>
          <w:noProof/>
          <w:lang w:val="en-IE"/>
        </w:rPr>
      </w:pPr>
      <w:r>
        <w:rPr>
          <w:noProof/>
          <w:lang w:val="en-IE"/>
        </w:rPr>
        <w:t>Firstly, during the reference period, the Commission effectively reviewed the rates of mission expenses</w:t>
      </w:r>
      <w:r>
        <w:rPr>
          <w:noProof/>
          <w:szCs w:val="24"/>
          <w:lang w:val="en-IE"/>
        </w:rPr>
        <w:t xml:space="preserve"> </w:t>
      </w:r>
      <w:r>
        <w:rPr>
          <w:noProof/>
          <w:lang w:val="en-IE"/>
        </w:rPr>
        <w:t>in the EU Member States</w:t>
      </w:r>
      <w:r>
        <w:rPr>
          <w:rStyle w:val="FootnoteReference"/>
          <w:noProof/>
          <w:lang w:val="en-IE"/>
        </w:rPr>
        <w:footnoteReference w:id="28"/>
      </w:r>
      <w:r>
        <w:rPr>
          <w:noProof/>
          <w:szCs w:val="24"/>
          <w:lang w:val="en-IE"/>
        </w:rPr>
        <w:t xml:space="preserve"> </w:t>
      </w:r>
      <w:r>
        <w:rPr>
          <w:noProof/>
          <w:lang w:val="en-IE"/>
        </w:rPr>
        <w:t xml:space="preserve">by means of delegated act. The review took place in the light of a report by Eurostat on the evolution of the indexes of the prices of hotels, restaurants and catering services. </w:t>
      </w:r>
    </w:p>
    <w:p>
      <w:pPr>
        <w:rPr>
          <w:noProof/>
          <w:szCs w:val="24"/>
          <w:lang w:val="en-IE"/>
        </w:rPr>
      </w:pPr>
      <w:r>
        <w:rPr>
          <w:noProof/>
          <w:szCs w:val="24"/>
          <w:lang w:val="en-IE"/>
        </w:rPr>
        <w:t>The adoption of the delegated act followed the procedure set forth in the Common Understanding between the European Parliament, the Council and the Commission on Delegated Acts</w:t>
      </w:r>
      <w:r>
        <w:rPr>
          <w:rStyle w:val="FootnoteReference"/>
          <w:noProof/>
          <w:szCs w:val="24"/>
          <w:lang w:val="en-IE"/>
        </w:rPr>
        <w:footnoteReference w:id="29"/>
      </w:r>
      <w:r>
        <w:rPr>
          <w:noProof/>
          <w:szCs w:val="24"/>
          <w:lang w:val="en-IE"/>
        </w:rPr>
        <w:t xml:space="preserve">, including informal consultations of statistical and budgetary experts from the Member States and the administration of the European Parliament. </w:t>
      </w:r>
    </w:p>
    <w:p>
      <w:pPr>
        <w:rPr>
          <w:noProof/>
          <w:szCs w:val="24"/>
          <w:lang w:val="en-IE"/>
        </w:rPr>
      </w:pPr>
      <w:r>
        <w:rPr>
          <w:noProof/>
          <w:szCs w:val="24"/>
          <w:lang w:val="en-IE"/>
        </w:rPr>
        <w:t>The successful adoption of Commission Delegated Regulation (EU) 2016/1611</w:t>
      </w:r>
      <w:r>
        <w:rPr>
          <w:noProof/>
          <w:szCs w:val="24"/>
          <w:vertAlign w:val="superscript"/>
          <w:lang w:val="en-IE"/>
        </w:rPr>
        <w:footnoteReference w:id="30"/>
      </w:r>
      <w:r>
        <w:rPr>
          <w:noProof/>
          <w:szCs w:val="24"/>
          <w:lang w:val="en-IE"/>
        </w:rPr>
        <w:t xml:space="preserve"> constituted the first review by a Commission Delegated Regulation</w:t>
      </w:r>
      <w:r>
        <w:rPr>
          <w:noProof/>
          <w:szCs w:val="24"/>
          <w:vertAlign w:val="superscript"/>
          <w:lang w:val="en-IE"/>
        </w:rPr>
        <w:footnoteReference w:id="31"/>
      </w:r>
      <w:r>
        <w:rPr>
          <w:noProof/>
          <w:szCs w:val="24"/>
          <w:vertAlign w:val="superscript"/>
          <w:lang w:val="en-IE"/>
        </w:rPr>
        <w:t xml:space="preserve"> </w:t>
      </w:r>
      <w:r>
        <w:rPr>
          <w:noProof/>
          <w:szCs w:val="24"/>
          <w:lang w:val="en-IE"/>
        </w:rPr>
        <w:t>of the rates of mission expenses since 2005</w:t>
      </w:r>
      <w:r>
        <w:rPr>
          <w:rStyle w:val="FootnoteReference"/>
          <w:noProof/>
          <w:szCs w:val="24"/>
          <w:lang w:val="en-IE"/>
        </w:rPr>
        <w:footnoteReference w:id="32"/>
      </w:r>
      <w:r>
        <w:rPr>
          <w:noProof/>
          <w:szCs w:val="24"/>
          <w:lang w:val="en-IE"/>
        </w:rPr>
        <w:t>.</w:t>
      </w:r>
    </w:p>
    <w:p>
      <w:pPr>
        <w:rPr>
          <w:noProof/>
          <w:lang w:val="en-IE"/>
        </w:rPr>
      </w:pPr>
      <w:r>
        <w:rPr>
          <w:noProof/>
          <w:lang w:val="en-IE"/>
        </w:rPr>
        <w:t>Secondly, the Commission also considered using its delegated powers in the social security field in order to consider increasing the contributions to the unemployment fund</w:t>
      </w:r>
      <w:r>
        <w:rPr>
          <w:noProof/>
          <w:szCs w:val="24"/>
          <w:lang w:val="en-IE"/>
        </w:rPr>
        <w:t xml:space="preserve"> </w:t>
      </w:r>
      <w:r>
        <w:rPr>
          <w:noProof/>
          <w:lang w:val="en-IE"/>
        </w:rPr>
        <w:t>for staff under the CEOS</w:t>
      </w:r>
      <w:r>
        <w:rPr>
          <w:rStyle w:val="FootnoteReference"/>
          <w:noProof/>
          <w:lang w:val="en-IE"/>
        </w:rPr>
        <w:footnoteReference w:id="33"/>
      </w:r>
      <w:r>
        <w:rPr>
          <w:noProof/>
          <w:szCs w:val="24"/>
          <w:lang w:val="en-IE"/>
        </w:rPr>
        <w:t xml:space="preserve">. </w:t>
      </w:r>
      <w:r>
        <w:rPr>
          <w:noProof/>
          <w:lang w:val="en-IE"/>
        </w:rPr>
        <w:t>The subsequent improvement of the fund’s financial situation rendered such adoption no longer necessary.</w:t>
      </w:r>
    </w:p>
    <w:p>
      <w:pPr>
        <w:pStyle w:val="Heading1"/>
        <w:rPr>
          <w:noProof/>
          <w:lang w:val="en-IE"/>
        </w:rPr>
      </w:pPr>
      <w:r>
        <w:rPr>
          <w:noProof/>
          <w:lang w:val="en-IE"/>
        </w:rPr>
        <w:t xml:space="preserve">Implementing rules adopted by the Commission and by other Institutions </w:t>
      </w:r>
    </w:p>
    <w:p>
      <w:pPr>
        <w:pStyle w:val="Heading2"/>
        <w:rPr>
          <w:noProof/>
          <w:lang w:val="en-IE"/>
        </w:rPr>
      </w:pPr>
      <w:r>
        <w:rPr>
          <w:noProof/>
          <w:lang w:val="en-IE"/>
        </w:rPr>
        <w:t xml:space="preserve">Implementing rules adopted by the Commission and by other Institutions </w:t>
      </w:r>
    </w:p>
    <w:p>
      <w:pPr>
        <w:rPr>
          <w:noProof/>
          <w:lang w:val="en-IE"/>
        </w:rPr>
      </w:pPr>
      <w:r>
        <w:rPr>
          <w:noProof/>
          <w:lang w:val="en-IE"/>
        </w:rPr>
        <w:t>Each EU institution enjoys a level of autonomy as regards the application of the SR and the CEOS to their staff. As part of the 2014 reform of the SR, the co-legislator harmonised the legislative framework and strengthened governance</w:t>
      </w:r>
      <w:r>
        <w:rPr>
          <w:rStyle w:val="FootnoteReference"/>
          <w:noProof/>
          <w:lang w:val="en-IE"/>
        </w:rPr>
        <w:footnoteReference w:id="34"/>
      </w:r>
      <w:r>
        <w:rPr>
          <w:noProof/>
          <w:lang w:val="en-IE"/>
        </w:rPr>
        <w:t xml:space="preserve"> notably by introducing an obligation for the Commission to report on the rules adopted by the appointing authority of each Institution to give effect to the SR and the CEOS, on the basis of Article 110(6) of the SR. </w:t>
      </w:r>
    </w:p>
    <w:p>
      <w:pPr>
        <w:rPr>
          <w:noProof/>
          <w:lang w:val="en-IE"/>
        </w:rPr>
      </w:pPr>
      <w:r>
        <w:rPr>
          <w:noProof/>
          <w:lang w:val="en-IE"/>
        </w:rPr>
        <w:t>The Commission adopted a first report in 2017 covering the period between 1 January 2014 and 31 December 2016 highlighting the fact that institutions respected the legal framework and used their power to adopt rules to give effect to the SR and the CEOS.</w:t>
      </w:r>
    </w:p>
    <w:p>
      <w:pPr>
        <w:rPr>
          <w:noProof/>
          <w:lang w:val="en-IE"/>
        </w:rPr>
      </w:pPr>
      <w:r>
        <w:rPr>
          <w:noProof/>
          <w:lang w:val="en-IE"/>
        </w:rPr>
        <w:t>The assessment of the period from 1 January 2017 until 31 December 2019 is subject to another Commission report that is being adopted in parallel to this report</w:t>
      </w:r>
      <w:r>
        <w:rPr>
          <w:rStyle w:val="FootnoteReference"/>
          <w:noProof/>
          <w:lang w:val="en-IE"/>
        </w:rPr>
        <w:footnoteReference w:id="35"/>
      </w:r>
      <w:r>
        <w:rPr>
          <w:noProof/>
          <w:lang w:val="en-IE"/>
        </w:rPr>
        <w:t>.</w:t>
      </w:r>
    </w:p>
    <w:p>
      <w:pPr>
        <w:pStyle w:val="Heading2"/>
        <w:rPr>
          <w:noProof/>
          <w:lang w:val="en-IE"/>
        </w:rPr>
      </w:pPr>
      <w:r>
        <w:rPr>
          <w:noProof/>
          <w:lang w:val="en-IE"/>
        </w:rPr>
        <w:t>Implementing rules adopted by agencies</w:t>
      </w:r>
    </w:p>
    <w:p>
      <w:pPr>
        <w:rPr>
          <w:noProof/>
          <w:lang w:val="en-IE"/>
        </w:rPr>
      </w:pPr>
      <w:r>
        <w:rPr>
          <w:noProof/>
          <w:lang w:val="en-IE"/>
        </w:rPr>
        <w:t xml:space="preserve">Prior to the 2014 reform of the SR, agencies enjoyed under Article 110(1) of the SR a certain autonomy in adopting implementing rules for giving effect to the SR and the CEOS. </w:t>
      </w:r>
      <w:r>
        <w:rPr>
          <w:noProof/>
          <w:szCs w:val="24"/>
          <w:lang w:val="en-IE"/>
        </w:rPr>
        <w:t>The 2014 reform of the SR sets up a new framework for the adoption by the agencies of rules implementing the SR aiming at ensuring consistency among rules implementing the SR adopted by agencies.</w:t>
      </w:r>
    </w:p>
    <w:p>
      <w:pPr>
        <w:rPr>
          <w:noProof/>
          <w:szCs w:val="24"/>
          <w:lang w:val="en-IE"/>
        </w:rPr>
      </w:pPr>
      <w:r>
        <w:rPr>
          <w:noProof/>
          <w:szCs w:val="24"/>
          <w:lang w:val="en-IE"/>
        </w:rPr>
        <w:t xml:space="preserve">The general principle introduced by Article 110(2) of the SR is that implementing rules adopted by the Commission apply by analogy to the agencies. By way of exception, an agency may decide, after having consulted its Staff Committee and after having received the Commission's agreement, to adopt individual decisions to either not apply certain Commission rules (opt-out), adopt rules, which are different from those of the Commission or adopt rules on subjects other than those covered by the rules adopted by the Commission. </w:t>
      </w:r>
    </w:p>
    <w:p>
      <w:pPr>
        <w:rPr>
          <w:noProof/>
          <w:szCs w:val="24"/>
          <w:lang w:val="en-IE"/>
        </w:rPr>
      </w:pPr>
      <w:r>
        <w:rPr>
          <w:noProof/>
          <w:szCs w:val="24"/>
          <w:lang w:val="en-IE"/>
        </w:rPr>
        <w:t>The Commission also developed a mechanism whereby it can inform agencies of its horizontal agreement without the agencies having to submit a formal request (ex-ante agreement)</w:t>
      </w:r>
      <w:r>
        <w:rPr>
          <w:rStyle w:val="FootnoteReference"/>
          <w:noProof/>
          <w:szCs w:val="24"/>
          <w:lang w:val="en-IE"/>
        </w:rPr>
        <w:footnoteReference w:id="36"/>
      </w:r>
      <w:r>
        <w:rPr>
          <w:noProof/>
          <w:szCs w:val="24"/>
          <w:lang w:val="en-IE"/>
        </w:rPr>
        <w:t>.</w:t>
      </w:r>
      <w:r>
        <w:rPr>
          <w:noProof/>
          <w:lang w:val="en-IE"/>
        </w:rPr>
        <w:t xml:space="preserve"> Such </w:t>
      </w:r>
      <w:r>
        <w:rPr>
          <w:noProof/>
          <w:szCs w:val="24"/>
          <w:lang w:val="en-IE"/>
        </w:rPr>
        <w:t>model decisions agreed by the Commission and addressed to all or a group of agencies are used when it is justified for a significant number of agencies to derogate from the application by analogy of the Commission’s rules, i.e. opt-out, modification of the rules, or to adopt rules on subject other than those covered by the rules adopted by the Commission</w:t>
      </w:r>
      <w:r>
        <w:rPr>
          <w:rStyle w:val="FootnoteReference"/>
          <w:noProof/>
          <w:szCs w:val="24"/>
          <w:lang w:val="en-IE"/>
        </w:rPr>
        <w:footnoteReference w:id="37"/>
      </w:r>
      <w:r>
        <w:rPr>
          <w:noProof/>
          <w:szCs w:val="24"/>
          <w:lang w:val="en-IE"/>
        </w:rPr>
        <w:t xml:space="preserve">. </w:t>
      </w:r>
    </w:p>
    <w:p>
      <w:pPr>
        <w:rPr>
          <w:noProof/>
          <w:lang w:val="en-IE"/>
        </w:rPr>
      </w:pPr>
      <w:r>
        <w:rPr>
          <w:noProof/>
          <w:lang w:val="en-IE"/>
        </w:rPr>
        <w:t>During the 2014-2019 period, an increased consistency of implementing rules across agencies can be observed. Annexes 18 and 19 provide an overview of the number and types of implementing rules that were applicable in agencies on 31 December 2019.</w:t>
      </w:r>
    </w:p>
    <w:p>
      <w:pPr>
        <w:pStyle w:val="Heading1"/>
        <w:rPr>
          <w:noProof/>
          <w:lang w:val="en-IE"/>
        </w:rPr>
      </w:pPr>
      <w:r>
        <w:rPr>
          <w:noProof/>
          <w:lang w:val="en-IE"/>
        </w:rPr>
        <w:t>Social dialogue partners</w:t>
      </w:r>
    </w:p>
    <w:p>
      <w:pPr>
        <w:rPr>
          <w:noProof/>
          <w:lang w:val="en-IE"/>
        </w:rPr>
      </w:pPr>
      <w:r>
        <w:rPr>
          <w:noProof/>
          <w:lang w:val="en-IE"/>
        </w:rPr>
        <w:t>Articles 9 and 10 of the SR structure the involvement of staff at different levels (i.e. staff committee, joint committees and trade unions), thereby ensuring the effectiveness of the social dialogue process. The Commission Staff Committee and the administration exchang</w:t>
      </w:r>
      <w:r>
        <w:rPr>
          <w:noProof/>
          <w:szCs w:val="24"/>
          <w:lang w:val="en-IE"/>
        </w:rPr>
        <w:t>e regularly ensuring that the rules established by the Commission as regards staff are fully respected and that staff experience is channelled to the administration.</w:t>
      </w:r>
      <w:r>
        <w:rPr>
          <w:noProof/>
          <w:lang w:val="en-IE"/>
        </w:rPr>
        <w:t xml:space="preserve"> In addition, the implementation of the SR, and the adoption of decisions concerning staff members are also discussed with staff representatives at the successive stages of the social dialogue (Annex 20). For general implementing rules, the SR provides for the consultation of the Staff Regulations Committee, where discussions between staff representatives and members of the institutions administrations takes place (Annex 21).</w:t>
      </w:r>
    </w:p>
    <w:p>
      <w:pPr>
        <w:pStyle w:val="Heading1"/>
        <w:rPr>
          <w:noProof/>
          <w:lang w:val="en-IE"/>
        </w:rPr>
      </w:pPr>
      <w:r>
        <w:rPr>
          <w:noProof/>
          <w:lang w:val="en-IE"/>
        </w:rPr>
        <w:t xml:space="preserve">Assessment by other EU institutions on the implementation of the SR </w:t>
      </w:r>
    </w:p>
    <w:p>
      <w:pPr>
        <w:pStyle w:val="Text1"/>
        <w:ind w:left="0"/>
        <w:rPr>
          <w:noProof/>
          <w:lang w:val="en-IE"/>
        </w:rPr>
      </w:pPr>
      <w:r>
        <w:rPr>
          <w:noProof/>
          <w:lang w:val="en-IE"/>
        </w:rPr>
        <w:t xml:space="preserve">During the reference period, several EU institutions have assessed different aspects of the implementation of the SR. </w:t>
      </w:r>
    </w:p>
    <w:p>
      <w:pPr>
        <w:pStyle w:val="Heading2"/>
        <w:rPr>
          <w:noProof/>
          <w:szCs w:val="24"/>
          <w:lang w:val="en-IE"/>
        </w:rPr>
      </w:pPr>
      <w:r>
        <w:rPr>
          <w:noProof/>
          <w:szCs w:val="24"/>
          <w:lang w:val="en-IE"/>
        </w:rPr>
        <w:t xml:space="preserve">European Court of Auditors </w:t>
      </w:r>
    </w:p>
    <w:p>
      <w:pPr>
        <w:pStyle w:val="Text1"/>
        <w:ind w:left="0"/>
        <w:rPr>
          <w:noProof/>
          <w:szCs w:val="24"/>
          <w:lang w:val="en-IE"/>
        </w:rPr>
      </w:pPr>
      <w:r>
        <w:rPr>
          <w:noProof/>
          <w:szCs w:val="24"/>
          <w:lang w:val="en-IE"/>
        </w:rPr>
        <w:t>The European Court of Auditors adopted two special reports concerning the implementation of the SR</w:t>
      </w:r>
      <w:r>
        <w:rPr>
          <w:noProof/>
          <w:vertAlign w:val="superscript"/>
          <w:lang w:val="en-IE"/>
        </w:rPr>
        <w:footnoteReference w:id="38"/>
      </w:r>
      <w:r>
        <w:rPr>
          <w:noProof/>
          <w:szCs w:val="24"/>
          <w:lang w:val="en-IE"/>
        </w:rPr>
        <w:t>.</w:t>
      </w:r>
    </w:p>
    <w:p>
      <w:pPr>
        <w:pStyle w:val="Heading3"/>
        <w:tabs>
          <w:tab w:val="clear" w:pos="1854"/>
          <w:tab w:val="num" w:pos="1372"/>
        </w:tabs>
        <w:ind w:left="1372"/>
        <w:rPr>
          <w:noProof/>
          <w:lang w:val="en-IE"/>
        </w:rPr>
      </w:pPr>
      <w:r>
        <w:rPr>
          <w:noProof/>
          <w:lang w:val="en-IE"/>
        </w:rPr>
        <w:t>Special Report No 13/2019 entitled “The ethical frameworks of the audited EU institutions: scope for improvement”</w:t>
      </w:r>
    </w:p>
    <w:p>
      <w:pPr>
        <w:pStyle w:val="Text2"/>
        <w:ind w:left="0"/>
        <w:rPr>
          <w:noProof/>
          <w:lang w:val="en-IE"/>
        </w:rPr>
      </w:pPr>
      <w:r>
        <w:rPr>
          <w:noProof/>
          <w:lang w:val="en-IE"/>
        </w:rPr>
        <w:t xml:space="preserve">The Court of Auditors adopted a report on the Ethical framework of EU institutions. The audit targeted rules applicable to both Members of EU institutions and staff. It concluded that the audited institutions have put in place adequate ethical frameworks. The Court also identified certain areas where the coverage, specificity, clarity and level of guidance could be improved and harmonised. </w:t>
      </w:r>
    </w:p>
    <w:p>
      <w:pPr>
        <w:pStyle w:val="Text2"/>
        <w:ind w:left="0"/>
        <w:rPr>
          <w:noProof/>
          <w:lang w:val="en-IE"/>
        </w:rPr>
      </w:pPr>
      <w:r>
        <w:rPr>
          <w:noProof/>
          <w:lang w:val="en-IE"/>
        </w:rPr>
        <w:t xml:space="preserve">In the report, the Court also identified room for sharing good practice among institutions on ethical matters. This regularly takes place in the framework of the </w:t>
      </w:r>
      <w:r>
        <w:rPr>
          <w:i/>
          <w:noProof/>
          <w:lang w:val="en-IE"/>
        </w:rPr>
        <w:t>Collège des Chefs d’Administration</w:t>
      </w:r>
      <w:r>
        <w:rPr>
          <w:noProof/>
          <w:lang w:val="en-IE"/>
        </w:rPr>
        <w:t xml:space="preserve"> and – more recently – in the framework of the Commission’s Anti-Fraud Strategy. </w:t>
      </w:r>
    </w:p>
    <w:p>
      <w:pPr>
        <w:pStyle w:val="Heading3"/>
        <w:tabs>
          <w:tab w:val="clear" w:pos="1854"/>
          <w:tab w:val="num" w:pos="1372"/>
        </w:tabs>
        <w:ind w:left="1372"/>
        <w:rPr>
          <w:noProof/>
          <w:lang w:val="en-IE"/>
        </w:rPr>
      </w:pPr>
      <w:r>
        <w:rPr>
          <w:noProof/>
          <w:lang w:val="en-IE"/>
        </w:rPr>
        <w:t>Special report No 15/2019 on the implementation of the 2014 Staff reform package at the Commission – Big savings but not without consequences for staff</w:t>
      </w:r>
    </w:p>
    <w:p>
      <w:pPr>
        <w:pStyle w:val="Text1"/>
        <w:ind w:left="0"/>
        <w:rPr>
          <w:noProof/>
          <w:szCs w:val="24"/>
          <w:lang w:val="en-IE"/>
        </w:rPr>
      </w:pPr>
      <w:r>
        <w:rPr>
          <w:noProof/>
          <w:szCs w:val="24"/>
          <w:lang w:val="en-IE"/>
        </w:rPr>
        <w:t>In this special report, the Court of Auditors examined the implementation of the 2014 reform of the SR and how the Commission has managed the challenge of reaching the dual objective of budgetary savings and HR improvements</w:t>
      </w:r>
      <w:r>
        <w:rPr>
          <w:rStyle w:val="FootnoteReference"/>
          <w:noProof/>
          <w:lang w:val="en-IE"/>
        </w:rPr>
        <w:footnoteReference w:id="39"/>
      </w:r>
      <w:r>
        <w:rPr>
          <w:noProof/>
          <w:szCs w:val="24"/>
          <w:lang w:val="en-IE"/>
        </w:rPr>
        <w:t xml:space="preserve">. </w:t>
      </w:r>
    </w:p>
    <w:p>
      <w:pPr>
        <w:pStyle w:val="Text1"/>
        <w:spacing w:after="120"/>
        <w:ind w:left="0"/>
        <w:rPr>
          <w:noProof/>
          <w:lang w:val="en-IE"/>
        </w:rPr>
      </w:pPr>
      <w:r>
        <w:rPr>
          <w:noProof/>
          <w:lang w:val="en-IE"/>
        </w:rPr>
        <w:t xml:space="preserve">The Court confirmed that the savings were achieved and even went beyond what was agreed. The Court also found that negative consequences for services and staff might have been avoided or mitigated earlier if the 2014 reform had been better prepared and monitored. In addition, the Court stressed that further reform may cause serious problems in the areas of knowledge and business continuity, and further undermine geographical balance among staff. </w:t>
      </w:r>
    </w:p>
    <w:p>
      <w:pPr>
        <w:pStyle w:val="Text1"/>
        <w:spacing w:after="120"/>
        <w:ind w:left="0"/>
        <w:rPr>
          <w:noProof/>
          <w:lang w:val="en-IE"/>
        </w:rPr>
      </w:pPr>
      <w:r>
        <w:rPr>
          <w:noProof/>
          <w:lang w:val="en-IE"/>
        </w:rPr>
        <w:t xml:space="preserve">Finally, the Court recommended developing a workforce management plan, enhancing the framework for monitoring and reporting on HR issues and assessing needs and potential impacts before any further revision of the SR. The Commission accepted the recommendations issued by the Court. </w:t>
      </w:r>
    </w:p>
    <w:p>
      <w:pPr>
        <w:pStyle w:val="Heading2"/>
        <w:rPr>
          <w:noProof/>
          <w:szCs w:val="24"/>
          <w:lang w:val="en-IE"/>
        </w:rPr>
      </w:pPr>
      <w:r>
        <w:rPr>
          <w:noProof/>
          <w:szCs w:val="24"/>
          <w:lang w:val="en-IE"/>
        </w:rPr>
        <w:t xml:space="preserve">European Ombudsman </w:t>
      </w:r>
    </w:p>
    <w:p>
      <w:pPr>
        <w:pStyle w:val="Text1"/>
        <w:spacing w:after="120"/>
        <w:ind w:left="0"/>
        <w:rPr>
          <w:noProof/>
          <w:lang w:val="en-IE"/>
        </w:rPr>
      </w:pPr>
      <w:r>
        <w:rPr>
          <w:noProof/>
          <w:lang w:val="en-IE"/>
        </w:rPr>
        <w:t>The European Ombudsman</w:t>
      </w:r>
      <w:r>
        <w:rPr>
          <w:rStyle w:val="FootnoteReference"/>
          <w:noProof/>
          <w:lang w:val="en-IE"/>
        </w:rPr>
        <w:footnoteReference w:id="40"/>
      </w:r>
      <w:r>
        <w:rPr>
          <w:noProof/>
          <w:lang w:val="en-IE"/>
        </w:rPr>
        <w:t xml:space="preserve"> regularly assesses the implementation of the SR by the institutions in light of individual matters, and may identify cases of maladministration and issue recommendations to the institution concerned, and when no maladministration can be found submit solution proposals or suggestions for improvement. The European Ombudsman’s inquiries and requests for clarifications cover various topics such as transparency and access to the information, treatment of persons with disabilities, anti-harassment policies or the monitoring of external activities carried out by former staff members.</w:t>
      </w:r>
    </w:p>
    <w:p>
      <w:pPr>
        <w:pStyle w:val="Text1"/>
        <w:spacing w:after="120"/>
        <w:ind w:left="0"/>
        <w:rPr>
          <w:noProof/>
          <w:lang w:val="en-IE"/>
        </w:rPr>
      </w:pPr>
      <w:r>
        <w:rPr>
          <w:noProof/>
          <w:lang w:val="en-IE"/>
        </w:rPr>
        <w:t>By way of example, the Ombudsman opened two inquiries on the so-called "revolving doors phenomenon" in 2013 and in 2017. They were both closed commending the cooperative approach taken by the Commission and the progress made on aspects covered by these inquiries, whilst making a number of suggestions for improvement following the first inquiry and technical suggestions following the second. The Commission acknowledged these suggestions as a valuable contribution to the overall discussion on avoiding conflict of interest situations and considered taking on board suggestions on how to further improve its system within the relevant and applicable legal framework.</w:t>
      </w:r>
    </w:p>
    <w:p>
      <w:pPr>
        <w:pStyle w:val="Text1"/>
        <w:spacing w:after="120"/>
        <w:ind w:left="0"/>
        <w:rPr>
          <w:noProof/>
          <w:lang w:val="en-IE"/>
        </w:rPr>
      </w:pPr>
      <w:r>
        <w:rPr>
          <w:noProof/>
          <w:lang w:val="en-IE"/>
        </w:rPr>
        <w:t>The Ombudsman also looks into other issues related to the implementation of the Staff Regulations by all institutions, bodies, offices and agencies, e.g. the Ombudsman closed a Strategic Initiative on the leave rights of certain EU staff members and the best interests of the child (SI/1/2019/AMF)</w:t>
      </w:r>
      <w:r>
        <w:rPr>
          <w:rStyle w:val="FootnoteReference"/>
          <w:noProof/>
          <w:lang w:val="en-IE"/>
        </w:rPr>
        <w:footnoteReference w:id="41"/>
      </w:r>
      <w:r>
        <w:rPr>
          <w:noProof/>
          <w:lang w:val="en-IE"/>
        </w:rPr>
        <w:t>.</w:t>
      </w:r>
    </w:p>
    <w:p>
      <w:pPr>
        <w:pStyle w:val="Text1"/>
        <w:spacing w:after="120"/>
        <w:ind w:left="0"/>
        <w:rPr>
          <w:noProof/>
          <w:lang w:val="en-IE"/>
        </w:rPr>
      </w:pPr>
    </w:p>
    <w:p>
      <w:pPr>
        <w:pStyle w:val="Heading2"/>
        <w:rPr>
          <w:noProof/>
          <w:lang w:val="en-IE"/>
        </w:rPr>
      </w:pPr>
      <w:r>
        <w:rPr>
          <w:noProof/>
          <w:lang w:val="en-IE"/>
        </w:rPr>
        <w:t xml:space="preserve">European Parliament’s discharge procedure </w:t>
      </w:r>
    </w:p>
    <w:p>
      <w:pPr>
        <w:rPr>
          <w:noProof/>
          <w:szCs w:val="24"/>
          <w:lang w:val="en-IE"/>
        </w:rPr>
      </w:pPr>
      <w:r>
        <w:rPr>
          <w:noProof/>
          <w:szCs w:val="24"/>
          <w:lang w:val="en-IE"/>
        </w:rPr>
        <w:t xml:space="preserve">In the framework of the discharge procedure, the European Parliament budgetary committee addresses each year several recommendations concerning notably the functioning of the SR in all institutions. </w:t>
      </w:r>
    </w:p>
    <w:p>
      <w:pPr>
        <w:rPr>
          <w:noProof/>
          <w:szCs w:val="24"/>
          <w:lang w:val="en-IE"/>
        </w:rPr>
      </w:pPr>
      <w:r>
        <w:rPr>
          <w:noProof/>
          <w:szCs w:val="24"/>
          <w:lang w:val="en-IE"/>
        </w:rPr>
        <w:t xml:space="preserve">The adoption process of these recommendations by the European Parliament on various subjects allowed the Commission to explain on a yearly basis the implementation of the SR and its human resources policy. </w:t>
      </w:r>
    </w:p>
    <w:p>
      <w:pPr>
        <w:rPr>
          <w:noProof/>
          <w:szCs w:val="24"/>
          <w:lang w:val="en-IE"/>
        </w:rPr>
      </w:pPr>
      <w:r>
        <w:rPr>
          <w:noProof/>
          <w:szCs w:val="24"/>
          <w:lang w:val="en-IE"/>
        </w:rPr>
        <w:t>In the past, the Commission already implemented the recommendations issued by the European Parliament budgetary committee discharge regarding topics such as procedures for dealing with underperforming staff, management of whistleblowing cases, managers’ internal mobility and lack of equal representation of men and women in managerial positions. More recently, the Commission took into account the issues raised in Discharge Decisions on various key subjects</w:t>
      </w:r>
      <w:r>
        <w:rPr>
          <w:rStyle w:val="FootnoteReference"/>
          <w:noProof/>
          <w:szCs w:val="24"/>
          <w:lang w:val="en-IE"/>
        </w:rPr>
        <w:footnoteReference w:id="42"/>
      </w:r>
      <w:r>
        <w:rPr>
          <w:noProof/>
          <w:szCs w:val="24"/>
          <w:lang w:val="en-IE"/>
        </w:rPr>
        <w:t>.</w:t>
      </w:r>
    </w:p>
    <w:p>
      <w:pPr>
        <w:pStyle w:val="Heading2"/>
        <w:rPr>
          <w:noProof/>
          <w:lang w:val="en-IE"/>
        </w:rPr>
      </w:pPr>
      <w:r>
        <w:rPr>
          <w:noProof/>
          <w:lang w:val="en-IE"/>
        </w:rPr>
        <w:t xml:space="preserve">Council conclusions on topics discussed within the Working Party on the SR (WPSR) </w:t>
      </w:r>
    </w:p>
    <w:p>
      <w:pPr>
        <w:pStyle w:val="Text2"/>
        <w:ind w:left="0"/>
        <w:rPr>
          <w:noProof/>
          <w:lang w:val="en-IE"/>
        </w:rPr>
      </w:pPr>
      <w:r>
        <w:rPr>
          <w:noProof/>
          <w:lang w:val="en-IE"/>
        </w:rPr>
        <w:t>Under the Council conclusions on improving the examination of special reports drawn up by the Court of Auditors</w:t>
      </w:r>
      <w:r>
        <w:rPr>
          <w:rStyle w:val="FootnoteReference"/>
          <w:noProof/>
          <w:lang w:val="en-IE"/>
        </w:rPr>
        <w:footnoteReference w:id="43"/>
      </w:r>
      <w:r>
        <w:rPr>
          <w:noProof/>
          <w:lang w:val="en-IE"/>
        </w:rPr>
        <w:t>, the Council committed to draw up conclusions</w:t>
      </w:r>
      <w:r>
        <w:rPr>
          <w:rStyle w:val="FootnoteReference"/>
          <w:noProof/>
          <w:lang w:val="en-IE"/>
        </w:rPr>
        <w:footnoteReference w:id="44"/>
      </w:r>
      <w:r>
        <w:rPr>
          <w:noProof/>
          <w:lang w:val="en-IE"/>
        </w:rPr>
        <w:t xml:space="preserve"> on the basis of the European Court of Auditors’ special reports, if need be including proposals on whatever further action seems appropriate. </w:t>
      </w:r>
    </w:p>
    <w:p>
      <w:pPr>
        <w:pStyle w:val="Text2"/>
        <w:ind w:left="0"/>
        <w:rPr>
          <w:noProof/>
          <w:lang w:val="en-IE"/>
        </w:rPr>
      </w:pPr>
      <w:r>
        <w:rPr>
          <w:noProof/>
          <w:lang w:val="en-IE"/>
        </w:rPr>
        <w:t>During the reference period, the Council adopted three Council conclusions, two of which on reports from the Court of Auditors</w:t>
      </w:r>
      <w:r>
        <w:rPr>
          <w:rStyle w:val="FootnoteReference"/>
          <w:noProof/>
          <w:lang w:val="en-IE"/>
        </w:rPr>
        <w:footnoteReference w:id="45"/>
      </w:r>
      <w:r>
        <w:rPr>
          <w:noProof/>
          <w:lang w:val="en-IE"/>
        </w:rPr>
        <w:t>. The Council Conclusions adopted during the reference period concerned the ethics policy in the Commission</w:t>
      </w:r>
      <w:r>
        <w:rPr>
          <w:rStyle w:val="FootnoteReference"/>
          <w:noProof/>
          <w:lang w:val="en-IE"/>
        </w:rPr>
        <w:footnoteReference w:id="46"/>
      </w:r>
      <w:r>
        <w:rPr>
          <w:noProof/>
          <w:lang w:val="en-IE"/>
        </w:rPr>
        <w:t>, the ECA report on the implementation of the SR</w:t>
      </w:r>
      <w:r>
        <w:rPr>
          <w:rStyle w:val="FootnoteReference"/>
          <w:noProof/>
          <w:lang w:val="en-IE"/>
        </w:rPr>
        <w:footnoteReference w:id="47"/>
      </w:r>
      <w:r>
        <w:rPr>
          <w:noProof/>
          <w:lang w:val="en-IE"/>
        </w:rPr>
        <w:t xml:space="preserve"> and the Eurostat study on the long-term budgetary implications of EU pension costs</w:t>
      </w:r>
      <w:r>
        <w:rPr>
          <w:rStyle w:val="FootnoteReference"/>
          <w:noProof/>
          <w:lang w:val="en-IE"/>
        </w:rPr>
        <w:footnoteReference w:id="48"/>
      </w:r>
      <w:r>
        <w:rPr>
          <w:noProof/>
          <w:lang w:val="en-IE"/>
        </w:rPr>
        <w:t xml:space="preserve">. </w:t>
      </w:r>
    </w:p>
    <w:p>
      <w:pPr>
        <w:pStyle w:val="Text2"/>
        <w:ind w:left="0"/>
        <w:rPr>
          <w:noProof/>
          <w:lang w:val="en-IE"/>
        </w:rPr>
      </w:pPr>
      <w:r>
        <w:rPr>
          <w:noProof/>
          <w:lang w:val="en-IE"/>
        </w:rPr>
        <w:t>In line with the principle of sincere cooperation among the EU institutions</w:t>
      </w:r>
      <w:r>
        <w:rPr>
          <w:rStyle w:val="FootnoteReference"/>
          <w:noProof/>
          <w:lang w:val="en-IE"/>
        </w:rPr>
        <w:footnoteReference w:id="49"/>
      </w:r>
      <w:r>
        <w:rPr>
          <w:noProof/>
          <w:lang w:val="en-IE"/>
        </w:rPr>
        <w:t xml:space="preserve">, the Commission, when implementing the SR takes into account Council’s conclusions. </w:t>
      </w:r>
    </w:p>
    <w:p>
      <w:pPr>
        <w:pStyle w:val="Heading1"/>
        <w:rPr>
          <w:noProof/>
          <w:lang w:val="en-IE"/>
        </w:rPr>
      </w:pPr>
      <w:r>
        <w:rPr>
          <w:noProof/>
          <w:lang w:val="en-IE"/>
        </w:rPr>
        <w:t>Judicial review</w:t>
      </w:r>
    </w:p>
    <w:p>
      <w:pPr>
        <w:pStyle w:val="Text1"/>
        <w:ind w:left="0"/>
        <w:rPr>
          <w:noProof/>
          <w:lang w:val="en-IE"/>
        </w:rPr>
      </w:pPr>
      <w:r>
        <w:rPr>
          <w:noProof/>
          <w:lang w:val="en-IE"/>
        </w:rPr>
        <w:t>After the reform of the SR by Regulation No 1023/2013</w:t>
      </w:r>
      <w:r>
        <w:rPr>
          <w:rStyle w:val="FootnoteReference"/>
          <w:noProof/>
          <w:lang w:val="en-IE"/>
        </w:rPr>
        <w:footnoteReference w:id="50"/>
      </w:r>
      <w:r>
        <w:rPr>
          <w:noProof/>
          <w:lang w:val="en-IE"/>
        </w:rPr>
        <w:t>, several actions have been brought before the courts of the Union. These different cases challenged the legality of various aspects of the reform, either by way of direct actions brought by trade unions before the Court of First Instance of the European Union</w:t>
      </w:r>
      <w:r>
        <w:rPr>
          <w:rStyle w:val="FootnoteReference"/>
          <w:noProof/>
          <w:lang w:val="en-IE"/>
        </w:rPr>
        <w:footnoteReference w:id="51"/>
      </w:r>
      <w:r>
        <w:rPr>
          <w:noProof/>
          <w:lang w:val="en-IE"/>
        </w:rPr>
        <w:t xml:space="preserve">, or by way of a plea of illegality raised in the context of actions for annulment brought by officials and other servants of the institutions against individual decisions implementing the new provisions of the SR introduced by the 2014 reform of the SR. </w:t>
      </w:r>
    </w:p>
    <w:p>
      <w:pPr>
        <w:pStyle w:val="Text1"/>
        <w:ind w:left="0"/>
        <w:rPr>
          <w:noProof/>
          <w:lang w:val="en-IE"/>
        </w:rPr>
      </w:pPr>
      <w:r>
        <w:rPr>
          <w:noProof/>
          <w:lang w:val="en-IE"/>
        </w:rPr>
        <w:t xml:space="preserve">All legal actions challenging aspects of the 2014 reform of the SR were dismissed, thereby confirming the legality of the changes introduced by the co-legislator (Annex 22). </w:t>
      </w:r>
    </w:p>
    <w:p>
      <w:pPr>
        <w:pStyle w:val="Heading1"/>
        <w:rPr>
          <w:noProof/>
          <w:lang w:val="en-IE"/>
        </w:rPr>
      </w:pPr>
      <w:r>
        <w:rPr>
          <w:noProof/>
          <w:lang w:val="en-IE"/>
        </w:rPr>
        <w:t>Conclusion</w:t>
      </w:r>
    </w:p>
    <w:p>
      <w:pPr>
        <w:rPr>
          <w:iCs/>
          <w:noProof/>
          <w:lang w:val="en-IE"/>
        </w:rPr>
      </w:pPr>
      <w:r>
        <w:rPr>
          <w:iCs/>
          <w:noProof/>
          <w:lang w:val="en-IE"/>
        </w:rPr>
        <w:t>Since the 2014 reform of the SR, the institutions, bodies, offices and agencies of the Union to whom the SR apply, have implemented the SR and integrated the new provisions in their daily work. In view of the Commission, the provisions adopted by the co-legislator have demonstrated their added value and suitability for the purposes sought by the co-legislator in 2013.</w:t>
      </w:r>
    </w:p>
    <w:p>
      <w:pPr>
        <w:rPr>
          <w:iCs/>
          <w:noProof/>
          <w:lang w:val="en-IE"/>
        </w:rPr>
      </w:pPr>
      <w:r>
        <w:rPr>
          <w:iCs/>
          <w:noProof/>
          <w:lang w:val="en-IE"/>
        </w:rPr>
        <w:t xml:space="preserve">The Commission has fulfilled its reporting obligations enshrined in the SR, thereby allowing the co-legislator to constantly monitor various aspects of the SR implementation. </w:t>
      </w:r>
    </w:p>
    <w:p>
      <w:pPr>
        <w:rPr>
          <w:iCs/>
          <w:noProof/>
          <w:lang w:val="en-IE"/>
        </w:rPr>
      </w:pPr>
      <w:r>
        <w:rPr>
          <w:iCs/>
          <w:noProof/>
          <w:lang w:val="en-IE"/>
        </w:rPr>
        <w:t xml:space="preserve">The overall assessment by the present report has illustrated how the SR were implemented since 2014, also taking into account the input from the other EU institutions. Thus, the relevant judgments, recommendations, resolutions and conclusions were embedded in the practice of the Commission and of the other institutions. </w:t>
      </w:r>
    </w:p>
    <w:p>
      <w:pPr>
        <w:rPr>
          <w:iCs/>
          <w:noProof/>
          <w:lang w:val="en-IE"/>
        </w:rPr>
      </w:pPr>
      <w:r>
        <w:rPr>
          <w:iCs/>
          <w:noProof/>
          <w:lang w:val="en-IE"/>
        </w:rPr>
        <w:t xml:space="preserve">Finally, this report fulfilled specific Commission reporting obligations by providing details on the implementation of Annex IB and the evolution of AST and AST/SC function groups across all institutions. </w:t>
      </w:r>
    </w:p>
    <w:p>
      <w:pPr>
        <w:rPr>
          <w:noProof/>
          <w:lang w:val="en-IE"/>
        </w:rPr>
      </w:pPr>
    </w:p>
    <w:p>
      <w:pPr>
        <w:spacing w:after="0"/>
        <w:textAlignment w:val="baseline"/>
        <w:rPr>
          <w:b/>
          <w:bCs/>
          <w:noProof/>
          <w:szCs w:val="24"/>
          <w:lang w:val="en-IE"/>
        </w:rPr>
      </w:pPr>
    </w:p>
    <w:p>
      <w:pPr>
        <w:spacing w:after="160" w:line="259" w:lineRule="auto"/>
        <w:jc w:val="left"/>
        <w:rPr>
          <w:b/>
          <w:bCs/>
          <w:noProof/>
          <w:szCs w:val="24"/>
          <w:lang w:val="en-IE"/>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docGrid w:linePitch="326"/>
        </w:sectPr>
      </w:pPr>
    </w:p>
    <w:p>
      <w:pPr>
        <w:spacing w:after="160" w:line="259" w:lineRule="auto"/>
        <w:jc w:val="left"/>
        <w:rPr>
          <w:b/>
          <w:bCs/>
          <w:noProof/>
          <w:szCs w:val="24"/>
          <w:lang w:val="en-IE"/>
        </w:rPr>
      </w:pPr>
    </w:p>
    <w:p>
      <w:pPr>
        <w:spacing w:after="0"/>
        <w:textAlignment w:val="baseline"/>
        <w:rPr>
          <w:b/>
          <w:noProof/>
          <w:szCs w:val="24"/>
          <w:lang w:val="en-IE"/>
        </w:rPr>
      </w:pPr>
      <w:r>
        <w:rPr>
          <w:b/>
          <w:noProof/>
          <w:szCs w:val="24"/>
          <w:lang w:val="en-IE"/>
        </w:rPr>
        <w:t>Annex 1: Reports adopted under Article 16(4) of the SR</w:t>
      </w:r>
    </w:p>
    <w:p>
      <w:pPr>
        <w:spacing w:after="0"/>
        <w:textAlignment w:val="baseline"/>
        <w:rPr>
          <w:b/>
          <w:bCs/>
          <w:noProof/>
          <w:szCs w:val="24"/>
          <w:lang w:val="en-IE"/>
        </w:rPr>
      </w:pPr>
    </w:p>
    <w:tbl>
      <w:tblPr>
        <w:tblW w:w="14742" w:type="dxa"/>
        <w:tblInd w:w="108" w:type="dxa"/>
        <w:tblLayout w:type="fixed"/>
        <w:tblCellMar>
          <w:left w:w="0" w:type="dxa"/>
          <w:right w:w="0" w:type="dxa"/>
        </w:tblCellMar>
        <w:tblLook w:val="04A0" w:firstRow="1" w:lastRow="0" w:firstColumn="1" w:lastColumn="0" w:noHBand="0" w:noVBand="1"/>
      </w:tblPr>
      <w:tblGrid>
        <w:gridCol w:w="1558"/>
        <w:gridCol w:w="1419"/>
        <w:gridCol w:w="1701"/>
        <w:gridCol w:w="1410"/>
        <w:gridCol w:w="1273"/>
        <w:gridCol w:w="992"/>
        <w:gridCol w:w="1131"/>
        <w:gridCol w:w="1006"/>
        <w:gridCol w:w="1417"/>
        <w:gridCol w:w="1256"/>
        <w:gridCol w:w="1579"/>
      </w:tblGrid>
      <w:tr>
        <w:trPr>
          <w:trHeight w:val="987"/>
        </w:trPr>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b/>
                <w:bCs/>
                <w:noProof/>
                <w:color w:val="000000"/>
                <w:sz w:val="20"/>
                <w:lang w:val="en-IE" w:eastAsia="en-US"/>
              </w:rPr>
            </w:pPr>
            <w:r>
              <w:rPr>
                <w:b/>
                <w:bCs/>
                <w:noProof/>
                <w:color w:val="000000"/>
                <w:sz w:val="20"/>
                <w:lang w:val="en-IE"/>
              </w:rPr>
              <w:t>Year of Report</w:t>
            </w:r>
          </w:p>
        </w:tc>
        <w:tc>
          <w:tcPr>
            <w:tcW w:w="13184"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b/>
                <w:bCs/>
                <w:noProof/>
                <w:color w:val="000000"/>
                <w:sz w:val="20"/>
                <w:lang w:val="en-IE"/>
              </w:rPr>
            </w:pPr>
            <w:r>
              <w:rPr>
                <w:b/>
                <w:bCs/>
                <w:noProof/>
                <w:color w:val="000000"/>
                <w:sz w:val="20"/>
                <w:lang w:val="en-IE"/>
              </w:rPr>
              <w:t>Number of former Senior officials mentioned in the Annual Article 16(4) SR report per Institution</w:t>
            </w:r>
          </w:p>
        </w:tc>
      </w:tr>
      <w:tr>
        <w:trPr>
          <w:trHeight w:val="1025"/>
        </w:trPr>
        <w:tc>
          <w:tcPr>
            <w:tcW w:w="1558" w:type="dxa"/>
            <w:vMerge/>
            <w:tcBorders>
              <w:top w:val="single" w:sz="4" w:space="0" w:color="auto"/>
              <w:left w:val="single" w:sz="4" w:space="0" w:color="auto"/>
              <w:bottom w:val="single" w:sz="4" w:space="0" w:color="auto"/>
              <w:right w:val="single" w:sz="4" w:space="0" w:color="auto"/>
            </w:tcBorders>
            <w:vAlign w:val="center"/>
            <w:hideMark/>
          </w:tcPr>
          <w:p>
            <w:pPr>
              <w:rPr>
                <w:rFonts w:eastAsiaTheme="minorHAnsi"/>
                <w:b/>
                <w:bCs/>
                <w:noProof/>
                <w:color w:val="000000"/>
                <w:sz w:val="20"/>
                <w:szCs w:val="22"/>
                <w:lang w:val="en-IE" w:eastAsia="en-US"/>
              </w:rPr>
            </w:pP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Council</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European Economic and Social Committee</w:t>
            </w:r>
          </w:p>
        </w:tc>
        <w:tc>
          <w:tcPr>
            <w:tcW w:w="141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Committee of the Regions</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European Parliament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Court of Justice</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European Central Bank</w:t>
            </w:r>
          </w:p>
        </w:tc>
        <w:tc>
          <w:tcPr>
            <w:tcW w:w="1006" w:type="dxa"/>
            <w:tcBorders>
              <w:top w:val="nil"/>
              <w:left w:val="nil"/>
              <w:bottom w:val="single" w:sz="8" w:space="0" w:color="auto"/>
              <w:right w:val="single" w:sz="8" w:space="0" w:color="auto"/>
            </w:tcBorders>
          </w:tcPr>
          <w:p>
            <w:pPr>
              <w:jc w:val="center"/>
              <w:rPr>
                <w:b/>
                <w:bCs/>
                <w:noProof/>
                <w:color w:val="000000"/>
                <w:sz w:val="20"/>
                <w:lang w:val="en-IE"/>
              </w:rPr>
            </w:pPr>
            <w:r>
              <w:rPr>
                <w:b/>
                <w:bCs/>
                <w:noProof/>
                <w:color w:val="000000"/>
                <w:sz w:val="20"/>
                <w:lang w:val="en-IE"/>
              </w:rPr>
              <w:t>EEAS</w:t>
            </w:r>
          </w:p>
        </w:tc>
        <w:tc>
          <w:tcPr>
            <w:tcW w:w="1417" w:type="dxa"/>
            <w:tcBorders>
              <w:top w:val="nil"/>
              <w:left w:val="nil"/>
              <w:bottom w:val="single" w:sz="8" w:space="0" w:color="auto"/>
              <w:right w:val="single" w:sz="8" w:space="0" w:color="auto"/>
            </w:tcBorders>
          </w:tcPr>
          <w:p>
            <w:pPr>
              <w:jc w:val="center"/>
              <w:rPr>
                <w:b/>
                <w:bCs/>
                <w:noProof/>
                <w:color w:val="000000"/>
                <w:sz w:val="20"/>
                <w:lang w:val="en-IE"/>
              </w:rPr>
            </w:pPr>
            <w:r>
              <w:rPr>
                <w:b/>
                <w:bCs/>
                <w:noProof/>
                <w:color w:val="000000"/>
                <w:sz w:val="20"/>
                <w:lang w:val="en-IE"/>
              </w:rPr>
              <w:t>European Court of Auditors</w:t>
            </w:r>
          </w:p>
        </w:tc>
        <w:tc>
          <w:tcPr>
            <w:tcW w:w="1256" w:type="dxa"/>
            <w:tcBorders>
              <w:top w:val="nil"/>
              <w:left w:val="nil"/>
              <w:bottom w:val="single" w:sz="8" w:space="0" w:color="auto"/>
              <w:right w:val="single" w:sz="8" w:space="0" w:color="auto"/>
            </w:tcBorders>
          </w:tcPr>
          <w:p>
            <w:pPr>
              <w:jc w:val="center"/>
              <w:rPr>
                <w:b/>
                <w:bCs/>
                <w:noProof/>
                <w:color w:val="000000"/>
                <w:sz w:val="20"/>
                <w:lang w:val="en-IE"/>
              </w:rPr>
            </w:pPr>
            <w:r>
              <w:rPr>
                <w:b/>
                <w:bCs/>
                <w:noProof/>
                <w:color w:val="000000"/>
                <w:sz w:val="20"/>
                <w:lang w:val="en-IE"/>
              </w:rPr>
              <w:t>European Ombudsman</w:t>
            </w:r>
          </w:p>
        </w:tc>
        <w:tc>
          <w:tcPr>
            <w:tcW w:w="1579" w:type="dxa"/>
            <w:tcBorders>
              <w:top w:val="nil"/>
              <w:left w:val="nil"/>
              <w:bottom w:val="single" w:sz="8" w:space="0" w:color="auto"/>
              <w:right w:val="single" w:sz="8" w:space="0" w:color="auto"/>
            </w:tcBorders>
          </w:tcPr>
          <w:p>
            <w:pPr>
              <w:jc w:val="center"/>
              <w:rPr>
                <w:b/>
                <w:bCs/>
                <w:noProof/>
                <w:color w:val="000000"/>
                <w:sz w:val="20"/>
                <w:lang w:val="en-IE"/>
              </w:rPr>
            </w:pPr>
            <w:r>
              <w:rPr>
                <w:b/>
                <w:bCs/>
                <w:noProof/>
                <w:color w:val="000000"/>
                <w:sz w:val="20"/>
                <w:lang w:val="en-IE"/>
              </w:rPr>
              <w:t>EDPS</w:t>
            </w:r>
          </w:p>
        </w:tc>
      </w:tr>
      <w:tr>
        <w:trPr>
          <w:trHeight w:val="595"/>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2015</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41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NA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006"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5</w:t>
            </w:r>
          </w:p>
        </w:tc>
        <w:tc>
          <w:tcPr>
            <w:tcW w:w="1417"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p>
        </w:tc>
        <w:tc>
          <w:tcPr>
            <w:tcW w:w="1256" w:type="dxa"/>
            <w:tcBorders>
              <w:top w:val="nil"/>
              <w:left w:val="nil"/>
              <w:bottom w:val="single" w:sz="8" w:space="0" w:color="auto"/>
              <w:right w:val="single" w:sz="8" w:space="0" w:color="auto"/>
            </w:tcBorders>
          </w:tcPr>
          <w:p>
            <w:pPr>
              <w:jc w:val="center"/>
              <w:rPr>
                <w:noProof/>
                <w:color w:val="000000"/>
                <w:sz w:val="20"/>
                <w:lang w:val="en-IE"/>
              </w:rPr>
            </w:pPr>
            <w:r>
              <w:rPr>
                <w:noProof/>
                <w:color w:val="000000"/>
                <w:sz w:val="20"/>
                <w:lang w:val="en-IE"/>
              </w:rPr>
              <w:t>0</w:t>
            </w:r>
          </w:p>
        </w:tc>
        <w:tc>
          <w:tcPr>
            <w:tcW w:w="1579" w:type="dxa"/>
            <w:tcBorders>
              <w:top w:val="nil"/>
              <w:left w:val="nil"/>
              <w:bottom w:val="single" w:sz="8" w:space="0" w:color="auto"/>
              <w:right w:val="single" w:sz="8" w:space="0" w:color="auto"/>
            </w:tcBorders>
          </w:tcPr>
          <w:p>
            <w:pPr>
              <w:rPr>
                <w:noProof/>
                <w:lang w:val="en-IE"/>
              </w:rPr>
            </w:pPr>
            <w:r>
              <w:rPr>
                <w:noProof/>
                <w:color w:val="000000"/>
                <w:sz w:val="20"/>
                <w:lang w:val="en-IE"/>
              </w:rPr>
              <w:t>NA</w:t>
            </w:r>
          </w:p>
        </w:tc>
      </w:tr>
      <w:tr>
        <w:trPr>
          <w:trHeight w:val="602"/>
        </w:trPr>
        <w:tc>
          <w:tcPr>
            <w:tcW w:w="15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2016</w:t>
            </w:r>
          </w:p>
        </w:tc>
        <w:tc>
          <w:tcPr>
            <w:tcW w:w="14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2"/>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NA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006"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p>
        </w:tc>
        <w:tc>
          <w:tcPr>
            <w:tcW w:w="1417"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p>
        </w:tc>
        <w:tc>
          <w:tcPr>
            <w:tcW w:w="1256" w:type="dxa"/>
            <w:tcBorders>
              <w:top w:val="nil"/>
              <w:left w:val="nil"/>
              <w:bottom w:val="single" w:sz="8" w:space="0" w:color="auto"/>
              <w:right w:val="single" w:sz="8" w:space="0" w:color="auto"/>
            </w:tcBorders>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3"/>
            </w:r>
          </w:p>
        </w:tc>
        <w:tc>
          <w:tcPr>
            <w:tcW w:w="1579" w:type="dxa"/>
            <w:tcBorders>
              <w:top w:val="nil"/>
              <w:left w:val="nil"/>
              <w:bottom w:val="single" w:sz="8" w:space="0" w:color="auto"/>
              <w:right w:val="single" w:sz="8" w:space="0" w:color="auto"/>
            </w:tcBorders>
          </w:tcPr>
          <w:p>
            <w:pPr>
              <w:rPr>
                <w:noProof/>
                <w:lang w:val="en-IE"/>
              </w:rPr>
            </w:pPr>
            <w:r>
              <w:rPr>
                <w:noProof/>
                <w:color w:val="000000"/>
                <w:sz w:val="20"/>
                <w:lang w:val="en-IE"/>
              </w:rPr>
              <w:t>NA</w:t>
            </w:r>
          </w:p>
        </w:tc>
      </w:tr>
      <w:tr>
        <w:trPr>
          <w:trHeight w:val="383"/>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2017</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006"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2</w:t>
            </w:r>
          </w:p>
        </w:tc>
        <w:tc>
          <w:tcPr>
            <w:tcW w:w="1417"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4"/>
            </w:r>
          </w:p>
        </w:tc>
        <w:tc>
          <w:tcPr>
            <w:tcW w:w="1256" w:type="dxa"/>
            <w:tcBorders>
              <w:top w:val="nil"/>
              <w:left w:val="nil"/>
              <w:bottom w:val="single" w:sz="8" w:space="0" w:color="auto"/>
              <w:right w:val="single" w:sz="8" w:space="0" w:color="auto"/>
            </w:tcBorders>
          </w:tcPr>
          <w:p>
            <w:pPr>
              <w:jc w:val="center"/>
              <w:rPr>
                <w:noProof/>
                <w:color w:val="000000"/>
                <w:sz w:val="20"/>
                <w:lang w:val="en-IE"/>
              </w:rPr>
            </w:pPr>
            <w:r>
              <w:rPr>
                <w:noProof/>
                <w:color w:val="000000"/>
                <w:sz w:val="20"/>
                <w:lang w:val="en-IE"/>
              </w:rPr>
              <w:t>0</w:t>
            </w:r>
          </w:p>
        </w:tc>
        <w:tc>
          <w:tcPr>
            <w:tcW w:w="1579" w:type="dxa"/>
            <w:tcBorders>
              <w:top w:val="nil"/>
              <w:left w:val="nil"/>
              <w:bottom w:val="single" w:sz="8" w:space="0" w:color="auto"/>
              <w:right w:val="single" w:sz="8" w:space="0" w:color="auto"/>
            </w:tcBorders>
          </w:tcPr>
          <w:p>
            <w:pPr>
              <w:rPr>
                <w:noProof/>
                <w:lang w:val="en-IE"/>
              </w:rPr>
            </w:pPr>
            <w:r>
              <w:rPr>
                <w:noProof/>
                <w:color w:val="000000"/>
                <w:sz w:val="20"/>
                <w:lang w:val="en-IE"/>
              </w:rPr>
              <w:t>NA</w:t>
            </w:r>
          </w:p>
        </w:tc>
      </w:tr>
      <w:tr>
        <w:trPr>
          <w:trHeight w:val="392"/>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2018</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006"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5</w:t>
            </w:r>
          </w:p>
        </w:tc>
        <w:tc>
          <w:tcPr>
            <w:tcW w:w="1417"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5"/>
            </w:r>
          </w:p>
        </w:tc>
        <w:tc>
          <w:tcPr>
            <w:tcW w:w="1256" w:type="dxa"/>
            <w:tcBorders>
              <w:top w:val="nil"/>
              <w:left w:val="nil"/>
              <w:bottom w:val="single" w:sz="8" w:space="0" w:color="auto"/>
              <w:right w:val="single" w:sz="8" w:space="0" w:color="auto"/>
            </w:tcBorders>
          </w:tcPr>
          <w:p>
            <w:pPr>
              <w:jc w:val="center"/>
              <w:rPr>
                <w:noProof/>
                <w:color w:val="000000"/>
                <w:sz w:val="20"/>
                <w:lang w:val="en-IE"/>
              </w:rPr>
            </w:pPr>
            <w:r>
              <w:rPr>
                <w:noProof/>
                <w:color w:val="000000"/>
                <w:sz w:val="20"/>
                <w:lang w:val="en-IE"/>
              </w:rPr>
              <w:t>0</w:t>
            </w:r>
          </w:p>
        </w:tc>
        <w:tc>
          <w:tcPr>
            <w:tcW w:w="1579" w:type="dxa"/>
            <w:tcBorders>
              <w:top w:val="nil"/>
              <w:left w:val="nil"/>
              <w:bottom w:val="single" w:sz="8" w:space="0" w:color="auto"/>
              <w:right w:val="single" w:sz="8" w:space="0" w:color="auto"/>
            </w:tcBorders>
          </w:tcPr>
          <w:p>
            <w:pPr>
              <w:rPr>
                <w:noProof/>
                <w:lang w:val="en-IE"/>
              </w:rPr>
            </w:pPr>
            <w:r>
              <w:rPr>
                <w:noProof/>
                <w:color w:val="000000"/>
                <w:sz w:val="20"/>
                <w:lang w:val="en-IE"/>
              </w:rPr>
              <w:t>NA</w:t>
            </w:r>
          </w:p>
        </w:tc>
      </w:tr>
      <w:tr>
        <w:trPr>
          <w:trHeight w:val="383"/>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jc w:val="center"/>
              <w:rPr>
                <w:b/>
                <w:bCs/>
                <w:noProof/>
                <w:color w:val="000000"/>
                <w:sz w:val="20"/>
                <w:lang w:val="en-IE"/>
              </w:rPr>
            </w:pPr>
            <w:r>
              <w:rPr>
                <w:b/>
                <w:bCs/>
                <w:noProof/>
                <w:color w:val="000000"/>
                <w:sz w:val="20"/>
                <w:lang w:val="en-IE"/>
              </w:rPr>
              <w:t>2019</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6"/>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jc w:val="center"/>
              <w:rPr>
                <w:noProof/>
                <w:color w:val="000000"/>
                <w:sz w:val="20"/>
                <w:lang w:val="en-IE"/>
              </w:rPr>
            </w:pPr>
            <w:r>
              <w:rPr>
                <w:noProof/>
                <w:color w:val="000000"/>
                <w:sz w:val="20"/>
                <w:lang w:val="en-IE"/>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131" w:type="dxa"/>
            <w:tcBorders>
              <w:top w:val="nil"/>
              <w:left w:val="nil"/>
              <w:bottom w:val="single" w:sz="8" w:space="0" w:color="auto"/>
              <w:right w:val="single" w:sz="8" w:space="0" w:color="auto"/>
            </w:tcBorders>
            <w:tcMar>
              <w:top w:w="0" w:type="dxa"/>
              <w:left w:w="108" w:type="dxa"/>
              <w:bottom w:w="0" w:type="dxa"/>
              <w:right w:w="108" w:type="dxa"/>
            </w:tcMar>
            <w:hideMark/>
          </w:tcPr>
          <w:p>
            <w:pPr>
              <w:rPr>
                <w:noProof/>
                <w:lang w:val="en-IE"/>
              </w:rPr>
            </w:pPr>
            <w:r>
              <w:rPr>
                <w:noProof/>
                <w:color w:val="000000"/>
                <w:sz w:val="20"/>
                <w:lang w:val="en-IE"/>
              </w:rPr>
              <w:t>NA</w:t>
            </w:r>
          </w:p>
        </w:tc>
        <w:tc>
          <w:tcPr>
            <w:tcW w:w="1006"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4</w:t>
            </w:r>
          </w:p>
        </w:tc>
        <w:tc>
          <w:tcPr>
            <w:tcW w:w="1417" w:type="dxa"/>
            <w:tcBorders>
              <w:top w:val="nil"/>
              <w:left w:val="nil"/>
              <w:bottom w:val="single" w:sz="8" w:space="0" w:color="auto"/>
              <w:right w:val="single" w:sz="8" w:space="0" w:color="auto"/>
            </w:tcBorders>
            <w:vAlign w:val="center"/>
          </w:tcPr>
          <w:p>
            <w:pPr>
              <w:jc w:val="center"/>
              <w:rPr>
                <w:noProof/>
                <w:color w:val="000000"/>
                <w:sz w:val="20"/>
                <w:lang w:val="en-IE"/>
              </w:rPr>
            </w:pPr>
            <w:r>
              <w:rPr>
                <w:noProof/>
                <w:color w:val="000000"/>
                <w:sz w:val="20"/>
                <w:lang w:val="en-IE"/>
              </w:rPr>
              <w:t>0</w:t>
            </w:r>
            <w:r>
              <w:rPr>
                <w:rStyle w:val="FootnoteReference"/>
                <w:noProof/>
                <w:color w:val="000000"/>
                <w:sz w:val="20"/>
                <w:lang w:val="en-IE"/>
              </w:rPr>
              <w:footnoteReference w:id="57"/>
            </w:r>
          </w:p>
        </w:tc>
        <w:tc>
          <w:tcPr>
            <w:tcW w:w="1256" w:type="dxa"/>
            <w:tcBorders>
              <w:top w:val="nil"/>
              <w:left w:val="nil"/>
              <w:bottom w:val="single" w:sz="8" w:space="0" w:color="auto"/>
              <w:right w:val="single" w:sz="8" w:space="0" w:color="auto"/>
            </w:tcBorders>
          </w:tcPr>
          <w:p>
            <w:pPr>
              <w:jc w:val="center"/>
              <w:rPr>
                <w:noProof/>
                <w:color w:val="000000"/>
                <w:sz w:val="20"/>
                <w:lang w:val="en-IE"/>
              </w:rPr>
            </w:pPr>
            <w:r>
              <w:rPr>
                <w:noProof/>
                <w:color w:val="000000"/>
                <w:sz w:val="20"/>
                <w:lang w:val="en-IE"/>
              </w:rPr>
              <w:t>NA</w:t>
            </w:r>
          </w:p>
        </w:tc>
        <w:tc>
          <w:tcPr>
            <w:tcW w:w="1579" w:type="dxa"/>
            <w:tcBorders>
              <w:top w:val="nil"/>
              <w:left w:val="nil"/>
              <w:bottom w:val="single" w:sz="8" w:space="0" w:color="auto"/>
              <w:right w:val="single" w:sz="8" w:space="0" w:color="auto"/>
            </w:tcBorders>
          </w:tcPr>
          <w:p>
            <w:pPr>
              <w:rPr>
                <w:noProof/>
                <w:lang w:val="en-IE"/>
              </w:rPr>
            </w:pPr>
            <w:r>
              <w:rPr>
                <w:noProof/>
                <w:color w:val="000000"/>
                <w:sz w:val="20"/>
                <w:lang w:val="en-IE"/>
              </w:rPr>
              <w:t>NA</w:t>
            </w:r>
          </w:p>
        </w:tc>
      </w:tr>
    </w:tbl>
    <w:p>
      <w:pPr>
        <w:spacing w:after="0"/>
        <w:textAlignment w:val="baseline"/>
        <w:rPr>
          <w:b/>
          <w:bCs/>
          <w:noProof/>
          <w:szCs w:val="24"/>
          <w:lang w:val="en-IE"/>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587" w:right="1020" w:bottom="1701" w:left="1020" w:header="601" w:footer="1077" w:gutter="0"/>
          <w:cols w:space="720"/>
          <w:titlePg/>
          <w:docGrid w:linePitch="326"/>
        </w:sectPr>
      </w:pPr>
    </w:p>
    <w:p>
      <w:pPr>
        <w:rPr>
          <w:b/>
          <w:noProof/>
          <w:szCs w:val="24"/>
          <w:lang w:val="en-IE"/>
        </w:rPr>
      </w:pPr>
    </w:p>
    <w:p>
      <w:pPr>
        <w:jc w:val="left"/>
        <w:rPr>
          <w:b/>
          <w:noProof/>
          <w:lang w:val="en-IE"/>
        </w:rPr>
      </w:pPr>
      <w:r>
        <w:rPr>
          <w:b/>
          <w:bCs/>
          <w:noProof/>
          <w:lang w:val="en-IE"/>
        </w:rPr>
        <w:t>Annex 2: stand by duty allowance</w:t>
      </w:r>
      <w:r>
        <w:rPr>
          <w:noProof/>
          <w:lang w:eastAsia="en-GB"/>
        </w:rPr>
        <w:drawing>
          <wp:inline distT="0" distB="0" distL="0" distR="0">
            <wp:extent cx="5060948" cy="2787651"/>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8">
                      <a:extLst>
                        <a:ext uri="{28A0092B-C50C-407E-A947-70E740481C1C}">
                          <a14:useLocalDpi xmlns:a14="http://schemas.microsoft.com/office/drawing/2010/main" val="0"/>
                        </a:ext>
                      </a:extLst>
                    </a:blip>
                    <a:stretch>
                      <a:fillRect/>
                    </a:stretch>
                  </pic:blipFill>
                  <pic:spPr>
                    <a:xfrm>
                      <a:off x="0" y="0"/>
                      <a:ext cx="5060948" cy="2787651"/>
                    </a:xfrm>
                    <a:prstGeom prst="rect">
                      <a:avLst/>
                    </a:prstGeom>
                  </pic:spPr>
                </pic:pic>
              </a:graphicData>
            </a:graphic>
          </wp:inline>
        </w:drawing>
      </w:r>
    </w:p>
    <w:p>
      <w:pPr>
        <w:rPr>
          <w:b/>
          <w:noProof/>
          <w:lang w:val="en-IE"/>
        </w:rPr>
      </w:pPr>
      <w:r>
        <w:rPr>
          <w:b/>
          <w:noProof/>
          <w:lang w:val="en-IE"/>
        </w:rPr>
        <w:t xml:space="preserve">Annex 3: Arduous working conditions </w:t>
      </w:r>
    </w:p>
    <w:p>
      <w:pPr>
        <w:rPr>
          <w:b/>
          <w:noProof/>
          <w:lang w:val="en-IE"/>
        </w:rPr>
      </w:pPr>
      <w:r>
        <w:rPr>
          <w:noProof/>
          <w:lang w:eastAsia="en-GB"/>
        </w:rPr>
        <w:drawing>
          <wp:inline distT="0" distB="0" distL="0" distR="0">
            <wp:extent cx="5060315" cy="2290348"/>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9">
                      <a:extLst>
                        <a:ext uri="{28A0092B-C50C-407E-A947-70E740481C1C}">
                          <a14:useLocalDpi xmlns:a14="http://schemas.microsoft.com/office/drawing/2010/main" val="0"/>
                        </a:ext>
                      </a:extLst>
                    </a:blip>
                    <a:stretch>
                      <a:fillRect/>
                    </a:stretch>
                  </pic:blipFill>
                  <pic:spPr>
                    <a:xfrm>
                      <a:off x="0" y="0"/>
                      <a:ext cx="5068724" cy="2294154"/>
                    </a:xfrm>
                    <a:prstGeom prst="rect">
                      <a:avLst/>
                    </a:prstGeom>
                  </pic:spPr>
                </pic:pic>
              </a:graphicData>
            </a:graphic>
          </wp:inline>
        </w:drawing>
      </w:r>
    </w:p>
    <w:p>
      <w:pPr>
        <w:rPr>
          <w:b/>
          <w:noProof/>
          <w:lang w:val="en-IE"/>
        </w:rPr>
      </w:pPr>
    </w:p>
    <w:p>
      <w:pPr>
        <w:spacing w:after="160" w:line="259" w:lineRule="auto"/>
        <w:jc w:val="left"/>
        <w:rPr>
          <w:b/>
          <w:noProof/>
          <w:lang w:val="en-IE"/>
        </w:rPr>
      </w:pPr>
      <w:r>
        <w:rPr>
          <w:b/>
          <w:noProof/>
          <w:lang w:val="en-IE"/>
        </w:rPr>
        <w:br w:type="page"/>
      </w:r>
    </w:p>
    <w:p>
      <w:pPr>
        <w:rPr>
          <w:b/>
          <w:noProof/>
          <w:lang w:val="en-IE"/>
        </w:rPr>
      </w:pPr>
      <w:r>
        <w:rPr>
          <w:b/>
          <w:noProof/>
          <w:lang w:val="en-IE"/>
        </w:rPr>
        <w:t>Annex 4: shift work allowances</w:t>
      </w:r>
    </w:p>
    <w:p>
      <w:pPr>
        <w:rPr>
          <w:b/>
          <w:noProof/>
          <w:lang w:val="en-IE"/>
        </w:rPr>
      </w:pPr>
      <w:r>
        <w:rPr>
          <w:noProof/>
          <w:lang w:eastAsia="en-GB"/>
        </w:rPr>
        <w:drawing>
          <wp:inline distT="0" distB="0" distL="0" distR="0">
            <wp:extent cx="5203825" cy="3172571"/>
            <wp:effectExtent l="0" t="0" r="1587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rPr>
          <w:b/>
          <w:noProof/>
          <w:lang w:val="en-IE"/>
        </w:rPr>
      </w:pPr>
    </w:p>
    <w:p>
      <w:pPr>
        <w:rPr>
          <w:b/>
          <w:noProof/>
          <w:lang w:val="en-IE"/>
        </w:rPr>
      </w:pPr>
      <w:r>
        <w:rPr>
          <w:b/>
          <w:noProof/>
          <w:lang w:val="en-IE"/>
        </w:rPr>
        <w:t>Annex 5: Budgetary impact per allowance</w:t>
      </w:r>
    </w:p>
    <w:p>
      <w:pPr>
        <w:rPr>
          <w:b/>
          <w:noProof/>
          <w:szCs w:val="24"/>
          <w:lang w:val="en-IE"/>
        </w:rPr>
      </w:pPr>
      <w:r>
        <w:rPr>
          <w:noProof/>
          <w:lang w:eastAsia="en-GB"/>
        </w:rPr>
        <w:drawing>
          <wp:inline distT="0" distB="0" distL="0" distR="0">
            <wp:extent cx="4997450" cy="251515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31">
                      <a:extLst>
                        <a:ext uri="{28A0092B-C50C-407E-A947-70E740481C1C}">
                          <a14:useLocalDpi xmlns:a14="http://schemas.microsoft.com/office/drawing/2010/main" val="0"/>
                        </a:ext>
                      </a:extLst>
                    </a:blip>
                    <a:stretch>
                      <a:fillRect/>
                    </a:stretch>
                  </pic:blipFill>
                  <pic:spPr>
                    <a:xfrm>
                      <a:off x="0" y="0"/>
                      <a:ext cx="5004086" cy="2518498"/>
                    </a:xfrm>
                    <a:prstGeom prst="rect">
                      <a:avLst/>
                    </a:prstGeom>
                  </pic:spPr>
                </pic:pic>
              </a:graphicData>
            </a:graphic>
          </wp:inline>
        </w:drawing>
      </w:r>
    </w:p>
    <w:p>
      <w:pPr>
        <w:rPr>
          <w:b/>
          <w:noProof/>
          <w:szCs w:val="24"/>
          <w:lang w:val="en-IE"/>
        </w:rPr>
      </w:pPr>
      <w:r>
        <w:rPr>
          <w:b/>
          <w:noProof/>
          <w:szCs w:val="24"/>
          <w:lang w:val="en-IE"/>
        </w:rPr>
        <w:t>Annex 6: Number of contract agents 2014- 2018</w:t>
      </w:r>
    </w:p>
    <w:tbl>
      <w:tblPr>
        <w:tblW w:w="6500" w:type="dxa"/>
        <w:tblInd w:w="118" w:type="dxa"/>
        <w:tblLook w:val="04A0" w:firstRow="1" w:lastRow="0" w:firstColumn="1" w:lastColumn="0" w:noHBand="0" w:noVBand="1"/>
      </w:tblPr>
      <w:tblGrid>
        <w:gridCol w:w="2117"/>
        <w:gridCol w:w="816"/>
        <w:gridCol w:w="960"/>
        <w:gridCol w:w="960"/>
        <w:gridCol w:w="960"/>
        <w:gridCol w:w="960"/>
      </w:tblGrid>
      <w:tr>
        <w:trPr>
          <w:trHeight w:val="33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 </w:t>
            </w:r>
          </w:p>
        </w:tc>
        <w:tc>
          <w:tcPr>
            <w:tcW w:w="54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lang w:val="en-IE" w:eastAsia="en-IE"/>
              </w:rPr>
            </w:pPr>
            <w:r>
              <w:rPr>
                <w:b/>
                <w:bCs/>
                <w:noProof/>
                <w:color w:val="000000"/>
                <w:szCs w:val="24"/>
                <w:lang w:val="en-IE" w:eastAsia="en-IE"/>
              </w:rPr>
              <w:t>2014</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lang w:val="en-IE" w:eastAsia="en-IE"/>
              </w:rPr>
            </w:pPr>
            <w:r>
              <w:rPr>
                <w:b/>
                <w:bCs/>
                <w:noProof/>
                <w:color w:val="000000"/>
                <w:szCs w:val="24"/>
                <w:lang w:val="en-IE" w:eastAsia="en-IE"/>
              </w:rPr>
              <w:t>2015</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lang w:val="en-IE" w:eastAsia="en-IE"/>
              </w:rPr>
            </w:pPr>
            <w:r>
              <w:rPr>
                <w:b/>
                <w:bCs/>
                <w:noProof/>
                <w:color w:val="000000"/>
                <w:szCs w:val="24"/>
                <w:lang w:val="en-IE" w:eastAsia="en-IE"/>
              </w:rPr>
              <w:t>2016</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jc w:val="center"/>
              <w:rPr>
                <w:b/>
                <w:bCs/>
                <w:noProof/>
                <w:color w:val="000000"/>
                <w:szCs w:val="24"/>
                <w:lang w:val="en-IE" w:eastAsia="en-IE"/>
              </w:rPr>
            </w:pPr>
            <w:r>
              <w:rPr>
                <w:b/>
                <w:bCs/>
                <w:noProof/>
                <w:color w:val="000000"/>
                <w:szCs w:val="24"/>
                <w:lang w:val="en-IE" w:eastAsia="en-IE"/>
              </w:rPr>
              <w:t>2017</w:t>
            </w:r>
          </w:p>
        </w:tc>
        <w:tc>
          <w:tcPr>
            <w:tcW w:w="960"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jc w:val="center"/>
              <w:rPr>
                <w:b/>
                <w:bCs/>
                <w:noProof/>
                <w:color w:val="000000"/>
                <w:szCs w:val="24"/>
                <w:lang w:val="en-IE" w:eastAsia="en-IE"/>
              </w:rPr>
            </w:pPr>
            <w:r>
              <w:rPr>
                <w:b/>
                <w:bCs/>
                <w:noProof/>
                <w:color w:val="000000"/>
                <w:szCs w:val="24"/>
                <w:lang w:val="en-IE" w:eastAsia="en-IE"/>
              </w:rPr>
              <w:t>2018</w:t>
            </w:r>
          </w:p>
        </w:tc>
      </w:tr>
      <w:tr>
        <w:trPr>
          <w:trHeight w:val="33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Commission</w:t>
            </w:r>
          </w:p>
        </w:tc>
        <w:tc>
          <w:tcPr>
            <w:tcW w:w="543"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6440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6652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7131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7165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7238</w:t>
            </w:r>
          </w:p>
        </w:tc>
      </w:tr>
      <w:tr>
        <w:trPr>
          <w:trHeight w:val="33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Other institutions</w:t>
            </w:r>
          </w:p>
        </w:tc>
        <w:tc>
          <w:tcPr>
            <w:tcW w:w="543"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2042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2086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2254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2425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2608</w:t>
            </w:r>
          </w:p>
        </w:tc>
      </w:tr>
      <w:tr>
        <w:trPr>
          <w:trHeight w:val="330"/>
        </w:trPr>
        <w:tc>
          <w:tcPr>
            <w:tcW w:w="2117" w:type="dxa"/>
            <w:tcBorders>
              <w:top w:val="nil"/>
              <w:left w:val="single" w:sz="8" w:space="0" w:color="auto"/>
              <w:bottom w:val="nil"/>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 xml:space="preserve">Agencies </w:t>
            </w:r>
          </w:p>
        </w:tc>
        <w:tc>
          <w:tcPr>
            <w:tcW w:w="543"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2582</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2945</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3490</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3749</w:t>
            </w:r>
          </w:p>
        </w:tc>
        <w:tc>
          <w:tcPr>
            <w:tcW w:w="960" w:type="dxa"/>
            <w:tcBorders>
              <w:top w:val="nil"/>
              <w:left w:val="nil"/>
              <w:bottom w:val="nil"/>
              <w:right w:val="single" w:sz="8"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3995</w:t>
            </w:r>
          </w:p>
        </w:tc>
      </w:tr>
      <w:tr>
        <w:trPr>
          <w:trHeight w:val="34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rPr>
                <w:b/>
                <w:bCs/>
                <w:noProof/>
                <w:color w:val="000000"/>
                <w:szCs w:val="24"/>
                <w:lang w:val="en-IE" w:eastAsia="en-IE"/>
              </w:rPr>
            </w:pPr>
            <w:r>
              <w:rPr>
                <w:b/>
                <w:bCs/>
                <w:noProof/>
                <w:color w:val="000000"/>
                <w:szCs w:val="24"/>
                <w:lang w:val="en-IE" w:eastAsia="en-IE"/>
              </w:rPr>
              <w:t>All</w:t>
            </w:r>
          </w:p>
        </w:tc>
        <w:tc>
          <w:tcPr>
            <w:tcW w:w="543"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11064</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11683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12875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13339</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13841</w:t>
            </w:r>
          </w:p>
        </w:tc>
      </w:tr>
    </w:tbl>
    <w:p>
      <w:pPr>
        <w:rPr>
          <w:noProof/>
          <w:szCs w:val="24"/>
          <w:lang w:val="en-IE"/>
        </w:rPr>
      </w:pPr>
    </w:p>
    <w:p>
      <w:pPr>
        <w:keepNext/>
        <w:keepLines/>
        <w:rPr>
          <w:b/>
          <w:noProof/>
          <w:szCs w:val="24"/>
          <w:lang w:val="en-IE"/>
        </w:rPr>
      </w:pPr>
      <w:r>
        <w:rPr>
          <w:b/>
          <w:noProof/>
          <w:szCs w:val="24"/>
          <w:lang w:val="en-IE"/>
        </w:rPr>
        <w:t>Annex 7: Annual increase in the number of contract agents 2014-2018</w:t>
      </w:r>
    </w:p>
    <w:tbl>
      <w:tblPr>
        <w:tblW w:w="7720" w:type="dxa"/>
        <w:tblInd w:w="118" w:type="dxa"/>
        <w:tblLook w:val="04A0" w:firstRow="1" w:lastRow="0" w:firstColumn="1" w:lastColumn="0" w:noHBand="0" w:noVBand="1"/>
      </w:tblPr>
      <w:tblGrid>
        <w:gridCol w:w="1975"/>
        <w:gridCol w:w="696"/>
        <w:gridCol w:w="960"/>
        <w:gridCol w:w="960"/>
        <w:gridCol w:w="960"/>
        <w:gridCol w:w="960"/>
        <w:gridCol w:w="1220"/>
      </w:tblGrid>
      <w:tr>
        <w:trPr>
          <w:trHeight w:val="330"/>
        </w:trPr>
        <w:tc>
          <w:tcPr>
            <w:tcW w:w="19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keepNext/>
              <w:keepLines/>
              <w:spacing w:after="0"/>
              <w:rPr>
                <w:noProof/>
                <w:color w:val="000000"/>
                <w:szCs w:val="24"/>
                <w:lang w:val="en-IE" w:eastAsia="en-IE"/>
              </w:rPr>
            </w:pPr>
            <w:r>
              <w:rPr>
                <w:noProof/>
                <w:color w:val="000000"/>
                <w:szCs w:val="24"/>
                <w:lang w:val="en-IE" w:eastAsia="en-IE"/>
              </w:rPr>
              <w:t> </w:t>
            </w:r>
          </w:p>
        </w:tc>
        <w:tc>
          <w:tcPr>
            <w:tcW w:w="685"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lang w:val="en-IE" w:eastAsia="en-IE"/>
              </w:rPr>
            </w:pPr>
            <w:r>
              <w:rPr>
                <w:b/>
                <w:bCs/>
                <w:noProof/>
                <w:color w:val="000000"/>
                <w:szCs w:val="24"/>
                <w:lang w:val="en-IE" w:eastAsia="en-IE"/>
              </w:rPr>
              <w:t>2014</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lang w:val="en-IE" w:eastAsia="en-IE"/>
              </w:rPr>
            </w:pPr>
            <w:r>
              <w:rPr>
                <w:b/>
                <w:bCs/>
                <w:noProof/>
                <w:color w:val="000000"/>
                <w:szCs w:val="24"/>
                <w:lang w:val="en-IE" w:eastAsia="en-IE"/>
              </w:rPr>
              <w:t>2015</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lang w:val="en-IE" w:eastAsia="en-IE"/>
              </w:rPr>
            </w:pPr>
            <w:r>
              <w:rPr>
                <w:b/>
                <w:bCs/>
                <w:noProof/>
                <w:color w:val="000000"/>
                <w:szCs w:val="24"/>
                <w:lang w:val="en-IE" w:eastAsia="en-IE"/>
              </w:rPr>
              <w:t>2016</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lang w:val="en-IE" w:eastAsia="en-IE"/>
              </w:rPr>
            </w:pPr>
            <w:r>
              <w:rPr>
                <w:b/>
                <w:bCs/>
                <w:noProof/>
                <w:color w:val="000000"/>
                <w:szCs w:val="24"/>
                <w:lang w:val="en-IE" w:eastAsia="en-IE"/>
              </w:rPr>
              <w:t>2017</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pPr>
              <w:keepNext/>
              <w:keepLines/>
              <w:spacing w:after="0"/>
              <w:jc w:val="center"/>
              <w:rPr>
                <w:b/>
                <w:bCs/>
                <w:noProof/>
                <w:color w:val="000000"/>
                <w:szCs w:val="24"/>
                <w:lang w:val="en-IE" w:eastAsia="en-IE"/>
              </w:rPr>
            </w:pPr>
            <w:r>
              <w:rPr>
                <w:b/>
                <w:bCs/>
                <w:noProof/>
                <w:color w:val="000000"/>
                <w:szCs w:val="24"/>
                <w:lang w:val="en-IE" w:eastAsia="en-IE"/>
              </w:rPr>
              <w:t>2018</w:t>
            </w:r>
          </w:p>
        </w:tc>
        <w:tc>
          <w:tcPr>
            <w:tcW w:w="1220" w:type="dxa"/>
            <w:tcBorders>
              <w:top w:val="single" w:sz="8" w:space="0" w:color="auto"/>
              <w:left w:val="nil"/>
              <w:bottom w:val="single" w:sz="8" w:space="0" w:color="auto"/>
              <w:right w:val="single" w:sz="8" w:space="0" w:color="auto"/>
            </w:tcBorders>
            <w:shd w:val="clear" w:color="000000" w:fill="D9D9D9"/>
            <w:noWrap/>
            <w:vAlign w:val="bottom"/>
            <w:hideMark/>
          </w:tcPr>
          <w:p>
            <w:pPr>
              <w:keepNext/>
              <w:keepLines/>
              <w:spacing w:after="0"/>
              <w:jc w:val="center"/>
              <w:rPr>
                <w:b/>
                <w:bCs/>
                <w:i/>
                <w:iCs/>
                <w:noProof/>
                <w:color w:val="000000"/>
                <w:szCs w:val="24"/>
                <w:lang w:val="en-IE" w:eastAsia="en-IE"/>
              </w:rPr>
            </w:pPr>
            <w:r>
              <w:rPr>
                <w:b/>
                <w:bCs/>
                <w:i/>
                <w:iCs/>
                <w:noProof/>
                <w:color w:val="000000"/>
                <w:szCs w:val="24"/>
                <w:lang w:val="en-IE" w:eastAsia="en-IE"/>
              </w:rPr>
              <w:t>2014-2018</w:t>
            </w:r>
          </w:p>
        </w:tc>
      </w:tr>
      <w:tr>
        <w:trPr>
          <w:trHeight w:val="33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Commission</w:t>
            </w:r>
          </w:p>
        </w:tc>
        <w:tc>
          <w:tcPr>
            <w:tcW w:w="685"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1.0%</w:t>
            </w:r>
          </w:p>
        </w:tc>
        <w:tc>
          <w:tcPr>
            <w:tcW w:w="1220" w:type="dxa"/>
            <w:tcBorders>
              <w:top w:val="nil"/>
              <w:left w:val="nil"/>
              <w:bottom w:val="single" w:sz="4" w:space="0" w:color="auto"/>
              <w:right w:val="single" w:sz="8" w:space="0" w:color="auto"/>
            </w:tcBorders>
            <w:shd w:val="clear" w:color="auto" w:fill="auto"/>
            <w:noWrap/>
            <w:vAlign w:val="bottom"/>
            <w:hideMark/>
          </w:tcPr>
          <w:p>
            <w:pPr>
              <w:spacing w:after="0"/>
              <w:jc w:val="center"/>
              <w:rPr>
                <w:i/>
                <w:iCs/>
                <w:noProof/>
                <w:color w:val="000000"/>
                <w:szCs w:val="24"/>
                <w:lang w:val="en-IE" w:eastAsia="en-IE"/>
              </w:rPr>
            </w:pPr>
            <w:r>
              <w:rPr>
                <w:i/>
                <w:iCs/>
                <w:noProof/>
                <w:color w:val="000000"/>
                <w:szCs w:val="24"/>
                <w:lang w:val="en-IE" w:eastAsia="en-IE"/>
              </w:rPr>
              <w:t>12.4%</w:t>
            </w:r>
          </w:p>
        </w:tc>
      </w:tr>
      <w:tr>
        <w:trPr>
          <w:trHeight w:val="330"/>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Other institutions</w:t>
            </w:r>
          </w:p>
        </w:tc>
        <w:tc>
          <w:tcPr>
            <w:tcW w:w="685"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7.5%</w:t>
            </w:r>
          </w:p>
        </w:tc>
        <w:tc>
          <w:tcPr>
            <w:tcW w:w="1220" w:type="dxa"/>
            <w:tcBorders>
              <w:top w:val="nil"/>
              <w:left w:val="nil"/>
              <w:bottom w:val="single" w:sz="4" w:space="0" w:color="auto"/>
              <w:right w:val="single" w:sz="8" w:space="0" w:color="auto"/>
            </w:tcBorders>
            <w:shd w:val="clear" w:color="auto" w:fill="auto"/>
            <w:noWrap/>
            <w:vAlign w:val="bottom"/>
            <w:hideMark/>
          </w:tcPr>
          <w:p>
            <w:pPr>
              <w:spacing w:after="0"/>
              <w:jc w:val="center"/>
              <w:rPr>
                <w:i/>
                <w:iCs/>
                <w:noProof/>
                <w:color w:val="000000"/>
                <w:szCs w:val="24"/>
                <w:lang w:val="en-IE" w:eastAsia="en-IE"/>
              </w:rPr>
            </w:pPr>
            <w:r>
              <w:rPr>
                <w:i/>
                <w:iCs/>
                <w:noProof/>
                <w:color w:val="000000"/>
                <w:szCs w:val="24"/>
                <w:lang w:val="en-IE" w:eastAsia="en-IE"/>
              </w:rPr>
              <w:t>27.7%</w:t>
            </w:r>
          </w:p>
        </w:tc>
      </w:tr>
      <w:tr>
        <w:trPr>
          <w:trHeight w:val="330"/>
        </w:trPr>
        <w:tc>
          <w:tcPr>
            <w:tcW w:w="1975" w:type="dxa"/>
            <w:tcBorders>
              <w:top w:val="nil"/>
              <w:left w:val="single" w:sz="8" w:space="0" w:color="auto"/>
              <w:bottom w:val="nil"/>
              <w:right w:val="single" w:sz="4" w:space="0" w:color="auto"/>
            </w:tcBorders>
            <w:shd w:val="clear" w:color="auto" w:fill="auto"/>
            <w:noWrap/>
            <w:vAlign w:val="bottom"/>
            <w:hideMark/>
          </w:tcPr>
          <w:p>
            <w:pPr>
              <w:spacing w:after="0"/>
              <w:rPr>
                <w:noProof/>
                <w:color w:val="000000"/>
                <w:szCs w:val="24"/>
                <w:lang w:val="en-IE" w:eastAsia="en-IE"/>
              </w:rPr>
            </w:pPr>
            <w:r>
              <w:rPr>
                <w:noProof/>
                <w:color w:val="000000"/>
                <w:szCs w:val="24"/>
                <w:lang w:val="en-IE" w:eastAsia="en-IE"/>
              </w:rPr>
              <w:t xml:space="preserve">Agencies </w:t>
            </w:r>
          </w:p>
        </w:tc>
        <w:tc>
          <w:tcPr>
            <w:tcW w:w="685"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14.1%</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18.5%</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7.4%</w:t>
            </w:r>
          </w:p>
        </w:tc>
        <w:tc>
          <w:tcPr>
            <w:tcW w:w="960" w:type="dxa"/>
            <w:tcBorders>
              <w:top w:val="nil"/>
              <w:left w:val="nil"/>
              <w:bottom w:val="nil"/>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6.6%</w:t>
            </w:r>
          </w:p>
        </w:tc>
        <w:tc>
          <w:tcPr>
            <w:tcW w:w="1220" w:type="dxa"/>
            <w:tcBorders>
              <w:top w:val="nil"/>
              <w:left w:val="nil"/>
              <w:bottom w:val="nil"/>
              <w:right w:val="single" w:sz="8" w:space="0" w:color="auto"/>
            </w:tcBorders>
            <w:shd w:val="clear" w:color="auto" w:fill="auto"/>
            <w:noWrap/>
            <w:vAlign w:val="bottom"/>
            <w:hideMark/>
          </w:tcPr>
          <w:p>
            <w:pPr>
              <w:spacing w:after="0"/>
              <w:jc w:val="center"/>
              <w:rPr>
                <w:i/>
                <w:iCs/>
                <w:noProof/>
                <w:color w:val="000000"/>
                <w:szCs w:val="24"/>
                <w:lang w:val="en-IE" w:eastAsia="en-IE"/>
              </w:rPr>
            </w:pPr>
            <w:r>
              <w:rPr>
                <w:i/>
                <w:iCs/>
                <w:noProof/>
                <w:color w:val="000000"/>
                <w:szCs w:val="24"/>
                <w:lang w:val="en-IE" w:eastAsia="en-IE"/>
              </w:rPr>
              <w:t>54.7%</w:t>
            </w:r>
          </w:p>
        </w:tc>
      </w:tr>
      <w:tr>
        <w:trPr>
          <w:trHeight w:val="340"/>
        </w:trPr>
        <w:tc>
          <w:tcPr>
            <w:tcW w:w="19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rPr>
                <w:b/>
                <w:bCs/>
                <w:noProof/>
                <w:color w:val="000000"/>
                <w:szCs w:val="24"/>
                <w:lang w:val="en-IE" w:eastAsia="en-IE"/>
              </w:rPr>
            </w:pPr>
            <w:r>
              <w:rPr>
                <w:b/>
                <w:bCs/>
                <w:noProof/>
                <w:color w:val="000000"/>
                <w:szCs w:val="24"/>
                <w:lang w:val="en-IE" w:eastAsia="en-IE"/>
              </w:rPr>
              <w:t>All</w:t>
            </w:r>
          </w:p>
        </w:tc>
        <w:tc>
          <w:tcPr>
            <w:tcW w:w="685"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5.6%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10.2%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3.6%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color w:val="000000"/>
                <w:szCs w:val="24"/>
                <w:lang w:val="en-IE" w:eastAsia="en-IE"/>
              </w:rPr>
            </w:pPr>
            <w:r>
              <w:rPr>
                <w:b/>
                <w:bCs/>
                <w:noProof/>
                <w:color w:val="000000"/>
                <w:szCs w:val="24"/>
                <w:lang w:val="en-IE" w:eastAsia="en-IE"/>
              </w:rPr>
              <w:t>3.8%</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i/>
                <w:iCs/>
                <w:noProof/>
                <w:color w:val="000000"/>
                <w:szCs w:val="24"/>
                <w:lang w:val="en-IE" w:eastAsia="en-IE"/>
              </w:rPr>
            </w:pPr>
            <w:r>
              <w:rPr>
                <w:b/>
                <w:bCs/>
                <w:i/>
                <w:iCs/>
                <w:noProof/>
                <w:color w:val="000000"/>
                <w:szCs w:val="24"/>
                <w:lang w:val="en-IE" w:eastAsia="en-IE"/>
              </w:rPr>
              <w:t>25.1%</w:t>
            </w:r>
          </w:p>
        </w:tc>
      </w:tr>
    </w:tbl>
    <w:p>
      <w:pPr>
        <w:rPr>
          <w:b/>
          <w:noProof/>
          <w:szCs w:val="24"/>
          <w:lang w:val="en-IE"/>
        </w:rPr>
      </w:pPr>
    </w:p>
    <w:p>
      <w:pPr>
        <w:rPr>
          <w:b/>
          <w:noProof/>
          <w:szCs w:val="24"/>
          <w:lang w:val="en-IE"/>
        </w:rPr>
      </w:pPr>
      <w:r>
        <w:rPr>
          <w:b/>
          <w:noProof/>
          <w:szCs w:val="24"/>
          <w:lang w:val="en-IE"/>
        </w:rPr>
        <w:t>Annex 8: Distribution per nationality in 2014 and 2018, FGIV</w:t>
      </w:r>
    </w:p>
    <w:tbl>
      <w:tblPr>
        <w:tblW w:w="6722" w:type="dxa"/>
        <w:tblInd w:w="118" w:type="dxa"/>
        <w:tblLook w:val="04A0" w:firstRow="1" w:lastRow="0" w:firstColumn="1" w:lastColumn="0" w:noHBand="0" w:noVBand="1"/>
      </w:tblPr>
      <w:tblGrid>
        <w:gridCol w:w="844"/>
        <w:gridCol w:w="944"/>
        <w:gridCol w:w="1093"/>
        <w:gridCol w:w="960"/>
        <w:gridCol w:w="844"/>
        <w:gridCol w:w="944"/>
        <w:gridCol w:w="1093"/>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FGIV</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FGIV</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680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326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17.10%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405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10.60%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346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6.40%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3.50%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RP</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3.40%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1 909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2937</w:t>
            </w:r>
          </w:p>
        </w:tc>
        <w:tc>
          <w:tcPr>
            <w:tcW w:w="1093"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r>
    </w:tbl>
    <w:p>
      <w:pPr>
        <w:rPr>
          <w:b/>
          <w:noProof/>
          <w:szCs w:val="24"/>
          <w:lang w:val="en-IE"/>
        </w:rPr>
      </w:pPr>
    </w:p>
    <w:p>
      <w:pPr>
        <w:rPr>
          <w:b/>
          <w:noProof/>
          <w:szCs w:val="24"/>
          <w:lang w:val="en-IE"/>
        </w:rPr>
      </w:pPr>
    </w:p>
    <w:p>
      <w:pPr>
        <w:rPr>
          <w:b/>
          <w:noProof/>
          <w:szCs w:val="24"/>
          <w:lang w:val="en-IE"/>
        </w:rPr>
      </w:pPr>
      <w:r>
        <w:rPr>
          <w:b/>
          <w:noProof/>
          <w:szCs w:val="24"/>
          <w:lang w:val="en-IE"/>
        </w:rPr>
        <w:t>Annex 9: Distribution per nationality in 2014 and 2018, FGIII</w:t>
      </w:r>
    </w:p>
    <w:p>
      <w:pPr>
        <w:rPr>
          <w:noProof/>
          <w:szCs w:val="24"/>
          <w:lang w:val="en-IE"/>
        </w:rPr>
      </w:pPr>
      <w:r>
        <w:rPr>
          <w:noProof/>
          <w:lang w:val="en-IE" w:eastAsia="en-IE"/>
        </w:rPr>
        <w:t xml:space="preserve"> </w:t>
      </w:r>
    </w:p>
    <w:tbl>
      <w:tblPr>
        <w:tblW w:w="6722" w:type="dxa"/>
        <w:tblInd w:w="118" w:type="dxa"/>
        <w:tblLook w:val="04A0" w:firstRow="1" w:lastRow="0" w:firstColumn="1" w:lastColumn="0" w:noHBand="0" w:noVBand="1"/>
      </w:tblPr>
      <w:tblGrid>
        <w:gridCol w:w="844"/>
        <w:gridCol w:w="944"/>
        <w:gridCol w:w="1093"/>
        <w:gridCol w:w="960"/>
        <w:gridCol w:w="844"/>
        <w:gridCol w:w="944"/>
        <w:gridCol w:w="1093"/>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FGIII</w:t>
            </w:r>
          </w:p>
        </w:tc>
        <w:tc>
          <w:tcPr>
            <w:tcW w:w="9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FGIII</w:t>
            </w:r>
          </w:p>
        </w:tc>
        <w:tc>
          <w:tcPr>
            <w:tcW w:w="9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19.58%</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13.43%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11.27%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9.97%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6.85%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4.16%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3.81%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3.64%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2.69%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0.87%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0.78%</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1154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1391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r>
    </w:tbl>
    <w:p>
      <w:pPr>
        <w:rPr>
          <w:noProof/>
          <w:szCs w:val="24"/>
          <w:lang w:val="en-IE"/>
        </w:rPr>
      </w:pPr>
    </w:p>
    <w:p>
      <w:pPr>
        <w:spacing w:after="0"/>
        <w:jc w:val="left"/>
        <w:rPr>
          <w:noProof/>
          <w:szCs w:val="24"/>
          <w:lang w:val="en-IE"/>
        </w:rPr>
      </w:pPr>
      <w:r>
        <w:rPr>
          <w:noProof/>
          <w:szCs w:val="24"/>
          <w:lang w:val="en-IE"/>
        </w:rPr>
        <w:br w:type="page"/>
      </w:r>
    </w:p>
    <w:p>
      <w:pPr>
        <w:rPr>
          <w:b/>
          <w:noProof/>
          <w:szCs w:val="24"/>
          <w:lang w:val="en-IE"/>
        </w:rPr>
      </w:pPr>
      <w:r>
        <w:rPr>
          <w:b/>
          <w:noProof/>
          <w:szCs w:val="24"/>
          <w:lang w:val="en-IE"/>
        </w:rPr>
        <w:t>Annex 10: Distribution per nationality in 2014 and 2018, FGII</w:t>
      </w:r>
    </w:p>
    <w:tbl>
      <w:tblPr>
        <w:tblW w:w="6721" w:type="dxa"/>
        <w:tblInd w:w="118" w:type="dxa"/>
        <w:tblLook w:val="04A0" w:firstRow="1" w:lastRow="0" w:firstColumn="1" w:lastColumn="0" w:noHBand="0" w:noVBand="1"/>
      </w:tblPr>
      <w:tblGrid>
        <w:gridCol w:w="844"/>
        <w:gridCol w:w="944"/>
        <w:gridCol w:w="1093"/>
        <w:gridCol w:w="960"/>
        <w:gridCol w:w="893"/>
        <w:gridCol w:w="999"/>
        <w:gridCol w:w="988"/>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FGII</w:t>
            </w:r>
          </w:p>
        </w:tc>
        <w:tc>
          <w:tcPr>
            <w:tcW w:w="944"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nil"/>
              <w:bottom w:val="nil"/>
              <w:right w:val="nil"/>
            </w:tcBorders>
            <w:shd w:val="clear" w:color="auto" w:fill="auto"/>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FGII</w:t>
            </w:r>
          </w:p>
        </w:tc>
        <w:tc>
          <w:tcPr>
            <w:tcW w:w="999"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988"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r>
      <w:tr>
        <w:trPr>
          <w:trHeight w:val="300"/>
        </w:trPr>
        <w:tc>
          <w:tcPr>
            <w:tcW w:w="8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26.73%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579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27.40%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389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15.36%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275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10.86%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192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8.41%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5.21%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4.26%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76</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37</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1.22%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0.87%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0.83%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0.80%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0.51%</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0.43%</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99"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988"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300"/>
        </w:trPr>
        <w:tc>
          <w:tcPr>
            <w:tcW w:w="844"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2533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2112</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w:t>
            </w:r>
          </w:p>
        </w:tc>
      </w:tr>
    </w:tbl>
    <w:p>
      <w:pPr>
        <w:rPr>
          <w:noProof/>
          <w:szCs w:val="24"/>
          <w:lang w:val="en-IE"/>
        </w:rPr>
      </w:pPr>
    </w:p>
    <w:p>
      <w:pPr>
        <w:spacing w:after="0"/>
        <w:jc w:val="left"/>
        <w:rPr>
          <w:noProof/>
          <w:szCs w:val="24"/>
          <w:lang w:val="en-IE"/>
        </w:rPr>
      </w:pPr>
      <w:r>
        <w:rPr>
          <w:noProof/>
          <w:szCs w:val="24"/>
          <w:lang w:val="en-IE"/>
        </w:rPr>
        <w:br w:type="page"/>
      </w:r>
    </w:p>
    <w:p>
      <w:pPr>
        <w:rPr>
          <w:b/>
          <w:noProof/>
          <w:szCs w:val="24"/>
          <w:lang w:val="en-IE"/>
        </w:rPr>
      </w:pPr>
      <w:r>
        <w:rPr>
          <w:b/>
          <w:noProof/>
          <w:szCs w:val="24"/>
          <w:lang w:val="en-IE"/>
        </w:rPr>
        <w:t>Annex 11: Distribution per nationality in 2014 and 2018, FGI</w:t>
      </w:r>
    </w:p>
    <w:tbl>
      <w:tblPr>
        <w:tblW w:w="6721" w:type="dxa"/>
        <w:tblInd w:w="118" w:type="dxa"/>
        <w:tblLook w:val="04A0" w:firstRow="1" w:lastRow="0" w:firstColumn="1" w:lastColumn="0" w:noHBand="0" w:noVBand="1"/>
      </w:tblPr>
      <w:tblGrid>
        <w:gridCol w:w="844"/>
        <w:gridCol w:w="944"/>
        <w:gridCol w:w="1093"/>
        <w:gridCol w:w="960"/>
        <w:gridCol w:w="893"/>
        <w:gridCol w:w="999"/>
        <w:gridCol w:w="988"/>
      </w:tblGrid>
      <w:tr>
        <w:trPr>
          <w:trHeight w:val="300"/>
        </w:trPr>
        <w:tc>
          <w:tcPr>
            <w:tcW w:w="288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28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2018</w:t>
            </w:r>
          </w:p>
        </w:tc>
      </w:tr>
      <w:tr>
        <w:trPr>
          <w:trHeight w:val="30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10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r>
      <w:tr>
        <w:trPr>
          <w:trHeight w:val="320"/>
        </w:trPr>
        <w:tc>
          <w:tcPr>
            <w:tcW w:w="844"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w:t>
            </w:r>
          </w:p>
        </w:tc>
        <w:tc>
          <w:tcPr>
            <w:tcW w:w="9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1093"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FGI</w:t>
            </w:r>
          </w:p>
        </w:tc>
        <w:tc>
          <w:tcPr>
            <w:tcW w:w="999"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TOTAL</w:t>
            </w:r>
          </w:p>
        </w:tc>
        <w:tc>
          <w:tcPr>
            <w:tcW w:w="988" w:type="dxa"/>
            <w:tcBorders>
              <w:top w:val="single" w:sz="8" w:space="0" w:color="auto"/>
              <w:left w:val="nil"/>
              <w:bottom w:val="single" w:sz="8" w:space="0" w:color="auto"/>
              <w:right w:val="single" w:sz="8" w:space="0" w:color="auto"/>
            </w:tcBorders>
            <w:shd w:val="clear" w:color="000000" w:fill="666699"/>
            <w:noWrap/>
            <w:vAlign w:val="center"/>
            <w:hideMark/>
          </w:tcPr>
          <w:p>
            <w:pPr>
              <w:spacing w:after="0"/>
              <w:jc w:val="center"/>
              <w:rPr>
                <w:rFonts w:ascii="Arial" w:hAnsi="Arial" w:cs="Arial"/>
                <w:b/>
                <w:bCs/>
                <w:noProof/>
                <w:color w:val="FFFFFF"/>
                <w:sz w:val="20"/>
                <w:lang w:val="en-IE" w:eastAsia="en-IE"/>
              </w:rPr>
            </w:pPr>
            <w:r>
              <w:rPr>
                <w:rFonts w:ascii="Arial" w:hAnsi="Arial" w:cs="Arial"/>
                <w:b/>
                <w:bCs/>
                <w:noProof/>
                <w:color w:val="FFFFFF"/>
                <w:sz w:val="20"/>
                <w:lang w:val="en-IE" w:eastAsia="en-IE"/>
              </w:rPr>
              <w:t>%</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36.85%</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37.20%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213</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205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25.70%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68</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ES</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8.77%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8.40%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4.86%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38</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4.50%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39</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2.96%</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PL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1.30%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RO</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1.18%</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UK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0.90%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0.59%</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IE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0.60%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0.50%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0.47%</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NL</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0.40%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BG</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CZ</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DK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EE</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LV</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LU</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SI</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0.24%</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SK</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0.30%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HR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CY</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LT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MT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0.10%</w:t>
            </w:r>
          </w:p>
        </w:tc>
      </w:tr>
      <w:tr>
        <w:trPr>
          <w:trHeight w:val="300"/>
        </w:trPr>
        <w:tc>
          <w:tcPr>
            <w:tcW w:w="844"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0.12%</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99"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988"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300"/>
        </w:trPr>
        <w:tc>
          <w:tcPr>
            <w:tcW w:w="844"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AT</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SE</w:t>
            </w:r>
          </w:p>
        </w:tc>
        <w:tc>
          <w:tcPr>
            <w:tcW w:w="999"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988" w:type="dxa"/>
            <w:tcBorders>
              <w:top w:val="nil"/>
              <w:left w:val="nil"/>
              <w:bottom w:val="nil"/>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300"/>
        </w:trPr>
        <w:tc>
          <w:tcPr>
            <w:tcW w:w="844" w:type="dxa"/>
            <w:tcBorders>
              <w:top w:val="single" w:sz="8" w:space="0" w:color="auto"/>
              <w:left w:val="single" w:sz="8" w:space="0" w:color="auto"/>
              <w:bottom w:val="nil"/>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Other</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798</w:t>
            </w:r>
          </w:p>
        </w:tc>
        <w:tc>
          <w:tcPr>
            <w:tcW w:w="988" w:type="dxa"/>
            <w:tcBorders>
              <w:top w:val="single" w:sz="8" w:space="0" w:color="auto"/>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w:t>
            </w:r>
          </w:p>
        </w:tc>
      </w:tr>
      <w:tr>
        <w:trPr>
          <w:trHeight w:val="300"/>
        </w:trPr>
        <w:tc>
          <w:tcPr>
            <w:tcW w:w="844" w:type="dxa"/>
            <w:tcBorders>
              <w:top w:val="single" w:sz="8" w:space="0" w:color="auto"/>
              <w:left w:val="single" w:sz="8" w:space="0" w:color="auto"/>
              <w:bottom w:val="single" w:sz="8" w:space="0" w:color="auto"/>
              <w:right w:val="single" w:sz="8" w:space="0" w:color="auto"/>
            </w:tcBorders>
            <w:shd w:val="clear" w:color="000000" w:fill="666699"/>
            <w:noWrap/>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TOTAL</w:t>
            </w:r>
          </w:p>
        </w:tc>
        <w:tc>
          <w:tcPr>
            <w:tcW w:w="944"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844</w:t>
            </w:r>
          </w:p>
        </w:tc>
        <w:tc>
          <w:tcPr>
            <w:tcW w:w="1093" w:type="dxa"/>
            <w:tcBorders>
              <w:top w:val="nil"/>
              <w:left w:val="nil"/>
              <w:bottom w:val="single" w:sz="8" w:space="0" w:color="auto"/>
              <w:right w:val="single" w:sz="8" w:space="0" w:color="auto"/>
            </w:tcBorders>
            <w:shd w:val="clear" w:color="auto" w:fill="auto"/>
            <w:noWrap/>
            <w:vAlign w:val="center"/>
            <w:hideMark/>
          </w:tcPr>
          <w:p>
            <w:pPr>
              <w:spacing w:after="0"/>
              <w:jc w:val="center"/>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100.00%</w:t>
            </w:r>
          </w:p>
        </w:tc>
        <w:tc>
          <w:tcPr>
            <w:tcW w:w="960"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893"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99"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c>
          <w:tcPr>
            <w:tcW w:w="988" w:type="dxa"/>
            <w:tcBorders>
              <w:top w:val="nil"/>
              <w:left w:val="nil"/>
              <w:bottom w:val="nil"/>
              <w:right w:val="nil"/>
            </w:tcBorders>
            <w:shd w:val="clear" w:color="000000" w:fill="FFFFFF"/>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 </w:t>
            </w:r>
          </w:p>
        </w:tc>
      </w:tr>
    </w:tbl>
    <w:p>
      <w:pPr>
        <w:rPr>
          <w:noProof/>
          <w:szCs w:val="24"/>
          <w:lang w:val="en-IE"/>
        </w:rPr>
      </w:pPr>
    </w:p>
    <w:p>
      <w:pPr>
        <w:rPr>
          <w:noProof/>
          <w:lang w:val="en-IE"/>
        </w:rPr>
      </w:pPr>
    </w:p>
    <w:p>
      <w:pPr>
        <w:rPr>
          <w:noProof/>
          <w:lang w:val="en-IE"/>
        </w:rPr>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docGrid w:linePitch="326"/>
        </w:sectPr>
      </w:pPr>
    </w:p>
    <w:p>
      <w:pPr>
        <w:rPr>
          <w:b/>
          <w:noProof/>
          <w:szCs w:val="24"/>
          <w:lang w:val="en-IE"/>
        </w:rPr>
      </w:pPr>
      <w:r>
        <w:rPr>
          <w:b/>
          <w:noProof/>
          <w:szCs w:val="24"/>
          <w:lang w:val="en-IE"/>
        </w:rPr>
        <w:t>Annex 12: Function groups and grades of contract agents</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80"/>
        <w:gridCol w:w="1046"/>
        <w:gridCol w:w="6482"/>
      </w:tblGrid>
      <w:tr>
        <w:tc>
          <w:tcPr>
            <w:tcW w:w="1291" w:type="dxa"/>
            <w:vAlign w:val="center"/>
            <w:hideMark/>
          </w:tcPr>
          <w:p>
            <w:pPr>
              <w:spacing w:before="100" w:after="100"/>
              <w:jc w:val="center"/>
              <w:rPr>
                <w:noProof/>
                <w:color w:val="000000"/>
                <w:szCs w:val="24"/>
                <w:lang w:val="en-IE" w:eastAsia="en-GB" w:bidi="en-GB"/>
              </w:rPr>
            </w:pPr>
            <w:r>
              <w:rPr>
                <w:b/>
                <w:noProof/>
                <w:color w:val="000000"/>
                <w:szCs w:val="24"/>
                <w:lang w:val="en-IE" w:eastAsia="en-GB" w:bidi="en-GB"/>
              </w:rPr>
              <w:t>Function group</w:t>
            </w:r>
          </w:p>
        </w:tc>
        <w:tc>
          <w:tcPr>
            <w:tcW w:w="1058" w:type="dxa"/>
            <w:vAlign w:val="center"/>
            <w:hideMark/>
          </w:tcPr>
          <w:p>
            <w:pPr>
              <w:spacing w:before="100" w:after="100"/>
              <w:jc w:val="center"/>
              <w:rPr>
                <w:noProof/>
                <w:color w:val="000000"/>
                <w:szCs w:val="24"/>
                <w:lang w:val="en-IE" w:eastAsia="en-GB" w:bidi="en-GB"/>
              </w:rPr>
            </w:pPr>
            <w:r>
              <w:rPr>
                <w:b/>
                <w:noProof/>
                <w:color w:val="000000"/>
                <w:szCs w:val="24"/>
                <w:lang w:val="en-IE" w:eastAsia="en-GB" w:bidi="en-GB"/>
              </w:rPr>
              <w:t>Grade</w:t>
            </w:r>
          </w:p>
        </w:tc>
        <w:tc>
          <w:tcPr>
            <w:tcW w:w="0" w:type="auto"/>
            <w:vAlign w:val="center"/>
            <w:hideMark/>
          </w:tcPr>
          <w:p>
            <w:pPr>
              <w:spacing w:before="100" w:after="100"/>
              <w:jc w:val="center"/>
              <w:rPr>
                <w:noProof/>
                <w:color w:val="000000"/>
                <w:szCs w:val="24"/>
                <w:lang w:val="en-IE" w:eastAsia="en-GB" w:bidi="en-GB"/>
              </w:rPr>
            </w:pPr>
            <w:r>
              <w:rPr>
                <w:b/>
                <w:noProof/>
                <w:color w:val="000000"/>
                <w:szCs w:val="24"/>
                <w:lang w:val="en-IE" w:eastAsia="en-GB" w:bidi="en-GB"/>
              </w:rPr>
              <w:t>Tasks</w:t>
            </w:r>
          </w:p>
        </w:tc>
      </w:tr>
      <w:tr>
        <w:tc>
          <w:tcPr>
            <w:tcW w:w="1291" w:type="dxa"/>
            <w:vAlign w:val="center"/>
            <w:hideMark/>
          </w:tcPr>
          <w:p>
            <w:pPr>
              <w:spacing w:before="100" w:after="100"/>
              <w:ind w:left="180"/>
              <w:jc w:val="center"/>
              <w:rPr>
                <w:noProof/>
                <w:color w:val="000000"/>
                <w:szCs w:val="24"/>
                <w:lang w:val="en-IE" w:eastAsia="en-GB" w:bidi="en-GB"/>
              </w:rPr>
            </w:pPr>
            <w:r>
              <w:rPr>
                <w:b/>
                <w:noProof/>
                <w:color w:val="000000"/>
                <w:szCs w:val="24"/>
                <w:lang w:val="en-IE" w:eastAsia="en-GB" w:bidi="en-GB"/>
              </w:rPr>
              <w:t>IV</w:t>
            </w:r>
          </w:p>
        </w:tc>
        <w:tc>
          <w:tcPr>
            <w:tcW w:w="1058" w:type="dxa"/>
            <w:vAlign w:val="center"/>
            <w:hideMark/>
          </w:tcPr>
          <w:p>
            <w:pPr>
              <w:spacing w:before="100" w:after="100"/>
              <w:jc w:val="center"/>
              <w:rPr>
                <w:noProof/>
                <w:color w:val="000000"/>
                <w:szCs w:val="24"/>
                <w:lang w:val="en-IE" w:eastAsia="en-GB" w:bidi="en-GB"/>
              </w:rPr>
            </w:pPr>
            <w:r>
              <w:rPr>
                <w:noProof/>
                <w:color w:val="000000"/>
                <w:szCs w:val="24"/>
                <w:lang w:val="en-IE" w:eastAsia="en-GB" w:bidi="en-GB"/>
              </w:rPr>
              <w:t>13 to 18</w:t>
            </w:r>
          </w:p>
        </w:tc>
        <w:tc>
          <w:tcPr>
            <w:tcW w:w="6650" w:type="dxa"/>
            <w:vAlign w:val="center"/>
            <w:hideMark/>
          </w:tcPr>
          <w:p>
            <w:pPr>
              <w:spacing w:before="100" w:after="100"/>
              <w:rPr>
                <w:noProof/>
                <w:color w:val="000000"/>
                <w:szCs w:val="24"/>
                <w:lang w:val="en-IE" w:eastAsia="en-GB" w:bidi="en-GB"/>
              </w:rPr>
            </w:pPr>
            <w:r>
              <w:rPr>
                <w:noProof/>
                <w:color w:val="000000"/>
                <w:szCs w:val="24"/>
                <w:lang w:val="en-IE" w:eastAsia="en-GB" w:bidi="en-GB"/>
              </w:rPr>
              <w:t>Administrative, advisory, linguistic and equivalent technical tasks, performed under the supervision of officials or temporary staff</w:t>
            </w:r>
          </w:p>
        </w:tc>
      </w:tr>
      <w:tr>
        <w:tc>
          <w:tcPr>
            <w:tcW w:w="1291" w:type="dxa"/>
            <w:vAlign w:val="center"/>
            <w:hideMark/>
          </w:tcPr>
          <w:p>
            <w:pPr>
              <w:spacing w:before="100" w:after="100"/>
              <w:ind w:left="180"/>
              <w:jc w:val="center"/>
              <w:rPr>
                <w:noProof/>
                <w:color w:val="000000"/>
                <w:szCs w:val="24"/>
                <w:lang w:val="en-IE" w:eastAsia="en-GB" w:bidi="en-GB"/>
              </w:rPr>
            </w:pPr>
            <w:r>
              <w:rPr>
                <w:b/>
                <w:noProof/>
                <w:color w:val="000000"/>
                <w:szCs w:val="24"/>
                <w:lang w:val="en-IE" w:eastAsia="en-GB" w:bidi="en-GB"/>
              </w:rPr>
              <w:t>III</w:t>
            </w:r>
          </w:p>
        </w:tc>
        <w:tc>
          <w:tcPr>
            <w:tcW w:w="1058" w:type="dxa"/>
            <w:vAlign w:val="center"/>
            <w:hideMark/>
          </w:tcPr>
          <w:p>
            <w:pPr>
              <w:spacing w:before="100" w:after="100"/>
              <w:jc w:val="center"/>
              <w:rPr>
                <w:noProof/>
                <w:color w:val="000000"/>
                <w:szCs w:val="24"/>
                <w:lang w:val="en-IE" w:eastAsia="en-GB" w:bidi="en-GB"/>
              </w:rPr>
            </w:pPr>
            <w:r>
              <w:rPr>
                <w:noProof/>
                <w:color w:val="000000"/>
                <w:szCs w:val="24"/>
                <w:lang w:val="en-IE" w:eastAsia="en-GB" w:bidi="en-GB"/>
              </w:rPr>
              <w:t>8 to 12</w:t>
            </w:r>
          </w:p>
        </w:tc>
        <w:tc>
          <w:tcPr>
            <w:tcW w:w="6650" w:type="dxa"/>
            <w:vAlign w:val="center"/>
            <w:hideMark/>
          </w:tcPr>
          <w:p>
            <w:pPr>
              <w:spacing w:before="100" w:after="100"/>
              <w:rPr>
                <w:noProof/>
                <w:color w:val="000000"/>
                <w:szCs w:val="24"/>
                <w:lang w:val="en-IE" w:eastAsia="en-GB" w:bidi="en-GB"/>
              </w:rPr>
            </w:pPr>
            <w:r>
              <w:rPr>
                <w:noProof/>
                <w:color w:val="000000"/>
                <w:szCs w:val="24"/>
                <w:lang w:val="en-IE" w:eastAsia="en-GB" w:bidi="en-GB"/>
              </w:rPr>
              <w:t>Executive tasks, drafting, accountancy and other equivalent technical tasks, performed under the supervision of officials or temporary staff</w:t>
            </w:r>
          </w:p>
        </w:tc>
      </w:tr>
      <w:tr>
        <w:tc>
          <w:tcPr>
            <w:tcW w:w="1291" w:type="dxa"/>
            <w:vAlign w:val="center"/>
            <w:hideMark/>
          </w:tcPr>
          <w:p>
            <w:pPr>
              <w:spacing w:before="100" w:after="100"/>
              <w:ind w:left="180"/>
              <w:jc w:val="center"/>
              <w:rPr>
                <w:noProof/>
                <w:color w:val="000000"/>
                <w:szCs w:val="24"/>
                <w:lang w:val="en-IE" w:eastAsia="en-GB" w:bidi="en-GB"/>
              </w:rPr>
            </w:pPr>
            <w:r>
              <w:rPr>
                <w:b/>
                <w:noProof/>
                <w:color w:val="000000"/>
                <w:szCs w:val="24"/>
                <w:lang w:val="en-IE" w:eastAsia="en-GB" w:bidi="en-GB"/>
              </w:rPr>
              <w:t>II</w:t>
            </w:r>
          </w:p>
        </w:tc>
        <w:tc>
          <w:tcPr>
            <w:tcW w:w="1058" w:type="dxa"/>
            <w:vAlign w:val="center"/>
            <w:hideMark/>
          </w:tcPr>
          <w:p>
            <w:pPr>
              <w:spacing w:before="100" w:after="100"/>
              <w:jc w:val="center"/>
              <w:rPr>
                <w:noProof/>
                <w:color w:val="000000"/>
                <w:szCs w:val="24"/>
                <w:lang w:val="en-IE" w:eastAsia="en-GB" w:bidi="en-GB"/>
              </w:rPr>
            </w:pPr>
            <w:r>
              <w:rPr>
                <w:noProof/>
                <w:color w:val="000000"/>
                <w:szCs w:val="24"/>
                <w:lang w:val="en-IE" w:eastAsia="en-GB" w:bidi="en-GB"/>
              </w:rPr>
              <w:t>4 to 7</w:t>
            </w:r>
          </w:p>
        </w:tc>
        <w:tc>
          <w:tcPr>
            <w:tcW w:w="6650" w:type="dxa"/>
            <w:vAlign w:val="center"/>
            <w:hideMark/>
          </w:tcPr>
          <w:p>
            <w:pPr>
              <w:spacing w:before="100" w:after="100"/>
              <w:rPr>
                <w:noProof/>
                <w:color w:val="000000"/>
                <w:szCs w:val="24"/>
                <w:lang w:val="en-IE" w:eastAsia="en-GB" w:bidi="en-GB"/>
              </w:rPr>
            </w:pPr>
            <w:r>
              <w:rPr>
                <w:noProof/>
                <w:color w:val="000000"/>
                <w:szCs w:val="24"/>
                <w:lang w:val="en-IE" w:eastAsia="en-GB" w:bidi="en-GB"/>
              </w:rPr>
              <w:t>Clerical and secretarial tasks, office management and other equivalent tasks, performed under the supervision of officials or temporary staff</w:t>
            </w:r>
          </w:p>
        </w:tc>
      </w:tr>
      <w:tr>
        <w:tc>
          <w:tcPr>
            <w:tcW w:w="1291" w:type="dxa"/>
            <w:vAlign w:val="center"/>
            <w:hideMark/>
          </w:tcPr>
          <w:p>
            <w:pPr>
              <w:spacing w:before="100" w:after="100"/>
              <w:ind w:left="180"/>
              <w:jc w:val="center"/>
              <w:rPr>
                <w:noProof/>
                <w:color w:val="000000"/>
                <w:szCs w:val="24"/>
                <w:lang w:val="en-IE" w:eastAsia="en-GB" w:bidi="en-GB"/>
              </w:rPr>
            </w:pPr>
            <w:r>
              <w:rPr>
                <w:b/>
                <w:noProof/>
                <w:color w:val="000000"/>
                <w:szCs w:val="24"/>
                <w:lang w:val="en-IE" w:eastAsia="en-GB" w:bidi="en-GB"/>
              </w:rPr>
              <w:t>I</w:t>
            </w:r>
          </w:p>
        </w:tc>
        <w:tc>
          <w:tcPr>
            <w:tcW w:w="1058" w:type="dxa"/>
            <w:vAlign w:val="center"/>
            <w:hideMark/>
          </w:tcPr>
          <w:p>
            <w:pPr>
              <w:spacing w:before="100" w:after="100"/>
              <w:jc w:val="center"/>
              <w:rPr>
                <w:noProof/>
                <w:color w:val="000000"/>
                <w:szCs w:val="24"/>
                <w:lang w:val="en-IE" w:eastAsia="en-GB" w:bidi="en-GB"/>
              </w:rPr>
            </w:pPr>
            <w:r>
              <w:rPr>
                <w:noProof/>
                <w:color w:val="000000"/>
                <w:szCs w:val="24"/>
                <w:lang w:val="en-IE" w:eastAsia="en-GB" w:bidi="en-GB"/>
              </w:rPr>
              <w:t>1 to 3</w:t>
            </w:r>
          </w:p>
        </w:tc>
        <w:tc>
          <w:tcPr>
            <w:tcW w:w="6650" w:type="dxa"/>
            <w:vAlign w:val="center"/>
            <w:hideMark/>
          </w:tcPr>
          <w:p>
            <w:pPr>
              <w:spacing w:before="100" w:after="100"/>
              <w:rPr>
                <w:noProof/>
                <w:color w:val="000000"/>
                <w:szCs w:val="24"/>
                <w:lang w:val="en-IE" w:eastAsia="en-GB" w:bidi="en-GB"/>
              </w:rPr>
            </w:pPr>
            <w:r>
              <w:rPr>
                <w:noProof/>
                <w:color w:val="000000"/>
                <w:szCs w:val="24"/>
                <w:lang w:val="en-IE" w:eastAsia="en-GB" w:bidi="en-GB"/>
              </w:rPr>
              <w:t>Manual and administrative support service tasks, performed under the supervision of officials or temporary staff.</w:t>
            </w:r>
          </w:p>
        </w:tc>
      </w:tr>
    </w:tbl>
    <w:p>
      <w:pPr>
        <w:rPr>
          <w:b/>
          <w:noProof/>
          <w:szCs w:val="24"/>
          <w:lang w:val="en-IE"/>
        </w:rPr>
      </w:pPr>
    </w:p>
    <w:p>
      <w:pPr>
        <w:spacing w:after="0"/>
        <w:rPr>
          <w:b/>
          <w:noProof/>
          <w:lang w:val="en-IE"/>
        </w:rPr>
      </w:pPr>
      <w:r>
        <w:rPr>
          <w:b/>
          <w:noProof/>
          <w:lang w:val="en-IE"/>
        </w:rPr>
        <w:t>Annex 13: Grades and profiles open to contract agents in the 2016 and 2018 competitions</w:t>
      </w:r>
    </w:p>
    <w:p>
      <w:pPr>
        <w:spacing w:after="0"/>
        <w:jc w:val="left"/>
        <w:rPr>
          <w:noProof/>
          <w:lang w:val="en-IE"/>
        </w:rPr>
      </w:pPr>
    </w:p>
    <w:tbl>
      <w:tblPr>
        <w:tblW w:w="9346" w:type="dxa"/>
        <w:tblInd w:w="118" w:type="dxa"/>
        <w:tblLook w:val="04A0" w:firstRow="1" w:lastRow="0" w:firstColumn="1" w:lastColumn="0" w:noHBand="0" w:noVBand="1"/>
      </w:tblPr>
      <w:tblGrid>
        <w:gridCol w:w="1177"/>
        <w:gridCol w:w="4489"/>
        <w:gridCol w:w="2272"/>
        <w:gridCol w:w="1408"/>
      </w:tblGrid>
      <w:tr>
        <w:trPr>
          <w:trHeight w:val="590"/>
        </w:trPr>
        <w:tc>
          <w:tcPr>
            <w:tcW w:w="9346" w:type="dxa"/>
            <w:gridSpan w:val="4"/>
            <w:tcBorders>
              <w:top w:val="single" w:sz="8" w:space="0" w:color="auto"/>
              <w:left w:val="single" w:sz="8" w:space="0" w:color="auto"/>
              <w:bottom w:val="single" w:sz="8" w:space="0" w:color="auto"/>
              <w:right w:val="single" w:sz="8" w:space="0" w:color="auto"/>
            </w:tcBorders>
            <w:shd w:val="clear" w:color="auto" w:fill="E7E6E6" w:themeFill="background2"/>
            <w:vAlign w:val="center"/>
          </w:tcPr>
          <w:p>
            <w:pPr>
              <w:spacing w:after="0"/>
              <w:jc w:val="center"/>
              <w:rPr>
                <w:b/>
                <w:bCs/>
                <w:noProof/>
                <w:color w:val="000000"/>
                <w:szCs w:val="24"/>
                <w:lang w:val="en-IE" w:eastAsia="en-IE"/>
              </w:rPr>
            </w:pPr>
            <w:r>
              <w:rPr>
                <w:b/>
                <w:bCs/>
                <w:noProof/>
                <w:color w:val="000000"/>
                <w:szCs w:val="24"/>
                <w:lang w:val="en-IE" w:eastAsia="en-IE"/>
              </w:rPr>
              <w:t>2016</w:t>
            </w:r>
          </w:p>
        </w:tc>
      </w:tr>
      <w:tr>
        <w:trPr>
          <w:trHeight w:val="590"/>
        </w:trPr>
        <w:tc>
          <w:tcPr>
            <w:tcW w:w="1177"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Grade</w:t>
            </w:r>
          </w:p>
        </w:tc>
        <w:tc>
          <w:tcPr>
            <w:tcW w:w="4489" w:type="dxa"/>
            <w:tcBorders>
              <w:top w:val="single" w:sz="8" w:space="0" w:color="auto"/>
              <w:left w:val="nil"/>
              <w:bottom w:val="single" w:sz="8" w:space="0" w:color="auto"/>
              <w:right w:val="single" w:sz="4"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Domain</w:t>
            </w:r>
          </w:p>
        </w:tc>
        <w:tc>
          <w:tcPr>
            <w:tcW w:w="2272" w:type="dxa"/>
            <w:tcBorders>
              <w:top w:val="single" w:sz="8" w:space="0" w:color="auto"/>
              <w:left w:val="nil"/>
              <w:bottom w:val="single" w:sz="8" w:space="0" w:color="auto"/>
              <w:right w:val="single" w:sz="8"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Contract agents - laureates</w:t>
            </w:r>
          </w:p>
        </w:tc>
        <w:tc>
          <w:tcPr>
            <w:tcW w:w="1408" w:type="dxa"/>
            <w:tcBorders>
              <w:top w:val="single" w:sz="8" w:space="0" w:color="auto"/>
              <w:left w:val="nil"/>
              <w:bottom w:val="single" w:sz="8" w:space="0" w:color="auto"/>
              <w:right w:val="single" w:sz="8" w:space="0" w:color="auto"/>
            </w:tcBorders>
          </w:tcPr>
          <w:p>
            <w:pPr>
              <w:spacing w:after="0"/>
              <w:jc w:val="center"/>
              <w:rPr>
                <w:b/>
                <w:bCs/>
                <w:noProof/>
                <w:color w:val="000000"/>
                <w:szCs w:val="24"/>
                <w:lang w:val="en-IE" w:eastAsia="en-IE"/>
              </w:rPr>
            </w:pPr>
            <w:r>
              <w:rPr>
                <w:b/>
                <w:bCs/>
                <w:noProof/>
                <w:color w:val="000000"/>
                <w:szCs w:val="24"/>
                <w:lang w:val="en-IE" w:eastAsia="en-IE"/>
              </w:rPr>
              <w:t>Total Laureates</w:t>
            </w:r>
          </w:p>
        </w:tc>
      </w:tr>
      <w:tr>
        <w:trPr>
          <w:trHeight w:val="300"/>
        </w:trPr>
        <w:tc>
          <w:tcPr>
            <w:tcW w:w="1177" w:type="dxa"/>
            <w:tcBorders>
              <w:top w:val="nil"/>
              <w:left w:val="single" w:sz="8" w:space="0" w:color="auto"/>
              <w:bottom w:val="single" w:sz="8" w:space="0" w:color="auto"/>
              <w:right w:val="single" w:sz="8" w:space="0" w:color="auto"/>
            </w:tcBorders>
            <w:shd w:val="clear" w:color="auto" w:fill="auto"/>
            <w:noWrap/>
            <w:vAlign w:val="center"/>
          </w:tcPr>
          <w:p>
            <w:pPr>
              <w:spacing w:after="0"/>
              <w:jc w:val="center"/>
              <w:rPr>
                <w:b/>
                <w:bCs/>
                <w:noProof/>
                <w:color w:val="000000"/>
                <w:szCs w:val="24"/>
                <w:lang w:val="en-IE" w:eastAsia="en-IE"/>
              </w:rPr>
            </w:pPr>
            <w:r>
              <w:rPr>
                <w:b/>
                <w:bCs/>
                <w:noProof/>
                <w:color w:val="000000"/>
                <w:szCs w:val="24"/>
                <w:lang w:val="en-IE" w:eastAsia="en-IE"/>
              </w:rPr>
              <w:t>AD 6</w:t>
            </w:r>
          </w:p>
        </w:tc>
        <w:tc>
          <w:tcPr>
            <w:tcW w:w="4489" w:type="dxa"/>
            <w:tcBorders>
              <w:top w:val="single" w:sz="8" w:space="0" w:color="auto"/>
              <w:left w:val="nil"/>
              <w:bottom w:val="single" w:sz="8" w:space="0" w:color="auto"/>
              <w:right w:val="single" w:sz="4" w:space="0" w:color="auto"/>
            </w:tcBorders>
            <w:shd w:val="clear" w:color="auto" w:fill="auto"/>
            <w:noWrap/>
            <w:vAlign w:val="bottom"/>
          </w:tcPr>
          <w:p>
            <w:pPr>
              <w:spacing w:after="0"/>
              <w:jc w:val="center"/>
              <w:rPr>
                <w:noProof/>
                <w:color w:val="000000"/>
                <w:szCs w:val="24"/>
                <w:lang w:val="en-IE" w:eastAsia="en-IE"/>
              </w:rPr>
            </w:pPr>
            <w:r>
              <w:rPr>
                <w:noProof/>
                <w:color w:val="000000"/>
                <w:szCs w:val="24"/>
                <w:lang w:val="en-IE" w:eastAsia="en-IE"/>
              </w:rPr>
              <w:t>European Public Administration</w:t>
            </w:r>
          </w:p>
        </w:tc>
        <w:tc>
          <w:tcPr>
            <w:tcW w:w="2272" w:type="dxa"/>
            <w:tcBorders>
              <w:top w:val="nil"/>
              <w:left w:val="nil"/>
              <w:bottom w:val="single" w:sz="8" w:space="0" w:color="auto"/>
              <w:right w:val="single" w:sz="8" w:space="0" w:color="auto"/>
            </w:tcBorders>
            <w:shd w:val="clear" w:color="auto" w:fill="auto"/>
            <w:noWrap/>
            <w:vAlign w:val="center"/>
          </w:tcPr>
          <w:p>
            <w:pPr>
              <w:spacing w:after="0"/>
              <w:jc w:val="center"/>
              <w:rPr>
                <w:noProof/>
                <w:color w:val="000000"/>
                <w:szCs w:val="24"/>
                <w:lang w:val="en-IE" w:eastAsia="en-IE"/>
              </w:rPr>
            </w:pPr>
            <w:r>
              <w:rPr>
                <w:noProof/>
                <w:color w:val="000000"/>
                <w:szCs w:val="24"/>
                <w:lang w:val="en-IE" w:eastAsia="en-IE"/>
              </w:rPr>
              <w:t>28</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35</w:t>
            </w:r>
          </w:p>
        </w:tc>
      </w:tr>
      <w:tr>
        <w:trPr>
          <w:trHeight w:val="300"/>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lang w:val="en-IE" w:eastAsia="en-IE"/>
              </w:rPr>
            </w:pPr>
            <w:r>
              <w:rPr>
                <w:b/>
                <w:bCs/>
                <w:noProof/>
                <w:color w:val="000000"/>
                <w:szCs w:val="24"/>
                <w:lang w:val="en-IE" w:eastAsia="en-IE"/>
              </w:rPr>
              <w:t xml:space="preserve">AST 2 </w:t>
            </w:r>
          </w:p>
        </w:tc>
        <w:tc>
          <w:tcPr>
            <w:tcW w:w="4489"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Administrative and technical assistance</w:t>
            </w:r>
          </w:p>
        </w:tc>
        <w:tc>
          <w:tcPr>
            <w:tcW w:w="2272"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19</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20</w:t>
            </w:r>
          </w:p>
        </w:tc>
      </w:tr>
      <w:tr>
        <w:trPr>
          <w:trHeight w:val="300"/>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lang w:val="en-IE" w:eastAsia="en-IE"/>
              </w:rPr>
            </w:pPr>
            <w:r>
              <w:rPr>
                <w:b/>
                <w:bCs/>
                <w:noProof/>
                <w:color w:val="000000"/>
                <w:szCs w:val="24"/>
                <w:lang w:val="en-IE" w:eastAsia="en-IE"/>
              </w:rPr>
              <w:t xml:space="preserve">AST/SC2 </w:t>
            </w:r>
          </w:p>
        </w:tc>
        <w:tc>
          <w:tcPr>
            <w:tcW w:w="4489" w:type="dxa"/>
            <w:tcBorders>
              <w:top w:val="nil"/>
              <w:left w:val="nil"/>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Administrative support</w:t>
            </w:r>
          </w:p>
        </w:tc>
        <w:tc>
          <w:tcPr>
            <w:tcW w:w="2272"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32</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38</w:t>
            </w:r>
          </w:p>
        </w:tc>
      </w:tr>
    </w:tbl>
    <w:p>
      <w:pPr>
        <w:spacing w:after="0"/>
        <w:jc w:val="left"/>
        <w:rPr>
          <w:noProof/>
          <w:lang w:val="en-IE"/>
        </w:rPr>
      </w:pPr>
    </w:p>
    <w:p>
      <w:pPr>
        <w:spacing w:after="0"/>
        <w:jc w:val="left"/>
        <w:rPr>
          <w:noProof/>
          <w:lang w:val="en-IE"/>
        </w:rPr>
      </w:pPr>
    </w:p>
    <w:tbl>
      <w:tblPr>
        <w:tblW w:w="9346" w:type="dxa"/>
        <w:tblInd w:w="118" w:type="dxa"/>
        <w:tblLook w:val="04A0" w:firstRow="1" w:lastRow="0" w:firstColumn="1" w:lastColumn="0" w:noHBand="0" w:noVBand="1"/>
      </w:tblPr>
      <w:tblGrid>
        <w:gridCol w:w="1177"/>
        <w:gridCol w:w="4489"/>
        <w:gridCol w:w="2272"/>
        <w:gridCol w:w="1408"/>
      </w:tblGrid>
      <w:tr>
        <w:trPr>
          <w:trHeight w:val="590"/>
        </w:trPr>
        <w:tc>
          <w:tcPr>
            <w:tcW w:w="9346" w:type="dxa"/>
            <w:gridSpan w:val="4"/>
            <w:tcBorders>
              <w:top w:val="single" w:sz="8" w:space="0" w:color="auto"/>
              <w:left w:val="single" w:sz="8" w:space="0" w:color="auto"/>
              <w:bottom w:val="single" w:sz="8" w:space="0" w:color="auto"/>
              <w:right w:val="single" w:sz="8" w:space="0" w:color="auto"/>
            </w:tcBorders>
            <w:shd w:val="clear" w:color="auto" w:fill="E7E6E6" w:themeFill="background2"/>
            <w:vAlign w:val="center"/>
          </w:tcPr>
          <w:p>
            <w:pPr>
              <w:spacing w:after="0"/>
              <w:jc w:val="center"/>
              <w:rPr>
                <w:b/>
                <w:bCs/>
                <w:noProof/>
                <w:color w:val="000000"/>
                <w:szCs w:val="24"/>
                <w:lang w:val="en-IE" w:eastAsia="en-IE"/>
              </w:rPr>
            </w:pPr>
            <w:r>
              <w:rPr>
                <w:b/>
                <w:bCs/>
                <w:noProof/>
                <w:color w:val="000000"/>
                <w:szCs w:val="24"/>
                <w:lang w:val="en-IE" w:eastAsia="en-IE"/>
              </w:rPr>
              <w:t>2018</w:t>
            </w:r>
          </w:p>
        </w:tc>
      </w:tr>
      <w:tr>
        <w:trPr>
          <w:trHeight w:val="590"/>
        </w:trPr>
        <w:tc>
          <w:tcPr>
            <w:tcW w:w="1177"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Grade</w:t>
            </w:r>
          </w:p>
        </w:tc>
        <w:tc>
          <w:tcPr>
            <w:tcW w:w="4489" w:type="dxa"/>
            <w:tcBorders>
              <w:top w:val="single" w:sz="8" w:space="0" w:color="auto"/>
              <w:left w:val="nil"/>
              <w:bottom w:val="single" w:sz="8" w:space="0" w:color="auto"/>
              <w:right w:val="single" w:sz="4"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Domain</w:t>
            </w:r>
          </w:p>
        </w:tc>
        <w:tc>
          <w:tcPr>
            <w:tcW w:w="2272" w:type="dxa"/>
            <w:tcBorders>
              <w:top w:val="single" w:sz="8" w:space="0" w:color="auto"/>
              <w:left w:val="nil"/>
              <w:bottom w:val="single" w:sz="8" w:space="0" w:color="auto"/>
              <w:right w:val="single" w:sz="8" w:space="0" w:color="auto"/>
            </w:tcBorders>
            <w:shd w:val="clear" w:color="auto" w:fill="auto"/>
            <w:vAlign w:val="center"/>
            <w:hideMark/>
          </w:tcPr>
          <w:p>
            <w:pPr>
              <w:spacing w:after="0"/>
              <w:jc w:val="center"/>
              <w:rPr>
                <w:b/>
                <w:bCs/>
                <w:noProof/>
                <w:color w:val="000000"/>
                <w:szCs w:val="24"/>
                <w:lang w:val="en-IE" w:eastAsia="en-IE"/>
              </w:rPr>
            </w:pPr>
            <w:r>
              <w:rPr>
                <w:b/>
                <w:bCs/>
                <w:noProof/>
                <w:color w:val="000000"/>
                <w:szCs w:val="24"/>
                <w:lang w:val="en-IE" w:eastAsia="en-IE"/>
              </w:rPr>
              <w:t>Contract agents - laureates</w:t>
            </w:r>
          </w:p>
        </w:tc>
        <w:tc>
          <w:tcPr>
            <w:tcW w:w="1408" w:type="dxa"/>
            <w:tcBorders>
              <w:top w:val="single" w:sz="8" w:space="0" w:color="auto"/>
              <w:left w:val="nil"/>
              <w:bottom w:val="single" w:sz="8" w:space="0" w:color="auto"/>
              <w:right w:val="single" w:sz="8" w:space="0" w:color="auto"/>
            </w:tcBorders>
          </w:tcPr>
          <w:p>
            <w:pPr>
              <w:spacing w:after="0"/>
              <w:jc w:val="center"/>
              <w:rPr>
                <w:b/>
                <w:bCs/>
                <w:noProof/>
                <w:color w:val="000000"/>
                <w:szCs w:val="24"/>
                <w:lang w:val="en-IE" w:eastAsia="en-IE"/>
              </w:rPr>
            </w:pPr>
            <w:r>
              <w:rPr>
                <w:b/>
                <w:bCs/>
                <w:noProof/>
                <w:color w:val="000000"/>
                <w:szCs w:val="24"/>
                <w:lang w:val="en-IE" w:eastAsia="en-IE"/>
              </w:rPr>
              <w:t>Total Laureates</w:t>
            </w:r>
          </w:p>
        </w:tc>
      </w:tr>
      <w:tr>
        <w:trPr>
          <w:trHeight w:val="290"/>
        </w:trPr>
        <w:tc>
          <w:tcPr>
            <w:tcW w:w="1177"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spacing w:after="0"/>
              <w:jc w:val="center"/>
              <w:rPr>
                <w:b/>
                <w:bCs/>
                <w:noProof/>
                <w:color w:val="000000"/>
                <w:szCs w:val="24"/>
                <w:lang w:val="en-IE" w:eastAsia="en-IE"/>
              </w:rPr>
            </w:pPr>
            <w:r>
              <w:rPr>
                <w:b/>
                <w:bCs/>
                <w:noProof/>
                <w:color w:val="000000"/>
                <w:szCs w:val="24"/>
                <w:lang w:val="en-IE" w:eastAsia="en-IE"/>
              </w:rPr>
              <w:t xml:space="preserve">AD 6 </w:t>
            </w:r>
          </w:p>
        </w:tc>
        <w:tc>
          <w:tcPr>
            <w:tcW w:w="4489" w:type="dxa"/>
            <w:tcBorders>
              <w:top w:val="single" w:sz="8" w:space="0" w:color="auto"/>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European Public Administration</w:t>
            </w:r>
          </w:p>
        </w:tc>
        <w:tc>
          <w:tcPr>
            <w:tcW w:w="2272" w:type="dxa"/>
            <w:tcBorders>
              <w:top w:val="nil"/>
              <w:left w:val="nil"/>
              <w:bottom w:val="single" w:sz="4"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14</w:t>
            </w:r>
          </w:p>
        </w:tc>
        <w:tc>
          <w:tcPr>
            <w:tcW w:w="1408" w:type="dxa"/>
            <w:tcBorders>
              <w:top w:val="nil"/>
              <w:left w:val="nil"/>
              <w:bottom w:val="single" w:sz="4"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34</w:t>
            </w:r>
          </w:p>
        </w:tc>
      </w:tr>
      <w:tr>
        <w:trPr>
          <w:trHeight w:val="290"/>
        </w:trPr>
        <w:tc>
          <w:tcPr>
            <w:tcW w:w="1177" w:type="dxa"/>
            <w:vMerge/>
            <w:tcBorders>
              <w:top w:val="nil"/>
              <w:left w:val="single" w:sz="8" w:space="0" w:color="auto"/>
              <w:bottom w:val="single" w:sz="8" w:space="0" w:color="000000"/>
              <w:right w:val="single" w:sz="8" w:space="0" w:color="auto"/>
            </w:tcBorders>
            <w:shd w:val="clear" w:color="auto" w:fill="auto"/>
            <w:vAlign w:val="center"/>
            <w:hideMark/>
          </w:tcPr>
          <w:p>
            <w:pPr>
              <w:spacing w:after="0"/>
              <w:jc w:val="left"/>
              <w:rPr>
                <w:b/>
                <w:bCs/>
                <w:noProof/>
                <w:color w:val="000000"/>
                <w:szCs w:val="24"/>
                <w:lang w:val="en-IE" w:eastAsia="en-IE"/>
              </w:rPr>
            </w:pPr>
          </w:p>
        </w:tc>
        <w:tc>
          <w:tcPr>
            <w:tcW w:w="4489"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Development and cooperation</w:t>
            </w:r>
          </w:p>
        </w:tc>
        <w:tc>
          <w:tcPr>
            <w:tcW w:w="2272" w:type="dxa"/>
            <w:tcBorders>
              <w:top w:val="nil"/>
              <w:left w:val="nil"/>
              <w:bottom w:val="single" w:sz="4"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16</w:t>
            </w:r>
          </w:p>
        </w:tc>
        <w:tc>
          <w:tcPr>
            <w:tcW w:w="1408" w:type="dxa"/>
            <w:tcBorders>
              <w:top w:val="nil"/>
              <w:left w:val="nil"/>
              <w:bottom w:val="single" w:sz="4"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23</w:t>
            </w:r>
          </w:p>
        </w:tc>
      </w:tr>
      <w:tr>
        <w:trPr>
          <w:trHeight w:val="300"/>
        </w:trPr>
        <w:tc>
          <w:tcPr>
            <w:tcW w:w="1177" w:type="dxa"/>
            <w:vMerge/>
            <w:tcBorders>
              <w:top w:val="nil"/>
              <w:left w:val="single" w:sz="8" w:space="0" w:color="auto"/>
              <w:bottom w:val="single" w:sz="8" w:space="0" w:color="000000"/>
              <w:right w:val="single" w:sz="8" w:space="0" w:color="auto"/>
            </w:tcBorders>
            <w:shd w:val="clear" w:color="auto" w:fill="auto"/>
            <w:vAlign w:val="center"/>
            <w:hideMark/>
          </w:tcPr>
          <w:p>
            <w:pPr>
              <w:spacing w:after="0"/>
              <w:jc w:val="left"/>
              <w:rPr>
                <w:b/>
                <w:bCs/>
                <w:noProof/>
                <w:color w:val="000000"/>
                <w:szCs w:val="24"/>
                <w:lang w:val="en-IE" w:eastAsia="en-IE"/>
              </w:rPr>
            </w:pPr>
          </w:p>
        </w:tc>
        <w:tc>
          <w:tcPr>
            <w:tcW w:w="4489" w:type="dxa"/>
            <w:tcBorders>
              <w:top w:val="single" w:sz="4"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Research</w:t>
            </w:r>
          </w:p>
        </w:tc>
        <w:tc>
          <w:tcPr>
            <w:tcW w:w="2272"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14</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23</w:t>
            </w:r>
          </w:p>
        </w:tc>
      </w:tr>
      <w:tr>
        <w:trPr>
          <w:trHeight w:val="300"/>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lang w:val="en-IE" w:eastAsia="en-IE"/>
              </w:rPr>
            </w:pPr>
            <w:r>
              <w:rPr>
                <w:b/>
                <w:bCs/>
                <w:noProof/>
                <w:color w:val="000000"/>
                <w:szCs w:val="24"/>
                <w:lang w:val="en-IE" w:eastAsia="en-IE"/>
              </w:rPr>
              <w:t xml:space="preserve">AST 2 </w:t>
            </w:r>
          </w:p>
        </w:tc>
        <w:tc>
          <w:tcPr>
            <w:tcW w:w="4489"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Administrative and technical assistance</w:t>
            </w:r>
          </w:p>
        </w:tc>
        <w:tc>
          <w:tcPr>
            <w:tcW w:w="2272"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15</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23</w:t>
            </w:r>
          </w:p>
        </w:tc>
      </w:tr>
      <w:tr>
        <w:trPr>
          <w:trHeight w:val="300"/>
        </w:trPr>
        <w:tc>
          <w:tcPr>
            <w:tcW w:w="1177" w:type="dxa"/>
            <w:tcBorders>
              <w:top w:val="nil"/>
              <w:left w:val="single" w:sz="8" w:space="0" w:color="auto"/>
              <w:bottom w:val="single" w:sz="8" w:space="0" w:color="auto"/>
              <w:right w:val="single" w:sz="8" w:space="0" w:color="auto"/>
            </w:tcBorders>
            <w:shd w:val="clear" w:color="auto" w:fill="auto"/>
            <w:noWrap/>
            <w:vAlign w:val="center"/>
            <w:hideMark/>
          </w:tcPr>
          <w:p>
            <w:pPr>
              <w:spacing w:after="0"/>
              <w:jc w:val="center"/>
              <w:rPr>
                <w:b/>
                <w:bCs/>
                <w:noProof/>
                <w:color w:val="000000"/>
                <w:szCs w:val="24"/>
                <w:lang w:val="en-IE" w:eastAsia="en-IE"/>
              </w:rPr>
            </w:pPr>
            <w:r>
              <w:rPr>
                <w:b/>
                <w:bCs/>
                <w:noProof/>
                <w:color w:val="000000"/>
                <w:szCs w:val="24"/>
                <w:lang w:val="en-IE" w:eastAsia="en-IE"/>
              </w:rPr>
              <w:t xml:space="preserve">AST/SC2 </w:t>
            </w:r>
          </w:p>
        </w:tc>
        <w:tc>
          <w:tcPr>
            <w:tcW w:w="4489" w:type="dxa"/>
            <w:tcBorders>
              <w:top w:val="nil"/>
              <w:left w:val="nil"/>
              <w:bottom w:val="single" w:sz="8" w:space="0" w:color="auto"/>
              <w:right w:val="single" w:sz="4" w:space="0" w:color="auto"/>
            </w:tcBorders>
            <w:shd w:val="clear" w:color="auto" w:fill="auto"/>
            <w:noWrap/>
            <w:vAlign w:val="bottom"/>
            <w:hideMark/>
          </w:tcPr>
          <w:p>
            <w:pPr>
              <w:spacing w:after="0"/>
              <w:jc w:val="center"/>
              <w:rPr>
                <w:noProof/>
                <w:color w:val="000000"/>
                <w:szCs w:val="24"/>
                <w:lang w:val="en-IE" w:eastAsia="en-IE"/>
              </w:rPr>
            </w:pPr>
            <w:r>
              <w:rPr>
                <w:noProof/>
                <w:color w:val="000000"/>
                <w:szCs w:val="24"/>
                <w:lang w:val="en-IE" w:eastAsia="en-IE"/>
              </w:rPr>
              <w:t>Administrative support</w:t>
            </w:r>
          </w:p>
        </w:tc>
        <w:tc>
          <w:tcPr>
            <w:tcW w:w="2272" w:type="dxa"/>
            <w:tcBorders>
              <w:top w:val="nil"/>
              <w:left w:val="nil"/>
              <w:bottom w:val="single" w:sz="8" w:space="0" w:color="auto"/>
              <w:right w:val="single" w:sz="8" w:space="0" w:color="auto"/>
            </w:tcBorders>
            <w:shd w:val="clear" w:color="auto" w:fill="auto"/>
            <w:noWrap/>
            <w:vAlign w:val="center"/>
            <w:hideMark/>
          </w:tcPr>
          <w:p>
            <w:pPr>
              <w:spacing w:after="0"/>
              <w:jc w:val="center"/>
              <w:rPr>
                <w:noProof/>
                <w:color w:val="000000"/>
                <w:szCs w:val="24"/>
                <w:lang w:val="en-IE" w:eastAsia="en-IE"/>
              </w:rPr>
            </w:pPr>
            <w:r>
              <w:rPr>
                <w:noProof/>
                <w:color w:val="000000"/>
                <w:szCs w:val="24"/>
                <w:lang w:val="en-IE" w:eastAsia="en-IE"/>
              </w:rPr>
              <w:t>14</w:t>
            </w:r>
          </w:p>
        </w:tc>
        <w:tc>
          <w:tcPr>
            <w:tcW w:w="1408" w:type="dxa"/>
            <w:tcBorders>
              <w:top w:val="nil"/>
              <w:left w:val="nil"/>
              <w:bottom w:val="single" w:sz="8" w:space="0" w:color="auto"/>
              <w:right w:val="single" w:sz="8" w:space="0" w:color="auto"/>
            </w:tcBorders>
          </w:tcPr>
          <w:p>
            <w:pPr>
              <w:spacing w:after="0"/>
              <w:jc w:val="center"/>
              <w:rPr>
                <w:noProof/>
                <w:color w:val="000000"/>
                <w:szCs w:val="24"/>
                <w:lang w:val="en-IE" w:eastAsia="en-IE"/>
              </w:rPr>
            </w:pPr>
            <w:r>
              <w:rPr>
                <w:noProof/>
                <w:color w:val="000000"/>
                <w:szCs w:val="24"/>
                <w:lang w:val="en-IE" w:eastAsia="en-IE"/>
              </w:rPr>
              <w:t>30</w:t>
            </w:r>
          </w:p>
        </w:tc>
      </w:tr>
    </w:tbl>
    <w:p>
      <w:pPr>
        <w:rPr>
          <w:noProof/>
          <w:lang w:val="en-IE"/>
        </w:rPr>
      </w:pPr>
    </w:p>
    <w:p>
      <w:pPr>
        <w:rPr>
          <w:noProof/>
          <w:lang w:val="en-IE"/>
        </w:rPr>
      </w:pPr>
    </w:p>
    <w:p>
      <w:pPr>
        <w:pStyle w:val="Text2"/>
        <w:ind w:left="0"/>
        <w:rPr>
          <w:noProof/>
          <w:lang w:val="en-IE" w:eastAsia="en-GB"/>
        </w:rPr>
      </w:pPr>
    </w:p>
    <w:p>
      <w:pPr>
        <w:pStyle w:val="Text2"/>
        <w:ind w:left="0"/>
        <w:rPr>
          <w:noProof/>
          <w:lang w:val="en-IE"/>
        </w:rPr>
      </w:pPr>
    </w:p>
    <w:p>
      <w:pPr>
        <w:pStyle w:val="Text2"/>
        <w:ind w:left="0"/>
        <w:rPr>
          <w:b/>
          <w:bCs/>
          <w:noProof/>
          <w:lang w:val="en-IE"/>
        </w:rPr>
      </w:pPr>
      <w:r>
        <w:rPr>
          <w:b/>
          <w:bCs/>
          <w:noProof/>
          <w:lang w:val="en-IE"/>
        </w:rPr>
        <w:t xml:space="preserve">Annex 14: Promotions 2014 – 2019 “première filière” </w:t>
      </w:r>
    </w:p>
    <w:p>
      <w:pPr>
        <w:spacing w:after="0"/>
        <w:textAlignment w:val="baseline"/>
        <w:rPr>
          <w:b/>
          <w:noProof/>
          <w:szCs w:val="24"/>
          <w:lang w:val="fr-BE"/>
        </w:rPr>
      </w:pPr>
      <w:r>
        <w:rPr>
          <w:b/>
          <w:bCs/>
          <w:noProof/>
          <w:szCs w:val="24"/>
          <w:lang w:val="fr-BE"/>
        </w:rPr>
        <w:t>Annex 14.1: Promotions “première filière”</w:t>
      </w:r>
      <w:r>
        <w:rPr>
          <w:b/>
          <w:noProof/>
          <w:szCs w:val="24"/>
          <w:lang w:val="fr-BE"/>
        </w:rPr>
        <w:t> – European Commission</w:t>
      </w:r>
    </w:p>
    <w:p>
      <w:pPr>
        <w:spacing w:after="0"/>
        <w:textAlignment w:val="baseline"/>
        <w:rPr>
          <w:b/>
          <w:noProof/>
          <w:szCs w:val="24"/>
          <w:lang w:val="fr-BE"/>
        </w:rPr>
      </w:pPr>
    </w:p>
    <w:tbl>
      <w:tblPr>
        <w:tblW w:w="5000" w:type="pct"/>
        <w:tblLook w:val="04A0" w:firstRow="1" w:lastRow="0" w:firstColumn="1" w:lastColumn="0" w:noHBand="0" w:noVBand="1"/>
      </w:tblPr>
      <w:tblGrid>
        <w:gridCol w:w="792"/>
        <w:gridCol w:w="2041"/>
        <w:gridCol w:w="1009"/>
        <w:gridCol w:w="900"/>
        <w:gridCol w:w="900"/>
        <w:gridCol w:w="900"/>
        <w:gridCol w:w="900"/>
        <w:gridCol w:w="900"/>
        <w:gridCol w:w="900"/>
      </w:tblGrid>
      <w:tr>
        <w:trPr>
          <w:trHeight w:val="310"/>
        </w:trPr>
        <w:tc>
          <w:tcPr>
            <w:tcW w:w="4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04"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4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8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8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8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87"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8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8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90"/>
        </w:trPr>
        <w:tc>
          <w:tcPr>
            <w:tcW w:w="428"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0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4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7,43%</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7,91%</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3,83%</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3,37%</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3,05%</w:t>
            </w:r>
          </w:p>
        </w:tc>
        <w:tc>
          <w:tcPr>
            <w:tcW w:w="487"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2,41%</w:t>
            </w:r>
          </w:p>
        </w:tc>
      </w:tr>
      <w:tr>
        <w:trPr>
          <w:trHeight w:val="290"/>
        </w:trPr>
        <w:tc>
          <w:tcPr>
            <w:tcW w:w="428"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0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4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7,55%</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7,30%</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7,84%</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7,16%</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7,56%</w:t>
            </w:r>
          </w:p>
        </w:tc>
        <w:tc>
          <w:tcPr>
            <w:tcW w:w="487"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5,75%</w:t>
            </w:r>
          </w:p>
        </w:tc>
      </w:tr>
      <w:tr>
        <w:trPr>
          <w:trHeight w:val="290"/>
        </w:trPr>
        <w:tc>
          <w:tcPr>
            <w:tcW w:w="428"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1104"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546"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c>
          <w:tcPr>
            <w:tcW w:w="487" w:type="pct"/>
            <w:tcBorders>
              <w:top w:val="nil"/>
              <w:left w:val="nil"/>
              <w:bottom w:val="nil"/>
              <w:right w:val="nil"/>
            </w:tcBorders>
            <w:shd w:val="clear" w:color="1F4E78" w:fill="1F4E78"/>
            <w:noWrap/>
            <w:vAlign w:val="bottom"/>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 </w:t>
            </w:r>
          </w:p>
        </w:tc>
      </w:tr>
    </w:tbl>
    <w:p>
      <w:pPr>
        <w:spacing w:after="0"/>
        <w:textAlignment w:val="baseline"/>
        <w:rPr>
          <w:noProof/>
          <w:szCs w:val="24"/>
          <w:lang w:val="en-IE"/>
        </w:rPr>
      </w:pPr>
    </w:p>
    <w:p>
      <w:pPr>
        <w:spacing w:after="0"/>
        <w:textAlignment w:val="baseline"/>
        <w:rPr>
          <w:b/>
          <w:bCs/>
          <w:noProof/>
          <w:szCs w:val="24"/>
          <w:lang w:val="fr-BE"/>
        </w:rPr>
      </w:pPr>
      <w:r>
        <w:rPr>
          <w:b/>
          <w:bCs/>
          <w:noProof/>
          <w:szCs w:val="24"/>
          <w:lang w:val="fr-BE"/>
        </w:rPr>
        <w:t xml:space="preserve">Annex 14.2: Promotions “première filière” – European Parliament </w:t>
      </w:r>
    </w:p>
    <w:p>
      <w:pPr>
        <w:spacing w:after="0"/>
        <w:textAlignment w:val="baseline"/>
        <w:rPr>
          <w:b/>
          <w:bCs/>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noProof/>
          <w:szCs w:val="24"/>
          <w:lang w:val="fr-BE"/>
        </w:rPr>
      </w:pPr>
    </w:p>
    <w:p>
      <w:pPr>
        <w:spacing w:after="0"/>
        <w:textAlignment w:val="baseline"/>
        <w:rPr>
          <w:b/>
          <w:bCs/>
          <w:noProof/>
          <w:szCs w:val="24"/>
          <w:lang w:val="fr-BE"/>
        </w:rPr>
      </w:pPr>
      <w:r>
        <w:rPr>
          <w:b/>
          <w:bCs/>
          <w:noProof/>
          <w:szCs w:val="24"/>
          <w:lang w:val="fr-BE"/>
        </w:rPr>
        <w:t xml:space="preserve">Annex 14.3: Promotions “première filière” – Council </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61"/>
        <w:gridCol w:w="2239"/>
        <w:gridCol w:w="1092"/>
        <w:gridCol w:w="943"/>
        <w:gridCol w:w="791"/>
        <w:gridCol w:w="791"/>
        <w:gridCol w:w="943"/>
        <w:gridCol w:w="791"/>
        <w:gridCol w:w="791"/>
      </w:tblGrid>
      <w:tr>
        <w:trPr>
          <w:trHeight w:val="300"/>
        </w:trPr>
        <w:tc>
          <w:tcPr>
            <w:tcW w:w="46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1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9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51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2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28"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51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2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28"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1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9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510"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15.43%</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2.16%</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1.84%</w:t>
            </w:r>
          </w:p>
        </w:tc>
        <w:tc>
          <w:tcPr>
            <w:tcW w:w="510"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10.05%</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6.35%</w:t>
            </w:r>
          </w:p>
        </w:tc>
        <w:tc>
          <w:tcPr>
            <w:tcW w:w="428"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8.51%</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1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9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510"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8.70%</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8.93%</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8.96%</w:t>
            </w:r>
          </w:p>
        </w:tc>
        <w:tc>
          <w:tcPr>
            <w:tcW w:w="510"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9.76%</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7.92%</w:t>
            </w:r>
          </w:p>
        </w:tc>
        <w:tc>
          <w:tcPr>
            <w:tcW w:w="428" w:type="pct"/>
            <w:tcBorders>
              <w:top w:val="single" w:sz="4" w:space="0" w:color="DDEBF7"/>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eastAsia="en-IE"/>
              </w:rPr>
            </w:pPr>
            <w:r>
              <w:rPr>
                <w:rFonts w:ascii="Calibri" w:hAnsi="Calibri" w:cs="Calibri"/>
                <w:noProof/>
                <w:sz w:val="22"/>
                <w:szCs w:val="22"/>
                <w:lang w:val="en-IE" w:eastAsia="en-IE"/>
              </w:rPr>
              <w:t>8.13%</w:t>
            </w:r>
          </w:p>
        </w:tc>
      </w:tr>
      <w:tr>
        <w:trPr>
          <w:trHeight w:val="285"/>
        </w:trPr>
        <w:tc>
          <w:tcPr>
            <w:tcW w:w="465" w:type="pct"/>
            <w:tcBorders>
              <w:top w:val="single" w:sz="4" w:space="0" w:color="DDEBF7"/>
              <w:left w:val="nil"/>
              <w:bottom w:val="nil"/>
              <w:right w:val="nil"/>
            </w:tcBorders>
            <w:shd w:val="clear" w:color="1F4E78" w:fill="1F4E78"/>
            <w:noWrap/>
            <w:vAlign w:val="bottom"/>
            <w:hideMark/>
          </w:tcPr>
          <w:p>
            <w:pPr>
              <w:spacing w:after="0"/>
              <w:jc w:val="center"/>
              <w:rPr>
                <w:rFonts w:ascii="Calibri" w:hAnsi="Calibri" w:cs="Calibri"/>
                <w:noProof/>
                <w:sz w:val="22"/>
                <w:szCs w:val="22"/>
                <w:lang w:val="en-IE" w:eastAsia="en-IE"/>
              </w:rPr>
            </w:pPr>
          </w:p>
        </w:tc>
        <w:tc>
          <w:tcPr>
            <w:tcW w:w="121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9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 xml:space="preserve">Annex 14.4: Promotions “première filière” – Court of Justice </w:t>
      </w:r>
    </w:p>
    <w:p>
      <w:pPr>
        <w:spacing w:after="0"/>
        <w:textAlignment w:val="baseline"/>
        <w:rPr>
          <w:b/>
          <w:bCs/>
          <w:noProof/>
          <w:szCs w:val="24"/>
          <w:lang w:val="en-IE"/>
        </w:rPr>
      </w:pPr>
    </w:p>
    <w:p>
      <w:pPr>
        <w:spacing w:after="0"/>
        <w:textAlignment w:val="baseline"/>
        <w:rPr>
          <w:bCs/>
          <w:noProof/>
          <w:szCs w:val="24"/>
          <w:lang w:val="en-IE"/>
        </w:rPr>
      </w:pPr>
      <w:r>
        <w:rPr>
          <w:bCs/>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 Promotions “première filière” – Court of Auditors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61"/>
        <w:gridCol w:w="2239"/>
        <w:gridCol w:w="1092"/>
        <w:gridCol w:w="791"/>
        <w:gridCol w:w="791"/>
        <w:gridCol w:w="943"/>
        <w:gridCol w:w="791"/>
        <w:gridCol w:w="791"/>
        <w:gridCol w:w="943"/>
      </w:tblGrid>
      <w:tr>
        <w:trPr>
          <w:trHeight w:val="300"/>
        </w:trPr>
        <w:tc>
          <w:tcPr>
            <w:tcW w:w="46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1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9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28"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2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51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28"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2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51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1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9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10"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9.62%</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2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10"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10.71%</w:t>
            </w:r>
          </w:p>
        </w:tc>
      </w:tr>
      <w:tr>
        <w:trPr>
          <w:trHeight w:val="285"/>
        </w:trPr>
        <w:tc>
          <w:tcPr>
            <w:tcW w:w="465"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1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9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510"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18.18%</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2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510"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15.79%</w:t>
            </w:r>
          </w:p>
        </w:tc>
      </w:tr>
      <w:tr>
        <w:trPr>
          <w:trHeight w:val="285"/>
        </w:trPr>
        <w:tc>
          <w:tcPr>
            <w:tcW w:w="465"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sz w:val="22"/>
                <w:szCs w:val="22"/>
                <w:lang w:val="en-IE" w:eastAsia="en-IE"/>
              </w:rPr>
            </w:pPr>
          </w:p>
        </w:tc>
        <w:tc>
          <w:tcPr>
            <w:tcW w:w="121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9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2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0"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14.6: Promotions “première filière” – European External Action Service</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797"/>
        <w:gridCol w:w="2111"/>
        <w:gridCol w:w="1018"/>
        <w:gridCol w:w="732"/>
        <w:gridCol w:w="764"/>
        <w:gridCol w:w="764"/>
        <w:gridCol w:w="764"/>
        <w:gridCol w:w="764"/>
        <w:gridCol w:w="764"/>
        <w:gridCol w:w="764"/>
      </w:tblGrid>
      <w:tr>
        <w:trPr>
          <w:trHeight w:val="300"/>
        </w:trPr>
        <w:tc>
          <w:tcPr>
            <w:tcW w:w="43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4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5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396" w:type="pct"/>
            <w:tcBorders>
              <w:top w:val="nil"/>
              <w:left w:val="nil"/>
              <w:bottom w:val="nil"/>
              <w:right w:val="nil"/>
            </w:tcBorders>
            <w:shd w:val="clear" w:color="000000" w:fill="4BACC6"/>
          </w:tcPr>
          <w:p>
            <w:pPr>
              <w:spacing w:after="0"/>
              <w:jc w:val="center"/>
              <w:rPr>
                <w:rFonts w:ascii="Calibri" w:hAnsi="Calibri" w:cs="Calibri"/>
                <w:b/>
                <w:bCs/>
                <w:noProof/>
                <w:color w:val="FFFFFF"/>
                <w:szCs w:val="24"/>
                <w:lang w:val="en-IE" w:eastAsia="en-IE"/>
              </w:rPr>
            </w:pPr>
          </w:p>
        </w:tc>
        <w:tc>
          <w:tcPr>
            <w:tcW w:w="41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1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1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1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1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1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31"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4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5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396" w:type="pct"/>
            <w:tcBorders>
              <w:top w:val="nil"/>
              <w:left w:val="nil"/>
              <w:bottom w:val="single" w:sz="4" w:space="0" w:color="DDEBF7"/>
              <w:right w:val="nil"/>
            </w:tcBorders>
            <w:shd w:val="clear" w:color="BDD7EE" w:fill="BDD7EE"/>
          </w:tcPr>
          <w:p>
            <w:pPr>
              <w:spacing w:after="0"/>
              <w:jc w:val="lef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left"/>
              <w:rPr>
                <w:noProof/>
                <w:sz w:val="20"/>
                <w:lang w:val="en-IE" w:eastAsia="en-IE"/>
              </w:rPr>
            </w:pPr>
          </w:p>
        </w:tc>
      </w:tr>
      <w:tr>
        <w:trPr>
          <w:trHeight w:val="285"/>
        </w:trPr>
        <w:tc>
          <w:tcPr>
            <w:tcW w:w="431"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42"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5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396" w:type="pct"/>
            <w:tcBorders>
              <w:top w:val="nil"/>
              <w:left w:val="nil"/>
              <w:bottom w:val="single" w:sz="4" w:space="0" w:color="DDEBF7"/>
              <w:right w:val="nil"/>
            </w:tcBorders>
            <w:shd w:val="clear" w:color="BDD7EE" w:fill="BDD7EE"/>
          </w:tcPr>
          <w:p>
            <w:pPr>
              <w:spacing w:after="0"/>
              <w:jc w:val="right"/>
              <w:rPr>
                <w:rFonts w:ascii="Calibri" w:hAnsi="Calibri" w:cs="Calibri"/>
                <w:noProof/>
                <w:color w:val="000000"/>
                <w:sz w:val="22"/>
                <w:szCs w:val="22"/>
                <w:lang w:val="en-IE" w:eastAsia="en-IE"/>
              </w:rPr>
            </w:pP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2.38%</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7.81%</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6.15%</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7.46%</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13"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7.14%</w:t>
            </w:r>
          </w:p>
        </w:tc>
      </w:tr>
      <w:tr>
        <w:trPr>
          <w:trHeight w:val="285"/>
        </w:trPr>
        <w:tc>
          <w:tcPr>
            <w:tcW w:w="431"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color w:val="000000"/>
                <w:sz w:val="22"/>
                <w:szCs w:val="22"/>
                <w:lang w:val="en-IE" w:eastAsia="en-IE"/>
              </w:rPr>
            </w:pPr>
          </w:p>
        </w:tc>
        <w:tc>
          <w:tcPr>
            <w:tcW w:w="1142"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5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396" w:type="pct"/>
            <w:tcBorders>
              <w:top w:val="single" w:sz="4" w:space="0" w:color="DDEBF7"/>
              <w:left w:val="nil"/>
              <w:bottom w:val="nil"/>
              <w:right w:val="nil"/>
            </w:tcBorders>
            <w:shd w:val="clear" w:color="1F4E78" w:fill="1F4E78"/>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13"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14.7 Promotions “première filière” – European Economic and Social Committee</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75"/>
        <w:gridCol w:w="2278"/>
        <w:gridCol w:w="1112"/>
        <w:gridCol w:w="804"/>
        <w:gridCol w:w="957"/>
        <w:gridCol w:w="804"/>
        <w:gridCol w:w="804"/>
        <w:gridCol w:w="804"/>
        <w:gridCol w:w="804"/>
      </w:tblGrid>
      <w:tr>
        <w:trPr>
          <w:trHeight w:val="300"/>
        </w:trPr>
        <w:tc>
          <w:tcPr>
            <w:tcW w:w="47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3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0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3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51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3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3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3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3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3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01"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1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3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32"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01" w:type="pct"/>
            <w:tcBorders>
              <w:top w:val="single" w:sz="4" w:space="0" w:color="DDEBF7"/>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518"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16.67%</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8.33%</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35" w:type="pct"/>
            <w:tcBorders>
              <w:top w:val="single" w:sz="4" w:space="0" w:color="DDEBF7"/>
              <w:left w:val="nil"/>
              <w:bottom w:val="single" w:sz="4" w:space="0" w:color="DDEBF7"/>
              <w:right w:val="nil"/>
            </w:tcBorders>
            <w:shd w:val="clear" w:color="9BC2E6" w:fill="9BC2E6"/>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73" w:type="pct"/>
            <w:tcBorders>
              <w:top w:val="single" w:sz="4" w:space="0" w:color="DDEBF7"/>
              <w:left w:val="nil"/>
              <w:bottom w:val="nil"/>
              <w:right w:val="nil"/>
            </w:tcBorders>
            <w:shd w:val="clear" w:color="1F4E78" w:fill="1F4E78"/>
            <w:noWrap/>
            <w:vAlign w:val="bottom"/>
            <w:hideMark/>
          </w:tcPr>
          <w:p>
            <w:pPr>
              <w:spacing w:after="0"/>
              <w:jc w:val="right"/>
              <w:rPr>
                <w:rFonts w:ascii="Calibri" w:hAnsi="Calibri" w:cs="Calibri"/>
                <w:noProof/>
                <w:sz w:val="22"/>
                <w:szCs w:val="22"/>
                <w:lang w:val="en-IE" w:eastAsia="en-IE"/>
              </w:rPr>
            </w:pPr>
          </w:p>
        </w:tc>
        <w:tc>
          <w:tcPr>
            <w:tcW w:w="1232"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601"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518"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c>
          <w:tcPr>
            <w:tcW w:w="435" w:type="pct"/>
            <w:tcBorders>
              <w:top w:val="single" w:sz="4" w:space="0" w:color="DDEBF7"/>
              <w:left w:val="nil"/>
              <w:bottom w:val="nil"/>
              <w:right w:val="nil"/>
            </w:tcBorders>
            <w:shd w:val="clear" w:color="1F4E78" w:fill="1F4E78"/>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160" w:line="259" w:lineRule="auto"/>
        <w:jc w:val="left"/>
        <w:rPr>
          <w:b/>
          <w:bCs/>
          <w:noProof/>
          <w:szCs w:val="24"/>
          <w:lang w:val="en-IE"/>
        </w:rPr>
      </w:pPr>
      <w:r>
        <w:rPr>
          <w:b/>
          <w:bCs/>
          <w:noProof/>
          <w:szCs w:val="24"/>
          <w:lang w:val="en-IE"/>
        </w:rPr>
        <w:br w:type="page"/>
      </w:r>
    </w:p>
    <w:p>
      <w:pPr>
        <w:spacing w:after="0"/>
        <w:textAlignment w:val="baseline"/>
        <w:rPr>
          <w:b/>
          <w:bCs/>
          <w:noProof/>
          <w:szCs w:val="24"/>
          <w:lang w:val="en-IE"/>
        </w:rPr>
      </w:pPr>
      <w:r>
        <w:rPr>
          <w:b/>
          <w:bCs/>
          <w:noProof/>
          <w:szCs w:val="24"/>
          <w:lang w:val="en-IE"/>
        </w:rPr>
        <w:t>Annex 14.8: Promotions “première filière” –Committee of the Regions</w:t>
      </w:r>
    </w:p>
    <w:p>
      <w:pPr>
        <w:spacing w:after="0"/>
        <w:textAlignment w:val="baseline"/>
        <w:rPr>
          <w:b/>
          <w:bCs/>
          <w:noProof/>
          <w:szCs w:val="24"/>
          <w:lang w:val="en-IE"/>
        </w:rPr>
      </w:pPr>
    </w:p>
    <w:p>
      <w:pPr>
        <w:spacing w:after="0"/>
        <w:textAlignment w:val="baseline"/>
        <w:rPr>
          <w:bCs/>
          <w:noProof/>
          <w:szCs w:val="24"/>
          <w:lang w:val="fr-BE"/>
        </w:rPr>
      </w:pPr>
      <w:r>
        <w:rPr>
          <w:bCs/>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14.9: Promotions “première filière” – European Ombudsman</w:t>
      </w:r>
    </w:p>
    <w:p>
      <w:pPr>
        <w:spacing w:after="0"/>
        <w:textAlignment w:val="baseline"/>
        <w:rPr>
          <w:b/>
          <w:bCs/>
          <w:noProof/>
          <w:szCs w:val="24"/>
          <w:lang w:val="fr-BE"/>
        </w:rPr>
      </w:pPr>
    </w:p>
    <w:p>
      <w:pPr>
        <w:spacing w:after="0"/>
        <w:textAlignment w:val="baseline"/>
        <w:rPr>
          <w:bCs/>
          <w:noProof/>
          <w:szCs w:val="24"/>
          <w:lang w:val="fr-BE"/>
        </w:rPr>
      </w:pPr>
      <w:r>
        <w:rPr>
          <w:bCs/>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 xml:space="preserve">Annex 14.10: Promotions “première filière” – European Data Protection Supervisor </w:t>
      </w:r>
    </w:p>
    <w:p>
      <w:pPr>
        <w:spacing w:after="0"/>
        <w:textAlignment w:val="baseline"/>
        <w:rPr>
          <w:b/>
          <w:bCs/>
          <w:noProof/>
          <w:szCs w:val="24"/>
          <w:lang w:val="fr-BE"/>
        </w:rPr>
      </w:pPr>
    </w:p>
    <w:p>
      <w:pPr>
        <w:spacing w:after="0"/>
        <w:textAlignment w:val="baseline"/>
        <w:rPr>
          <w:b/>
          <w:bCs/>
          <w:noProof/>
          <w:szCs w:val="24"/>
          <w:lang w:val="en-IE"/>
        </w:rPr>
      </w:pPr>
      <w:r>
        <w:rPr>
          <w:b/>
          <w:bCs/>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14.11: Promotions “première filière” – Single Resolution Board</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9"/>
        <w:gridCol w:w="2394"/>
        <w:gridCol w:w="1176"/>
        <w:gridCol w:w="752"/>
        <w:gridCol w:w="752"/>
        <w:gridCol w:w="752"/>
        <w:gridCol w:w="839"/>
        <w:gridCol w:w="839"/>
        <w:gridCol w:w="839"/>
      </w:tblGrid>
      <w:tr>
        <w:trPr>
          <w:trHeight w:val="300"/>
        </w:trPr>
        <w:tc>
          <w:tcPr>
            <w:tcW w:w="486"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9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3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0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0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0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5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5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5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9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3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0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p>
        </w:tc>
        <w:tc>
          <w:tcPr>
            <w:tcW w:w="407"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07"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9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36"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07"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5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54"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54"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6"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9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36"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07"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54"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14.12: Promotions “première filière” – Sesar Joint Undertaking</w:t>
      </w:r>
    </w:p>
    <w:p>
      <w:pPr>
        <w:spacing w:after="0"/>
        <w:textAlignment w:val="baseline"/>
        <w:rPr>
          <w:b/>
          <w:bCs/>
          <w:noProof/>
          <w:szCs w:val="24"/>
          <w:lang w:val="fr-BE"/>
        </w:rPr>
      </w:pPr>
    </w:p>
    <w:p>
      <w:pPr>
        <w:spacing w:after="0"/>
        <w:textAlignment w:val="baseline"/>
        <w:rPr>
          <w:bCs/>
          <w:noProof/>
          <w:szCs w:val="24"/>
          <w:lang w:val="en-IE"/>
        </w:rPr>
      </w:pPr>
      <w:r>
        <w:rPr>
          <w:bCs/>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14.13: Promotions “première filière” – Shift2Rail Joint Undertaking</w:t>
      </w:r>
    </w:p>
    <w:p>
      <w:pPr>
        <w:spacing w:after="0"/>
        <w:textAlignment w:val="baseline"/>
        <w:rPr>
          <w:b/>
          <w:bCs/>
          <w:noProof/>
          <w:szCs w:val="24"/>
          <w:lang w:val="en-IE"/>
        </w:rPr>
      </w:pPr>
    </w:p>
    <w:p>
      <w:pPr>
        <w:spacing w:after="0"/>
        <w:textAlignment w:val="baseline"/>
        <w:rPr>
          <w:bCs/>
          <w:noProof/>
          <w:szCs w:val="24"/>
          <w:lang w:val="en-IE"/>
        </w:rPr>
      </w:pPr>
      <w:r>
        <w:rPr>
          <w:bCs/>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14.14: Promotions “première filière” – Innovative Medicine Initiative Joint Undertaking</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14.15: Promotions “première filière” – European GNSS Agency</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10"/>
        <w:gridCol w:w="2142"/>
        <w:gridCol w:w="1035"/>
        <w:gridCol w:w="663"/>
        <w:gridCol w:w="703"/>
        <w:gridCol w:w="703"/>
        <w:gridCol w:w="703"/>
        <w:gridCol w:w="890"/>
        <w:gridCol w:w="703"/>
        <w:gridCol w:w="890"/>
      </w:tblGrid>
      <w:tr>
        <w:trPr>
          <w:trHeight w:val="300"/>
        </w:trPr>
        <w:tc>
          <w:tcPr>
            <w:tcW w:w="45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7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7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34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2013</w:t>
            </w:r>
          </w:p>
        </w:tc>
        <w:tc>
          <w:tcPr>
            <w:tcW w:w="37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37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37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9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370"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9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7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7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34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370" w:type="pct"/>
            <w:tcBorders>
              <w:top w:val="nil"/>
              <w:left w:val="nil"/>
              <w:bottom w:val="single" w:sz="4" w:space="0" w:color="D9E1F2"/>
              <w:right w:val="nil"/>
            </w:tcBorders>
            <w:shd w:val="clear" w:color="B4C6E7" w:fill="B4C6E7"/>
            <w:noWrap/>
            <w:vAlign w:val="bottom"/>
            <w:hideMark/>
          </w:tcPr>
          <w:p>
            <w:pPr>
              <w:spacing w:after="0"/>
              <w:jc w:val="left"/>
              <w:rPr>
                <w:noProof/>
                <w:sz w:val="20"/>
                <w:lang w:val="en-IE" w:eastAsia="en-IE"/>
              </w:rPr>
            </w:pPr>
          </w:p>
        </w:tc>
        <w:tc>
          <w:tcPr>
            <w:tcW w:w="4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50.00%</w:t>
            </w:r>
          </w:p>
        </w:tc>
        <w:tc>
          <w:tcPr>
            <w:tcW w:w="3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p>
        </w:tc>
        <w:tc>
          <w:tcPr>
            <w:tcW w:w="4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50.00%</w:t>
            </w:r>
          </w:p>
        </w:tc>
      </w:tr>
      <w:tr>
        <w:trPr>
          <w:trHeight w:val="285"/>
        </w:trPr>
        <w:tc>
          <w:tcPr>
            <w:tcW w:w="4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7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7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34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93"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370"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c>
          <w:tcPr>
            <w:tcW w:w="493" w:type="pct"/>
            <w:tcBorders>
              <w:top w:val="single" w:sz="4" w:space="0" w:color="D9E1F2"/>
              <w:left w:val="nil"/>
              <w:bottom w:val="single" w:sz="4" w:space="0" w:color="D9E1F2"/>
              <w:right w:val="nil"/>
            </w:tcBorders>
            <w:shd w:val="clear" w:color="8EA9DB" w:fill="8EA9DB"/>
            <w:noWrap/>
            <w:vAlign w:val="bottom"/>
            <w:hideMark/>
          </w:tcPr>
          <w:p>
            <w:pPr>
              <w:spacing w:after="0"/>
              <w:jc w:val="left"/>
              <w:rPr>
                <w:noProof/>
                <w:sz w:val="20"/>
                <w:lang w:val="en-IE" w:eastAsia="en-IE"/>
              </w:rPr>
            </w:pPr>
          </w:p>
        </w:tc>
      </w:tr>
      <w:tr>
        <w:trPr>
          <w:trHeight w:val="285"/>
        </w:trPr>
        <w:tc>
          <w:tcPr>
            <w:tcW w:w="45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117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7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4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9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370"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9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14.16: Promotions “première filière” – Frontex</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14.17: Promotions “première filière” –European Union Agency for Fundamental Rights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14.18: Promotions “première filière” –</w:t>
      </w:r>
      <w:r>
        <w:rPr>
          <w:noProof/>
          <w:szCs w:val="24"/>
          <w:lang w:val="en-IE"/>
        </w:rPr>
        <w:t xml:space="preserve"> </w:t>
      </w:r>
      <w:r>
        <w:rPr>
          <w:b/>
          <w:bCs/>
          <w:noProof/>
          <w:szCs w:val="24"/>
          <w:lang w:val="en-IE"/>
        </w:rPr>
        <w:t>Fuel Cells and Hydrogen Joint Undertaking</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14.19: Promotions “première filière” –</w:t>
      </w:r>
      <w:r>
        <w:rPr>
          <w:noProof/>
          <w:szCs w:val="24"/>
          <w:lang w:val="en-IE"/>
        </w:rPr>
        <w:t xml:space="preserve"> </w:t>
      </w:r>
      <w:r>
        <w:rPr>
          <w:b/>
          <w:bCs/>
          <w:noProof/>
          <w:szCs w:val="24"/>
          <w:lang w:val="en-IE"/>
        </w:rPr>
        <w:t>Fusion for Energy (ITER)</w:t>
      </w:r>
    </w:p>
    <w:p>
      <w:pPr>
        <w:spacing w:after="0"/>
        <w:textAlignment w:val="baseline"/>
        <w:rPr>
          <w:noProof/>
          <w:szCs w:val="24"/>
          <w:lang w:val="en-I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14.20: Promotions “première filière” –</w:t>
      </w:r>
      <w:r>
        <w:rPr>
          <w:noProof/>
          <w:szCs w:val="24"/>
          <w:lang w:val="fr-BE"/>
        </w:rPr>
        <w:t xml:space="preserve"> </w:t>
      </w:r>
      <w:r>
        <w:rPr>
          <w:b/>
          <w:bCs/>
          <w:noProof/>
          <w:szCs w:val="24"/>
          <w:lang w:val="fr-BE"/>
        </w:rPr>
        <w:t>Europol</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14.21: Promotions “première filière” –</w:t>
      </w:r>
      <w:r>
        <w:rPr>
          <w:noProof/>
          <w:szCs w:val="24"/>
          <w:lang w:val="fr-BE"/>
        </w:rPr>
        <w:t xml:space="preserve"> </w:t>
      </w:r>
      <w:r>
        <w:rPr>
          <w:b/>
          <w:bCs/>
          <w:noProof/>
          <w:szCs w:val="24"/>
          <w:lang w:val="fr-BE"/>
        </w:rPr>
        <w:t>Eurojust</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14.22: Promotions “première filière” –</w:t>
      </w:r>
      <w:r>
        <w:rPr>
          <w:noProof/>
          <w:szCs w:val="24"/>
          <w:lang w:val="fr-BE"/>
        </w:rPr>
        <w:t xml:space="preserve"> </w:t>
      </w:r>
      <w:r>
        <w:rPr>
          <w:b/>
          <w:bCs/>
          <w:noProof/>
          <w:szCs w:val="24"/>
          <w:lang w:val="fr-BE"/>
        </w:rPr>
        <w:t>Eurofund - (Temporary Agents)</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14.23: Promotions “première filière” –</w:t>
      </w:r>
      <w:r>
        <w:rPr>
          <w:noProof/>
          <w:szCs w:val="24"/>
          <w:lang w:val="fr-BE"/>
        </w:rPr>
        <w:t xml:space="preserve"> </w:t>
      </w:r>
      <w:r>
        <w:rPr>
          <w:b/>
          <w:bCs/>
          <w:noProof/>
          <w:szCs w:val="24"/>
          <w:lang w:val="fr-BE"/>
        </w:rPr>
        <w:t>Eurofund - (Officials)</w:t>
      </w:r>
    </w:p>
    <w:p>
      <w:pPr>
        <w:spacing w:after="0"/>
        <w:textAlignment w:val="baseline"/>
        <w:rPr>
          <w:noProof/>
          <w:szCs w:val="24"/>
          <w:lang w:val="fr-B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14.24: Promotions “première filière” –</w:t>
      </w:r>
      <w:r>
        <w:rPr>
          <w:noProof/>
          <w:szCs w:val="24"/>
          <w:lang w:val="en-IE"/>
        </w:rPr>
        <w:t xml:space="preserve"> </w:t>
      </w:r>
      <w:r>
        <w:rPr>
          <w:b/>
          <w:bCs/>
          <w:noProof/>
          <w:szCs w:val="24"/>
          <w:lang w:val="en-IE"/>
        </w:rPr>
        <w:t>European Agency for Safety and Health at Work</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14.25: Promotions “première filière” – European Union Agency for the Operational Management of Large-Scale IT Systems in the Area of Freedom, Security and Justice (EU Lisa)</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160" w:line="259" w:lineRule="auto"/>
        <w:jc w:val="left"/>
        <w:rPr>
          <w:b/>
          <w:bCs/>
          <w:noProof/>
          <w:szCs w:val="24"/>
          <w:lang w:val="en-IE"/>
        </w:rPr>
      </w:pPr>
      <w:r>
        <w:rPr>
          <w:b/>
          <w:bCs/>
          <w:noProof/>
          <w:szCs w:val="24"/>
          <w:lang w:val="en-IE"/>
        </w:rPr>
        <w:br w:type="page"/>
      </w:r>
    </w:p>
    <w:p>
      <w:pPr>
        <w:spacing w:after="0"/>
        <w:textAlignment w:val="baseline"/>
        <w:rPr>
          <w:b/>
          <w:bCs/>
          <w:noProof/>
          <w:szCs w:val="24"/>
          <w:lang w:val="en-IE"/>
        </w:rPr>
      </w:pPr>
      <w:r>
        <w:rPr>
          <w:b/>
          <w:bCs/>
          <w:noProof/>
          <w:szCs w:val="24"/>
          <w:lang w:val="en-IE"/>
        </w:rPr>
        <w:t>Annex 14.26: Promotions “première filière” – European Union Intellectual Property Office – Temporary Agents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788"/>
        <w:gridCol w:w="2042"/>
        <w:gridCol w:w="996"/>
        <w:gridCol w:w="904"/>
        <w:gridCol w:w="904"/>
        <w:gridCol w:w="904"/>
        <w:gridCol w:w="904"/>
        <w:gridCol w:w="904"/>
        <w:gridCol w:w="896"/>
      </w:tblGrid>
      <w:tr>
        <w:trPr>
          <w:trHeight w:val="300"/>
        </w:trPr>
        <w:tc>
          <w:tcPr>
            <w:tcW w:w="426"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0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39"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8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8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8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8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8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8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2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0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3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26"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0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39"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6"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26"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10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3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6"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 xml:space="preserve">Annex 14.27: Promotions “première filière” – European Union Intellectual Property Office – Officials </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786"/>
        <w:gridCol w:w="2042"/>
        <w:gridCol w:w="996"/>
        <w:gridCol w:w="904"/>
        <w:gridCol w:w="904"/>
        <w:gridCol w:w="904"/>
        <w:gridCol w:w="904"/>
        <w:gridCol w:w="904"/>
        <w:gridCol w:w="898"/>
      </w:tblGrid>
      <w:tr>
        <w:trPr>
          <w:trHeight w:val="300"/>
        </w:trPr>
        <w:tc>
          <w:tcPr>
            <w:tcW w:w="42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05"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39"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8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8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8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8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8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8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2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0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3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8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2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05"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39"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11.76%</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7.69%</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11.76%</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3.77%</w:t>
            </w:r>
          </w:p>
        </w:tc>
        <w:tc>
          <w:tcPr>
            <w:tcW w:w="48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5.17%</w:t>
            </w:r>
          </w:p>
        </w:tc>
      </w:tr>
      <w:tr>
        <w:trPr>
          <w:trHeight w:val="285"/>
        </w:trPr>
        <w:tc>
          <w:tcPr>
            <w:tcW w:w="425"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105"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3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8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14.28: Promotions “première filière” – European Training Foundation</w:t>
      </w:r>
    </w:p>
    <w:p>
      <w:pPr>
        <w:spacing w:after="0"/>
        <w:textAlignment w:val="baseline"/>
        <w:rPr>
          <w:b/>
          <w:bCs/>
          <w:noProof/>
          <w:szCs w:val="24"/>
          <w:lang w:val="fr-BE"/>
        </w:rPr>
      </w:pPr>
    </w:p>
    <w:p>
      <w:pPr>
        <w:spacing w:after="0"/>
        <w:textAlignment w:val="baseline"/>
        <w:rPr>
          <w:b/>
          <w:bCs/>
          <w:noProof/>
          <w:szCs w:val="24"/>
          <w:lang w:val="fr-BE"/>
        </w:rPr>
      </w:pPr>
      <w:r>
        <w:rPr>
          <w:bCs/>
          <w:noProof/>
          <w:szCs w:val="24"/>
          <w:lang w:val="fr-BE"/>
        </w:rPr>
        <w:t>N/A</w:t>
      </w:r>
    </w:p>
    <w:p>
      <w:pPr>
        <w:spacing w:after="0"/>
        <w:textAlignment w:val="baseline"/>
        <w:rPr>
          <w:b/>
          <w:bCs/>
          <w:noProof/>
          <w:szCs w:val="24"/>
          <w:lang w:val="fr-BE"/>
        </w:rPr>
      </w:pPr>
      <w:r>
        <w:rPr>
          <w:b/>
          <w:bCs/>
          <w:noProof/>
          <w:szCs w:val="24"/>
          <w:lang w:val="fr-BE"/>
        </w:rPr>
        <w:t>Annex 14.29: Promotions “première filière” – European Securities and Markets Authority</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14.30: Promotions “première filière” – European Union Agency for Railways</w:t>
      </w:r>
    </w:p>
    <w:p>
      <w:pPr>
        <w:spacing w:after="0"/>
        <w:textAlignment w:val="baseline"/>
        <w:rPr>
          <w:noProof/>
          <w:szCs w:val="24"/>
          <w:lang w:val="fr-B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14.31: Promotions “première filière” – The European Union Agency for Cybersecurity (ENISA)</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14.32: Promotions “première filière” – European Maritime Safety Agency (EMSA) – Temporary Agents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160" w:line="259" w:lineRule="auto"/>
        <w:jc w:val="left"/>
        <w:rPr>
          <w:b/>
          <w:bCs/>
          <w:noProof/>
          <w:szCs w:val="24"/>
          <w:lang w:val="en-IE"/>
        </w:rPr>
      </w:pPr>
      <w:r>
        <w:rPr>
          <w:b/>
          <w:bCs/>
          <w:noProof/>
          <w:szCs w:val="24"/>
          <w:lang w:val="en-IE"/>
        </w:rPr>
        <w:br w:type="page"/>
      </w:r>
    </w:p>
    <w:p>
      <w:pPr>
        <w:spacing w:after="0"/>
        <w:textAlignment w:val="baseline"/>
        <w:rPr>
          <w:b/>
          <w:bCs/>
          <w:noProof/>
          <w:szCs w:val="24"/>
          <w:lang w:val="en-IE"/>
        </w:rPr>
      </w:pPr>
      <w:r>
        <w:rPr>
          <w:b/>
          <w:bCs/>
          <w:noProof/>
          <w:szCs w:val="24"/>
          <w:lang w:val="en-IE"/>
        </w:rPr>
        <w:t>Annex 14.33: Promotions “première filière” – European Maritime Safety Agency (EMSA) – Officials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14.34: Promotions “première filière” – European Monitoring Centre for Drugs and Drug Addiction – Temporary Agents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 xml:space="preserve">Annex 14.35: Promotions “première filière” – European Monitoring Centre for Drugs and Drug Addiction – Officials </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14.36: Promotions “première filière” – European Medicines Agency</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14.37: Promotions “première filière” – European Institute of Innovation &amp; Technology</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14.38: Promotions “première filière” – European Insurance and Occupational Pensions Authority</w:t>
      </w:r>
    </w:p>
    <w:p>
      <w:pPr>
        <w:spacing w:after="0"/>
        <w:textAlignment w:val="baseline"/>
        <w:rPr>
          <w:noProof/>
          <w:szCs w:val="24"/>
          <w:lang w:val="fr-B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14.39: Promotions “première filière” – European Institute for Gender Equality</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14.40: Promotions “première filière” –European Food Safety Authority – Temporary Agents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14.41: Promotions “première filière” –European Food Safety Authority – Officials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14.42: Promotions “première filière” –</w:t>
      </w:r>
      <w:r>
        <w:rPr>
          <w:noProof/>
          <w:szCs w:val="24"/>
          <w:lang w:val="en-IE"/>
        </w:rPr>
        <w:t xml:space="preserve"> </w:t>
      </w:r>
      <w:r>
        <w:rPr>
          <w:b/>
          <w:bCs/>
          <w:noProof/>
          <w:szCs w:val="24"/>
          <w:lang w:val="en-IE"/>
        </w:rPr>
        <w:t>European Fisheries Control Agency</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14.43: Promotions “première filière” –</w:t>
      </w:r>
      <w:r>
        <w:rPr>
          <w:noProof/>
          <w:szCs w:val="24"/>
          <w:lang w:val="en-IE"/>
        </w:rPr>
        <w:t xml:space="preserve"> </w:t>
      </w:r>
      <w:r>
        <w:rPr>
          <w:b/>
          <w:bCs/>
          <w:noProof/>
          <w:szCs w:val="24"/>
          <w:lang w:val="en-IE"/>
        </w:rPr>
        <w:t>European Environment Agency – Temporary Agents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14.44: Promotions “première filière” –</w:t>
      </w:r>
      <w:r>
        <w:rPr>
          <w:noProof/>
          <w:szCs w:val="24"/>
          <w:lang w:val="fr-BE"/>
        </w:rPr>
        <w:t xml:space="preserve"> </w:t>
      </w:r>
      <w:r>
        <w:rPr>
          <w:b/>
          <w:bCs/>
          <w:noProof/>
          <w:szCs w:val="24"/>
          <w:lang w:val="fr-BE"/>
        </w:rPr>
        <w:t>European Environment Agency – Officials</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14.45: Promotions “première filière” –</w:t>
      </w:r>
      <w:r>
        <w:rPr>
          <w:noProof/>
          <w:szCs w:val="24"/>
          <w:lang w:val="en-IE"/>
        </w:rPr>
        <w:t xml:space="preserve"> </w:t>
      </w:r>
      <w:r>
        <w:rPr>
          <w:b/>
          <w:bCs/>
          <w:noProof/>
          <w:szCs w:val="24"/>
          <w:lang w:val="en-IE"/>
        </w:rPr>
        <w:t xml:space="preserve">Electronic Components and Systems for European Leadership Joint Undertaking </w:t>
      </w:r>
    </w:p>
    <w:p>
      <w:pPr>
        <w:spacing w:after="0"/>
        <w:textAlignment w:val="baseline"/>
        <w:rPr>
          <w:noProof/>
          <w:szCs w:val="24"/>
          <w:lang w:val="en-I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14.46: Promotions “première filière” – European Chemicals Agency</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14.47: Promotions “première filière” – European Centre for Disease Prevention and Control</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14.48: Promotions “première filière” – European Banking Authority</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14.49: Promotions “première filière” – European Asylum Support Office</w:t>
      </w:r>
    </w:p>
    <w:p>
      <w:pPr>
        <w:spacing w:after="0"/>
        <w:textAlignment w:val="baseline"/>
        <w:rPr>
          <w:noProof/>
          <w:szCs w:val="24"/>
          <w:lang w:val="fr-B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160" w:line="259" w:lineRule="auto"/>
        <w:jc w:val="left"/>
        <w:rPr>
          <w:b/>
          <w:bCs/>
          <w:noProof/>
          <w:szCs w:val="24"/>
          <w:lang w:val="fr-BE"/>
        </w:rPr>
      </w:pPr>
      <w:r>
        <w:rPr>
          <w:b/>
          <w:bCs/>
          <w:noProof/>
          <w:szCs w:val="24"/>
          <w:lang w:val="fr-BE"/>
        </w:rPr>
        <w:br w:type="page"/>
      </w:r>
    </w:p>
    <w:p>
      <w:pPr>
        <w:spacing w:after="0"/>
        <w:textAlignment w:val="baseline"/>
        <w:rPr>
          <w:b/>
          <w:bCs/>
          <w:noProof/>
          <w:szCs w:val="24"/>
          <w:lang w:val="fr-BE"/>
        </w:rPr>
      </w:pPr>
      <w:r>
        <w:rPr>
          <w:b/>
          <w:bCs/>
          <w:noProof/>
          <w:szCs w:val="24"/>
          <w:lang w:val="fr-BE"/>
        </w:rPr>
        <w:t>Annex 14.50: Promotions “première filière” – European Union Aviation Safety Agency</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fr-BE" w:eastAsia="en-IE"/>
              </w:rPr>
            </w:pPr>
            <w:r>
              <w:rPr>
                <w:rFonts w:ascii="Calibri" w:hAnsi="Calibri" w:cs="Calibri"/>
                <w:b/>
                <w:bCs/>
                <w:noProof/>
                <w:color w:val="FFFFFF"/>
                <w:sz w:val="22"/>
                <w:szCs w:val="22"/>
                <w:lang w:val="fr-B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fr-BE" w:eastAsia="en-IE"/>
              </w:rPr>
            </w:pPr>
            <w:r>
              <w:rPr>
                <w:rFonts w:ascii="Calibri" w:hAnsi="Calibri" w:cs="Calibri"/>
                <w:b/>
                <w:bCs/>
                <w:noProof/>
                <w:color w:val="FFFFFF"/>
                <w:sz w:val="22"/>
                <w:szCs w:val="22"/>
                <w:lang w:val="fr-B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fr-BE" w:eastAsia="en-IE"/>
              </w:rPr>
            </w:pPr>
            <w:r>
              <w:rPr>
                <w:rFonts w:ascii="Calibri" w:hAnsi="Calibri" w:cs="Calibri"/>
                <w:b/>
                <w:bCs/>
                <w:noProof/>
                <w:color w:val="FFFFFF"/>
                <w:sz w:val="22"/>
                <w:szCs w:val="22"/>
                <w:lang w:val="fr-B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fr-BE" w:eastAsia="en-IE"/>
              </w:rPr>
            </w:pPr>
            <w:r>
              <w:rPr>
                <w:rFonts w:ascii="Calibri" w:hAnsi="Calibri" w:cs="Calibri"/>
                <w:b/>
                <w:bCs/>
                <w:noProof/>
                <w:color w:val="FFFFFF"/>
                <w:szCs w:val="24"/>
                <w:lang w:val="fr-B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fr-BE" w:eastAsia="en-IE"/>
              </w:rPr>
            </w:pPr>
            <w:r>
              <w:rPr>
                <w:rFonts w:ascii="Calibri" w:hAnsi="Calibri" w:cs="Calibri"/>
                <w:b/>
                <w:bCs/>
                <w:noProof/>
                <w:color w:val="000000"/>
                <w:sz w:val="22"/>
                <w:szCs w:val="22"/>
                <w:lang w:val="fr-B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fr-BE" w:eastAsia="en-IE"/>
              </w:rPr>
            </w:pPr>
            <w:r>
              <w:rPr>
                <w:rFonts w:ascii="Calibri" w:hAnsi="Calibri" w:cs="Calibri"/>
                <w:b/>
                <w:bCs/>
                <w:noProof/>
                <w:color w:val="000000"/>
                <w:sz w:val="22"/>
                <w:szCs w:val="22"/>
                <w:lang w:val="fr-B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fr-BE" w:eastAsia="en-IE"/>
              </w:rPr>
            </w:pPr>
            <w:r>
              <w:rPr>
                <w:rFonts w:ascii="Calibri" w:hAnsi="Calibri" w:cs="Calibri"/>
                <w:b/>
                <w:bCs/>
                <w:noProof/>
                <w:color w:val="000000"/>
                <w:sz w:val="22"/>
                <w:szCs w:val="22"/>
                <w:lang w:val="fr-B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fr-BE" w:eastAsia="en-IE"/>
              </w:rPr>
            </w:pPr>
            <w:r>
              <w:rPr>
                <w:rFonts w:ascii="Calibri" w:hAnsi="Calibri" w:cs="Calibri"/>
                <w:b/>
                <w:bCs/>
                <w:noProof/>
                <w:color w:val="000000"/>
                <w:sz w:val="22"/>
                <w:szCs w:val="22"/>
                <w:lang w:val="fr-B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fr-BE" w:eastAsia="en-IE"/>
              </w:rPr>
            </w:pPr>
            <w:r>
              <w:rPr>
                <w:rFonts w:ascii="Calibri" w:hAnsi="Calibri" w:cs="Calibri"/>
                <w:noProof/>
                <w:color w:val="000000"/>
                <w:sz w:val="22"/>
                <w:szCs w:val="22"/>
                <w:lang w:val="fr-B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14.51: Promotions “première filière” – Clean Sky Joint Undertaking</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14.52: Promotions “première filière” – Community Plant Variety Office – Temporary Agents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47"/>
        <w:gridCol w:w="2203"/>
        <w:gridCol w:w="1076"/>
        <w:gridCol w:w="778"/>
        <w:gridCol w:w="778"/>
        <w:gridCol w:w="778"/>
        <w:gridCol w:w="928"/>
        <w:gridCol w:w="928"/>
        <w:gridCol w:w="926"/>
      </w:tblGrid>
      <w:tr>
        <w:trPr>
          <w:trHeight w:val="300"/>
        </w:trPr>
        <w:tc>
          <w:tcPr>
            <w:tcW w:w="45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192"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58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21"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21"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21"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50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50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50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5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19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5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2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5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19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582"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21"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16.67%</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16.67%</w:t>
            </w:r>
          </w:p>
        </w:tc>
        <w:tc>
          <w:tcPr>
            <w:tcW w:w="50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40.00%</w:t>
            </w:r>
          </w:p>
        </w:tc>
      </w:tr>
      <w:tr>
        <w:trPr>
          <w:trHeight w:val="285"/>
        </w:trPr>
        <w:tc>
          <w:tcPr>
            <w:tcW w:w="458"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19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8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2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50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14.53: Promotions “première filière” – Community Plant Variety Office – Officials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944"/>
        <w:gridCol w:w="2456"/>
        <w:gridCol w:w="1198"/>
        <w:gridCol w:w="774"/>
        <w:gridCol w:w="774"/>
        <w:gridCol w:w="774"/>
        <w:gridCol w:w="774"/>
        <w:gridCol w:w="774"/>
        <w:gridCol w:w="774"/>
      </w:tblGrid>
      <w:tr>
        <w:trPr>
          <w:trHeight w:val="300"/>
        </w:trPr>
        <w:tc>
          <w:tcPr>
            <w:tcW w:w="510"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328"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4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1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1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19"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1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19"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19"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32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4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32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48"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c>
          <w:tcPr>
            <w:tcW w:w="419"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w:t>
            </w:r>
          </w:p>
        </w:tc>
      </w:tr>
      <w:tr>
        <w:trPr>
          <w:trHeight w:val="285"/>
        </w:trPr>
        <w:tc>
          <w:tcPr>
            <w:tcW w:w="510"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color w:val="000000"/>
                <w:sz w:val="22"/>
                <w:szCs w:val="22"/>
                <w:lang w:val="en-IE" w:eastAsia="en-IE"/>
              </w:rPr>
            </w:pPr>
          </w:p>
        </w:tc>
        <w:tc>
          <w:tcPr>
            <w:tcW w:w="132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48"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19"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14.54: Promotions “première filière” – European Centre for the Development of Vocational Training – Temporary Agents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14.55: Promotions “première filière” – European Centre for the Development of Vocational Training – Officials</w:t>
      </w:r>
    </w:p>
    <w:p>
      <w:pPr>
        <w:spacing w:after="0"/>
        <w:textAlignment w:val="baseline"/>
        <w:rPr>
          <w:noProof/>
          <w:szCs w:val="24"/>
          <w:lang w:val="en-IE"/>
        </w:rPr>
      </w:pPr>
    </w:p>
    <w:p>
      <w:pPr>
        <w:spacing w:after="0"/>
        <w:textAlignment w:val="baseline"/>
        <w:rPr>
          <w:noProof/>
          <w:szCs w:val="24"/>
          <w:lang w:val="fr-BE"/>
        </w:rPr>
      </w:pPr>
      <w:r>
        <w:rPr>
          <w:noProof/>
          <w:szCs w:val="24"/>
          <w:lang w:val="fr-BE"/>
        </w:rPr>
        <w:t>N/A</w:t>
      </w:r>
    </w:p>
    <w:p>
      <w:pPr>
        <w:spacing w:after="0"/>
        <w:textAlignment w:val="baseline"/>
        <w:rPr>
          <w:b/>
          <w:bCs/>
          <w:noProof/>
          <w:szCs w:val="24"/>
          <w:lang w:val="fr-BE"/>
        </w:rPr>
      </w:pPr>
    </w:p>
    <w:p>
      <w:pPr>
        <w:spacing w:after="0"/>
        <w:textAlignment w:val="baseline"/>
        <w:rPr>
          <w:b/>
          <w:bCs/>
          <w:noProof/>
          <w:szCs w:val="24"/>
          <w:lang w:val="fr-BE"/>
        </w:rPr>
      </w:pPr>
      <w:r>
        <w:rPr>
          <w:b/>
          <w:bCs/>
          <w:noProof/>
          <w:szCs w:val="24"/>
          <w:lang w:val="fr-BE"/>
        </w:rPr>
        <w:t>Annex 14.56: Promotions “première filière” – Translation Centre – Temporary Agents</w:t>
      </w: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14.57: Promotions “première filière” – Translation Centre – Officials</w:t>
      </w:r>
    </w:p>
    <w:p>
      <w:pPr>
        <w:spacing w:after="0"/>
        <w:textAlignment w:val="baseline"/>
        <w:rPr>
          <w:b/>
          <w:bCs/>
          <w:noProof/>
          <w:szCs w:val="24"/>
          <w:lang w:val="fr-B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14.58: Promotions “première filière” – Body of European Regulators for Electronic Communications</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14.59: Promotions “première filière” – Bio-Based Industries Joint Undertaking</w:t>
      </w:r>
    </w:p>
    <w:p>
      <w:pPr>
        <w:spacing w:after="0"/>
        <w:textAlignment w:val="baseline"/>
        <w:rPr>
          <w:noProof/>
          <w:szCs w:val="24"/>
          <w:lang w:val="en-IE"/>
        </w:rPr>
      </w:pPr>
    </w:p>
    <w:p>
      <w:pPr>
        <w:spacing w:after="0"/>
        <w:textAlignment w:val="baseline"/>
        <w:rPr>
          <w:noProof/>
          <w:szCs w:val="24"/>
          <w:lang w:val="en-IE"/>
        </w:rPr>
      </w:pPr>
      <w:r>
        <w:rPr>
          <w:noProof/>
          <w:szCs w:val="24"/>
          <w:lang w:val="en-IE"/>
        </w:rPr>
        <w:t>N/A</w:t>
      </w:r>
    </w:p>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14.60: Promotions “première filière” – Agency for the Cooperation of Energy Regulators</w:t>
      </w:r>
    </w:p>
    <w:p>
      <w:pPr>
        <w:spacing w:after="0"/>
        <w:textAlignment w:val="baseline"/>
        <w:rPr>
          <w:b/>
          <w:bCs/>
          <w:noProof/>
          <w:szCs w:val="24"/>
          <w:lang w:val="en-IE"/>
        </w:rPr>
      </w:pPr>
    </w:p>
    <w:tbl>
      <w:tblPr>
        <w:tblW w:w="5000" w:type="pct"/>
        <w:tblCellMar>
          <w:top w:w="15" w:type="dxa"/>
          <w:bottom w:w="15" w:type="dxa"/>
        </w:tblCellMar>
        <w:tblLook w:val="04A0" w:firstRow="1" w:lastRow="0" w:firstColumn="1" w:lastColumn="0" w:noHBand="0" w:noVBand="1"/>
      </w:tblPr>
      <w:tblGrid>
        <w:gridCol w:w="890"/>
        <w:gridCol w:w="2319"/>
        <w:gridCol w:w="1130"/>
        <w:gridCol w:w="818"/>
        <w:gridCol w:w="817"/>
        <w:gridCol w:w="817"/>
        <w:gridCol w:w="817"/>
        <w:gridCol w:w="817"/>
        <w:gridCol w:w="817"/>
      </w:tblGrid>
      <w:tr>
        <w:trPr>
          <w:trHeight w:val="300"/>
        </w:trPr>
        <w:tc>
          <w:tcPr>
            <w:tcW w:w="481"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FCT</w:t>
            </w:r>
          </w:p>
        </w:tc>
        <w:tc>
          <w:tcPr>
            <w:tcW w:w="1253" w:type="pct"/>
            <w:tcBorders>
              <w:top w:val="nil"/>
              <w:left w:val="nil"/>
              <w:bottom w:val="nil"/>
              <w:right w:val="nil"/>
            </w:tcBorders>
            <w:shd w:val="clear" w:color="000000" w:fill="333F4F"/>
            <w:vAlign w:val="center"/>
            <w:hideMark/>
          </w:tcPr>
          <w:p>
            <w:pPr>
              <w:spacing w:after="0"/>
              <w:jc w:val="left"/>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GRADE</w:t>
            </w:r>
          </w:p>
        </w:tc>
        <w:tc>
          <w:tcPr>
            <w:tcW w:w="6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eastAsia="en-IE"/>
              </w:rPr>
            </w:pPr>
            <w:r>
              <w:rPr>
                <w:rFonts w:ascii="Calibri" w:hAnsi="Calibri" w:cs="Calibri"/>
                <w:b/>
                <w:bCs/>
                <w:noProof/>
                <w:color w:val="FFFFFF"/>
                <w:sz w:val="22"/>
                <w:szCs w:val="22"/>
                <w:lang w:val="en-IE" w:eastAsia="en-IE"/>
              </w:rPr>
              <w:t>TYPE</w:t>
            </w:r>
          </w:p>
        </w:tc>
        <w:tc>
          <w:tcPr>
            <w:tcW w:w="442"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2014</w:t>
            </w:r>
          </w:p>
        </w:tc>
        <w:tc>
          <w:tcPr>
            <w:tcW w:w="442"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2015</w:t>
            </w:r>
          </w:p>
        </w:tc>
        <w:tc>
          <w:tcPr>
            <w:tcW w:w="442"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2016</w:t>
            </w:r>
          </w:p>
        </w:tc>
        <w:tc>
          <w:tcPr>
            <w:tcW w:w="442"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2017</w:t>
            </w:r>
          </w:p>
        </w:tc>
        <w:tc>
          <w:tcPr>
            <w:tcW w:w="442"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2018</w:t>
            </w:r>
          </w:p>
        </w:tc>
        <w:tc>
          <w:tcPr>
            <w:tcW w:w="442"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eastAsia="en-IE"/>
              </w:rPr>
            </w:pPr>
            <w:r>
              <w:rPr>
                <w:rFonts w:ascii="Calibri" w:hAnsi="Calibri" w:cs="Calibri"/>
                <w:b/>
                <w:bCs/>
                <w:noProof/>
                <w:color w:val="FFFFFF"/>
                <w:szCs w:val="24"/>
                <w:lang w:val="en-IE" w:eastAsia="en-IE"/>
              </w:rPr>
              <w:t>2019</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w:t>
            </w:r>
          </w:p>
        </w:tc>
        <w:tc>
          <w:tcPr>
            <w:tcW w:w="12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AD12 --&gt; AD13</w:t>
            </w:r>
          </w:p>
        </w:tc>
        <w:tc>
          <w:tcPr>
            <w:tcW w:w="61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SE</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c>
          <w:tcPr>
            <w:tcW w:w="442"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0.00%</w:t>
            </w:r>
          </w:p>
        </w:tc>
      </w:tr>
      <w:tr>
        <w:trPr>
          <w:trHeight w:val="285"/>
        </w:trPr>
        <w:tc>
          <w:tcPr>
            <w:tcW w:w="48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w:t>
            </w:r>
          </w:p>
        </w:tc>
        <w:tc>
          <w:tcPr>
            <w:tcW w:w="1253"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eastAsia="en-IE"/>
              </w:rPr>
            </w:pPr>
            <w:r>
              <w:rPr>
                <w:rFonts w:ascii="Calibri" w:hAnsi="Calibri" w:cs="Calibri"/>
                <w:b/>
                <w:bCs/>
                <w:noProof/>
                <w:color w:val="000000"/>
                <w:sz w:val="22"/>
                <w:szCs w:val="22"/>
                <w:lang w:val="en-IE" w:eastAsia="en-IE"/>
              </w:rPr>
              <w:t>AST09 --&gt; AST10</w:t>
            </w:r>
          </w:p>
        </w:tc>
        <w:tc>
          <w:tcPr>
            <w:tcW w:w="611" w:type="pct"/>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eastAsia="en-IE"/>
              </w:rPr>
            </w:pPr>
            <w:r>
              <w:rPr>
                <w:rFonts w:ascii="Calibri" w:hAnsi="Calibri" w:cs="Calibri"/>
                <w:noProof/>
                <w:color w:val="000000"/>
                <w:sz w:val="22"/>
                <w:szCs w:val="22"/>
                <w:lang w:val="en-IE" w:eastAsia="en-IE"/>
              </w:rPr>
              <w:t>SA</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c>
          <w:tcPr>
            <w:tcW w:w="442" w:type="pct"/>
            <w:tcBorders>
              <w:top w:val="single" w:sz="4" w:space="0" w:color="D9E1F2"/>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eastAsia="en-IE"/>
              </w:rPr>
            </w:pPr>
            <w:r>
              <w:rPr>
                <w:rFonts w:ascii="Calibri" w:hAnsi="Calibri" w:cs="Calibri"/>
                <w:noProof/>
                <w:sz w:val="22"/>
                <w:szCs w:val="22"/>
                <w:lang w:val="en-IE" w:eastAsia="en-IE"/>
              </w:rPr>
              <w:t>0.00%</w:t>
            </w:r>
          </w:p>
        </w:tc>
      </w:tr>
      <w:tr>
        <w:trPr>
          <w:trHeight w:val="285"/>
        </w:trPr>
        <w:tc>
          <w:tcPr>
            <w:tcW w:w="481" w:type="pct"/>
            <w:tcBorders>
              <w:top w:val="single" w:sz="4" w:space="0" w:color="D9E1F2"/>
              <w:left w:val="nil"/>
              <w:bottom w:val="nil"/>
              <w:right w:val="nil"/>
            </w:tcBorders>
            <w:shd w:val="clear" w:color="203764" w:fill="203764"/>
            <w:noWrap/>
            <w:vAlign w:val="bottom"/>
            <w:hideMark/>
          </w:tcPr>
          <w:p>
            <w:pPr>
              <w:spacing w:after="0"/>
              <w:jc w:val="right"/>
              <w:rPr>
                <w:rFonts w:ascii="Calibri" w:hAnsi="Calibri" w:cs="Calibri"/>
                <w:noProof/>
                <w:sz w:val="22"/>
                <w:szCs w:val="22"/>
                <w:lang w:val="en-IE" w:eastAsia="en-IE"/>
              </w:rPr>
            </w:pPr>
          </w:p>
        </w:tc>
        <w:tc>
          <w:tcPr>
            <w:tcW w:w="1253"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611"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c>
          <w:tcPr>
            <w:tcW w:w="442" w:type="pct"/>
            <w:tcBorders>
              <w:top w:val="single" w:sz="4" w:space="0" w:color="D9E1F2"/>
              <w:left w:val="nil"/>
              <w:bottom w:val="nil"/>
              <w:right w:val="nil"/>
            </w:tcBorders>
            <w:shd w:val="clear" w:color="203764" w:fill="203764"/>
            <w:noWrap/>
            <w:vAlign w:val="bottom"/>
            <w:hideMark/>
          </w:tcPr>
          <w:p>
            <w:pPr>
              <w:spacing w:after="0"/>
              <w:jc w:val="left"/>
              <w:rPr>
                <w:noProof/>
                <w:sz w:val="20"/>
                <w:lang w:val="en-IE" w:eastAsia="en-IE"/>
              </w:rPr>
            </w:pPr>
          </w:p>
        </w:tc>
      </w:tr>
    </w:tbl>
    <w:p>
      <w:pPr>
        <w:spacing w:after="0"/>
        <w:textAlignment w:val="baseline"/>
        <w:rPr>
          <w:b/>
          <w:bCs/>
          <w:noProof/>
          <w:szCs w:val="24"/>
          <w:lang w:val="en-IE"/>
        </w:rPr>
      </w:pPr>
    </w:p>
    <w:p>
      <w:pPr>
        <w:rPr>
          <w:b/>
          <w:noProof/>
          <w:lang w:val="en-IE"/>
        </w:rPr>
      </w:pPr>
      <w:r>
        <w:rPr>
          <w:b/>
          <w:noProof/>
          <w:lang w:val="en-IE"/>
        </w:rPr>
        <w:t>Annex 15: Promotions “deuxième filière”</w:t>
      </w:r>
    </w:p>
    <w:p>
      <w:pPr>
        <w:rPr>
          <w:b/>
          <w:noProof/>
          <w:lang w:val="en-IE"/>
        </w:rPr>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pPr>
    </w:p>
    <w:p>
      <w:pPr>
        <w:spacing w:after="0"/>
        <w:textAlignment w:val="baseline"/>
        <w:rPr>
          <w:noProof/>
          <w:szCs w:val="24"/>
          <w:lang w:val="fr-BE"/>
        </w:rPr>
      </w:pPr>
      <w:r>
        <w:rPr>
          <w:b/>
          <w:bCs/>
          <w:noProof/>
          <w:szCs w:val="24"/>
          <w:lang w:val="fr-BE"/>
        </w:rPr>
        <w:t>Annex 15.1: Promotions “deuxième filière”</w:t>
      </w:r>
      <w:r>
        <w:rPr>
          <w:b/>
          <w:noProof/>
          <w:szCs w:val="24"/>
          <w:lang w:val="fr-BE"/>
        </w:rPr>
        <w:t> – European Commission</w:t>
      </w:r>
      <w:r>
        <w:rPr>
          <w:noProof/>
          <w:szCs w:val="24"/>
          <w:lang w:val="fr-BE"/>
        </w:rPr>
        <w:t xml:space="preserve"> </w:t>
      </w:r>
    </w:p>
    <w:tbl>
      <w:tblPr>
        <w:tblW w:w="5000" w:type="pct"/>
        <w:tblCellMar>
          <w:left w:w="70" w:type="dxa"/>
          <w:right w:w="70" w:type="dxa"/>
        </w:tblCellMar>
        <w:tblLook w:val="04A0" w:firstRow="1" w:lastRow="0" w:firstColumn="1" w:lastColumn="0" w:noHBand="0" w:noVBand="1"/>
      </w:tblPr>
      <w:tblGrid>
        <w:gridCol w:w="877"/>
        <w:gridCol w:w="592"/>
        <w:gridCol w:w="874"/>
        <w:gridCol w:w="1117"/>
        <w:gridCol w:w="1602"/>
        <w:gridCol w:w="1506"/>
        <w:gridCol w:w="1506"/>
        <w:gridCol w:w="1506"/>
        <w:gridCol w:w="1506"/>
        <w:gridCol w:w="1506"/>
        <w:gridCol w:w="1506"/>
      </w:tblGrid>
      <w:tr>
        <w:trPr>
          <w:trHeight w:val="310"/>
        </w:trPr>
        <w:tc>
          <w:tcPr>
            <w:tcW w:w="311" w:type="pct"/>
            <w:tcBorders>
              <w:top w:val="nil"/>
              <w:left w:val="nil"/>
              <w:bottom w:val="nil"/>
              <w:right w:val="nil"/>
            </w:tcBorders>
            <w:shd w:val="clear" w:color="auto" w:fill="auto"/>
            <w:noWrap/>
            <w:vAlign w:val="bottom"/>
            <w:hideMark/>
          </w:tcPr>
          <w:p>
            <w:pPr>
              <w:spacing w:after="160" w:line="259" w:lineRule="auto"/>
              <w:jc w:val="left"/>
              <w:rPr>
                <w:noProof/>
                <w:sz w:val="20"/>
                <w:lang w:val="fr-BE"/>
              </w:rPr>
            </w:pPr>
            <w:r>
              <w:rPr>
                <w:rFonts w:asciiTheme="minorHAnsi" w:eastAsiaTheme="minorHAnsi" w:hAnsiTheme="minorHAnsi" w:cstheme="minorBidi"/>
                <w:noProof/>
                <w:sz w:val="22"/>
                <w:szCs w:val="22"/>
                <w:lang w:val="fr-BE" w:eastAsia="en-US"/>
              </w:rPr>
              <w:t> </w:t>
            </w:r>
          </w:p>
        </w:tc>
        <w:tc>
          <w:tcPr>
            <w:tcW w:w="21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1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9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6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3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3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3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3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3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3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3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2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3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9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6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3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4,11%</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5,29%</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3,15%</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2,56%</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34,63%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23,35%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23,72%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23,93%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26,25%</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25,49%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25,35%</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27,37%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27,31%</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27,67%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25,13%</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28,01%</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23,32%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24,31%</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24,96%</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24,74%</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24,80%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25,22%</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32,61%</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31,37%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31,42%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32,60%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33,29%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32,28%</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32,91%</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33,28%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35,83%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34,79%</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35,92%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35,83%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37,89%</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33,50%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34,04%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36,45%</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37,30%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39,66%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41,47%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39,25%</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41,49%</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38,95%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44,76%</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43,75%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41,78%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47,82%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46,99%</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8,92%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12,41%</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9,55%</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19,39%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11,27%</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17,66%</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22,74%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22,92%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21,50%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20,16%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20,59%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22,91%</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26,17%</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26,64%</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25,70%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24,09%</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23,44%</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22,70%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25,57%</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25,28%</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24,96%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24,66%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25,18%</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25,96%</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26,45%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25,84%</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25,22%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24,63%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24,40%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25,81%</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36,21%</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33,60%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31,98%</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33,91%</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34,07%</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33,12%</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33,78%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30,23%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34,02%</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32,78%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36,13%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36,88%</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40,19%</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34,29%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32,72%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34,88%</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34,73%</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39,82%</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46,86%</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54,17%</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6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41,85%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32,86%</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41,10%</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53,85%</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73,49%</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6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12,18%</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17,24%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18,89%</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27,14%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37,14%</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54,55%</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6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6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11,63%</w:t>
            </w:r>
          </w:p>
        </w:tc>
        <w:tc>
          <w:tcPr>
            <w:tcW w:w="534"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16,24%</w:t>
            </w:r>
          </w:p>
        </w:tc>
      </w:tr>
      <w:tr>
        <w:trPr>
          <w:trHeight w:val="290"/>
        </w:trPr>
        <w:tc>
          <w:tcPr>
            <w:tcW w:w="3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10"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10"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9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6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8,93%</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9,27%</w:t>
            </w:r>
          </w:p>
        </w:tc>
        <w:tc>
          <w:tcPr>
            <w:tcW w:w="534"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22,02%</w:t>
            </w:r>
          </w:p>
        </w:tc>
      </w:tr>
    </w:tbl>
    <w:p>
      <w:pPr>
        <w:spacing w:after="0"/>
        <w:textAlignment w:val="baseline"/>
        <w:rPr>
          <w:b/>
          <w:bCs/>
          <w:noProof/>
          <w:szCs w:val="24"/>
          <w:lang w:val="fr-BE"/>
        </w:rPr>
      </w:pPr>
      <w:r>
        <w:rPr>
          <w:b/>
          <w:bCs/>
          <w:noProof/>
          <w:szCs w:val="24"/>
          <w:lang w:val="fr-BE"/>
        </w:rPr>
        <w:t xml:space="preserve">Annex 15.2: Promotions “deuxième filière” – European Parliament </w:t>
      </w:r>
    </w:p>
    <w:p>
      <w:pPr>
        <w:spacing w:after="0"/>
        <w:textAlignment w:val="baseline"/>
        <w:rPr>
          <w:b/>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25"/>
        <w:gridCol w:w="919"/>
        <w:gridCol w:w="1686"/>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34,48%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0,58%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4,81%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22,64%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19,11%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32,75%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36,16%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40,49%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25,32%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26,73%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18,56%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17,84%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18,85%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30,27%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29,23%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35,85%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35,43%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36,59%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35,63%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27,49%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38,59%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41,06%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35,94%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26,82%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52,07%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37,72%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38,34%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45,77%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47,02%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28,95%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22,94%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35,48%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32,45%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40,50%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18,35%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10,20%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7,94%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6,15%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22,62%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5,62%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11,83%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22,66%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41,19%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23,10%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20,97%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25,14%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29,37%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27,05%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31,19%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25,25%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24,55%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30,80%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31,63%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22,13%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18,27%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37,64%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18,36%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27,61%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36,46%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41,46%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36,72%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41,62%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37,06%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33,53%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41,44%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60,99%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34,31%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43,26%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52,07%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36,52%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60,34%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37,91%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68,62%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46,58%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72,73%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14,48%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8,82%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4,92%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13,51%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27,84%</w:t>
            </w:r>
          </w:p>
        </w:tc>
      </w:tr>
    </w:tbl>
    <w:p>
      <w:pPr>
        <w:spacing w:after="0"/>
        <w:textAlignment w:val="baseline"/>
        <w:rPr>
          <w:b/>
          <w:bCs/>
          <w:noProof/>
          <w:szCs w:val="24"/>
          <w:lang w:val="en-IE"/>
        </w:rPr>
      </w:pPr>
      <w:r>
        <w:rPr>
          <w:b/>
          <w:bCs/>
          <w:noProof/>
          <w:szCs w:val="24"/>
          <w:lang w:val="en-IE"/>
        </w:rPr>
        <w:t xml:space="preserve">Annex 15.3: Promotions “deuxième filière” – Council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7"/>
        <w:gridCol w:w="720"/>
        <w:gridCol w:w="919"/>
        <w:gridCol w:w="1607"/>
        <w:gridCol w:w="1607"/>
        <w:gridCol w:w="1607"/>
        <w:gridCol w:w="1607"/>
        <w:gridCol w:w="1607"/>
        <w:gridCol w:w="1607"/>
        <w:gridCol w:w="1608"/>
      </w:tblGrid>
      <w:tr>
        <w:trPr>
          <w:trHeight w:val="310"/>
        </w:trPr>
        <w:tc>
          <w:tcPr>
            <w:tcW w:w="221"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1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16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4"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61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61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61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61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61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61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2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1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16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61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20,41%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15,15%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4,58%</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5,00%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5,79%</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25,40%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15,43%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1,67%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2,65%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3,19%</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22,07%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25,64%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26,04%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27,50%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27,63%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28,38%</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26,03%</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25,37%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25,30%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25,58%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25,24%</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25,58%</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25,56%</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27,55%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25,56%</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25,49%</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25,28%</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33,72%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33,67%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38,85%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33,53%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33,51%</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36,18%</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33,10%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38,42%</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38,55%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36,05%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38,97%</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33,12%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36,64%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38,79%</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41,88%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40,17%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36,67%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40,16%</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36,44%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35,14%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37,41%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34,43%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36,59%</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22,22%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22,73%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20,83%</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20,93%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25,29%</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25,77%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25,16%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25,15%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25,52%</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20,51%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25,10%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25,31%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25,74%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13,57%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14,50%</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21,71%</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25,48%</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25,34%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25,53%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25,34%</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20,41%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25,31%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24,84%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25,43%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23,56%</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28,97%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33,55%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33,14%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33,52%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33,64%</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32,37%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33,18%</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33,04%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33,04%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33,04%</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33,97%</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33,52%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33,55%</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33,62%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35,14%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33,57%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32,95%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26,67%</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50,00%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12,50%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11,76%</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14,29%</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10"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10"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000000"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614"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22,73%</w:t>
            </w:r>
          </w:p>
        </w:tc>
      </w:tr>
      <w:tr>
        <w:trPr>
          <w:trHeight w:val="290"/>
        </w:trPr>
        <w:tc>
          <w:tcPr>
            <w:tcW w:w="22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10"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63"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614" w:type="pct"/>
            <w:tcBorders>
              <w:top w:val="nil"/>
              <w:left w:val="nil"/>
              <w:bottom w:val="single" w:sz="4" w:space="0" w:color="DDEBF7"/>
              <w:right w:val="nil"/>
            </w:tcBorders>
            <w:shd w:val="clear" w:color="000000"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13,48%</w:t>
            </w:r>
          </w:p>
        </w:tc>
        <w:tc>
          <w:tcPr>
            <w:tcW w:w="614"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25,29%</w:t>
            </w:r>
          </w:p>
        </w:tc>
      </w:tr>
    </w:tbl>
    <w:p>
      <w:pPr>
        <w:spacing w:after="0"/>
        <w:textAlignment w:val="baseline"/>
        <w:rPr>
          <w:b/>
          <w:bCs/>
          <w:noProof/>
          <w:szCs w:val="24"/>
          <w:lang w:val="fr-BE"/>
        </w:rPr>
      </w:pPr>
      <w:r>
        <w:rPr>
          <w:b/>
          <w:bCs/>
          <w:noProof/>
          <w:szCs w:val="24"/>
          <w:lang w:val="fr-BE"/>
        </w:rPr>
        <w:t xml:space="preserve">Annex 15.4: Promotions “deuxième filière” – Court of Justice </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25"/>
        <w:gridCol w:w="919"/>
        <w:gridCol w:w="1686"/>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17,58%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9,35%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10,68%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11,90%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6,85%</w:t>
            </w:r>
          </w:p>
        </w:tc>
        <w:tc>
          <w:tcPr>
            <w:tcW w:w="565" w:type="pct"/>
            <w:tcBorders>
              <w:top w:val="nil"/>
              <w:left w:val="nil"/>
              <w:bottom w:val="nil"/>
              <w:right w:val="nil"/>
            </w:tcBorders>
            <w:shd w:val="clear" w:color="000000"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23,21%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4,39%</w:t>
            </w:r>
          </w:p>
        </w:tc>
        <w:tc>
          <w:tcPr>
            <w:tcW w:w="565" w:type="pct"/>
            <w:tcBorders>
              <w:top w:val="nil"/>
              <w:left w:val="nil"/>
              <w:bottom w:val="nil"/>
              <w:right w:val="nil"/>
            </w:tcBorders>
            <w:shd w:val="clear" w:color="000000"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31,82%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16,22%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21,74%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15,00%</w:t>
            </w:r>
          </w:p>
        </w:tc>
        <w:tc>
          <w:tcPr>
            <w:tcW w:w="565" w:type="pct"/>
            <w:tcBorders>
              <w:top w:val="single" w:sz="4" w:space="0" w:color="DDEBF7"/>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21,21%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12,28%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30,26%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26,71%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15,63%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32,08%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13,86%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34,94%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20,38%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19,90%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26,71%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36,43%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41,38%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43,36%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28,93%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65,22%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54,84%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65,22%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55,17%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32,14%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13,51%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22,86%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18,42%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39,39%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26,98%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18,46%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25,45%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17,31%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30,65%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17,78%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22,41%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34,15%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13,73%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29,90%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25,97%</w:t>
            </w:r>
          </w:p>
        </w:tc>
      </w:tr>
      <w:tr>
        <w:trPr>
          <w:trHeight w:val="323"/>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29,55%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22,34%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18,37%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24,74%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29,84%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38,75%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27,38%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23,16%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17,91%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26,42%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35,79%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26,96%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40,48%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32,56%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32,14%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35,94%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21,15%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12,20%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26,19%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bl>
    <w:p>
      <w:pPr>
        <w:spacing w:after="0"/>
        <w:textAlignment w:val="baseline"/>
        <w:rPr>
          <w:b/>
          <w:bCs/>
          <w:noProof/>
          <w:szCs w:val="24"/>
          <w:lang w:val="fr-BE"/>
        </w:rPr>
      </w:pPr>
      <w:r>
        <w:rPr>
          <w:b/>
          <w:bCs/>
          <w:noProof/>
          <w:szCs w:val="24"/>
          <w:lang w:val="fr-BE"/>
        </w:rPr>
        <w:t>Annex 15.5: Promotions “deuxième filière” – Court of Auditors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25"/>
        <w:gridCol w:w="919"/>
        <w:gridCol w:w="1686"/>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13,89%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20,69%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7,27%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11,54%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16,13%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20,45%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18,60%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8,93%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18,46%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21,82%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21,31%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27,94%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36,11%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45,24%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26,47%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38,71%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17,24%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9,30%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31,58%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22,45%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46,94%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28,72%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32,69%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25,35%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30,21%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30,91%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40,91%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50,68%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31,75%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47,13%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41,27%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39,66%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39,13%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34,88%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44,64%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46,51%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47,83%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46,43%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37,04%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72,00%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23,53%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41,18%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19,23%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34,62%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21,74%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21,74%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13,16%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26,32%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31,25%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31,03%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28,95%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30,61%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31,82%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43,59%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52,38%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45,45%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58,33%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bl>
    <w:p>
      <w:pPr>
        <w:spacing w:after="0"/>
        <w:textAlignment w:val="baseline"/>
        <w:rPr>
          <w:b/>
          <w:bCs/>
          <w:noProof/>
          <w:szCs w:val="24"/>
          <w:lang w:val="fr-BE"/>
        </w:rPr>
      </w:pPr>
      <w:r>
        <w:rPr>
          <w:b/>
          <w:bCs/>
          <w:noProof/>
          <w:szCs w:val="24"/>
          <w:lang w:val="fr-BE"/>
        </w:rPr>
        <w:t>Annex 15.6: Promotions “deuxième filière” – European External Action Service</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7,86%</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9,89%</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14,37%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15,09%</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12,70%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27,37%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5,63%</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4,42%</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10,17%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36,17%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26,53%</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29,63%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37,70%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32,50%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28,89%</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35,14%</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34,38%</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28,95%</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29,09%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53,33%</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30,30%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38,71%</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34,15%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45,00%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37,04%</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53,85%</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41,67%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38,46%</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32,36%</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54,29%</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35,90%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21,05%</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55,56%</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46,67%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11,76%</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63,63%</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11,54%</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16,95%</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20,45%</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19,61%</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28,85%</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22,45%</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15,58%</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15,66%</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22,62%</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23,33%</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24,18%</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31,03%</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25,61%</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27,63%</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28,21%</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26,88%</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25,53%</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28,40%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24,72%</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26,44%</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29,76%</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24,71%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27,54%</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48,15%</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36,11%</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30,99%</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32,98%</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34,74%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42,62%</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29,58%</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42,47%</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34,52%</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29,76%</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35,71%</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31,25%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41,07%</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27,69%</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38,89%</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36,73%</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35,71%</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60,53%</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20,83%</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32,61%</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34,29%</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30,77%</w:t>
            </w:r>
          </w:p>
        </w:tc>
      </w:tr>
    </w:tbl>
    <w:p>
      <w:pPr>
        <w:spacing w:after="0"/>
        <w:textAlignment w:val="baseline"/>
        <w:rPr>
          <w:b/>
          <w:bCs/>
          <w:noProof/>
          <w:szCs w:val="24"/>
          <w:lang w:val="en-IE"/>
        </w:rPr>
      </w:pPr>
      <w:r>
        <w:rPr>
          <w:b/>
          <w:bCs/>
          <w:noProof/>
          <w:szCs w:val="24"/>
          <w:lang w:val="en-IE"/>
        </w:rPr>
        <w:t>Annex 15.7: Promotions “deuxième filière” – European Economic and Social Committee</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25"/>
        <w:gridCol w:w="919"/>
        <w:gridCol w:w="1686"/>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13,89%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5,13%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22,73%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31,58%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35,71%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19,57%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27,45%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26,92%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39,22%</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26,53%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25,45%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34,69%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38,18%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36,96%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47,50%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54,55%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36,07%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43,18%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30,43%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46,88%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43,75%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64,71%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17,39%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24,24%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21,21%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24,32%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19,35%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26,83%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20,51%</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27,50%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22,73%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11,36%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13,21%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23,91%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25,53%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22,45%</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21,82%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29,31%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29,55%</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29,17%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29,79%</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32,08%</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31,37%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34,62%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33,96%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32,69%</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47,92%</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38,24%</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44,12%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32,43%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36,67%</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61,71%</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r>
    </w:tbl>
    <w:p>
      <w:pPr>
        <w:spacing w:after="0"/>
        <w:textAlignment w:val="baseline"/>
        <w:rPr>
          <w:b/>
          <w:bCs/>
          <w:noProof/>
          <w:szCs w:val="24"/>
          <w:lang w:val="en-IE"/>
        </w:rPr>
      </w:pPr>
      <w:r>
        <w:rPr>
          <w:b/>
          <w:bCs/>
          <w:noProof/>
          <w:szCs w:val="24"/>
          <w:lang w:val="en-IE"/>
        </w:rPr>
        <w:t>Annex 15.8: Promotions “deuxième filière” –Committee of the Regions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234"/>
        <w:gridCol w:w="254"/>
        <w:gridCol w:w="400"/>
        <w:gridCol w:w="324"/>
        <w:gridCol w:w="634"/>
        <w:gridCol w:w="285"/>
        <w:gridCol w:w="635"/>
        <w:gridCol w:w="1052"/>
        <w:gridCol w:w="505"/>
        <w:gridCol w:w="1088"/>
        <w:gridCol w:w="516"/>
        <w:gridCol w:w="1077"/>
        <w:gridCol w:w="553"/>
        <w:gridCol w:w="1040"/>
        <w:gridCol w:w="564"/>
        <w:gridCol w:w="1029"/>
        <w:gridCol w:w="553"/>
        <w:gridCol w:w="1040"/>
        <w:gridCol w:w="440"/>
        <w:gridCol w:w="115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257"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gridSpan w:val="2"/>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gridSpan w:val="2"/>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gridSpan w:val="2"/>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gridSpan w:val="2"/>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gridSpan w:val="2"/>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gridSpan w:val="2"/>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gridSpan w:val="2"/>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gridSpan w:val="2"/>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gridSpan w:val="2"/>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5,56%</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31,58%</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8,70%</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3,57%</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7,69%</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21,05%</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38,89%</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52"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31,58%</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21,95%</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52"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44,83%</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32,26%</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27,66%</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39,53%</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32,65%</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25,86%</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36,76%</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37,04%</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34,38%</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34,48%</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40,58%</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35,48%</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36,67%</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32,00%</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37,50%</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52"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38,46%</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46,43%</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47,62%</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63,64%</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7,69%</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26,32%</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19,05%</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22,73%</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28,13%</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31,43%</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37,93%</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34,48%</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43,75%</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31,43%</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35,48%</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35,48%</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35,00%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31,58%</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35,14%</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37,84%</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39,29%</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32,00%</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35,71%</w:t>
            </w:r>
          </w:p>
        </w:tc>
        <w:tc>
          <w:tcPr>
            <w:tcW w:w="569" w:type="pct"/>
            <w:gridSpan w:val="2"/>
            <w:tcBorders>
              <w:top w:val="nil"/>
              <w:left w:val="nil"/>
              <w:bottom w:val="single" w:sz="4" w:space="0" w:color="DDEBF7"/>
              <w:right w:val="nil"/>
            </w:tcBorders>
            <w:shd w:val="clear" w:color="BDD7EE"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41,67%</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64,29%</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78"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62,50%</w:t>
            </w:r>
          </w:p>
        </w:tc>
        <w:tc>
          <w:tcPr>
            <w:tcW w:w="569"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1"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32" w:type="pct"/>
            <w:gridSpan w:val="2"/>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32" w:type="pct"/>
            <w:gridSpan w:val="2"/>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52"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409" w:type="pct"/>
            <w:tcBorders>
              <w:top w:val="nil"/>
              <w:left w:val="nil"/>
              <w:bottom w:val="single" w:sz="4" w:space="0" w:color="DDEBF7"/>
              <w:right w:val="nil"/>
            </w:tcBorders>
            <w:shd w:val="clear" w:color="9BC2E6" w:fill="9BC2E6"/>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339" w:type="pct"/>
            <w:gridSpan w:val="2"/>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32" w:type="pct"/>
            <w:gridSpan w:val="2"/>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40"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gridSpan w:val="2"/>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52"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78"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9"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1" w:type="pct"/>
            <w:gridSpan w:val="2"/>
            <w:tcBorders>
              <w:top w:val="nil"/>
              <w:left w:val="nil"/>
              <w:bottom w:val="single" w:sz="4" w:space="0" w:color="DDEBF7"/>
              <w:right w:val="nil"/>
            </w:tcBorders>
            <w:shd w:val="clear" w:color="9BC2E6"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25" w:type="pct"/>
            <w:gridSpan w:val="2"/>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09" w:type="pct"/>
            <w:tcBorders>
              <w:top w:val="nil"/>
              <w:left w:val="nil"/>
              <w:bottom w:val="single" w:sz="4" w:space="0" w:color="DDEBF7"/>
              <w:right w:val="nil"/>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bl>
    <w:p>
      <w:pPr>
        <w:spacing w:after="0"/>
        <w:textAlignment w:val="baseline"/>
        <w:rPr>
          <w:b/>
          <w:bCs/>
          <w:noProof/>
          <w:szCs w:val="24"/>
          <w:lang w:val="fr-BE"/>
        </w:rPr>
      </w:pPr>
      <w:r>
        <w:rPr>
          <w:b/>
          <w:bCs/>
          <w:noProof/>
          <w:szCs w:val="24"/>
          <w:lang w:val="fr-BE"/>
        </w:rPr>
        <w:t>Annex 15.9: Promotions “deuxième filière” – European Ombudsman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25"/>
        <w:gridCol w:w="919"/>
        <w:gridCol w:w="1686"/>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66,66%</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16,66%</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DEBF7"/>
              <w:right w:val="nil"/>
            </w:tcBorders>
            <w:shd w:val="clear" w:color="9BC2E6" w:fill="9BC2E6"/>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80,00%</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 xml:space="preserve">Annex 15.10: Promotions “deuxième filière” – European Data Protection Supervisor </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7"/>
        <w:gridCol w:w="720"/>
        <w:gridCol w:w="919"/>
        <w:gridCol w:w="1656"/>
        <w:gridCol w:w="1599"/>
        <w:gridCol w:w="1599"/>
        <w:gridCol w:w="1599"/>
        <w:gridCol w:w="1599"/>
        <w:gridCol w:w="1599"/>
        <w:gridCol w:w="1599"/>
      </w:tblGrid>
      <w:tr>
        <w:trPr>
          <w:trHeight w:val="310"/>
        </w:trPr>
        <w:tc>
          <w:tcPr>
            <w:tcW w:w="211" w:type="pct"/>
            <w:tcBorders>
              <w:top w:val="nil"/>
              <w:left w:val="nil"/>
              <w:bottom w:val="nil"/>
              <w:right w:val="nil"/>
            </w:tcBorders>
            <w:shd w:val="clear" w:color="auto" w:fill="auto"/>
            <w:noWrap/>
            <w:vAlign w:val="bottom"/>
            <w:hideMark/>
          </w:tcPr>
          <w:p>
            <w:pPr>
              <w:spacing w:after="0"/>
              <w:jc w:val="left"/>
              <w:rPr>
                <w:noProof/>
                <w:sz w:val="20"/>
                <w:szCs w:val="24"/>
                <w:lang w:val="fr-BE"/>
              </w:rPr>
            </w:pPr>
          </w:p>
        </w:tc>
        <w:tc>
          <w:tcPr>
            <w:tcW w:w="194"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7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28" w:type="pct"/>
            <w:tcBorders>
              <w:top w:val="nil"/>
              <w:left w:val="nil"/>
              <w:bottom w:val="nil"/>
              <w:right w:val="nil"/>
            </w:tcBorders>
            <w:shd w:val="clear" w:color="000000" w:fill="5B9BD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98"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98"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98"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98"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98"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98"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11"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17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2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98" w:type="pct"/>
            <w:tcBorders>
              <w:top w:val="single" w:sz="4" w:space="0" w:color="auto"/>
              <w:left w:val="single" w:sz="4" w:space="0" w:color="auto"/>
              <w:bottom w:val="single" w:sz="4" w:space="0" w:color="auto"/>
              <w:right w:val="single" w:sz="4" w:space="0" w:color="auto"/>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2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50,000%</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single" w:sz="4" w:space="0" w:color="auto"/>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77,78%</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4" w:type="pct"/>
            <w:tcBorders>
              <w:top w:val="single" w:sz="4" w:space="0" w:color="9BC2E6"/>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4" w:type="pct"/>
            <w:tcBorders>
              <w:top w:val="nil"/>
              <w:left w:val="nil"/>
              <w:bottom w:val="single" w:sz="4" w:space="0" w:color="DDEBF7"/>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9BC2E6" w:fill="9BC2E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11"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4" w:type="pct"/>
            <w:tcBorders>
              <w:top w:val="nil"/>
              <w:left w:val="nil"/>
              <w:bottom w:val="single" w:sz="4" w:space="0" w:color="9BC2E6"/>
              <w:right w:val="nil"/>
            </w:tcBorders>
            <w:shd w:val="clear" w:color="DDEBF7" w:fill="DDEBF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7"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2" w:type="pct"/>
            <w:tcBorders>
              <w:top w:val="nil"/>
              <w:left w:val="nil"/>
              <w:bottom w:val="single" w:sz="4" w:space="0" w:color="DDEBF7"/>
              <w:right w:val="nil"/>
            </w:tcBorders>
            <w:shd w:val="clear" w:color="BDD7EE" w:fill="BDD7EE"/>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2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single" w:sz="4" w:space="0" w:color="auto"/>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98" w:type="pct"/>
            <w:tcBorders>
              <w:top w:val="nil"/>
              <w:left w:val="nil"/>
              <w:bottom w:val="single" w:sz="4" w:space="0" w:color="auto"/>
              <w:right w:val="single" w:sz="4" w:space="0" w:color="auto"/>
            </w:tcBorders>
            <w:shd w:val="clear" w:color="BDD7EE" w:fill="BDD7EE"/>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w:t>
            </w:r>
          </w:p>
        </w:tc>
      </w:tr>
    </w:tbl>
    <w:p>
      <w:pPr>
        <w:spacing w:after="0"/>
        <w:textAlignment w:val="baseline"/>
        <w:rPr>
          <w:b/>
          <w:bCs/>
          <w:noProof/>
          <w:szCs w:val="24"/>
          <w:lang w:val="fr-BE"/>
        </w:rPr>
      </w:pPr>
      <w:r>
        <w:rPr>
          <w:b/>
          <w:bCs/>
          <w:noProof/>
          <w:szCs w:val="24"/>
          <w:lang w:val="fr-BE"/>
        </w:rPr>
        <w:t>Annex 15.11: Promotions “deuxième filière” – Single Resolution Board</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1110"/>
        <w:gridCol w:w="1001"/>
        <w:gridCol w:w="1486"/>
        <w:gridCol w:w="1066"/>
        <w:gridCol w:w="3147"/>
        <w:gridCol w:w="3147"/>
        <w:gridCol w:w="3141"/>
      </w:tblGrid>
      <w:tr>
        <w:trPr>
          <w:trHeight w:val="310"/>
        </w:trPr>
        <w:tc>
          <w:tcPr>
            <w:tcW w:w="394"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3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27"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7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11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111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111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394"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3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52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11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35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35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39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355"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2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111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r>
    </w:tbl>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15.12: Promotions “deuxième filière” – Sesar Joint Undertaking</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8"/>
        <w:gridCol w:w="727"/>
        <w:gridCol w:w="919"/>
        <w:gridCol w:w="1686"/>
        <w:gridCol w:w="1593"/>
        <w:gridCol w:w="1593"/>
        <w:gridCol w:w="1593"/>
        <w:gridCol w:w="1593"/>
        <w:gridCol w:w="1593"/>
        <w:gridCol w:w="1590"/>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8"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single" w:sz="4" w:space="0" w:color="D9E1F2"/>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16.16%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160" w:line="259" w:lineRule="auto"/>
        <w:jc w:val="left"/>
        <w:rPr>
          <w:b/>
          <w:bCs/>
          <w:noProof/>
          <w:szCs w:val="24"/>
          <w:lang w:val="en-IE"/>
        </w:rPr>
      </w:pPr>
      <w:r>
        <w:rPr>
          <w:b/>
          <w:bCs/>
          <w:noProof/>
          <w:szCs w:val="24"/>
          <w:lang w:val="en-IE"/>
        </w:rPr>
        <w:t>Annex 15.13: Promotions “deuxième filière” – Shift2Rail Joint Undertaking</w:t>
      </w: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15.14: Promotions “deuxième filière” – Innovative Medicine Initiative Joint Undertaking</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15.15: Promotions “deuxième filière” – European GNSS Agency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18,52%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8,11%</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18,42%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21,62%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15.16: Promotions “deuxième filière” – Frontex</w:t>
      </w:r>
    </w:p>
    <w:tbl>
      <w:tblPr>
        <w:tblW w:w="5000" w:type="pct"/>
        <w:tblCellMar>
          <w:left w:w="70" w:type="dxa"/>
          <w:right w:w="70" w:type="dxa"/>
        </w:tblCellMar>
        <w:tblLook w:val="04A0" w:firstRow="1" w:lastRow="0" w:firstColumn="1" w:lastColumn="0" w:noHBand="0" w:noVBand="1"/>
      </w:tblPr>
      <w:tblGrid>
        <w:gridCol w:w="722"/>
        <w:gridCol w:w="1629"/>
        <w:gridCol w:w="1550"/>
        <w:gridCol w:w="1550"/>
        <w:gridCol w:w="1550"/>
        <w:gridCol w:w="1551"/>
        <w:gridCol w:w="1551"/>
        <w:gridCol w:w="1551"/>
        <w:gridCol w:w="1222"/>
        <w:gridCol w:w="1222"/>
      </w:tblGrid>
      <w:tr>
        <w:trPr>
          <w:trHeight w:val="33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57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5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50"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50"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5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5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5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43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43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107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5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43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43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67,00%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578"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578"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578"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43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15.17: Promotions “deuxième filière” –European Union Agency for Fundamental Rights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7"/>
        <w:gridCol w:w="736"/>
        <w:gridCol w:w="919"/>
        <w:gridCol w:w="1685"/>
        <w:gridCol w:w="1592"/>
        <w:gridCol w:w="1592"/>
        <w:gridCol w:w="1592"/>
        <w:gridCol w:w="1592"/>
        <w:gridCol w:w="1592"/>
        <w:gridCol w:w="1589"/>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1"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199"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7"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19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60,00%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57,14%</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40,00%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12,50%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22,22%</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22,22%</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18,75%</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12,50%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13,33%</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46,67%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7,14%</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14,29%</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42,86%</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14,29%</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14,29%</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75,00%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12,50%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12,50%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28,57%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22,22%</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42,86%</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14,29%</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27,27%</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37,50%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28,57%</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en-IE"/>
        </w:rPr>
      </w:pPr>
      <w:r>
        <w:rPr>
          <w:b/>
          <w:bCs/>
          <w:noProof/>
          <w:szCs w:val="24"/>
          <w:lang w:val="en-IE"/>
        </w:rPr>
        <w:t>Annex 15.18: Promotions “deuxième filière” –</w:t>
      </w:r>
      <w:r>
        <w:rPr>
          <w:noProof/>
          <w:szCs w:val="24"/>
          <w:lang w:val="en-IE"/>
        </w:rPr>
        <w:t xml:space="preserve"> </w:t>
      </w:r>
      <w:r>
        <w:rPr>
          <w:b/>
          <w:bCs/>
          <w:noProof/>
          <w:szCs w:val="24"/>
          <w:lang w:val="en-IE"/>
        </w:rPr>
        <w:t>Fuel Cells and Hydrogen Joint Undertaking</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15.19: Promotions “deuxième filière” –</w:t>
      </w:r>
      <w:r>
        <w:rPr>
          <w:noProof/>
          <w:szCs w:val="24"/>
          <w:lang w:val="fr-BE"/>
        </w:rPr>
        <w:t xml:space="preserve"> </w:t>
      </w:r>
      <w:r>
        <w:rPr>
          <w:b/>
          <w:bCs/>
          <w:noProof/>
          <w:szCs w:val="24"/>
          <w:lang w:val="fr-BE"/>
        </w:rPr>
        <w:t>Fusion for Energy (ITER)</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7"/>
        <w:gridCol w:w="499"/>
        <w:gridCol w:w="784"/>
        <w:gridCol w:w="1634"/>
        <w:gridCol w:w="1661"/>
        <w:gridCol w:w="1661"/>
        <w:gridCol w:w="1646"/>
        <w:gridCol w:w="1661"/>
        <w:gridCol w:w="1711"/>
        <w:gridCol w:w="1632"/>
      </w:tblGrid>
      <w:tr>
        <w:trPr>
          <w:trHeight w:val="310"/>
        </w:trPr>
        <w:tc>
          <w:tcPr>
            <w:tcW w:w="164"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3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7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20"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629"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629"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62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629"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64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62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164"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3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1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1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2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62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62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64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62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3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100,00%</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19,05%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23,81%</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16,00%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30,77%</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13,51%</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27,78%</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11,76%</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3,45%</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18,37%</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8,33%</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31,58%</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40,38%</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39,02%</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39,53%</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34,00%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41,03%</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41,67%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38,89%</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48,21%</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28,21%</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36,36%</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10,81%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22,86%</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35"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0,00%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30,77%</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28,57%</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50,00%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164"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35"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9"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47"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20"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15.20: Promotions “deuxième filière” –</w:t>
      </w:r>
      <w:r>
        <w:rPr>
          <w:noProof/>
          <w:szCs w:val="24"/>
          <w:lang w:val="fr-BE"/>
        </w:rPr>
        <w:t xml:space="preserve"> </w:t>
      </w:r>
      <w:r>
        <w:rPr>
          <w:b/>
          <w:bCs/>
          <w:noProof/>
          <w:szCs w:val="24"/>
          <w:lang w:val="fr-BE"/>
        </w:rPr>
        <w:t>Europol</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7"/>
        <w:gridCol w:w="738"/>
        <w:gridCol w:w="919"/>
        <w:gridCol w:w="1684"/>
        <w:gridCol w:w="1591"/>
        <w:gridCol w:w="1591"/>
        <w:gridCol w:w="1591"/>
        <w:gridCol w:w="1591"/>
        <w:gridCol w:w="1592"/>
        <w:gridCol w:w="1592"/>
      </w:tblGrid>
      <w:tr>
        <w:trPr>
          <w:trHeight w:val="310"/>
        </w:trPr>
        <w:tc>
          <w:tcPr>
            <w:tcW w:w="212"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199"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6"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3"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1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19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single" w:sz="4" w:space="0" w:color="D9E1F2"/>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8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1"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1"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1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1"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19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8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fr-BE"/>
        </w:rPr>
      </w:pPr>
      <w:r>
        <w:rPr>
          <w:b/>
          <w:bCs/>
          <w:noProof/>
          <w:szCs w:val="24"/>
          <w:lang w:val="fr-BE"/>
        </w:rPr>
        <w:t>Annex 15.21: Promotions “deuxième filière” –</w:t>
      </w:r>
      <w:r>
        <w:rPr>
          <w:noProof/>
          <w:szCs w:val="24"/>
          <w:lang w:val="fr-BE"/>
        </w:rPr>
        <w:t xml:space="preserve"> </w:t>
      </w:r>
      <w:r>
        <w:rPr>
          <w:b/>
          <w:bCs/>
          <w:noProof/>
          <w:szCs w:val="24"/>
          <w:lang w:val="fr-BE"/>
        </w:rPr>
        <w:t>Eurojust</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41,67%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9,68%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38,10%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32,26%</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18,97%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20,41%</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13,16%</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9,76%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30,23%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bl>
    <w:p>
      <w:pPr>
        <w:spacing w:after="0"/>
        <w:textAlignment w:val="baseline"/>
        <w:rPr>
          <w:b/>
          <w:bCs/>
          <w:noProof/>
          <w:szCs w:val="24"/>
          <w:lang w:val="fr-BE"/>
        </w:rPr>
      </w:pPr>
      <w:r>
        <w:rPr>
          <w:b/>
          <w:bCs/>
          <w:noProof/>
          <w:szCs w:val="24"/>
          <w:lang w:val="fr-BE"/>
        </w:rPr>
        <w:t>Annex 15.22: Promotions “deuxième filière” –</w:t>
      </w:r>
      <w:r>
        <w:rPr>
          <w:noProof/>
          <w:szCs w:val="24"/>
          <w:lang w:val="fr-BE"/>
        </w:rPr>
        <w:t xml:space="preserve"> </w:t>
      </w:r>
      <w:r>
        <w:rPr>
          <w:b/>
          <w:bCs/>
          <w:noProof/>
          <w:szCs w:val="24"/>
          <w:lang w:val="fr-BE"/>
        </w:rPr>
        <w:t>Eurofund - (Temporary Agents)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1"/>
        <w:gridCol w:w="920"/>
        <w:gridCol w:w="1666"/>
        <w:gridCol w:w="1596"/>
        <w:gridCol w:w="1596"/>
        <w:gridCol w:w="1596"/>
        <w:gridCol w:w="1596"/>
        <w:gridCol w:w="1596"/>
        <w:gridCol w:w="159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6"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6"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6"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15.23: Promotions “deuxième filière” –</w:t>
      </w:r>
      <w:r>
        <w:rPr>
          <w:noProof/>
          <w:szCs w:val="24"/>
          <w:lang w:val="fr-BE"/>
        </w:rPr>
        <w:t xml:space="preserve"> </w:t>
      </w:r>
      <w:r>
        <w:rPr>
          <w:b/>
          <w:bCs/>
          <w:noProof/>
          <w:szCs w:val="24"/>
          <w:lang w:val="fr-BE"/>
        </w:rPr>
        <w:t>Eurofund - (Officials)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1"/>
        <w:gridCol w:w="920"/>
        <w:gridCol w:w="1666"/>
        <w:gridCol w:w="1596"/>
        <w:gridCol w:w="1596"/>
        <w:gridCol w:w="1596"/>
        <w:gridCol w:w="1596"/>
        <w:gridCol w:w="1596"/>
        <w:gridCol w:w="159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1"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6"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6"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6"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6"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15.24: Promotions “deuxième filière” –</w:t>
      </w:r>
      <w:r>
        <w:rPr>
          <w:noProof/>
          <w:szCs w:val="24"/>
          <w:lang w:val="en-IE"/>
        </w:rPr>
        <w:t xml:space="preserve"> </w:t>
      </w:r>
      <w:r>
        <w:rPr>
          <w:b/>
          <w:bCs/>
          <w:noProof/>
          <w:szCs w:val="24"/>
          <w:lang w:val="en-IE"/>
        </w:rPr>
        <w:t>European Agency for Safety and Health at Work</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15.25: Promotions “deuxième filière” – European Union Agency for the Operational Management of Large-Scale IT Systems in the Area of Freedom, Security and Justice (EU Lisa)</w:t>
      </w: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38,89%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31,25%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29,17%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34,78%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10,53%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15.26: Promotions “deuxième filière” – European Union Intellectual Property Office – Temporary Agents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19,44%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53,57%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31,82%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38,10%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17,86%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19,23%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13,21%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28,26%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36,23%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22,73%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21,88%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bl>
    <w:p>
      <w:pPr>
        <w:spacing w:after="0"/>
        <w:textAlignment w:val="baseline"/>
        <w:rPr>
          <w:b/>
          <w:bCs/>
          <w:noProof/>
          <w:szCs w:val="24"/>
          <w:lang w:val="en-IE"/>
        </w:rPr>
      </w:pPr>
      <w:r>
        <w:rPr>
          <w:b/>
          <w:bCs/>
          <w:noProof/>
          <w:szCs w:val="24"/>
          <w:lang w:val="en-IE"/>
        </w:rPr>
        <w:t xml:space="preserve">Annex 15.27: Promotions “deuxième filière” – European Union Intellectual Property Office – Officials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10,71%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18,52%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38,46%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78,26%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12,90%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65,63%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8,82%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47,06%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9,68%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11,54%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3,92%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5,66%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13,79%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18,42%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24,32%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16,98%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21,54%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17,31%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23,94%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20,73%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18,52%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35,21%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23,66%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19,35%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30,59%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28,85%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38,10%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14,71%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38,46%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46,15%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53,13%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38,46%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38,10%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w:t>
            </w:r>
          </w:p>
        </w:tc>
      </w:tr>
    </w:tbl>
    <w:p>
      <w:pPr>
        <w:spacing w:after="0"/>
        <w:textAlignment w:val="baseline"/>
        <w:rPr>
          <w:b/>
          <w:bCs/>
          <w:noProof/>
          <w:szCs w:val="24"/>
          <w:lang w:val="fr-BE"/>
        </w:rPr>
      </w:pPr>
      <w:r>
        <w:rPr>
          <w:b/>
          <w:bCs/>
          <w:noProof/>
          <w:szCs w:val="24"/>
          <w:lang w:val="fr-BE"/>
        </w:rPr>
        <w:t>Annex 15.28: Promotions “deuxième filière” – European Training Foundation</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45,45%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15.29: Promotions “deuxième filière” – European Securities and Markets Authority</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67,0%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7,1%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8,7%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23,5%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9,1%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15,6%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38,5%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23,1%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75,0%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31,3%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26,3%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40,0%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31,6%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11,8%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38,5%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36,4%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en-IE"/>
        </w:rPr>
      </w:pPr>
      <w:r>
        <w:rPr>
          <w:b/>
          <w:bCs/>
          <w:noProof/>
          <w:szCs w:val="24"/>
          <w:lang w:val="en-IE"/>
        </w:rPr>
        <w:t>Annex 15.30: Promotions “deuxième filière” – European Union Agency for Railways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6"/>
        <w:gridCol w:w="919"/>
        <w:gridCol w:w="1686"/>
        <w:gridCol w:w="1593"/>
        <w:gridCol w:w="1593"/>
        <w:gridCol w:w="1593"/>
        <w:gridCol w:w="1593"/>
        <w:gridCol w:w="1593"/>
        <w:gridCol w:w="1582"/>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1"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8"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1,07%</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6,45%</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3,25%</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8,7%</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1,07%</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2,86%</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7,5%</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8"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8"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8,6%</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15.31: Promotions “deuxième filière” – The European Union Agency for Cybersecurity (ENISA)</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7,70%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14,30%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9,00%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1158" w:type="pct"/>
            <w:gridSpan w:val="2"/>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No AST/SC at ENISA</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auto" w:fill="44546A" w:themeFill="text2"/>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15.32: Promotions “deuxième filière” – European Maritime Safety Agency (EMSA) – Temporary Agents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31,25%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10,53%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12,82%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26,47%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19,23%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17,24%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25,81%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40,91%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16,00%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36,84%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31,25%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54,55%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8,33%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29,41%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26,32%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31,25%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35,71%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15.33: Promotions “deuxième filière” – European Maritime Safety Agency (EMSA) – Officials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15.34: Promotions “deuxième filière” – European Monitoring Centre for Drugs and Drug Addiction – Temporary Agents</w:t>
      </w:r>
    </w:p>
    <w:tbl>
      <w:tblPr>
        <w:tblW w:w="5000" w:type="pct"/>
        <w:tblCellMar>
          <w:left w:w="70" w:type="dxa"/>
          <w:right w:w="70" w:type="dxa"/>
        </w:tblCellMar>
        <w:tblLook w:val="04A0" w:firstRow="1" w:lastRow="0" w:firstColumn="1" w:lastColumn="0" w:noHBand="0" w:noVBand="1"/>
      </w:tblPr>
      <w:tblGrid>
        <w:gridCol w:w="722"/>
        <w:gridCol w:w="488"/>
        <w:gridCol w:w="720"/>
        <w:gridCol w:w="919"/>
        <w:gridCol w:w="1655"/>
        <w:gridCol w:w="1599"/>
        <w:gridCol w:w="1599"/>
        <w:gridCol w:w="1599"/>
        <w:gridCol w:w="1599"/>
        <w:gridCol w:w="1599"/>
        <w:gridCol w:w="1599"/>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87"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7"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7"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7"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7"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7"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7"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8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5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1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14,28%</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3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16,66%</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7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45,45%</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34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8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4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38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0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3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16,66%</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32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8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7"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8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8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8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7"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 xml:space="preserve">Annex 15.35: Promotions “deuxième filière” – European Monitoring Centre for Drugs and Drug Addiction – Officials </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15.36: Promotions “deuxième filière” – European Medicines Agency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13,64%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6,45%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11,54%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3,45%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12,12%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5,88%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26,83%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13,95%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13,73%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11,54%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6,35%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13,64%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13,46%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22,41%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12,86%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19,40%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25,35%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12,12%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41,38%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21,05%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15,15%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15,79%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15,63%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5,26%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7,94%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21,88%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28,81%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18,60%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29,41%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20,34%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7,41%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10,34%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21,15%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15.37: Promotions “deuxième filière” – European Institute of Innovation &amp; Technology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44"/>
        <w:gridCol w:w="682"/>
        <w:gridCol w:w="1017"/>
        <w:gridCol w:w="919"/>
        <w:gridCol w:w="2148"/>
        <w:gridCol w:w="2148"/>
        <w:gridCol w:w="2148"/>
        <w:gridCol w:w="2149"/>
        <w:gridCol w:w="2143"/>
      </w:tblGrid>
      <w:tr>
        <w:trPr>
          <w:trHeight w:val="310"/>
        </w:trPr>
        <w:tc>
          <w:tcPr>
            <w:tcW w:w="272"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25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69"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1"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770"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770"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770"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770"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770"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72"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25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369"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6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77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22,00%</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18,00%</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67,00%</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250"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250"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72"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250"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69"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7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p>
    <w:p>
      <w:pPr>
        <w:spacing w:after="0"/>
        <w:textAlignment w:val="baseline"/>
        <w:rPr>
          <w:b/>
          <w:bCs/>
          <w:noProof/>
          <w:szCs w:val="24"/>
          <w:lang w:val="fr-BE"/>
        </w:rPr>
      </w:pPr>
      <w:r>
        <w:rPr>
          <w:b/>
          <w:bCs/>
          <w:noProof/>
          <w:szCs w:val="24"/>
          <w:lang w:val="fr-BE"/>
        </w:rPr>
        <w:t>Annex 15.38: Promotions “deuxième filière” – European Insurance and Occupational Pensions Authority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520"/>
        <w:gridCol w:w="789"/>
        <w:gridCol w:w="919"/>
        <w:gridCol w:w="1514"/>
        <w:gridCol w:w="1514"/>
        <w:gridCol w:w="1514"/>
        <w:gridCol w:w="1514"/>
        <w:gridCol w:w="1697"/>
        <w:gridCol w:w="1697"/>
        <w:gridCol w:w="1697"/>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84"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37" w:type="pct"/>
            <w:tcBorders>
              <w:top w:val="nil"/>
              <w:left w:val="nil"/>
              <w:bottom w:val="nil"/>
              <w:right w:val="nil"/>
            </w:tcBorders>
            <w:shd w:val="clear" w:color="000000" w:fill="4472C4"/>
            <w:noWrap/>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37" w:type="pct"/>
            <w:tcBorders>
              <w:top w:val="nil"/>
              <w:left w:val="nil"/>
              <w:bottom w:val="nil"/>
              <w:right w:val="nil"/>
            </w:tcBorders>
            <w:shd w:val="clear" w:color="000000" w:fill="4BACC6"/>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37" w:type="pct"/>
            <w:tcBorders>
              <w:top w:val="nil"/>
              <w:left w:val="nil"/>
              <w:bottom w:val="nil"/>
              <w:right w:val="nil"/>
            </w:tcBorders>
            <w:shd w:val="clear" w:color="000000" w:fill="92CDDC"/>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37" w:type="pct"/>
            <w:tcBorders>
              <w:top w:val="nil"/>
              <w:left w:val="nil"/>
              <w:bottom w:val="nil"/>
              <w:right w:val="nil"/>
            </w:tcBorders>
            <w:shd w:val="clear" w:color="000000" w:fill="C05046"/>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602" w:type="pct"/>
            <w:tcBorders>
              <w:top w:val="nil"/>
              <w:left w:val="nil"/>
              <w:bottom w:val="nil"/>
              <w:right w:val="nil"/>
            </w:tcBorders>
            <w:shd w:val="clear" w:color="000000" w:fill="DA9694"/>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602" w:type="pct"/>
            <w:tcBorders>
              <w:top w:val="nil"/>
              <w:left w:val="nil"/>
              <w:bottom w:val="nil"/>
              <w:right w:val="nil"/>
            </w:tcBorders>
            <w:shd w:val="clear" w:color="000000" w:fill="9BBB59"/>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602" w:type="pct"/>
            <w:tcBorders>
              <w:top w:val="nil"/>
              <w:left w:val="nil"/>
              <w:bottom w:val="nil"/>
              <w:right w:val="nil"/>
            </w:tcBorders>
            <w:shd w:val="clear" w:color="000000" w:fill="C4D79B"/>
            <w:noWrap/>
            <w:vAlign w:val="center"/>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37"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60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12,50%</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14,29%</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11,11%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11,11%</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16,67%</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16,67%</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18,18%</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9,09%</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537" w:type="pct"/>
            <w:tcBorders>
              <w:top w:val="nil"/>
              <w:left w:val="nil"/>
              <w:bottom w:val="single" w:sz="4" w:space="0" w:color="D9E1F2"/>
              <w:right w:val="nil"/>
            </w:tcBorders>
            <w:shd w:val="clear" w:color="8EA9DB"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8,33%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8,33%</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8,33%</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8,33%</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18,18%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14,29%</w:t>
            </w:r>
          </w:p>
        </w:tc>
        <w:tc>
          <w:tcPr>
            <w:tcW w:w="537" w:type="pct"/>
            <w:tcBorders>
              <w:top w:val="nil"/>
              <w:left w:val="nil"/>
              <w:bottom w:val="single" w:sz="4" w:space="0" w:color="D9E1F2"/>
              <w:right w:val="nil"/>
            </w:tcBorders>
            <w:shd w:val="clear" w:color="B4C6E7"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25,00%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11,11%</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30,00%</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28,57%</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37,50%</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12,50%</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60,00%</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150,00%</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100,00%</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33,33%</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100,00%</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sz w:val="22"/>
                <w:szCs w:val="22"/>
                <w:lang w:val="en-IE"/>
              </w:rPr>
            </w:pPr>
            <w:r>
              <w:rPr>
                <w:rFonts w:ascii="Calibri" w:hAnsi="Calibri" w:cs="Calibri"/>
                <w:noProof/>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84"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84"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84"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37"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602"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15.39: Promotions “deuxième filière” – European Institute for Gender Equality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0,50%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0,50%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0,25%</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0,50%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0,20%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0,14%</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0,14%</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0,38%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0,13%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0,13%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0,13%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0,20%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0,50%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0,25%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0,40%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0,40%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0,25%</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C00000"/>
                <w:sz w:val="22"/>
                <w:szCs w:val="22"/>
                <w:lang w:val="en-IE"/>
              </w:rPr>
            </w:pPr>
            <w:r>
              <w:rPr>
                <w:rFonts w:ascii="Calibri" w:hAnsi="Calibri" w:cs="Calibri"/>
                <w:noProof/>
                <w:color w:val="C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15.40: Promotions “deuxième filière” –European Food Safety Authority – Temporary Agents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18,2%</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12,5%</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7,1%</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8,9%</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15,9%</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11,6%</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18,2%</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4,7%</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12,8%</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5,9%</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5,3%</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5,7%</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27,8%</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7,1%</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7,7%</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13,8%</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18,2%</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en-IE"/>
        </w:rPr>
      </w:pPr>
      <w:r>
        <w:rPr>
          <w:b/>
          <w:bCs/>
          <w:noProof/>
          <w:szCs w:val="24"/>
          <w:lang w:val="en-IE"/>
        </w:rPr>
        <w:t>Annex 15.41: Promotions “deuxième filière” –European Food Safety Authority – Officials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fr-BE"/>
        </w:rPr>
      </w:pPr>
      <w:r>
        <w:rPr>
          <w:b/>
          <w:bCs/>
          <w:noProof/>
          <w:szCs w:val="24"/>
          <w:lang w:val="fr-BE"/>
        </w:rPr>
        <w:t>Annex 15.42: Promotions “deuxième filière” –</w:t>
      </w:r>
      <w:r>
        <w:rPr>
          <w:noProof/>
          <w:szCs w:val="24"/>
          <w:lang w:val="fr-BE"/>
        </w:rPr>
        <w:t xml:space="preserve"> </w:t>
      </w:r>
      <w:r>
        <w:rPr>
          <w:b/>
          <w:bCs/>
          <w:noProof/>
          <w:szCs w:val="24"/>
          <w:lang w:val="fr-BE"/>
        </w:rPr>
        <w:t>European Fisheries Control Agency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15.43: Promotions “deuxième filière” –</w:t>
      </w:r>
      <w:r>
        <w:rPr>
          <w:noProof/>
          <w:szCs w:val="24"/>
          <w:lang w:val="fr-BE"/>
        </w:rPr>
        <w:t xml:space="preserve"> </w:t>
      </w:r>
      <w:r>
        <w:rPr>
          <w:b/>
          <w:bCs/>
          <w:noProof/>
          <w:szCs w:val="24"/>
          <w:lang w:val="fr-BE"/>
        </w:rPr>
        <w:t>European Environment Agency – Temporary Agents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57,14%</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15.44: Promotions “deuxième filière” –</w:t>
      </w:r>
      <w:r>
        <w:rPr>
          <w:noProof/>
          <w:szCs w:val="24"/>
          <w:lang w:val="fr-BE"/>
        </w:rPr>
        <w:t xml:space="preserve"> </w:t>
      </w:r>
      <w:r>
        <w:rPr>
          <w:b/>
          <w:bCs/>
          <w:noProof/>
          <w:szCs w:val="24"/>
          <w:lang w:val="fr-BE"/>
        </w:rPr>
        <w:t>European Environment Agency – Officials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7"/>
        <w:gridCol w:w="739"/>
        <w:gridCol w:w="919"/>
        <w:gridCol w:w="1673"/>
        <w:gridCol w:w="1593"/>
        <w:gridCol w:w="1593"/>
        <w:gridCol w:w="1593"/>
        <w:gridCol w:w="1593"/>
        <w:gridCol w:w="1593"/>
        <w:gridCol w:w="1593"/>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p>
    <w:p>
      <w:pPr>
        <w:spacing w:after="0"/>
        <w:textAlignment w:val="baseline"/>
        <w:rPr>
          <w:b/>
          <w:bCs/>
          <w:noProof/>
          <w:szCs w:val="24"/>
          <w:lang w:val="en-IE"/>
        </w:rPr>
      </w:pPr>
      <w:r>
        <w:rPr>
          <w:b/>
          <w:bCs/>
          <w:noProof/>
          <w:szCs w:val="24"/>
          <w:lang w:val="en-IE"/>
        </w:rPr>
        <w:t>Annex 15.45: Promotions “deuxième filière” –</w:t>
      </w:r>
      <w:r>
        <w:rPr>
          <w:noProof/>
          <w:szCs w:val="24"/>
          <w:lang w:val="en-IE"/>
        </w:rPr>
        <w:t xml:space="preserve"> </w:t>
      </w:r>
      <w:r>
        <w:rPr>
          <w:b/>
          <w:bCs/>
          <w:noProof/>
          <w:szCs w:val="24"/>
          <w:lang w:val="en-IE"/>
        </w:rPr>
        <w:t xml:space="preserve">Electronic Components and Systems for European Leadership Joint Undertaking </w:t>
      </w:r>
    </w:p>
    <w:tbl>
      <w:tblPr>
        <w:tblW w:w="5000" w:type="pct"/>
        <w:tblCellMar>
          <w:left w:w="70" w:type="dxa"/>
          <w:right w:w="70" w:type="dxa"/>
        </w:tblCellMar>
        <w:tblLook w:val="04A0" w:firstRow="1" w:lastRow="0" w:firstColumn="1" w:lastColumn="0" w:noHBand="0" w:noVBand="1"/>
      </w:tblPr>
      <w:tblGrid>
        <w:gridCol w:w="722"/>
        <w:gridCol w:w="488"/>
        <w:gridCol w:w="739"/>
        <w:gridCol w:w="919"/>
        <w:gridCol w:w="1672"/>
        <w:gridCol w:w="1593"/>
        <w:gridCol w:w="1593"/>
        <w:gridCol w:w="1593"/>
        <w:gridCol w:w="1593"/>
        <w:gridCol w:w="1593"/>
        <w:gridCol w:w="1593"/>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6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5"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5"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6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6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15.46: Promotions “deuxième filière” – European Chemicals Agency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24%</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11%</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28%</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42%</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15%</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21%</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26%</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12%</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23%</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31%</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18%</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N/A</w:t>
            </w:r>
          </w:p>
        </w:tc>
      </w:tr>
    </w:tbl>
    <w:p>
      <w:pPr>
        <w:spacing w:after="0"/>
        <w:textAlignment w:val="baseline"/>
        <w:rPr>
          <w:b/>
          <w:bCs/>
          <w:noProof/>
          <w:szCs w:val="24"/>
          <w:lang w:val="fr-BE"/>
        </w:rPr>
      </w:pPr>
      <w:r>
        <w:rPr>
          <w:b/>
          <w:bCs/>
          <w:noProof/>
          <w:szCs w:val="24"/>
          <w:lang w:val="fr-BE"/>
        </w:rPr>
        <w:t>Annex 15.47: Promotions “deuxième filière” – European Centre for Disease Prevention and Control</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7,89%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5,88%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14,81%</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29,17%</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10,87%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11,63%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8,89%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14,71%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17,86%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44,44%</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n/a</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bl>
    <w:p>
      <w:pPr>
        <w:spacing w:after="0"/>
        <w:textAlignment w:val="baseline"/>
        <w:rPr>
          <w:b/>
          <w:bCs/>
          <w:noProof/>
          <w:szCs w:val="24"/>
          <w:lang w:val="fr-BE"/>
        </w:rPr>
      </w:pPr>
      <w:r>
        <w:rPr>
          <w:b/>
          <w:bCs/>
          <w:noProof/>
          <w:szCs w:val="24"/>
          <w:lang w:val="fr-BE"/>
        </w:rPr>
        <w:t>Annex 15.48: Promotions “deuxième filière” – European Banking Authority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35,71%</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57,14%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11,76%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25,93%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35,00%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67,00%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15.49: Promotions “deuxième filière” – European Asylum Support Office</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9,10%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33,20%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7,10%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4,80%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6,80%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31,30%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15,80%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r>
    </w:tbl>
    <w:p>
      <w:pPr>
        <w:spacing w:after="0"/>
        <w:textAlignment w:val="baseline"/>
        <w:rPr>
          <w:b/>
          <w:bCs/>
          <w:noProof/>
          <w:szCs w:val="24"/>
          <w:lang w:val="fr-BE"/>
        </w:rPr>
      </w:pPr>
      <w:r>
        <w:rPr>
          <w:b/>
          <w:bCs/>
          <w:noProof/>
          <w:szCs w:val="24"/>
          <w:lang w:val="fr-BE"/>
        </w:rPr>
        <w:t>Annex 15.50: Promotions “deuxième filière” – European Union Aviation Safety Agency</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4,76%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5,88%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17,91%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17,39%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18,06%</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12,86%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22,37%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13,89%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10,64%</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8,25%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9,35%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12,40%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15,48%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24,42%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13,59%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12,78%</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19,15%</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22,63%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16,98%</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14,15%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25,20%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32,94%</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18,67%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5,13%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13,41%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9,52%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21,74%</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sz w:val="22"/>
                <w:szCs w:val="22"/>
                <w:lang w:val="en-IE"/>
              </w:rPr>
            </w:pPr>
            <w:r>
              <w:rPr>
                <w:rFonts w:ascii="Calibri" w:hAnsi="Calibri" w:cs="Calibri"/>
                <w:noProof/>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5,56%</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4,55%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13,89%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43,48%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26,09%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27,78%</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29,41%</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19,23%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23,40%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15,15%</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15,38%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13,64%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20,83%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23,53%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38,46%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18,75%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bl>
    <w:p>
      <w:pPr>
        <w:spacing w:after="0"/>
        <w:textAlignment w:val="baseline"/>
        <w:rPr>
          <w:b/>
          <w:bCs/>
          <w:noProof/>
          <w:szCs w:val="24"/>
          <w:lang w:val="en-IE"/>
        </w:rPr>
      </w:pPr>
      <w:r>
        <w:rPr>
          <w:b/>
          <w:bCs/>
          <w:noProof/>
          <w:szCs w:val="24"/>
          <w:lang w:val="en-IE"/>
        </w:rPr>
        <w:t>Annex 15.51: Promotions “deuxième filière” – Clean Sky Joint Undertaking</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15.52: Promotions “deuxième filière” – Community Plant Variety Office – Temporary Agents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38,00%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bl>
    <w:p>
      <w:pPr>
        <w:spacing w:after="0"/>
        <w:textAlignment w:val="baseline"/>
        <w:rPr>
          <w:b/>
          <w:bCs/>
          <w:noProof/>
          <w:szCs w:val="24"/>
          <w:lang w:val="en-IE"/>
        </w:rPr>
      </w:pPr>
      <w:r>
        <w:rPr>
          <w:b/>
          <w:bCs/>
          <w:noProof/>
          <w:szCs w:val="24"/>
          <w:lang w:val="en-IE"/>
        </w:rPr>
        <w:t>Annex 15.53: Promotions “deuxième filière” – Community Plant Variety Office – Officials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16,00%</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15.54: Promotions “deuxième filière” – European Centre for the Development of Vocational Training – Temporary Agents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67%</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57%</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38%</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8%</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43%</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56%</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14%</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13%</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75%</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67%</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15.55: Promotions “deuxième filière” – European Centre for the Development of Vocational Training – Officials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60%</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67%</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15.56: Promotions “deuxième filière” – Translation Centre – Temporary Agents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3"/>
        <w:gridCol w:w="489"/>
        <w:gridCol w:w="728"/>
        <w:gridCol w:w="919"/>
        <w:gridCol w:w="1675"/>
        <w:gridCol w:w="1593"/>
        <w:gridCol w:w="1593"/>
        <w:gridCol w:w="1593"/>
        <w:gridCol w:w="1593"/>
        <w:gridCol w:w="1596"/>
        <w:gridCol w:w="1596"/>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58"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326"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594"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65"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65"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65"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65"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66"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66"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32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9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6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66"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11,11%</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5,56%</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13,33%</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7,69%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17,65%</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26,32%</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6,25%</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21,43%</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13,64%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23,08%</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24,14%</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29,17%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83,33%</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36,36%</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27,27%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9,09%</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23,81%</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12,50%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30,77%</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9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65"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66"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14,29%</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42,86%</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9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9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w:t>
            </w:r>
          </w:p>
        </w:tc>
        <w:tc>
          <w:tcPr>
            <w:tcW w:w="565"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66"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32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9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66"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fr-BE"/>
        </w:rPr>
      </w:pPr>
      <w:r>
        <w:rPr>
          <w:b/>
          <w:bCs/>
          <w:noProof/>
          <w:szCs w:val="24"/>
          <w:lang w:val="fr-BE"/>
        </w:rPr>
        <w:t>Annex 15.57: Promotions “deuxième filière” – Translation Centre – Officials</w:t>
      </w:r>
    </w:p>
    <w:p>
      <w:pPr>
        <w:spacing w:after="0"/>
        <w:textAlignment w:val="baseline"/>
        <w:rPr>
          <w:b/>
          <w:bCs/>
          <w:noProof/>
          <w:szCs w:val="24"/>
          <w:lang w:val="fr-BE"/>
        </w:rPr>
      </w:pPr>
    </w:p>
    <w:tbl>
      <w:tblPr>
        <w:tblW w:w="5000" w:type="pct"/>
        <w:tblCellMar>
          <w:left w:w="70" w:type="dxa"/>
          <w:right w:w="70" w:type="dxa"/>
        </w:tblCellMar>
        <w:tblLook w:val="04A0" w:firstRow="1" w:lastRow="0" w:firstColumn="1" w:lastColumn="0" w:noHBand="0" w:noVBand="1"/>
      </w:tblPr>
      <w:tblGrid>
        <w:gridCol w:w="722"/>
        <w:gridCol w:w="487"/>
        <w:gridCol w:w="739"/>
        <w:gridCol w:w="919"/>
        <w:gridCol w:w="1673"/>
        <w:gridCol w:w="1593"/>
        <w:gridCol w:w="1593"/>
        <w:gridCol w:w="1593"/>
        <w:gridCol w:w="1593"/>
        <w:gridCol w:w="1593"/>
        <w:gridCol w:w="1593"/>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fr-B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fr-B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18,18%</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28,57%</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16,67%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22,22%</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8,33%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22,22%</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sz w:val="22"/>
                <w:szCs w:val="22"/>
                <w:lang w:val="en-IE"/>
              </w:rPr>
            </w:pPr>
            <w:r>
              <w:rPr>
                <w:rFonts w:ascii="Calibri" w:hAnsi="Calibri" w:cs="Calibri"/>
                <w:noProof/>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B4C6E7" w:fill="B4C6E7"/>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3" w:type="pct"/>
            <w:tcBorders>
              <w:top w:val="nil"/>
              <w:left w:val="nil"/>
              <w:bottom w:val="single" w:sz="4" w:space="0" w:color="D9E1F2"/>
              <w:right w:val="nil"/>
            </w:tcBorders>
            <w:shd w:val="clear" w:color="8EA9DB" w:fill="8EA9DB"/>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84" w:type="pct"/>
            <w:tcBorders>
              <w:top w:val="nil"/>
              <w:left w:val="nil"/>
              <w:bottom w:val="single" w:sz="4" w:space="0" w:color="D9E1F2"/>
              <w:right w:val="nil"/>
            </w:tcBorders>
            <w:shd w:val="clear" w:color="8EA9DB" w:fill="8EA9DB"/>
            <w:noWrap/>
            <w:vAlign w:val="bottom"/>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33,33%</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3" w:type="pct"/>
            <w:tcBorders>
              <w:top w:val="nil"/>
              <w:left w:val="nil"/>
              <w:bottom w:val="single" w:sz="4" w:space="0" w:color="D9E1F2"/>
              <w:right w:val="nil"/>
            </w:tcBorders>
            <w:shd w:val="clear" w:color="B4C6E7" w:fill="B4C6E7"/>
            <w:noWrap/>
            <w:vAlign w:val="center"/>
            <w:hideMark/>
          </w:tcPr>
          <w:p>
            <w:pPr>
              <w:spacing w:after="0"/>
              <w:jc w:val="center"/>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15.58: Promotions “deuxième filière” – Body of European Regulators for Electronic Communications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7"/>
        <w:gridCol w:w="739"/>
        <w:gridCol w:w="919"/>
        <w:gridCol w:w="1673"/>
        <w:gridCol w:w="1593"/>
        <w:gridCol w:w="1593"/>
        <w:gridCol w:w="1593"/>
        <w:gridCol w:w="1593"/>
        <w:gridCol w:w="1593"/>
        <w:gridCol w:w="1593"/>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66,67%</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15.59: Promotions “deuxième filière” – Bio-Based Industries Joint Undertaking</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7"/>
        <w:gridCol w:w="720"/>
        <w:gridCol w:w="784"/>
        <w:gridCol w:w="1618"/>
        <w:gridCol w:w="1559"/>
        <w:gridCol w:w="1559"/>
        <w:gridCol w:w="1559"/>
        <w:gridCol w:w="1559"/>
        <w:gridCol w:w="1977"/>
        <w:gridCol w:w="1554"/>
      </w:tblGrid>
      <w:tr>
        <w:trPr>
          <w:trHeight w:val="310"/>
        </w:trPr>
        <w:tc>
          <w:tcPr>
            <w:tcW w:w="256"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73"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55"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78"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57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53"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53"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53"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53"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701"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53"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56"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55"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78"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57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701"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5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40,00%</w:t>
            </w:r>
          </w:p>
        </w:tc>
        <w:tc>
          <w:tcPr>
            <w:tcW w:w="55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852" w:type="pct"/>
            <w:gridSpan w:val="2"/>
            <w:tcBorders>
              <w:top w:val="single" w:sz="4" w:space="0" w:color="D9E1F2"/>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73"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73"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57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56"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73"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55"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78"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57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701"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53"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r>
        <w:rPr>
          <w:b/>
          <w:bCs/>
          <w:noProof/>
          <w:szCs w:val="24"/>
          <w:lang w:val="en-IE"/>
        </w:rPr>
        <w:t>Annex 15.60: Promotions “deuxième filière” – Agency for the Cooperation of Energy Regulators</w:t>
      </w:r>
    </w:p>
    <w:p>
      <w:pPr>
        <w:spacing w:after="0"/>
        <w:textAlignment w:val="baseline"/>
        <w:rPr>
          <w:b/>
          <w:bCs/>
          <w:noProof/>
          <w:szCs w:val="24"/>
          <w:lang w:val="en-IE"/>
        </w:rPr>
      </w:pPr>
    </w:p>
    <w:tbl>
      <w:tblPr>
        <w:tblW w:w="5000" w:type="pct"/>
        <w:tblCellMar>
          <w:left w:w="70" w:type="dxa"/>
          <w:right w:w="70" w:type="dxa"/>
        </w:tblCellMar>
        <w:tblLook w:val="04A0" w:firstRow="1" w:lastRow="0" w:firstColumn="1" w:lastColumn="0" w:noHBand="0" w:noVBand="1"/>
      </w:tblPr>
      <w:tblGrid>
        <w:gridCol w:w="722"/>
        <w:gridCol w:w="487"/>
        <w:gridCol w:w="739"/>
        <w:gridCol w:w="919"/>
        <w:gridCol w:w="1673"/>
        <w:gridCol w:w="1593"/>
        <w:gridCol w:w="1593"/>
        <w:gridCol w:w="1593"/>
        <w:gridCol w:w="1593"/>
        <w:gridCol w:w="1593"/>
        <w:gridCol w:w="1593"/>
      </w:tblGrid>
      <w:tr>
        <w:trPr>
          <w:trHeight w:val="310"/>
        </w:trPr>
        <w:tc>
          <w:tcPr>
            <w:tcW w:w="208" w:type="pct"/>
            <w:tcBorders>
              <w:top w:val="nil"/>
              <w:left w:val="nil"/>
              <w:bottom w:val="nil"/>
              <w:right w:val="nil"/>
            </w:tcBorders>
            <w:shd w:val="clear" w:color="auto" w:fill="auto"/>
            <w:noWrap/>
            <w:vAlign w:val="bottom"/>
            <w:hideMark/>
          </w:tcPr>
          <w:p>
            <w:pPr>
              <w:spacing w:after="0"/>
              <w:jc w:val="left"/>
              <w:rPr>
                <w:noProof/>
                <w:szCs w:val="24"/>
                <w:lang w:val="en-IE"/>
              </w:rPr>
            </w:pPr>
          </w:p>
        </w:tc>
        <w:tc>
          <w:tcPr>
            <w:tcW w:w="19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82"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200" w:type="pct"/>
            <w:tcBorders>
              <w:top w:val="nil"/>
              <w:left w:val="nil"/>
              <w:bottom w:val="nil"/>
              <w:right w:val="nil"/>
            </w:tcBorders>
            <w:shd w:val="clear" w:color="auto" w:fill="auto"/>
            <w:noWrap/>
            <w:vAlign w:val="bottom"/>
            <w:hideMark/>
          </w:tcPr>
          <w:p>
            <w:pPr>
              <w:spacing w:after="0"/>
              <w:jc w:val="left"/>
              <w:rPr>
                <w:noProof/>
                <w:sz w:val="20"/>
                <w:lang w:val="en-IE"/>
              </w:rPr>
            </w:pPr>
          </w:p>
        </w:tc>
        <w:tc>
          <w:tcPr>
            <w:tcW w:w="613" w:type="pct"/>
            <w:tcBorders>
              <w:top w:val="nil"/>
              <w:left w:val="nil"/>
              <w:bottom w:val="nil"/>
              <w:right w:val="nil"/>
            </w:tcBorders>
            <w:shd w:val="clear" w:color="000000" w:fill="4472C4"/>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2013</w:t>
            </w:r>
          </w:p>
        </w:tc>
        <w:tc>
          <w:tcPr>
            <w:tcW w:w="584" w:type="pct"/>
            <w:tcBorders>
              <w:top w:val="nil"/>
              <w:left w:val="nil"/>
              <w:bottom w:val="nil"/>
              <w:right w:val="nil"/>
            </w:tcBorders>
            <w:shd w:val="clear" w:color="000000" w:fill="4BACC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2014</w:t>
            </w:r>
          </w:p>
        </w:tc>
        <w:tc>
          <w:tcPr>
            <w:tcW w:w="584" w:type="pct"/>
            <w:tcBorders>
              <w:top w:val="nil"/>
              <w:left w:val="nil"/>
              <w:bottom w:val="nil"/>
              <w:right w:val="nil"/>
            </w:tcBorders>
            <w:shd w:val="clear" w:color="000000" w:fill="92CDDC"/>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2015</w:t>
            </w:r>
          </w:p>
        </w:tc>
        <w:tc>
          <w:tcPr>
            <w:tcW w:w="584" w:type="pct"/>
            <w:tcBorders>
              <w:top w:val="nil"/>
              <w:left w:val="nil"/>
              <w:bottom w:val="nil"/>
              <w:right w:val="nil"/>
            </w:tcBorders>
            <w:shd w:val="clear" w:color="000000" w:fill="C05046"/>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2016</w:t>
            </w:r>
          </w:p>
        </w:tc>
        <w:tc>
          <w:tcPr>
            <w:tcW w:w="584" w:type="pct"/>
            <w:tcBorders>
              <w:top w:val="nil"/>
              <w:left w:val="nil"/>
              <w:bottom w:val="nil"/>
              <w:right w:val="nil"/>
            </w:tcBorders>
            <w:shd w:val="clear" w:color="000000" w:fill="DA9694"/>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2017</w:t>
            </w:r>
          </w:p>
        </w:tc>
        <w:tc>
          <w:tcPr>
            <w:tcW w:w="584" w:type="pct"/>
            <w:tcBorders>
              <w:top w:val="nil"/>
              <w:left w:val="nil"/>
              <w:bottom w:val="nil"/>
              <w:right w:val="nil"/>
            </w:tcBorders>
            <w:shd w:val="clear" w:color="000000" w:fill="9BBB59"/>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2018</w:t>
            </w:r>
          </w:p>
        </w:tc>
        <w:tc>
          <w:tcPr>
            <w:tcW w:w="584" w:type="pct"/>
            <w:tcBorders>
              <w:top w:val="nil"/>
              <w:left w:val="nil"/>
              <w:bottom w:val="nil"/>
              <w:right w:val="nil"/>
            </w:tcBorders>
            <w:shd w:val="clear" w:color="000000" w:fill="C4D79B"/>
            <w:noWrap/>
            <w:vAlign w:val="bottom"/>
            <w:hideMark/>
          </w:tcPr>
          <w:p>
            <w:pPr>
              <w:spacing w:after="0"/>
              <w:jc w:val="center"/>
              <w:rPr>
                <w:rFonts w:ascii="Calibri" w:hAnsi="Calibri" w:cs="Calibri"/>
                <w:b/>
                <w:bCs/>
                <w:noProof/>
                <w:color w:val="FFFFFF"/>
                <w:szCs w:val="24"/>
                <w:lang w:val="en-IE"/>
              </w:rPr>
            </w:pPr>
            <w:r>
              <w:rPr>
                <w:rFonts w:ascii="Calibri" w:hAnsi="Calibri" w:cs="Calibri"/>
                <w:b/>
                <w:bCs/>
                <w:noProof/>
                <w:color w:val="FFFFFF"/>
                <w:szCs w:val="24"/>
                <w:lang w:val="en-IE"/>
              </w:rPr>
              <w:t>2019</w:t>
            </w:r>
          </w:p>
        </w:tc>
      </w:tr>
      <w:tr>
        <w:trPr>
          <w:trHeight w:val="580"/>
        </w:trPr>
        <w:tc>
          <w:tcPr>
            <w:tcW w:w="208" w:type="pct"/>
            <w:tcBorders>
              <w:top w:val="nil"/>
              <w:left w:val="nil"/>
              <w:bottom w:val="nil"/>
              <w:right w:val="nil"/>
            </w:tcBorders>
            <w:shd w:val="clear" w:color="000000" w:fill="C00000"/>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Annex IB</w:t>
            </w:r>
          </w:p>
        </w:tc>
        <w:tc>
          <w:tcPr>
            <w:tcW w:w="19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FCT</w:t>
            </w:r>
          </w:p>
        </w:tc>
        <w:tc>
          <w:tcPr>
            <w:tcW w:w="282"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CAT</w:t>
            </w:r>
          </w:p>
        </w:tc>
        <w:tc>
          <w:tcPr>
            <w:tcW w:w="200"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GRADE</w:t>
            </w:r>
          </w:p>
        </w:tc>
        <w:tc>
          <w:tcPr>
            <w:tcW w:w="613"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01/01/2012</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01/01/2013</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01/01/2014</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01/01/2015</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01/01/2016</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01/01/2017</w:t>
            </w:r>
          </w:p>
        </w:tc>
        <w:tc>
          <w:tcPr>
            <w:tcW w:w="584" w:type="pct"/>
            <w:tcBorders>
              <w:top w:val="nil"/>
              <w:left w:val="nil"/>
              <w:bottom w:val="nil"/>
              <w:right w:val="nil"/>
            </w:tcBorders>
            <w:shd w:val="clear" w:color="000000" w:fill="333F4F"/>
            <w:vAlign w:val="center"/>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Promoted over active population on 01/01/2018</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AD</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AD13</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AD10</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AD09</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AD08</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60,00%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14,30%</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AD07</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33,30%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16,70%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28,60%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AD06</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50,00%</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28,60%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10,00%</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36%</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AD05</w:t>
            </w:r>
          </w:p>
        </w:tc>
        <w:tc>
          <w:tcPr>
            <w:tcW w:w="61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37,50%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18,20%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20,20%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9,10%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9,10%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54,50%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AST10</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8%</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AST09</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FF0000"/>
                <w:sz w:val="22"/>
                <w:szCs w:val="22"/>
                <w:lang w:val="en-IE"/>
              </w:rPr>
            </w:pPr>
            <w:r>
              <w:rPr>
                <w:rFonts w:ascii="Calibri" w:hAnsi="Calibri" w:cs="Calibri"/>
                <w:noProof/>
                <w:color w:val="FF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AST08</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AST07</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AST06</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AST05</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8EA9DB"/>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20,00%</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AST03</w:t>
            </w:r>
          </w:p>
        </w:tc>
        <w:tc>
          <w:tcPr>
            <w:tcW w:w="613"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9,10%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16,70%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16,70%</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25,00%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11,10%</w:t>
            </w:r>
          </w:p>
        </w:tc>
        <w:tc>
          <w:tcPr>
            <w:tcW w:w="584" w:type="pct"/>
            <w:tcBorders>
              <w:top w:val="nil"/>
              <w:left w:val="nil"/>
              <w:bottom w:val="single" w:sz="4" w:space="0" w:color="D9E1F2"/>
              <w:right w:val="nil"/>
            </w:tcBorders>
            <w:shd w:val="clear" w:color="B4C6E7" w:fill="B4C6E7"/>
            <w:noWrap/>
            <w:vAlign w:val="bottom"/>
            <w:hideMark/>
          </w:tcPr>
          <w:p>
            <w:pPr>
              <w:spacing w:after="0"/>
              <w:jc w:val="right"/>
              <w:rPr>
                <w:rFonts w:ascii="Calibri" w:hAnsi="Calibri" w:cs="Calibri"/>
                <w:noProof/>
                <w:color w:val="000000"/>
                <w:sz w:val="22"/>
                <w:szCs w:val="22"/>
                <w:lang w:val="en-IE"/>
              </w:rPr>
            </w:pPr>
            <w:r>
              <w:rPr>
                <w:rFonts w:ascii="Calibri" w:hAnsi="Calibri" w:cs="Calibri"/>
                <w:noProof/>
                <w:color w:val="000000"/>
                <w:sz w:val="22"/>
                <w:szCs w:val="22"/>
                <w:lang w:val="en-IE"/>
              </w:rPr>
              <w:t>14,30%</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33%</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AST/D</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AST04/D</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12%</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SC</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SC05</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15%</w:t>
            </w:r>
          </w:p>
        </w:tc>
        <w:tc>
          <w:tcPr>
            <w:tcW w:w="192" w:type="pct"/>
            <w:tcBorders>
              <w:top w:val="single" w:sz="4" w:space="0" w:color="8EA9DB"/>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SC04</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17%</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SC03</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20%</w:t>
            </w:r>
          </w:p>
        </w:tc>
        <w:tc>
          <w:tcPr>
            <w:tcW w:w="192" w:type="pct"/>
            <w:tcBorders>
              <w:top w:val="nil"/>
              <w:left w:val="nil"/>
              <w:bottom w:val="single" w:sz="4" w:space="0" w:color="D9E1F2"/>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8EA9DB" w:fill="8EA9DB"/>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SC02</w:t>
            </w:r>
          </w:p>
        </w:tc>
        <w:tc>
          <w:tcPr>
            <w:tcW w:w="613"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8EA9DB"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r>
        <w:trPr>
          <w:trHeight w:val="290"/>
        </w:trPr>
        <w:tc>
          <w:tcPr>
            <w:tcW w:w="208" w:type="pct"/>
            <w:tcBorders>
              <w:top w:val="nil"/>
              <w:left w:val="nil"/>
              <w:bottom w:val="nil"/>
              <w:right w:val="nil"/>
            </w:tcBorders>
            <w:shd w:val="clear" w:color="000000" w:fill="A5A5A5"/>
            <w:noWrap/>
            <w:vAlign w:val="bottom"/>
            <w:hideMark/>
          </w:tcPr>
          <w:p>
            <w:pPr>
              <w:spacing w:after="0"/>
              <w:jc w:val="center"/>
              <w:rPr>
                <w:rFonts w:ascii="Calibri" w:hAnsi="Calibri" w:cs="Calibri"/>
                <w:b/>
                <w:bCs/>
                <w:noProof/>
                <w:color w:val="FFFFFF"/>
                <w:sz w:val="22"/>
                <w:szCs w:val="22"/>
                <w:lang w:val="en-IE"/>
              </w:rPr>
            </w:pPr>
            <w:r>
              <w:rPr>
                <w:rFonts w:ascii="Calibri" w:hAnsi="Calibri" w:cs="Calibri"/>
                <w:b/>
                <w:bCs/>
                <w:noProof/>
                <w:color w:val="FFFFFF"/>
                <w:sz w:val="22"/>
                <w:szCs w:val="22"/>
                <w:lang w:val="en-IE"/>
              </w:rPr>
              <w:t>25%</w:t>
            </w:r>
          </w:p>
        </w:tc>
        <w:tc>
          <w:tcPr>
            <w:tcW w:w="192" w:type="pct"/>
            <w:tcBorders>
              <w:top w:val="nil"/>
              <w:left w:val="nil"/>
              <w:bottom w:val="single" w:sz="4" w:space="0" w:color="8EA9DB"/>
              <w:right w:val="nil"/>
            </w:tcBorders>
            <w:shd w:val="clear" w:color="D9E1F2" w:fill="D9E1F2"/>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82"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b/>
                <w:bCs/>
                <w:noProof/>
                <w:color w:val="000000"/>
                <w:sz w:val="22"/>
                <w:szCs w:val="22"/>
                <w:lang w:val="en-IE"/>
              </w:rPr>
            </w:pPr>
            <w:r>
              <w:rPr>
                <w:rFonts w:ascii="Calibri" w:hAnsi="Calibri" w:cs="Calibri"/>
                <w:b/>
                <w:bCs/>
                <w:noProof/>
                <w:color w:val="000000"/>
                <w:sz w:val="22"/>
                <w:szCs w:val="22"/>
                <w:lang w:val="en-IE"/>
              </w:rPr>
              <w:t> </w:t>
            </w:r>
          </w:p>
        </w:tc>
        <w:tc>
          <w:tcPr>
            <w:tcW w:w="200" w:type="pct"/>
            <w:tcBorders>
              <w:top w:val="nil"/>
              <w:left w:val="nil"/>
              <w:bottom w:val="single" w:sz="4" w:space="0" w:color="D9E1F2"/>
              <w:right w:val="nil"/>
            </w:tcBorders>
            <w:shd w:val="clear" w:color="B4C6E7" w:fill="B4C6E7"/>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SC01</w:t>
            </w:r>
          </w:p>
        </w:tc>
        <w:tc>
          <w:tcPr>
            <w:tcW w:w="613"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c>
          <w:tcPr>
            <w:tcW w:w="584" w:type="pct"/>
            <w:tcBorders>
              <w:top w:val="nil"/>
              <w:left w:val="nil"/>
              <w:bottom w:val="single" w:sz="4" w:space="0" w:color="D9E1F2"/>
              <w:right w:val="nil"/>
            </w:tcBorders>
            <w:shd w:val="clear" w:color="B4C6E7" w:fill="A6A6A6"/>
            <w:noWrap/>
            <w:vAlign w:val="bottom"/>
            <w:hideMark/>
          </w:tcPr>
          <w:p>
            <w:pPr>
              <w:spacing w:after="0"/>
              <w:jc w:val="left"/>
              <w:rPr>
                <w:rFonts w:ascii="Calibri" w:hAnsi="Calibri" w:cs="Calibri"/>
                <w:noProof/>
                <w:color w:val="000000"/>
                <w:sz w:val="22"/>
                <w:szCs w:val="22"/>
                <w:lang w:val="en-IE"/>
              </w:rPr>
            </w:pPr>
            <w:r>
              <w:rPr>
                <w:rFonts w:ascii="Calibri" w:hAnsi="Calibri" w:cs="Calibri"/>
                <w:noProof/>
                <w:color w:val="000000"/>
                <w:sz w:val="22"/>
                <w:szCs w:val="22"/>
                <w:lang w:val="en-IE"/>
              </w:rPr>
              <w:t> </w:t>
            </w:r>
          </w:p>
        </w:tc>
      </w:tr>
    </w:tbl>
    <w:p>
      <w:pPr>
        <w:spacing w:after="0"/>
        <w:textAlignment w:val="baseline"/>
        <w:rPr>
          <w:b/>
          <w:bCs/>
          <w:noProof/>
          <w:szCs w:val="24"/>
          <w:lang w:val="en-IE"/>
        </w:rPr>
      </w:pPr>
    </w:p>
    <w:p>
      <w:pPr>
        <w:rPr>
          <w:b/>
          <w:noProof/>
          <w:lang w:val="en-IE"/>
        </w:rPr>
      </w:pPr>
      <w:r>
        <w:rPr>
          <w:b/>
          <w:noProof/>
          <w:lang w:val="en-IE"/>
        </w:rPr>
        <w:t>Annex 16: Types of posts in transition</w:t>
      </w:r>
    </w:p>
    <w:tbl>
      <w:tblPr>
        <w:tblStyle w:val="GridTable4Accent5"/>
        <w:tblW w:w="0" w:type="auto"/>
        <w:jc w:val="center"/>
        <w:tblLook w:val="04A0" w:firstRow="1" w:lastRow="0" w:firstColumn="1" w:lastColumn="0" w:noHBand="0" w:noVBand="1"/>
      </w:tblPr>
      <w:tblGrid>
        <w:gridCol w:w="1242"/>
        <w:gridCol w:w="2552"/>
        <w:gridCol w:w="1656"/>
        <w:gridCol w:w="2835"/>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b w:val="0"/>
                <w:noProof/>
                <w:lang w:val="en-IE"/>
              </w:rPr>
            </w:pPr>
            <w:r>
              <w:rPr>
                <w:b w:val="0"/>
                <w:noProof/>
                <w:lang w:val="en-IE"/>
              </w:rPr>
              <w:t>Grade</w:t>
            </w:r>
          </w:p>
        </w:tc>
        <w:tc>
          <w:tcPr>
            <w:tcW w:w="2552" w:type="dxa"/>
          </w:tcPr>
          <w:p>
            <w:pPr>
              <w:jc w:val="center"/>
              <w:cnfStyle w:val="100000000000" w:firstRow="1" w:lastRow="0" w:firstColumn="0" w:lastColumn="0" w:oddVBand="0" w:evenVBand="0" w:oddHBand="0" w:evenHBand="0" w:firstRowFirstColumn="0" w:firstRowLastColumn="0" w:lastRowFirstColumn="0" w:lastRowLastColumn="0"/>
              <w:rPr>
                <w:b w:val="0"/>
                <w:noProof/>
                <w:lang w:val="en-IE"/>
              </w:rPr>
            </w:pPr>
            <w:r>
              <w:rPr>
                <w:b w:val="0"/>
                <w:noProof/>
                <w:lang w:val="en-IE"/>
              </w:rPr>
              <w:t>AST (ex-B, attested, recruited after 1/5/2004)</w:t>
            </w: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b w:val="0"/>
                <w:noProof/>
                <w:lang w:val="en-IE"/>
              </w:rPr>
            </w:pPr>
            <w:r>
              <w:rPr>
                <w:b w:val="0"/>
                <w:noProof/>
                <w:lang w:val="en-IE"/>
              </w:rPr>
              <w:t>AST ex-C</w:t>
            </w:r>
          </w:p>
        </w:tc>
        <w:tc>
          <w:tcPr>
            <w:tcW w:w="2835" w:type="dxa"/>
          </w:tcPr>
          <w:p>
            <w:pPr>
              <w:jc w:val="center"/>
              <w:cnfStyle w:val="100000000000" w:firstRow="1" w:lastRow="0" w:firstColumn="0" w:lastColumn="0" w:oddVBand="0" w:evenVBand="0" w:oddHBand="0" w:evenHBand="0" w:firstRowFirstColumn="0" w:firstRowLastColumn="0" w:lastRowFirstColumn="0" w:lastRowLastColumn="0"/>
              <w:rPr>
                <w:b w:val="0"/>
                <w:noProof/>
                <w:lang w:val="en-IE"/>
              </w:rPr>
            </w:pPr>
            <w:r>
              <w:rPr>
                <w:b w:val="0"/>
                <w:noProof/>
                <w:lang w:val="en-IE"/>
              </w:rPr>
              <w:t>AST ex-D</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11</w:t>
            </w:r>
          </w:p>
        </w:tc>
        <w:tc>
          <w:tcPr>
            <w:tcW w:w="2552" w:type="dxa"/>
            <w:vMerge w:val="restart"/>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Senior Assistant in transition</w:t>
            </w:r>
          </w:p>
        </w:tc>
        <w:tc>
          <w:tcPr>
            <w:tcW w:w="1276" w:type="dxa"/>
            <w:vMerge w:val="restart"/>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val="restart"/>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10</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9</w:t>
            </w:r>
          </w:p>
        </w:tc>
        <w:tc>
          <w:tcPr>
            <w:tcW w:w="2552"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Assistant in</w:t>
            </w:r>
          </w:p>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transition</w:t>
            </w:r>
          </w:p>
        </w:tc>
        <w:tc>
          <w:tcPr>
            <w:tcW w:w="1276"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8</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7</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Administrative</w:t>
            </w:r>
          </w:p>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Assistant in</w:t>
            </w:r>
          </w:p>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transition</w:t>
            </w:r>
          </w:p>
        </w:tc>
        <w:tc>
          <w:tcPr>
            <w:tcW w:w="2835" w:type="dxa"/>
            <w:vMerge/>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6</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shd w:val="clear" w:color="auto" w:fill="FFFFFF" w:themeFill="background1"/>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5</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val="restart"/>
            <w:vAlign w:val="center"/>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Support</w:t>
            </w:r>
          </w:p>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Agent in</w:t>
            </w:r>
          </w:p>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transition</w:t>
            </w: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4</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3</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r>
      <w:tr>
        <w:trPr>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2</w:t>
            </w:r>
          </w:p>
        </w:tc>
        <w:tc>
          <w:tcPr>
            <w:tcW w:w="2552"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1276"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c>
          <w:tcPr>
            <w:tcW w:w="2835" w:type="dxa"/>
            <w:vMerge/>
          </w:tcPr>
          <w:p>
            <w:pP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tcPr>
          <w:p>
            <w:pPr>
              <w:jc w:val="center"/>
              <w:rPr>
                <w:noProof/>
                <w:lang w:val="en-IE"/>
              </w:rPr>
            </w:pPr>
            <w:r>
              <w:rPr>
                <w:noProof/>
                <w:lang w:val="en-IE"/>
              </w:rPr>
              <w:t>1</w:t>
            </w:r>
          </w:p>
        </w:tc>
        <w:tc>
          <w:tcPr>
            <w:tcW w:w="2552"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1276"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c>
          <w:tcPr>
            <w:tcW w:w="2835" w:type="dxa"/>
            <w:vMerge/>
          </w:tcPr>
          <w:p>
            <w:pPr>
              <w:cnfStyle w:val="000000100000" w:firstRow="0" w:lastRow="0" w:firstColumn="0" w:lastColumn="0" w:oddVBand="0" w:evenVBand="0" w:oddHBand="1" w:evenHBand="0" w:firstRowFirstColumn="0" w:firstRowLastColumn="0" w:lastRowFirstColumn="0" w:lastRowLastColumn="0"/>
              <w:rPr>
                <w:noProof/>
                <w:lang w:val="en-IE"/>
              </w:rPr>
            </w:pPr>
          </w:p>
        </w:tc>
      </w:tr>
    </w:tbl>
    <w:p>
      <w:pPr>
        <w:rPr>
          <w:noProof/>
          <w:lang w:val="en-IE"/>
        </w:rPr>
      </w:pPr>
    </w:p>
    <w:p>
      <w:pPr>
        <w:spacing w:after="160" w:line="259" w:lineRule="auto"/>
        <w:jc w:val="left"/>
        <w:rPr>
          <w:b/>
          <w:noProof/>
          <w:lang w:val="en-IE"/>
        </w:rPr>
      </w:pPr>
      <w:r>
        <w:rPr>
          <w:b/>
          <w:noProof/>
          <w:lang w:val="en-IE"/>
        </w:rPr>
        <w:br w:type="page"/>
      </w:r>
    </w:p>
    <w:p>
      <w:pPr>
        <w:rPr>
          <w:b/>
          <w:noProof/>
          <w:lang w:val="en-IE"/>
        </w:rPr>
        <w:sectPr>
          <w:headerReference w:type="even" r:id="rId44"/>
          <w:headerReference w:type="default" r:id="rId45"/>
          <w:footerReference w:type="even" r:id="rId46"/>
          <w:footerReference w:type="default" r:id="rId47"/>
          <w:headerReference w:type="first" r:id="rId48"/>
          <w:footerReference w:type="first" r:id="rId49"/>
          <w:pgSz w:w="16838" w:h="11906" w:orient="landscape"/>
          <w:pgMar w:top="709" w:right="1440" w:bottom="1440" w:left="1440" w:header="708" w:footer="708" w:gutter="0"/>
          <w:cols w:space="708"/>
          <w:docGrid w:linePitch="360"/>
        </w:sectPr>
      </w:pPr>
    </w:p>
    <w:p>
      <w:pPr>
        <w:rPr>
          <w:b/>
          <w:noProof/>
          <w:lang w:val="en-IE"/>
        </w:rPr>
      </w:pPr>
      <w:r>
        <w:rPr>
          <w:b/>
          <w:noProof/>
          <w:lang w:val="en-IE"/>
        </w:rPr>
        <w:t>Annex 17: Evolution of AST and AST/SC staff</w:t>
      </w:r>
    </w:p>
    <w:tbl>
      <w:tblPr>
        <w:tblStyle w:val="GridTable4-Accent51"/>
        <w:tblW w:w="0" w:type="auto"/>
        <w:tblLook w:val="04A0" w:firstRow="1" w:lastRow="0" w:firstColumn="1" w:lastColumn="0" w:noHBand="0" w:noVBand="1"/>
      </w:tblPr>
      <w:tblGrid>
        <w:gridCol w:w="2514"/>
        <w:gridCol w:w="1431"/>
        <w:gridCol w:w="1462"/>
        <w:gridCol w:w="1462"/>
        <w:gridCol w:w="1461"/>
        <w:gridCol w:w="1461"/>
        <w:gridCol w:w="1461"/>
        <w:gridCol w:w="1461"/>
        <w:gridCol w:w="1461"/>
      </w:tblGrid>
      <w:tr>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05" w:type="dxa"/>
          </w:tcPr>
          <w:p>
            <w:pPr>
              <w:jc w:val="center"/>
              <w:rPr>
                <w:noProof/>
                <w:lang w:val="en-IE"/>
              </w:rPr>
            </w:pPr>
            <w:r>
              <w:rPr>
                <w:noProof/>
                <w:lang w:val="en-IE"/>
              </w:rPr>
              <w:t>Type of post</w:t>
            </w:r>
          </w:p>
        </w:tc>
        <w:tc>
          <w:tcPr>
            <w:tcW w:w="2995" w:type="dxa"/>
            <w:gridSpan w:val="2"/>
          </w:tcPr>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Senior Assistant in transition</w:t>
            </w:r>
          </w:p>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(AST10 – AST 11)</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Assistant in transition</w:t>
            </w:r>
          </w:p>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(AST1 – AST9)</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Administrative Assistant in transition</w:t>
            </w:r>
          </w:p>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(AST1 – AST7)</w:t>
            </w:r>
          </w:p>
        </w:tc>
        <w:tc>
          <w:tcPr>
            <w:tcW w:w="3038" w:type="dxa"/>
            <w:gridSpan w:val="2"/>
          </w:tcPr>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Support Agent in transition</w:t>
            </w:r>
          </w:p>
          <w:p>
            <w:pPr>
              <w:jc w:val="center"/>
              <w:cnfStyle w:val="100000000000" w:firstRow="1" w:lastRow="0" w:firstColumn="0" w:lastColumn="0" w:oddVBand="0" w:evenVBand="0" w:oddHBand="0" w:evenHBand="0" w:firstRowFirstColumn="0" w:firstRowLastColumn="0" w:lastRowFirstColumn="0" w:lastRowLastColumn="0"/>
              <w:rPr>
                <w:noProof/>
                <w:lang w:val="en-IE"/>
              </w:rPr>
            </w:pPr>
            <w:r>
              <w:rPr>
                <w:noProof/>
                <w:lang w:val="en-IE"/>
              </w:rPr>
              <w:t>(AST1 – AST5)</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Pr>
          <w:p>
            <w:pPr>
              <w:spacing w:line="259" w:lineRule="auto"/>
              <w:rPr>
                <w:noProof/>
                <w:lang w:val="en-IE"/>
              </w:rPr>
            </w:pP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01/01/2020</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Staff on 01/01/2020</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lang w:val="en-IE"/>
              </w:rPr>
            </w:pPr>
            <w:r>
              <w:rPr>
                <w:noProof/>
                <w:lang w:val="en-IE"/>
              </w:rPr>
              <w:t>Commission</w:t>
            </w:r>
          </w:p>
        </w:tc>
        <w:tc>
          <w:tcPr>
            <w:tcW w:w="1476" w:type="dxa"/>
          </w:tcPr>
          <w:p>
            <w:pPr>
              <w:spacing w:line="259" w:lineRule="auto"/>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529</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124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8.217</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4.626</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1.320</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559</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257</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146</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lang w:val="en-IE"/>
              </w:rPr>
            </w:pPr>
            <w:r>
              <w:rPr>
                <w:noProof/>
                <w:lang w:val="en-IE"/>
              </w:rPr>
              <w:t>European Parliament</w:t>
            </w: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108</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41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2629</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1431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63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6</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2</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hideMark/>
          </w:tcPr>
          <w:p>
            <w:pPr>
              <w:spacing w:line="259" w:lineRule="auto"/>
              <w:rPr>
                <w:noProof/>
                <w:lang w:val="en-IE"/>
              </w:rPr>
            </w:pPr>
            <w:r>
              <w:rPr>
                <w:noProof/>
                <w:lang w:val="en-IE"/>
              </w:rPr>
              <w:t>Council</w:t>
            </w:r>
          </w:p>
        </w:tc>
        <w:tc>
          <w:tcPr>
            <w:tcW w:w="1476" w:type="dxa"/>
          </w:tcPr>
          <w:p>
            <w:pPr>
              <w:spacing w:line="259" w:lineRule="auto"/>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34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12</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1181</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664</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238</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100</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26</w:t>
            </w:r>
          </w:p>
        </w:tc>
        <w:tc>
          <w:tcPr>
            <w:tcW w:w="1519" w:type="dxa"/>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10</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Pr>
          <w:p>
            <w:pPr>
              <w:spacing w:line="259" w:lineRule="auto"/>
              <w:rPr>
                <w:noProof/>
                <w:lang w:val="en-IE"/>
              </w:rPr>
            </w:pPr>
            <w:r>
              <w:rPr>
                <w:noProof/>
                <w:lang w:val="en-IE"/>
              </w:rPr>
              <w:t>Court of Justice</w:t>
            </w:r>
          </w:p>
        </w:tc>
        <w:tc>
          <w:tcPr>
            <w:tcW w:w="1476" w:type="dxa"/>
          </w:tcPr>
          <w:p>
            <w:pPr>
              <w:spacing w:line="259" w:lineRule="auto"/>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9</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11</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504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463</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26</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14</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38</w:t>
            </w:r>
          </w:p>
        </w:tc>
        <w:tc>
          <w:tcPr>
            <w:tcW w:w="1519" w:type="dxa"/>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12</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bottom w:val="single" w:sz="4" w:space="0" w:color="8EAADB"/>
            </w:tcBorders>
          </w:tcPr>
          <w:p>
            <w:pPr>
              <w:jc w:val="left"/>
              <w:rPr>
                <w:noProof/>
                <w:lang w:val="en-IE"/>
              </w:rPr>
            </w:pPr>
            <w:r>
              <w:rPr>
                <w:noProof/>
                <w:lang w:val="en-IE"/>
              </w:rPr>
              <w:t>Court of Auditors</w:t>
            </w:r>
          </w:p>
        </w:tc>
        <w:tc>
          <w:tcPr>
            <w:tcW w:w="1476"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11</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5</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229</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134</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10</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3</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11</w:t>
            </w:r>
          </w:p>
        </w:tc>
        <w:tc>
          <w:tcPr>
            <w:tcW w:w="1519" w:type="dxa"/>
            <w:tcBorders>
              <w:bottom w:val="single" w:sz="4" w:space="0" w:color="8EAADB"/>
            </w:tcBorders>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lang w:val="en-IE"/>
              </w:rPr>
            </w:pPr>
            <w:r>
              <w:rPr>
                <w:noProof/>
                <w:lang w:val="en-IE"/>
              </w:rPr>
              <w:t>Committee of the Regions</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4</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161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113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7</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auto"/>
          </w:tcPr>
          <w:p>
            <w:pPr>
              <w:jc w:val="left"/>
              <w:rPr>
                <w:noProof/>
                <w:lang w:val="en-IE"/>
              </w:rPr>
            </w:pPr>
            <w:r>
              <w:rPr>
                <w:noProof/>
                <w:lang w:val="en-IE"/>
              </w:rPr>
              <w:t>European Economic and Social Committee</w:t>
            </w:r>
          </w:p>
        </w:tc>
        <w:tc>
          <w:tcPr>
            <w:tcW w:w="1476"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8</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286</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180</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3</w:t>
            </w:r>
          </w:p>
        </w:tc>
      </w:tr>
      <w:tr>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lang w:val="en-IE"/>
              </w:rPr>
            </w:pPr>
            <w:r>
              <w:rPr>
                <w:noProof/>
                <w:lang w:val="en-IE"/>
              </w:rPr>
              <w:t>EEAS</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42</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501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156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108</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26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4</w:t>
            </w:r>
          </w:p>
        </w:tc>
      </w:tr>
      <w:tr>
        <w:trPr>
          <w:trHeight w:val="39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auto"/>
          </w:tcPr>
          <w:p>
            <w:pPr>
              <w:jc w:val="left"/>
              <w:rPr>
                <w:noProof/>
                <w:lang w:val="en-IE"/>
              </w:rPr>
            </w:pPr>
            <w:r>
              <w:rPr>
                <w:noProof/>
                <w:lang w:val="en-IE"/>
              </w:rPr>
              <w:t>European Data Protection Supervisor</w:t>
            </w:r>
          </w:p>
        </w:tc>
        <w:tc>
          <w:tcPr>
            <w:tcW w:w="1476"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12</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r>
              <w:rPr>
                <w:noProof/>
                <w:lang w:val="en-IE"/>
              </w:rPr>
              <w:t>13</w:t>
            </w: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c>
          <w:tcPr>
            <w:tcW w:w="1519" w:type="dxa"/>
            <w:tcBorders>
              <w:top w:val="single" w:sz="4" w:space="0" w:color="8EAADB"/>
              <w:left w:val="single" w:sz="4" w:space="0" w:color="8EAADB"/>
              <w:bottom w:val="single" w:sz="4" w:space="0" w:color="8EAADB"/>
              <w:right w:val="single" w:sz="4" w:space="0" w:color="8EAADB"/>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noProof/>
                <w:lang w:val="en-IE"/>
              </w:rPr>
            </w:pPr>
          </w:p>
        </w:tc>
      </w:tr>
      <w:tr>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905" w:type="dxa"/>
            <w:tcBorders>
              <w:top w:val="single" w:sz="4" w:space="0" w:color="8EAADB"/>
              <w:left w:val="single" w:sz="4" w:space="0" w:color="8EAADB"/>
              <w:bottom w:val="single" w:sz="4" w:space="0" w:color="8EAADB"/>
              <w:right w:val="single" w:sz="4" w:space="0" w:color="8EAADB"/>
            </w:tcBorders>
            <w:shd w:val="clear" w:color="auto" w:fill="8EAADB"/>
          </w:tcPr>
          <w:p>
            <w:pPr>
              <w:jc w:val="left"/>
              <w:rPr>
                <w:noProof/>
                <w:lang w:val="en-IE"/>
              </w:rPr>
            </w:pPr>
            <w:r>
              <w:rPr>
                <w:noProof/>
                <w:lang w:val="en-IE"/>
              </w:rPr>
              <w:t>Agencies*</w:t>
            </w:r>
          </w:p>
        </w:tc>
        <w:tc>
          <w:tcPr>
            <w:tcW w:w="1476"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19</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10</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1206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821</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195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106</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15</w:t>
            </w:r>
          </w:p>
        </w:tc>
        <w:tc>
          <w:tcPr>
            <w:tcW w:w="1519" w:type="dxa"/>
            <w:tcBorders>
              <w:top w:val="single" w:sz="4" w:space="0" w:color="8EAADB"/>
              <w:left w:val="single" w:sz="4" w:space="0" w:color="8EAADB"/>
              <w:bottom w:val="single" w:sz="4" w:space="0" w:color="8EAADB"/>
              <w:right w:val="single" w:sz="4" w:space="0" w:color="8EAADB"/>
            </w:tcBorders>
            <w:shd w:val="clear" w:color="auto" w:fill="8EAADB"/>
          </w:tcPr>
          <w:p>
            <w:pPr>
              <w:jc w:val="center"/>
              <w:cnfStyle w:val="000000100000" w:firstRow="0" w:lastRow="0" w:firstColumn="0" w:lastColumn="0" w:oddVBand="0" w:evenVBand="0" w:oddHBand="1" w:evenHBand="0" w:firstRowFirstColumn="0" w:firstRowLastColumn="0" w:lastRowFirstColumn="0" w:lastRowLastColumn="0"/>
              <w:rPr>
                <w:noProof/>
                <w:lang w:val="en-IE"/>
              </w:rPr>
            </w:pPr>
            <w:r>
              <w:rPr>
                <w:noProof/>
                <w:lang w:val="en-IE"/>
              </w:rPr>
              <w:t>10</w:t>
            </w:r>
          </w:p>
        </w:tc>
      </w:tr>
    </w:tbl>
    <w:p>
      <w:pPr>
        <w:rPr>
          <w:b/>
          <w:noProof/>
          <w:lang w:val="en-IE"/>
        </w:rPr>
        <w:sectPr>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08" w:footer="708" w:gutter="0"/>
          <w:cols w:space="708"/>
          <w:docGrid w:linePitch="360"/>
        </w:sectPr>
      </w:pPr>
    </w:p>
    <w:p>
      <w:pPr>
        <w:rPr>
          <w:b/>
          <w:noProof/>
          <w:lang w:val="en-IE"/>
        </w:rPr>
      </w:pPr>
      <w:r>
        <w:rPr>
          <w:b/>
          <w:noProof/>
          <w:lang w:val="en-IE"/>
        </w:rPr>
        <w:t xml:space="preserve">Annex 18: Commission decisions applied by analogy and those for which the Commission gave an </w:t>
      </w:r>
      <w:r>
        <w:rPr>
          <w:b/>
          <w:i/>
          <w:noProof/>
          <w:lang w:val="en-IE"/>
        </w:rPr>
        <w:t>ex-ante</w:t>
      </w:r>
      <w:r>
        <w:rPr>
          <w:b/>
          <w:noProof/>
          <w:lang w:val="en-IE"/>
        </w:rPr>
        <w:t xml:space="preserve"> agreement not to apply them by analogy (opt-out) or to adopt rules which are different from those of the Commission</w:t>
      </w:r>
    </w:p>
    <w:tbl>
      <w:tblPr>
        <w:tblW w:w="6380" w:type="dxa"/>
        <w:tblInd w:w="810" w:type="dxa"/>
        <w:tblLook w:val="04A0" w:firstRow="1" w:lastRow="0" w:firstColumn="1" w:lastColumn="0" w:noHBand="0" w:noVBand="1"/>
      </w:tblPr>
      <w:tblGrid>
        <w:gridCol w:w="4360"/>
        <w:gridCol w:w="2020"/>
      </w:tblGrid>
      <w:tr>
        <w:trPr>
          <w:trHeight w:val="315"/>
        </w:trPr>
        <w:tc>
          <w:tcPr>
            <w:tcW w:w="436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pPr>
              <w:spacing w:after="0"/>
              <w:rPr>
                <w:rFonts w:ascii="Calibri" w:hAnsi="Calibri" w:cs="Calibri"/>
                <w:b/>
                <w:bCs/>
                <w:noProof/>
                <w:color w:val="FFFFFF"/>
                <w:szCs w:val="24"/>
                <w:lang w:val="en-IE" w:eastAsia="en-GB"/>
              </w:rPr>
            </w:pPr>
            <w:r>
              <w:rPr>
                <w:rFonts w:ascii="Calibri" w:hAnsi="Calibri" w:cs="Calibri"/>
                <w:b/>
                <w:bCs/>
                <w:noProof/>
                <w:color w:val="FFFFFF"/>
                <w:szCs w:val="24"/>
                <w:lang w:val="en-IE" w:eastAsia="en-GB"/>
              </w:rPr>
              <w:t>Commission Decisions notified</w:t>
            </w:r>
          </w:p>
        </w:tc>
        <w:tc>
          <w:tcPr>
            <w:tcW w:w="2020" w:type="dxa"/>
            <w:tcBorders>
              <w:top w:val="single" w:sz="4" w:space="0" w:color="auto"/>
              <w:left w:val="single" w:sz="4" w:space="0" w:color="auto"/>
              <w:bottom w:val="single" w:sz="4" w:space="0" w:color="auto"/>
              <w:right w:val="single" w:sz="4" w:space="0" w:color="auto"/>
            </w:tcBorders>
            <w:shd w:val="clear" w:color="auto" w:fill="4472C4" w:themeFill="accent5"/>
            <w:noWrap/>
            <w:vAlign w:val="bottom"/>
            <w:hideMark/>
          </w:tcPr>
          <w:p>
            <w:pPr>
              <w:spacing w:after="0"/>
              <w:rPr>
                <w:rFonts w:ascii="Calibri" w:hAnsi="Calibri" w:cs="Calibri"/>
                <w:b/>
                <w:bCs/>
                <w:noProof/>
                <w:color w:val="FFFFFF"/>
                <w:szCs w:val="24"/>
                <w:lang w:val="en-IE" w:eastAsia="en-GB"/>
              </w:rPr>
            </w:pPr>
            <w:r>
              <w:rPr>
                <w:rFonts w:ascii="Calibri" w:hAnsi="Calibri" w:cs="Calibri"/>
                <w:b/>
                <w:bCs/>
                <w:noProof/>
                <w:color w:val="FFFFFF"/>
                <w:szCs w:val="24"/>
                <w:lang w:val="en-IE" w:eastAsia="en-GB"/>
              </w:rPr>
              <w:t>Number of Commission decisions notified</w:t>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lang w:val="en-IE" w:eastAsia="en-GB"/>
              </w:rPr>
            </w:pPr>
            <w:r>
              <w:rPr>
                <w:rFonts w:ascii="Calibri" w:hAnsi="Calibri" w:cs="Calibri"/>
                <w:noProof/>
                <w:color w:val="000000"/>
                <w:szCs w:val="24"/>
                <w:lang w:val="en-IE" w:eastAsia="en-GB"/>
              </w:rPr>
              <w:t>Commission Decisions notified to agencies under Article 110(2) SR</w:t>
            </w:r>
          </w:p>
        </w:tc>
        <w:tc>
          <w:tcPr>
            <w:tcW w:w="202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jc w:val="right"/>
              <w:rPr>
                <w:rFonts w:ascii="Calibri" w:hAnsi="Calibri" w:cs="Calibri"/>
                <w:noProof/>
                <w:color w:val="000000"/>
                <w:szCs w:val="24"/>
                <w:lang w:val="en-IE" w:eastAsia="en-GB"/>
              </w:rPr>
            </w:pPr>
            <w:r>
              <w:rPr>
                <w:rFonts w:ascii="Calibri" w:hAnsi="Calibri" w:cs="Calibri"/>
                <w:noProof/>
                <w:color w:val="000000"/>
                <w:lang w:val="en-IE" w:eastAsia="en-GB"/>
              </w:rPr>
              <w:t>44</w:t>
            </w:r>
            <w:r>
              <w:rPr>
                <w:rStyle w:val="FootnoteReference"/>
                <w:rFonts w:ascii="Calibri" w:hAnsi="Calibri" w:cs="Calibri"/>
                <w:noProof/>
                <w:color w:val="000000"/>
                <w:lang w:val="en-IE" w:eastAsia="en-GB"/>
              </w:rPr>
              <w:footnoteReference w:id="58"/>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lang w:val="en-IE" w:eastAsia="en-GB"/>
              </w:rPr>
            </w:pPr>
            <w:r>
              <w:rPr>
                <w:rFonts w:ascii="Calibri" w:hAnsi="Calibri" w:cs="Calibri"/>
                <w:noProof/>
                <w:color w:val="000000"/>
                <w:szCs w:val="24"/>
                <w:lang w:val="en-IE" w:eastAsia="en-GB"/>
              </w:rPr>
              <w:t>Commission Decisions applied by analogy (no model available)</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lang w:val="en-IE" w:eastAsia="en-GB"/>
              </w:rPr>
            </w:pPr>
            <w:r>
              <w:rPr>
                <w:rFonts w:ascii="Calibri" w:hAnsi="Calibri" w:cs="Calibri"/>
                <w:noProof/>
                <w:color w:val="000000"/>
                <w:lang w:val="en-IE" w:eastAsia="en-GB"/>
              </w:rPr>
              <w:t>21</w:t>
            </w:r>
          </w:p>
        </w:tc>
      </w:tr>
      <w:tr>
        <w:trPr>
          <w:trHeight w:val="945"/>
        </w:trPr>
        <w:tc>
          <w:tcPr>
            <w:tcW w:w="436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lang w:val="en-IE" w:eastAsia="en-GB"/>
              </w:rPr>
            </w:pPr>
            <w:r>
              <w:rPr>
                <w:rFonts w:ascii="Calibri" w:hAnsi="Calibri" w:cs="Calibri"/>
                <w:noProof/>
                <w:color w:val="000000"/>
                <w:szCs w:val="24"/>
                <w:lang w:val="en-IE" w:eastAsia="en-GB"/>
              </w:rPr>
              <w:t>Commission Decisions from which the Commission agreed to derogate :</w:t>
            </w:r>
          </w:p>
          <w:p>
            <w:pPr>
              <w:pStyle w:val="ListParagraph"/>
              <w:numPr>
                <w:ilvl w:val="0"/>
                <w:numId w:val="10"/>
              </w:numPr>
              <w:spacing w:after="0" w:line="240" w:lineRule="auto"/>
              <w:rPr>
                <w:rFonts w:ascii="Calibri" w:eastAsia="Times New Roman" w:hAnsi="Calibri" w:cs="Calibri"/>
                <w:noProof/>
                <w:color w:val="000000"/>
                <w:sz w:val="24"/>
                <w:szCs w:val="24"/>
                <w:lang w:val="en-IE" w:eastAsia="en-GB"/>
              </w:rPr>
            </w:pPr>
            <w:r>
              <w:rPr>
                <w:rFonts w:ascii="Calibri" w:eastAsia="Times New Roman" w:hAnsi="Calibri" w:cs="Calibri"/>
                <w:noProof/>
                <w:color w:val="000000"/>
                <w:sz w:val="24"/>
                <w:szCs w:val="24"/>
                <w:lang w:val="en-IE" w:eastAsia="en-GB"/>
              </w:rPr>
              <w:t>by ex-ante agreement to a model decision)</w:t>
            </w:r>
            <w:r>
              <w:rPr>
                <w:rStyle w:val="FootnoteReference"/>
                <w:rFonts w:ascii="Calibri" w:hAnsi="Calibri" w:cs="Calibri"/>
                <w:noProof/>
                <w:color w:val="000000"/>
                <w:lang w:val="en-IE" w:eastAsia="en-GB"/>
              </w:rPr>
              <w:footnoteReference w:id="59"/>
            </w:r>
          </w:p>
          <w:p>
            <w:pPr>
              <w:pStyle w:val="ListParagraph"/>
              <w:numPr>
                <w:ilvl w:val="0"/>
                <w:numId w:val="11"/>
              </w:numPr>
              <w:spacing w:after="0" w:line="240" w:lineRule="auto"/>
              <w:ind w:left="1357"/>
              <w:rPr>
                <w:rFonts w:ascii="Calibri" w:eastAsia="Times New Roman" w:hAnsi="Calibri" w:cs="Calibri"/>
                <w:noProof/>
                <w:color w:val="000000"/>
                <w:sz w:val="24"/>
                <w:szCs w:val="24"/>
                <w:lang w:val="en-IE" w:eastAsia="en-GB"/>
              </w:rPr>
            </w:pPr>
            <w:r>
              <w:rPr>
                <w:rFonts w:ascii="Calibri" w:eastAsia="Times New Roman" w:hAnsi="Calibri" w:cs="Calibri"/>
                <w:noProof/>
                <w:color w:val="000000"/>
                <w:sz w:val="24"/>
                <w:szCs w:val="24"/>
                <w:lang w:val="en-IE" w:eastAsia="en-GB"/>
              </w:rPr>
              <w:t>Opt-out</w:t>
            </w:r>
          </w:p>
          <w:p>
            <w:pPr>
              <w:pStyle w:val="ListParagraph"/>
              <w:numPr>
                <w:ilvl w:val="0"/>
                <w:numId w:val="11"/>
              </w:numPr>
              <w:spacing w:after="0" w:line="240" w:lineRule="auto"/>
              <w:ind w:left="1357"/>
              <w:rPr>
                <w:rFonts w:ascii="Calibri" w:eastAsia="Times New Roman" w:hAnsi="Calibri" w:cs="Calibri"/>
                <w:noProof/>
                <w:color w:val="000000"/>
                <w:sz w:val="24"/>
                <w:szCs w:val="24"/>
                <w:lang w:val="en-IE" w:eastAsia="en-GB"/>
              </w:rPr>
            </w:pPr>
            <w:r>
              <w:rPr>
                <w:rFonts w:ascii="Calibri" w:eastAsia="Times New Roman" w:hAnsi="Calibri" w:cs="Calibri"/>
                <w:noProof/>
                <w:color w:val="000000"/>
                <w:sz w:val="24"/>
                <w:szCs w:val="24"/>
                <w:lang w:val="en-IE" w:eastAsia="en-GB"/>
              </w:rPr>
              <w:t>Different rules</w:t>
            </w:r>
          </w:p>
          <w:p>
            <w:pPr>
              <w:pStyle w:val="ListParagraph"/>
              <w:numPr>
                <w:ilvl w:val="0"/>
                <w:numId w:val="10"/>
              </w:numPr>
              <w:spacing w:after="0" w:line="240" w:lineRule="auto"/>
              <w:rPr>
                <w:rFonts w:ascii="Calibri" w:eastAsia="Times New Roman" w:hAnsi="Calibri" w:cs="Calibri"/>
                <w:noProof/>
                <w:color w:val="000000"/>
                <w:sz w:val="24"/>
                <w:szCs w:val="24"/>
                <w:lang w:val="en-IE" w:eastAsia="en-GB"/>
              </w:rPr>
            </w:pPr>
            <w:r>
              <w:rPr>
                <w:rFonts w:ascii="Calibri" w:eastAsia="Times New Roman" w:hAnsi="Calibri" w:cs="Calibri"/>
                <w:noProof/>
                <w:color w:val="000000"/>
                <w:sz w:val="24"/>
                <w:szCs w:val="24"/>
                <w:lang w:val="en-IE" w:eastAsia="en-GB"/>
              </w:rPr>
              <w:t>By individual agreement</w:t>
            </w:r>
          </w:p>
        </w:tc>
        <w:tc>
          <w:tcPr>
            <w:tcW w:w="2020" w:type="dxa"/>
            <w:tcBorders>
              <w:top w:val="single" w:sz="4" w:space="0" w:color="auto"/>
              <w:left w:val="single" w:sz="4" w:space="0" w:color="auto"/>
              <w:bottom w:val="single" w:sz="4" w:space="0" w:color="auto"/>
              <w:right w:val="single" w:sz="4" w:space="0" w:color="auto"/>
            </w:tcBorders>
            <w:shd w:val="clear" w:color="auto" w:fill="D9E1F2"/>
            <w:vAlign w:val="bottom"/>
            <w:hideMark/>
          </w:tcPr>
          <w:p>
            <w:pPr>
              <w:spacing w:after="0"/>
              <w:rPr>
                <w:rFonts w:ascii="Calibri" w:hAnsi="Calibri" w:cs="Calibri"/>
                <w:noProof/>
                <w:color w:val="000000"/>
                <w:szCs w:val="24"/>
                <w:lang w:val="en-IE" w:eastAsia="en-GB"/>
              </w:rPr>
            </w:pPr>
          </w:p>
          <w:p>
            <w:pPr>
              <w:spacing w:after="0"/>
              <w:jc w:val="right"/>
              <w:rPr>
                <w:rFonts w:ascii="Calibri" w:hAnsi="Calibri" w:cs="Calibri"/>
                <w:noProof/>
                <w:color w:val="000000"/>
                <w:szCs w:val="24"/>
                <w:lang w:val="en-IE" w:eastAsia="en-GB"/>
              </w:rPr>
            </w:pPr>
            <w:r>
              <w:rPr>
                <w:rFonts w:ascii="Calibri" w:hAnsi="Calibri" w:cs="Calibri"/>
                <w:noProof/>
                <w:color w:val="000000"/>
                <w:szCs w:val="24"/>
                <w:lang w:val="en-IE" w:eastAsia="en-GB"/>
              </w:rPr>
              <w:t>16</w:t>
            </w:r>
          </w:p>
          <w:p>
            <w:pPr>
              <w:spacing w:after="0"/>
              <w:jc w:val="right"/>
              <w:rPr>
                <w:rFonts w:ascii="Calibri" w:hAnsi="Calibri" w:cs="Calibri"/>
                <w:noProof/>
                <w:color w:val="000000"/>
                <w:szCs w:val="24"/>
                <w:lang w:val="en-IE" w:eastAsia="en-GB"/>
              </w:rPr>
            </w:pPr>
          </w:p>
          <w:p>
            <w:pPr>
              <w:spacing w:after="0"/>
              <w:jc w:val="right"/>
              <w:rPr>
                <w:rFonts w:ascii="Calibri" w:hAnsi="Calibri" w:cs="Calibri"/>
                <w:noProof/>
                <w:color w:val="000000"/>
                <w:szCs w:val="24"/>
                <w:lang w:val="en-IE" w:eastAsia="en-GB"/>
              </w:rPr>
            </w:pPr>
          </w:p>
          <w:p>
            <w:pPr>
              <w:spacing w:after="0"/>
              <w:jc w:val="right"/>
              <w:rPr>
                <w:rFonts w:ascii="Calibri" w:hAnsi="Calibri" w:cs="Calibri"/>
                <w:noProof/>
                <w:color w:val="000000"/>
                <w:szCs w:val="24"/>
                <w:lang w:val="en-IE" w:eastAsia="en-GB"/>
              </w:rPr>
            </w:pPr>
            <w:r>
              <w:rPr>
                <w:rFonts w:ascii="Calibri" w:hAnsi="Calibri" w:cs="Calibri"/>
                <w:noProof/>
                <w:color w:val="000000"/>
                <w:szCs w:val="24"/>
                <w:lang w:val="en-IE" w:eastAsia="en-GB"/>
              </w:rPr>
              <w:t>6</w:t>
            </w:r>
          </w:p>
        </w:tc>
      </w:tr>
    </w:tbl>
    <w:p>
      <w:pPr>
        <w:rPr>
          <w:noProof/>
          <w:lang w:val="en-IE"/>
        </w:rPr>
      </w:pPr>
    </w:p>
    <w:p>
      <w:pPr>
        <w:rPr>
          <w:b/>
          <w:noProof/>
          <w:lang w:val="en-IE"/>
        </w:rPr>
      </w:pPr>
      <w:r>
        <w:rPr>
          <w:b/>
          <w:noProof/>
          <w:lang w:val="en-IE"/>
        </w:rPr>
        <w:t>Annex 19: Commissions agreements to adopt rules on subjects other than those covered by the rules notified by the Commission</w:t>
      </w:r>
    </w:p>
    <w:tbl>
      <w:tblPr>
        <w:tblW w:w="6380" w:type="dxa"/>
        <w:tblInd w:w="780" w:type="dxa"/>
        <w:tblLook w:val="04A0" w:firstRow="1" w:lastRow="0" w:firstColumn="1" w:lastColumn="0" w:noHBand="0" w:noVBand="1"/>
      </w:tblPr>
      <w:tblGrid>
        <w:gridCol w:w="4360"/>
        <w:gridCol w:w="2020"/>
      </w:tblGrid>
      <w:tr>
        <w:trPr>
          <w:trHeight w:val="315"/>
        </w:trPr>
        <w:tc>
          <w:tcPr>
            <w:tcW w:w="4360" w:type="dxa"/>
            <w:tcBorders>
              <w:top w:val="single" w:sz="4" w:space="0" w:color="70AD47" w:themeColor="accent6"/>
              <w:left w:val="single" w:sz="4" w:space="0" w:color="70AD47" w:themeColor="accent6"/>
              <w:bottom w:val="nil"/>
              <w:right w:val="nil"/>
            </w:tcBorders>
            <w:shd w:val="clear" w:color="auto" w:fill="70AD47" w:themeFill="accent6"/>
            <w:vAlign w:val="bottom"/>
            <w:hideMark/>
          </w:tcPr>
          <w:p>
            <w:pPr>
              <w:spacing w:after="0"/>
              <w:rPr>
                <w:rFonts w:ascii="Calibri" w:hAnsi="Calibri" w:cs="Calibri"/>
                <w:b/>
                <w:bCs/>
                <w:noProof/>
                <w:color w:val="FFFFFF"/>
                <w:szCs w:val="24"/>
                <w:lang w:val="en-IE" w:eastAsia="en-GB"/>
              </w:rPr>
            </w:pPr>
            <w:r>
              <w:rPr>
                <w:rFonts w:ascii="Calibri" w:hAnsi="Calibri" w:cs="Calibri"/>
                <w:b/>
                <w:bCs/>
                <w:noProof/>
                <w:color w:val="FFFFFF"/>
                <w:szCs w:val="24"/>
                <w:lang w:val="en-IE" w:eastAsia="en-GB"/>
              </w:rPr>
              <w:t xml:space="preserve">Rules on other subjects </w:t>
            </w:r>
          </w:p>
        </w:tc>
        <w:tc>
          <w:tcPr>
            <w:tcW w:w="2020" w:type="dxa"/>
            <w:tcBorders>
              <w:top w:val="single" w:sz="4" w:space="0" w:color="70AD47" w:themeColor="accent6"/>
              <w:left w:val="nil"/>
              <w:bottom w:val="nil"/>
              <w:right w:val="single" w:sz="4" w:space="0" w:color="auto"/>
            </w:tcBorders>
            <w:shd w:val="clear" w:color="auto" w:fill="70AD47" w:themeFill="accent6"/>
            <w:vAlign w:val="bottom"/>
            <w:hideMark/>
          </w:tcPr>
          <w:p>
            <w:pPr>
              <w:spacing w:after="0"/>
              <w:rPr>
                <w:rFonts w:ascii="Calibri" w:hAnsi="Calibri" w:cs="Calibri"/>
                <w:b/>
                <w:bCs/>
                <w:noProof/>
                <w:color w:val="FFFFFF"/>
                <w:szCs w:val="24"/>
                <w:lang w:val="en-IE" w:eastAsia="en-GB"/>
              </w:rPr>
            </w:pPr>
            <w:r>
              <w:rPr>
                <w:rFonts w:ascii="Calibri" w:hAnsi="Calibri" w:cs="Calibri"/>
                <w:b/>
                <w:bCs/>
                <w:noProof/>
                <w:color w:val="FFFFFF"/>
                <w:szCs w:val="24"/>
                <w:lang w:val="en-IE" w:eastAsia="en-GB"/>
              </w:rPr>
              <w:t>Number</w:t>
            </w:r>
          </w:p>
        </w:tc>
      </w:tr>
      <w:tr>
        <w:trPr>
          <w:trHeight w:val="945"/>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lang w:val="en-IE" w:eastAsia="en-GB"/>
              </w:rPr>
            </w:pPr>
            <w:r>
              <w:rPr>
                <w:rFonts w:ascii="Calibri" w:hAnsi="Calibri" w:cs="Calibri"/>
                <w:noProof/>
                <w:color w:val="000000"/>
                <w:szCs w:val="24"/>
                <w:lang w:val="en-IE" w:eastAsia="en-GB"/>
              </w:rPr>
              <w:t>Ex ante agreements to model decisions on subjects other than those covered by the rules notified by the Commission</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lang w:val="en-IE" w:eastAsia="en-GB"/>
              </w:rPr>
            </w:pPr>
            <w:r>
              <w:rPr>
                <w:rFonts w:ascii="Calibri" w:hAnsi="Calibri" w:cs="Calibri"/>
                <w:noProof/>
                <w:color w:val="000000"/>
                <w:szCs w:val="24"/>
                <w:lang w:val="en-IE" w:eastAsia="en-GB"/>
              </w:rPr>
              <w:t>9</w:t>
            </w:r>
          </w:p>
        </w:tc>
      </w:tr>
      <w:tr>
        <w:trPr>
          <w:trHeight w:val="63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rPr>
                <w:rFonts w:ascii="Calibri" w:hAnsi="Calibri" w:cs="Calibri"/>
                <w:noProof/>
                <w:color w:val="000000"/>
                <w:szCs w:val="24"/>
                <w:lang w:val="en-IE" w:eastAsia="en-GB"/>
              </w:rPr>
            </w:pPr>
            <w:r>
              <w:rPr>
                <w:rFonts w:ascii="Calibri" w:hAnsi="Calibri" w:cs="Calibri"/>
                <w:noProof/>
                <w:color w:val="000000"/>
                <w:szCs w:val="24"/>
                <w:lang w:val="en-IE" w:eastAsia="en-GB"/>
              </w:rPr>
              <w:t xml:space="preserve">Individual agreements to agencies' individual requests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after="0"/>
              <w:jc w:val="right"/>
              <w:rPr>
                <w:rFonts w:ascii="Calibri" w:hAnsi="Calibri" w:cs="Calibri"/>
                <w:noProof/>
                <w:color w:val="000000"/>
                <w:szCs w:val="24"/>
                <w:lang w:val="en-IE" w:eastAsia="en-GB"/>
              </w:rPr>
            </w:pPr>
            <w:r>
              <w:rPr>
                <w:rFonts w:ascii="Calibri" w:hAnsi="Calibri" w:cs="Calibri"/>
                <w:noProof/>
                <w:color w:val="000000"/>
                <w:lang w:val="en-IE" w:eastAsia="en-GB"/>
              </w:rPr>
              <w:t>48</w:t>
            </w:r>
            <w:r>
              <w:rPr>
                <w:rStyle w:val="FootnoteReference"/>
                <w:rFonts w:ascii="Calibri" w:hAnsi="Calibri" w:cs="Calibri"/>
                <w:noProof/>
                <w:color w:val="000000"/>
                <w:lang w:val="en-IE" w:eastAsia="en-GB"/>
              </w:rPr>
              <w:footnoteReference w:id="60"/>
            </w:r>
          </w:p>
        </w:tc>
      </w:tr>
    </w:tbl>
    <w:p>
      <w:pPr>
        <w:rPr>
          <w:b/>
          <w:noProof/>
          <w:lang w:val="en-IE"/>
        </w:rPr>
      </w:pPr>
    </w:p>
    <w:p>
      <w:pPr>
        <w:rPr>
          <w:b/>
          <w:noProof/>
          <w:lang w:val="en-IE"/>
        </w:rPr>
      </w:pPr>
    </w:p>
    <w:p>
      <w:pPr>
        <w:rPr>
          <w:b/>
          <w:noProof/>
          <w:lang w:val="en-IE"/>
        </w:rPr>
      </w:pPr>
    </w:p>
    <w:p>
      <w:pPr>
        <w:rPr>
          <w:b/>
          <w:noProof/>
          <w:lang w:val="en-IE"/>
        </w:rPr>
      </w:pPr>
    </w:p>
    <w:p>
      <w:pPr>
        <w:rPr>
          <w:b/>
          <w:noProof/>
          <w:lang w:val="en-IE"/>
        </w:rPr>
      </w:pPr>
    </w:p>
    <w:p>
      <w:pPr>
        <w:rPr>
          <w:b/>
          <w:noProof/>
          <w:lang w:val="en-IE"/>
        </w:rPr>
      </w:pPr>
      <w:r>
        <w:rPr>
          <w:b/>
          <w:noProof/>
          <w:lang w:val="en-IE"/>
        </w:rPr>
        <w:t xml:space="preserve">Annex 20: Meetings with staff representatives </w:t>
      </w:r>
    </w:p>
    <w:p>
      <w:pPr>
        <w:rPr>
          <w:b/>
          <w:noProof/>
          <w:lang w:val="en-IE"/>
        </w:rPr>
      </w:pPr>
      <w:r>
        <w:rPr>
          <w:noProof/>
          <w:lang w:eastAsia="en-GB"/>
        </w:rPr>
        <w:drawing>
          <wp:inline distT="0" distB="0" distL="0" distR="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rPr>
          <w:b/>
          <w:noProof/>
          <w:lang w:val="en-IE"/>
        </w:rPr>
      </w:pPr>
    </w:p>
    <w:p>
      <w:pPr>
        <w:rPr>
          <w:b/>
          <w:noProof/>
          <w:lang w:val="en-IE"/>
        </w:rPr>
      </w:pPr>
      <w:r>
        <w:rPr>
          <w:b/>
          <w:noProof/>
          <w:lang w:val="en-IE"/>
        </w:rPr>
        <w:t>Annex 21: Meetings of the Staff Regulations Committee</w:t>
      </w:r>
    </w:p>
    <w:p>
      <w:pPr>
        <w:rPr>
          <w:b/>
          <w:noProof/>
          <w:lang w:val="en-IE"/>
        </w:rPr>
      </w:pPr>
      <w:r>
        <w:rPr>
          <w:b/>
          <w:noProof/>
          <w:lang w:eastAsia="en-GB"/>
        </w:rPr>
        <w:drawing>
          <wp:inline distT="0" distB="0" distL="0" distR="0">
            <wp:extent cx="4572000" cy="2990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spacing w:after="160" w:line="259" w:lineRule="auto"/>
        <w:jc w:val="left"/>
        <w:rPr>
          <w:b/>
          <w:noProof/>
          <w:lang w:val="en-IE"/>
        </w:rPr>
      </w:pPr>
      <w:r>
        <w:rPr>
          <w:b/>
          <w:noProof/>
          <w:lang w:val="en-IE"/>
        </w:rPr>
        <w:br w:type="page"/>
      </w:r>
    </w:p>
    <w:p>
      <w:pPr>
        <w:rPr>
          <w:b/>
          <w:noProof/>
          <w:lang w:val="en-IE"/>
        </w:rPr>
        <w:sectPr>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pPr>
        <w:rPr>
          <w:b/>
          <w:noProof/>
          <w:lang w:val="en-IE"/>
        </w:rPr>
      </w:pPr>
    </w:p>
    <w:p>
      <w:pPr>
        <w:rPr>
          <w:b/>
          <w:noProof/>
          <w:lang w:val="en-IE"/>
        </w:rPr>
      </w:pPr>
      <w:r>
        <w:rPr>
          <w:b/>
          <w:noProof/>
          <w:lang w:val="en-IE"/>
        </w:rPr>
        <w:t>Annex 22: Judicial review</w:t>
      </w:r>
    </w:p>
    <w:p>
      <w:pPr>
        <w:spacing w:after="0"/>
        <w:textAlignment w:val="baseline"/>
        <w:rPr>
          <w:b/>
          <w:bCs/>
          <w:noProof/>
          <w:szCs w:val="24"/>
          <w:lang w:val="en-IE"/>
        </w:rPr>
      </w:pPr>
    </w:p>
    <w:tbl>
      <w:tblPr>
        <w:tblStyle w:val="TableGrid"/>
        <w:tblW w:w="14935" w:type="dxa"/>
        <w:jc w:val="center"/>
        <w:tblLook w:val="04A0" w:firstRow="1" w:lastRow="0" w:firstColumn="1" w:lastColumn="0" w:noHBand="0" w:noVBand="1"/>
      </w:tblPr>
      <w:tblGrid>
        <w:gridCol w:w="1777"/>
        <w:gridCol w:w="1544"/>
        <w:gridCol w:w="1582"/>
        <w:gridCol w:w="1935"/>
        <w:gridCol w:w="2037"/>
        <w:gridCol w:w="6060"/>
      </w:tblGrid>
      <w:tr>
        <w:trPr>
          <w:trHeight w:val="906"/>
          <w:jc w:val="center"/>
        </w:trPr>
        <w:tc>
          <w:tcPr>
            <w:tcW w:w="1777"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lang w:val="en-IE"/>
              </w:rPr>
            </w:pPr>
            <w:r>
              <w:rPr>
                <w:b/>
                <w:bCs/>
                <w:noProof/>
                <w:szCs w:val="24"/>
                <w:lang w:val="en-IE"/>
              </w:rPr>
              <w:t>Topic</w:t>
            </w:r>
          </w:p>
        </w:tc>
        <w:tc>
          <w:tcPr>
            <w:tcW w:w="1544"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lang w:val="en-IE"/>
              </w:rPr>
            </w:pPr>
            <w:r>
              <w:rPr>
                <w:b/>
                <w:bCs/>
                <w:noProof/>
                <w:szCs w:val="24"/>
                <w:lang w:val="en-IE"/>
              </w:rPr>
              <w:t>Date</w:t>
            </w:r>
          </w:p>
        </w:tc>
        <w:tc>
          <w:tcPr>
            <w:tcW w:w="3517" w:type="dxa"/>
            <w:gridSpan w:val="2"/>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lang w:val="en-IE"/>
              </w:rPr>
            </w:pPr>
            <w:r>
              <w:rPr>
                <w:b/>
                <w:bCs/>
                <w:noProof/>
                <w:szCs w:val="24"/>
                <w:lang w:val="en-IE"/>
              </w:rPr>
              <w:t>Reference</w:t>
            </w:r>
          </w:p>
        </w:tc>
        <w:tc>
          <w:tcPr>
            <w:tcW w:w="2037"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lang w:val="en-IE"/>
              </w:rPr>
            </w:pPr>
            <w:r>
              <w:rPr>
                <w:b/>
                <w:bCs/>
                <w:noProof/>
                <w:szCs w:val="24"/>
                <w:lang w:val="en-IE"/>
              </w:rPr>
              <w:t>Result</w:t>
            </w:r>
          </w:p>
        </w:tc>
        <w:tc>
          <w:tcPr>
            <w:tcW w:w="6060" w:type="dxa"/>
            <w:tcBorders>
              <w:top w:val="single" w:sz="12" w:space="0" w:color="auto"/>
              <w:left w:val="single" w:sz="12" w:space="0" w:color="auto"/>
              <w:bottom w:val="single" w:sz="12" w:space="0" w:color="auto"/>
              <w:right w:val="single" w:sz="12" w:space="0" w:color="auto"/>
            </w:tcBorders>
            <w:vAlign w:val="center"/>
          </w:tcPr>
          <w:p>
            <w:pPr>
              <w:jc w:val="center"/>
              <w:textAlignment w:val="baseline"/>
              <w:rPr>
                <w:b/>
                <w:bCs/>
                <w:noProof/>
                <w:szCs w:val="24"/>
                <w:lang w:val="en-IE"/>
              </w:rPr>
            </w:pPr>
            <w:r>
              <w:rPr>
                <w:b/>
                <w:bCs/>
                <w:noProof/>
                <w:szCs w:val="24"/>
                <w:lang w:val="en-IE"/>
              </w:rPr>
              <w:t>Comment</w:t>
            </w:r>
          </w:p>
        </w:tc>
      </w:tr>
      <w:tr>
        <w:trPr>
          <w:trHeight w:val="1448"/>
          <w:jc w:val="center"/>
        </w:trPr>
        <w:tc>
          <w:tcPr>
            <w:tcW w:w="177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Consultation of the staff representatives</w:t>
            </w:r>
          </w:p>
        </w:tc>
        <w:tc>
          <w:tcPr>
            <w:tcW w:w="1544" w:type="dxa"/>
            <w:tcBorders>
              <w:top w:val="single" w:sz="12" w:space="0" w:color="auto"/>
            </w:tcBorders>
            <w:vAlign w:val="center"/>
          </w:tcPr>
          <w:p>
            <w:pPr>
              <w:jc w:val="center"/>
              <w:textAlignment w:val="baseline"/>
              <w:rPr>
                <w:bCs/>
                <w:noProof/>
                <w:szCs w:val="24"/>
                <w:lang w:val="en-IE"/>
              </w:rPr>
            </w:pPr>
            <w:r>
              <w:rPr>
                <w:bCs/>
                <w:noProof/>
                <w:szCs w:val="24"/>
                <w:lang w:val="en-IE"/>
              </w:rPr>
              <w:t>15/09/2016</w:t>
            </w:r>
          </w:p>
        </w:tc>
        <w:tc>
          <w:tcPr>
            <w:tcW w:w="3517" w:type="dxa"/>
            <w:gridSpan w:val="2"/>
            <w:tcBorders>
              <w:top w:val="single" w:sz="12" w:space="0" w:color="auto"/>
            </w:tcBorders>
            <w:vAlign w:val="center"/>
          </w:tcPr>
          <w:p>
            <w:pPr>
              <w:jc w:val="center"/>
              <w:textAlignment w:val="baseline"/>
              <w:rPr>
                <w:bCs/>
                <w:i/>
                <w:noProof/>
                <w:szCs w:val="24"/>
                <w:lang w:val="en-IE"/>
              </w:rPr>
            </w:pPr>
            <w:r>
              <w:rPr>
                <w:bCs/>
                <w:i/>
                <w:noProof/>
                <w:szCs w:val="24"/>
                <w:lang w:val="en-IE"/>
              </w:rPr>
              <w:t>T-17/14</w:t>
            </w:r>
          </w:p>
          <w:p>
            <w:pPr>
              <w:jc w:val="center"/>
              <w:textAlignment w:val="baseline"/>
              <w:rPr>
                <w:bCs/>
                <w:i/>
                <w:noProof/>
                <w:szCs w:val="24"/>
                <w:lang w:val="en-IE"/>
              </w:rPr>
            </w:pPr>
            <w:r>
              <w:rPr>
                <w:bCs/>
                <w:i/>
                <w:noProof/>
                <w:szCs w:val="24"/>
                <w:lang w:val="en-IE"/>
              </w:rPr>
              <w:t>U4U and others v Parliament and Council</w:t>
            </w:r>
          </w:p>
        </w:tc>
        <w:tc>
          <w:tcPr>
            <w:tcW w:w="203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Rejected</w:t>
            </w:r>
          </w:p>
        </w:tc>
        <w:tc>
          <w:tcPr>
            <w:tcW w:w="6060" w:type="dxa"/>
            <w:vMerge w:val="restart"/>
            <w:tcBorders>
              <w:top w:val="single" w:sz="12" w:space="0" w:color="auto"/>
            </w:tcBorders>
            <w:vAlign w:val="center"/>
          </w:tcPr>
          <w:p>
            <w:pPr>
              <w:textAlignment w:val="baseline"/>
              <w:rPr>
                <w:bCs/>
                <w:noProof/>
                <w:szCs w:val="24"/>
                <w:lang w:val="en-IE"/>
              </w:rPr>
            </w:pPr>
            <w:r>
              <w:rPr>
                <w:bCs/>
                <w:noProof/>
                <w:szCs w:val="24"/>
                <w:lang w:val="en-IE"/>
              </w:rPr>
              <w:t>Staff representatives brought direct actions against Regulation 1023/2013, which were mainly based on an alleged breach of the rules on social dialogue in the context of the negotiations on the reform of the Staff Regulations.</w:t>
            </w:r>
          </w:p>
          <w:p>
            <w:pPr>
              <w:textAlignment w:val="baseline"/>
              <w:rPr>
                <w:bCs/>
                <w:noProof/>
                <w:szCs w:val="24"/>
                <w:lang w:val="en-IE"/>
              </w:rPr>
            </w:pPr>
            <w:r>
              <w:rPr>
                <w:bCs/>
                <w:noProof/>
                <w:szCs w:val="24"/>
                <w:lang w:val="en-IE"/>
              </w:rPr>
              <w:t>The Court of First Instance dismissed the actions and confirmed that the rules on consultation of the Staff Regulations Committee (Article 10 of the Staff Regulations) and on the concertation procedure provided for in the Council Decision of 23 June 1981 were respected in this case.</w:t>
            </w:r>
          </w:p>
        </w:tc>
      </w:tr>
      <w:tr>
        <w:trPr>
          <w:trHeight w:val="1447"/>
          <w:jc w:val="center"/>
        </w:trPr>
        <w:tc>
          <w:tcPr>
            <w:tcW w:w="1777" w:type="dxa"/>
            <w:vMerge/>
            <w:vAlign w:val="center"/>
          </w:tcPr>
          <w:p>
            <w:pPr>
              <w:jc w:val="center"/>
              <w:textAlignment w:val="baseline"/>
              <w:rPr>
                <w:b/>
                <w:bCs/>
                <w:noProof/>
                <w:szCs w:val="24"/>
                <w:lang w:val="en-IE"/>
              </w:rPr>
            </w:pPr>
          </w:p>
        </w:tc>
        <w:tc>
          <w:tcPr>
            <w:tcW w:w="1544" w:type="dxa"/>
            <w:tcBorders>
              <w:bottom w:val="single" w:sz="12" w:space="0" w:color="auto"/>
            </w:tcBorders>
            <w:vAlign w:val="center"/>
          </w:tcPr>
          <w:p>
            <w:pPr>
              <w:jc w:val="center"/>
              <w:textAlignment w:val="baseline"/>
              <w:rPr>
                <w:bCs/>
                <w:noProof/>
                <w:szCs w:val="24"/>
                <w:lang w:val="en-IE"/>
              </w:rPr>
            </w:pPr>
            <w:r>
              <w:rPr>
                <w:bCs/>
                <w:noProof/>
                <w:szCs w:val="24"/>
                <w:lang w:val="en-IE"/>
              </w:rPr>
              <w:t>16/11/2017</w:t>
            </w:r>
          </w:p>
        </w:tc>
        <w:tc>
          <w:tcPr>
            <w:tcW w:w="3517" w:type="dxa"/>
            <w:gridSpan w:val="2"/>
            <w:tcBorders>
              <w:top w:val="single" w:sz="4" w:space="0" w:color="auto"/>
              <w:bottom w:val="single" w:sz="12" w:space="0" w:color="auto"/>
            </w:tcBorders>
            <w:vAlign w:val="center"/>
          </w:tcPr>
          <w:p>
            <w:pPr>
              <w:jc w:val="center"/>
              <w:textAlignment w:val="baseline"/>
              <w:rPr>
                <w:bCs/>
                <w:i/>
                <w:noProof/>
                <w:szCs w:val="24"/>
                <w:lang w:val="en-IE"/>
              </w:rPr>
            </w:pPr>
            <w:r>
              <w:rPr>
                <w:bCs/>
                <w:i/>
                <w:noProof/>
                <w:szCs w:val="24"/>
                <w:lang w:val="en-IE"/>
              </w:rPr>
              <w:t xml:space="preserve">T-75/14 </w:t>
            </w:r>
          </w:p>
          <w:p>
            <w:pPr>
              <w:jc w:val="center"/>
              <w:textAlignment w:val="baseline"/>
              <w:rPr>
                <w:bCs/>
                <w:i/>
                <w:noProof/>
                <w:szCs w:val="24"/>
                <w:lang w:val="en-IE"/>
              </w:rPr>
            </w:pPr>
            <w:r>
              <w:rPr>
                <w:bCs/>
                <w:i/>
                <w:noProof/>
                <w:szCs w:val="24"/>
                <w:lang w:val="en-IE"/>
              </w:rPr>
              <w:t>USFSPEI v Parliament and Council</w:t>
            </w:r>
          </w:p>
        </w:tc>
        <w:tc>
          <w:tcPr>
            <w:tcW w:w="2037" w:type="dxa"/>
            <w:vMerge/>
            <w:vAlign w:val="center"/>
          </w:tcPr>
          <w:p>
            <w:pPr>
              <w:jc w:val="center"/>
              <w:textAlignment w:val="baseline"/>
              <w:rPr>
                <w:b/>
                <w:bCs/>
                <w:noProof/>
                <w:szCs w:val="24"/>
                <w:lang w:val="en-IE"/>
              </w:rPr>
            </w:pPr>
          </w:p>
        </w:tc>
        <w:tc>
          <w:tcPr>
            <w:tcW w:w="6060" w:type="dxa"/>
            <w:vMerge/>
            <w:vAlign w:val="center"/>
          </w:tcPr>
          <w:p>
            <w:pPr>
              <w:textAlignment w:val="baseline"/>
              <w:rPr>
                <w:bCs/>
                <w:noProof/>
                <w:szCs w:val="24"/>
                <w:lang w:val="en-IE"/>
              </w:rPr>
            </w:pPr>
          </w:p>
        </w:tc>
      </w:tr>
      <w:tr>
        <w:trPr>
          <w:trHeight w:val="538"/>
          <w:jc w:val="center"/>
        </w:trPr>
        <w:tc>
          <w:tcPr>
            <w:tcW w:w="1777" w:type="dxa"/>
            <w:tcBorders>
              <w:top w:val="single" w:sz="12" w:space="0" w:color="auto"/>
              <w:bottom w:val="single" w:sz="12" w:space="0" w:color="auto"/>
            </w:tcBorders>
            <w:vAlign w:val="center"/>
          </w:tcPr>
          <w:p>
            <w:pPr>
              <w:jc w:val="center"/>
              <w:textAlignment w:val="baseline"/>
              <w:rPr>
                <w:b/>
                <w:bCs/>
                <w:noProof/>
                <w:szCs w:val="24"/>
                <w:lang w:val="en-IE"/>
              </w:rPr>
            </w:pPr>
            <w:r>
              <w:rPr>
                <w:b/>
                <w:bCs/>
                <w:noProof/>
                <w:szCs w:val="24"/>
                <w:lang w:val="en-IE"/>
              </w:rPr>
              <w:t>Leave in the interest of the service</w:t>
            </w:r>
          </w:p>
        </w:tc>
        <w:tc>
          <w:tcPr>
            <w:tcW w:w="1544" w:type="dxa"/>
            <w:tcBorders>
              <w:top w:val="single" w:sz="12" w:space="0" w:color="auto"/>
              <w:bottom w:val="single" w:sz="12" w:space="0" w:color="auto"/>
            </w:tcBorders>
            <w:vAlign w:val="center"/>
          </w:tcPr>
          <w:p>
            <w:pPr>
              <w:jc w:val="center"/>
              <w:textAlignment w:val="baseline"/>
              <w:rPr>
                <w:bCs/>
                <w:noProof/>
                <w:szCs w:val="24"/>
                <w:lang w:val="en-IE"/>
              </w:rPr>
            </w:pPr>
            <w:r>
              <w:rPr>
                <w:bCs/>
                <w:noProof/>
                <w:szCs w:val="24"/>
                <w:lang w:val="en-IE"/>
              </w:rPr>
              <w:t>08/05/2019</w:t>
            </w:r>
          </w:p>
        </w:tc>
        <w:tc>
          <w:tcPr>
            <w:tcW w:w="3517" w:type="dxa"/>
            <w:gridSpan w:val="2"/>
            <w:tcBorders>
              <w:top w:val="single" w:sz="12" w:space="0" w:color="auto"/>
              <w:bottom w:val="single" w:sz="12" w:space="0" w:color="auto"/>
            </w:tcBorders>
            <w:vAlign w:val="center"/>
          </w:tcPr>
          <w:p>
            <w:pPr>
              <w:jc w:val="center"/>
              <w:textAlignment w:val="baseline"/>
              <w:rPr>
                <w:bCs/>
                <w:i/>
                <w:noProof/>
                <w:szCs w:val="24"/>
                <w:lang w:val="en-IE"/>
              </w:rPr>
            </w:pPr>
            <w:r>
              <w:rPr>
                <w:bCs/>
                <w:i/>
                <w:noProof/>
                <w:szCs w:val="24"/>
                <w:lang w:val="en-IE"/>
              </w:rPr>
              <w:t xml:space="preserve">T-170/17 </w:t>
            </w:r>
          </w:p>
          <w:p>
            <w:pPr>
              <w:jc w:val="center"/>
              <w:textAlignment w:val="baseline"/>
              <w:rPr>
                <w:bCs/>
                <w:i/>
                <w:noProof/>
                <w:szCs w:val="24"/>
                <w:lang w:val="en-IE"/>
              </w:rPr>
            </w:pPr>
            <w:r>
              <w:rPr>
                <w:bCs/>
                <w:i/>
                <w:noProof/>
                <w:szCs w:val="24"/>
                <w:lang w:val="en-IE"/>
              </w:rPr>
              <w:t>RW v Commission</w:t>
            </w:r>
          </w:p>
        </w:tc>
        <w:tc>
          <w:tcPr>
            <w:tcW w:w="2037" w:type="dxa"/>
            <w:tcBorders>
              <w:top w:val="single" w:sz="12" w:space="0" w:color="auto"/>
              <w:bottom w:val="single" w:sz="12" w:space="0" w:color="auto"/>
            </w:tcBorders>
            <w:vAlign w:val="center"/>
          </w:tcPr>
          <w:p>
            <w:pPr>
              <w:jc w:val="center"/>
              <w:textAlignment w:val="baseline"/>
              <w:rPr>
                <w:b/>
                <w:bCs/>
                <w:noProof/>
                <w:szCs w:val="24"/>
                <w:lang w:val="en-IE"/>
              </w:rPr>
            </w:pPr>
            <w:r>
              <w:rPr>
                <w:b/>
                <w:bCs/>
                <w:noProof/>
                <w:szCs w:val="24"/>
                <w:lang w:val="en-IE"/>
              </w:rPr>
              <w:t>Upheld</w:t>
            </w:r>
          </w:p>
        </w:tc>
        <w:tc>
          <w:tcPr>
            <w:tcW w:w="6060" w:type="dxa"/>
            <w:tcBorders>
              <w:top w:val="single" w:sz="12" w:space="0" w:color="auto"/>
              <w:bottom w:val="single" w:sz="12" w:space="0" w:color="auto"/>
            </w:tcBorders>
            <w:vAlign w:val="center"/>
          </w:tcPr>
          <w:p>
            <w:pPr>
              <w:textAlignment w:val="baseline"/>
              <w:rPr>
                <w:bCs/>
                <w:noProof/>
                <w:szCs w:val="24"/>
                <w:lang w:val="en-IE"/>
              </w:rPr>
            </w:pPr>
            <w:r>
              <w:rPr>
                <w:bCs/>
                <w:noProof/>
                <w:szCs w:val="24"/>
                <w:lang w:val="en-IE"/>
              </w:rPr>
              <w:t xml:space="preserve">The appointing authority had placed the applicant on leave in the interests of the service. At the same time - because he had reached the pensionable age - he was compulsorily retired. </w:t>
            </w:r>
          </w:p>
          <w:p>
            <w:pPr>
              <w:textAlignment w:val="baseline"/>
              <w:rPr>
                <w:noProof/>
                <w:lang w:val="en-IE"/>
              </w:rPr>
            </w:pPr>
            <w:r>
              <w:rPr>
                <w:noProof/>
                <w:lang w:val="en-IE"/>
              </w:rPr>
              <w:t>The Court quashed the Commission’s decision on the grounds that Art. 42, paragraph c of the Staff Regulations is not applicable to staff who have already reached the pensionable age. More in particular, the Court concluded that, if the leave in the interest of the service must have a certain duration, it is not possible in one single decision to place an official on leave in the interests of the service and at the same time to compulsorily retire him or her.</w:t>
            </w:r>
          </w:p>
        </w:tc>
      </w:tr>
      <w:tr>
        <w:trPr>
          <w:trHeight w:val="1105"/>
          <w:jc w:val="center"/>
        </w:trPr>
        <w:tc>
          <w:tcPr>
            <w:tcW w:w="1777" w:type="dxa"/>
            <w:vMerge w:val="restart"/>
            <w:tcBorders>
              <w:top w:val="single" w:sz="12" w:space="0" w:color="auto"/>
            </w:tcBorders>
            <w:vAlign w:val="center"/>
          </w:tcPr>
          <w:p>
            <w:pPr>
              <w:jc w:val="center"/>
              <w:textAlignment w:val="baseline"/>
              <w:rPr>
                <w:noProof/>
                <w:szCs w:val="24"/>
                <w:lang w:val="en-IE"/>
              </w:rPr>
            </w:pPr>
            <w:r>
              <w:rPr>
                <w:b/>
                <w:bCs/>
                <w:noProof/>
                <w:szCs w:val="24"/>
                <w:lang w:val="en-IE"/>
              </w:rPr>
              <w:t>Limitations on careers</w:t>
            </w:r>
          </w:p>
        </w:tc>
        <w:tc>
          <w:tcPr>
            <w:tcW w:w="1544" w:type="dxa"/>
            <w:vMerge w:val="restart"/>
            <w:tcBorders>
              <w:top w:val="single" w:sz="12" w:space="0" w:color="auto"/>
            </w:tcBorders>
            <w:vAlign w:val="center"/>
          </w:tcPr>
          <w:p>
            <w:pPr>
              <w:jc w:val="center"/>
              <w:textAlignment w:val="baseline"/>
              <w:rPr>
                <w:bCs/>
                <w:noProof/>
                <w:szCs w:val="24"/>
                <w:lang w:val="en-IE"/>
              </w:rPr>
            </w:pPr>
            <w:r>
              <w:rPr>
                <w:bCs/>
                <w:noProof/>
                <w:szCs w:val="24"/>
                <w:lang w:val="en-IE"/>
              </w:rPr>
              <w:t>14/12/2018</w:t>
            </w:r>
          </w:p>
          <w:p>
            <w:pPr>
              <w:jc w:val="center"/>
              <w:textAlignment w:val="baseline"/>
              <w:rPr>
                <w:b/>
                <w:bCs/>
                <w:noProof/>
                <w:szCs w:val="24"/>
                <w:lang w:val="en-IE"/>
              </w:rPr>
            </w:pPr>
          </w:p>
        </w:tc>
        <w:tc>
          <w:tcPr>
            <w:tcW w:w="3517" w:type="dxa"/>
            <w:gridSpan w:val="2"/>
            <w:tcBorders>
              <w:top w:val="single" w:sz="12" w:space="0" w:color="auto"/>
            </w:tcBorders>
            <w:vAlign w:val="center"/>
          </w:tcPr>
          <w:p>
            <w:pPr>
              <w:jc w:val="center"/>
              <w:textAlignment w:val="baseline"/>
              <w:rPr>
                <w:bCs/>
                <w:i/>
                <w:noProof/>
                <w:szCs w:val="24"/>
                <w:lang w:val="fr-BE"/>
              </w:rPr>
            </w:pPr>
            <w:r>
              <w:rPr>
                <w:bCs/>
                <w:i/>
                <w:noProof/>
                <w:szCs w:val="24"/>
                <w:lang w:val="fr-BE"/>
              </w:rPr>
              <w:t>T-525/16</w:t>
            </w:r>
          </w:p>
          <w:p>
            <w:pPr>
              <w:jc w:val="center"/>
              <w:textAlignment w:val="baseline"/>
              <w:rPr>
                <w:i/>
                <w:noProof/>
                <w:szCs w:val="24"/>
                <w:lang w:val="fr-BE"/>
              </w:rPr>
            </w:pPr>
            <w:r>
              <w:rPr>
                <w:i/>
                <w:noProof/>
                <w:szCs w:val="24"/>
                <w:lang w:val="fr-BE"/>
              </w:rPr>
              <w:t>GQ a.o. / Commission</w:t>
            </w:r>
          </w:p>
        </w:tc>
        <w:tc>
          <w:tcPr>
            <w:tcW w:w="203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Rejected</w:t>
            </w:r>
          </w:p>
        </w:tc>
        <w:tc>
          <w:tcPr>
            <w:tcW w:w="6060" w:type="dxa"/>
            <w:vMerge w:val="restart"/>
            <w:tcBorders>
              <w:top w:val="single" w:sz="12" w:space="0" w:color="auto"/>
            </w:tcBorders>
            <w:vAlign w:val="center"/>
          </w:tcPr>
          <w:p>
            <w:pPr>
              <w:textAlignment w:val="baseline"/>
              <w:rPr>
                <w:bCs/>
                <w:noProof/>
                <w:szCs w:val="24"/>
                <w:lang w:val="en-IE"/>
              </w:rPr>
            </w:pPr>
            <w:r>
              <w:rPr>
                <w:bCs/>
                <w:noProof/>
                <w:szCs w:val="24"/>
                <w:lang w:val="en-IE"/>
              </w:rPr>
              <w:t>The 2014 reform of the Staff Regulations modified the career structure by limiting promotions beyond grade AD 12 for Administrators and grade AST 9 for Assistants to those officials appointed to a post with special responsibilities, following a competitive procedure with a vacancy notice.</w:t>
            </w:r>
          </w:p>
          <w:p>
            <w:pPr>
              <w:textAlignment w:val="baseline"/>
              <w:rPr>
                <w:bCs/>
                <w:noProof/>
                <w:szCs w:val="24"/>
                <w:lang w:val="en-IE"/>
              </w:rPr>
            </w:pPr>
          </w:p>
          <w:p>
            <w:pPr>
              <w:textAlignment w:val="baseline"/>
              <w:rPr>
                <w:bCs/>
                <w:noProof/>
                <w:szCs w:val="24"/>
                <w:lang w:val="en-IE"/>
              </w:rPr>
            </w:pPr>
            <w:r>
              <w:rPr>
                <w:bCs/>
                <w:noProof/>
                <w:szCs w:val="24"/>
                <w:lang w:val="en-IE"/>
              </w:rPr>
              <w:t>In four cases, officials belonging to grades AD12 or AD13 and to grade AST9 challenged the legality of Article 45 of and Annex I to the Staff Regulations, which set up this new system. The arguments were based notably on an alleged breach of the principle of equal treatment, the protection of legitimate expectations as regards official’s career prospect and respect for acquired rights. These were all dismissed by the Court, which confirmed the legality of the statutory provisions, improving the link between responsibility and grade of staff members.</w:t>
            </w:r>
          </w:p>
        </w:tc>
      </w:tr>
      <w:tr>
        <w:trPr>
          <w:trHeight w:val="1073"/>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3517" w:type="dxa"/>
            <w:gridSpan w:val="2"/>
            <w:vAlign w:val="center"/>
          </w:tcPr>
          <w:p>
            <w:pPr>
              <w:jc w:val="center"/>
              <w:textAlignment w:val="baseline"/>
              <w:rPr>
                <w:bCs/>
                <w:i/>
                <w:noProof/>
                <w:szCs w:val="24"/>
                <w:lang w:val="fr-BE"/>
              </w:rPr>
            </w:pPr>
            <w:r>
              <w:rPr>
                <w:bCs/>
                <w:i/>
                <w:noProof/>
                <w:szCs w:val="24"/>
                <w:lang w:val="fr-BE"/>
              </w:rPr>
              <w:t>T-526/16</w:t>
            </w:r>
          </w:p>
          <w:p>
            <w:pPr>
              <w:jc w:val="center"/>
              <w:textAlignment w:val="baseline"/>
              <w:rPr>
                <w:bCs/>
                <w:i/>
                <w:noProof/>
                <w:szCs w:val="24"/>
                <w:lang w:val="fr-BE"/>
              </w:rPr>
            </w:pPr>
            <w:r>
              <w:rPr>
                <w:bCs/>
                <w:i/>
                <w:noProof/>
                <w:szCs w:val="24"/>
                <w:lang w:val="fr-BE"/>
              </w:rPr>
              <w:t>FZ a.o. / Commission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1183"/>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3517" w:type="dxa"/>
            <w:gridSpan w:val="2"/>
            <w:vAlign w:val="center"/>
          </w:tcPr>
          <w:p>
            <w:pPr>
              <w:jc w:val="center"/>
              <w:textAlignment w:val="baseline"/>
              <w:rPr>
                <w:bCs/>
                <w:i/>
                <w:noProof/>
                <w:szCs w:val="24"/>
                <w:lang w:val="en-IE"/>
              </w:rPr>
            </w:pPr>
            <w:r>
              <w:rPr>
                <w:bCs/>
                <w:i/>
                <w:noProof/>
                <w:szCs w:val="24"/>
                <w:lang w:val="en-IE"/>
              </w:rPr>
              <w:t>T-539/16</w:t>
            </w:r>
          </w:p>
          <w:p>
            <w:pPr>
              <w:jc w:val="center"/>
              <w:textAlignment w:val="baseline"/>
              <w:rPr>
                <w:bCs/>
                <w:i/>
                <w:noProof/>
                <w:szCs w:val="24"/>
                <w:lang w:val="en-IE"/>
              </w:rPr>
            </w:pPr>
            <w:r>
              <w:rPr>
                <w:bCs/>
                <w:i/>
                <w:noProof/>
                <w:szCs w:val="24"/>
                <w:lang w:val="en-IE"/>
              </w:rPr>
              <w:t>GM / Commission</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961"/>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3517" w:type="dxa"/>
            <w:gridSpan w:val="2"/>
            <w:tcBorders>
              <w:bottom w:val="single" w:sz="12" w:space="0" w:color="auto"/>
            </w:tcBorders>
            <w:vAlign w:val="center"/>
          </w:tcPr>
          <w:p>
            <w:pPr>
              <w:jc w:val="center"/>
              <w:textAlignment w:val="baseline"/>
              <w:rPr>
                <w:bCs/>
                <w:i/>
                <w:noProof/>
                <w:szCs w:val="24"/>
                <w:lang w:val="fr-BE"/>
              </w:rPr>
            </w:pPr>
            <w:r>
              <w:rPr>
                <w:bCs/>
                <w:i/>
                <w:noProof/>
                <w:szCs w:val="24"/>
                <w:lang w:val="fr-BE"/>
              </w:rPr>
              <w:t>T-540/16</w:t>
            </w:r>
          </w:p>
          <w:p>
            <w:pPr>
              <w:jc w:val="center"/>
              <w:textAlignment w:val="baseline"/>
              <w:rPr>
                <w:bCs/>
                <w:i/>
                <w:noProof/>
                <w:szCs w:val="24"/>
                <w:lang w:val="fr-BE"/>
              </w:rPr>
            </w:pPr>
            <w:r>
              <w:rPr>
                <w:bCs/>
                <w:i/>
                <w:noProof/>
                <w:szCs w:val="24"/>
                <w:lang w:val="fr-BE"/>
              </w:rPr>
              <w:t>FZ a.o. / Commission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821"/>
          <w:jc w:val="center"/>
        </w:trPr>
        <w:tc>
          <w:tcPr>
            <w:tcW w:w="177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Annual leave rights/travel allowance</w:t>
            </w:r>
          </w:p>
        </w:tc>
        <w:tc>
          <w:tcPr>
            <w:tcW w:w="1544" w:type="dxa"/>
            <w:vMerge w:val="restart"/>
            <w:tcBorders>
              <w:top w:val="single" w:sz="12" w:space="0" w:color="auto"/>
            </w:tcBorders>
            <w:vAlign w:val="center"/>
          </w:tcPr>
          <w:p>
            <w:pPr>
              <w:textAlignment w:val="baseline"/>
              <w:rPr>
                <w:b/>
                <w:bCs/>
                <w:noProof/>
                <w:szCs w:val="24"/>
                <w:lang w:val="en-IE"/>
              </w:rPr>
            </w:pPr>
          </w:p>
        </w:tc>
        <w:tc>
          <w:tcPr>
            <w:tcW w:w="1582" w:type="dxa"/>
            <w:tcBorders>
              <w:top w:val="single" w:sz="12" w:space="0" w:color="auto"/>
            </w:tcBorders>
            <w:vAlign w:val="center"/>
          </w:tcPr>
          <w:p>
            <w:pPr>
              <w:jc w:val="center"/>
              <w:textAlignment w:val="baseline"/>
              <w:rPr>
                <w:bCs/>
                <w:i/>
                <w:noProof/>
                <w:sz w:val="20"/>
                <w:lang w:val="en-IE"/>
              </w:rPr>
            </w:pPr>
            <w:r>
              <w:rPr>
                <w:bCs/>
                <w:i/>
                <w:noProof/>
                <w:sz w:val="20"/>
                <w:lang w:val="en-IE"/>
              </w:rPr>
              <w:t>T-514/16 Tsilikas /Commission</w:t>
            </w:r>
          </w:p>
        </w:tc>
        <w:tc>
          <w:tcPr>
            <w:tcW w:w="1935" w:type="dxa"/>
            <w:tcBorders>
              <w:top w:val="single" w:sz="12" w:space="0" w:color="auto"/>
            </w:tcBorders>
            <w:vAlign w:val="center"/>
          </w:tcPr>
          <w:p>
            <w:pPr>
              <w:jc w:val="center"/>
              <w:textAlignment w:val="baseline"/>
              <w:rPr>
                <w:bCs/>
                <w:i/>
                <w:noProof/>
                <w:sz w:val="20"/>
                <w:lang w:val="en-IE"/>
              </w:rPr>
            </w:pPr>
            <w:r>
              <w:rPr>
                <w:bCs/>
                <w:i/>
                <w:noProof/>
                <w:sz w:val="20"/>
                <w:lang w:val="en-IE"/>
              </w:rPr>
              <w:t xml:space="preserve">T-515/16 </w:t>
            </w:r>
          </w:p>
          <w:p>
            <w:pPr>
              <w:jc w:val="center"/>
              <w:textAlignment w:val="baseline"/>
              <w:rPr>
                <w:bCs/>
                <w:i/>
                <w:noProof/>
                <w:sz w:val="20"/>
                <w:lang w:val="en-IE"/>
              </w:rPr>
            </w:pPr>
            <w:r>
              <w:rPr>
                <w:bCs/>
                <w:i/>
                <w:noProof/>
                <w:sz w:val="20"/>
                <w:lang w:val="en-IE"/>
              </w:rPr>
              <w:t>Kanellou /Council</w:t>
            </w:r>
          </w:p>
        </w:tc>
        <w:tc>
          <w:tcPr>
            <w:tcW w:w="203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Rejected</w:t>
            </w:r>
          </w:p>
        </w:tc>
        <w:tc>
          <w:tcPr>
            <w:tcW w:w="6060" w:type="dxa"/>
            <w:vMerge w:val="restart"/>
            <w:tcBorders>
              <w:top w:val="single" w:sz="12" w:space="0" w:color="auto"/>
            </w:tcBorders>
            <w:vAlign w:val="center"/>
          </w:tcPr>
          <w:p>
            <w:pPr>
              <w:textAlignment w:val="baseline"/>
              <w:rPr>
                <w:bCs/>
                <w:noProof/>
                <w:szCs w:val="24"/>
                <w:lang w:val="en-IE"/>
              </w:rPr>
            </w:pPr>
          </w:p>
          <w:p>
            <w:pPr>
              <w:textAlignment w:val="baseline"/>
              <w:rPr>
                <w:bCs/>
                <w:noProof/>
                <w:szCs w:val="24"/>
                <w:lang w:val="en-IE"/>
              </w:rPr>
            </w:pPr>
            <w:r>
              <w:rPr>
                <w:bCs/>
                <w:noProof/>
                <w:szCs w:val="24"/>
                <w:lang w:val="en-IE"/>
              </w:rPr>
              <w:t>In several cases, applicants challenged the legality of Article 7 of Annex V and/or Article 8 of Annex VII to the Staff Regulations, as amended by Regulation No 1023/2013. The reform abolished the right to leave for travelling time and the flat-rate reimbursement of annual travel expenses to the place of origin for officials and other servants who did not receive the expatriation or foreign residence allowance, and amended it for those whose place of origin had been fixed outside the Union, who are reimbursed the annual travel expenses to the capital of the Member State of which they are nationals.</w:t>
            </w:r>
          </w:p>
          <w:p>
            <w:pPr>
              <w:textAlignment w:val="baseline"/>
              <w:rPr>
                <w:bCs/>
                <w:noProof/>
                <w:szCs w:val="24"/>
                <w:lang w:val="en-IE"/>
              </w:rPr>
            </w:pPr>
          </w:p>
          <w:p>
            <w:pPr>
              <w:textAlignment w:val="baseline"/>
              <w:rPr>
                <w:bCs/>
                <w:noProof/>
                <w:szCs w:val="24"/>
                <w:lang w:val="en-IE"/>
              </w:rPr>
            </w:pPr>
            <w:r>
              <w:rPr>
                <w:bCs/>
                <w:noProof/>
                <w:szCs w:val="24"/>
                <w:lang w:val="en-IE"/>
              </w:rPr>
              <w:t>The Court rejected these applications and recalled notably the settled case-law according to which an official may not rely on the principle of the protection of legitimate expectations in order to call into question the legality of a new regulatory provision, especially in a field whose subject-matter involves constant adaptation in the light of changes in the economic situation. In addition, it emphasised that staff members are not entitled to the maintenance of the Staff Regulations as it existed at the time of their recruitment.</w:t>
            </w:r>
          </w:p>
        </w:tc>
      </w:tr>
      <w:tr>
        <w:trPr>
          <w:trHeight w:val="852"/>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textAlignment w:val="baseline"/>
              <w:rPr>
                <w:bCs/>
                <w:i/>
                <w:noProof/>
                <w:sz w:val="20"/>
                <w:lang w:val="fr-BE"/>
              </w:rPr>
            </w:pPr>
            <w:r>
              <w:rPr>
                <w:bCs/>
                <w:i/>
                <w:noProof/>
                <w:sz w:val="20"/>
                <w:lang w:val="fr-BE"/>
              </w:rPr>
              <w:t>T-516/16 Alvarez y Bejarano a.o./ Commission</w:t>
            </w:r>
          </w:p>
        </w:tc>
        <w:tc>
          <w:tcPr>
            <w:tcW w:w="1935" w:type="dxa"/>
            <w:vAlign w:val="center"/>
          </w:tcPr>
          <w:p>
            <w:pPr>
              <w:jc w:val="center"/>
              <w:textAlignment w:val="baseline"/>
              <w:rPr>
                <w:bCs/>
                <w:i/>
                <w:noProof/>
                <w:sz w:val="20"/>
                <w:lang w:val="en-IE"/>
              </w:rPr>
            </w:pPr>
            <w:r>
              <w:rPr>
                <w:bCs/>
                <w:i/>
                <w:noProof/>
                <w:sz w:val="20"/>
                <w:lang w:val="en-IE"/>
              </w:rPr>
              <w:t>T-521/16</w:t>
            </w:r>
          </w:p>
          <w:p>
            <w:pPr>
              <w:jc w:val="center"/>
              <w:textAlignment w:val="baseline"/>
              <w:rPr>
                <w:bCs/>
                <w:i/>
                <w:noProof/>
                <w:sz w:val="20"/>
                <w:lang w:val="en-IE"/>
              </w:rPr>
            </w:pPr>
            <w:r>
              <w:rPr>
                <w:bCs/>
                <w:i/>
                <w:noProof/>
                <w:sz w:val="20"/>
                <w:lang w:val="en-IE"/>
              </w:rPr>
              <w:t>Bergallou /Council</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908"/>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textAlignment w:val="baseline"/>
              <w:rPr>
                <w:bCs/>
                <w:i/>
                <w:noProof/>
                <w:sz w:val="20"/>
                <w:lang w:val="en-IE"/>
              </w:rPr>
            </w:pPr>
            <w:r>
              <w:rPr>
                <w:bCs/>
                <w:i/>
                <w:noProof/>
                <w:sz w:val="20"/>
                <w:lang w:val="en-IE"/>
              </w:rPr>
              <w:t xml:space="preserve">T-522/16 </w:t>
            </w:r>
          </w:p>
          <w:p>
            <w:pPr>
              <w:jc w:val="center"/>
              <w:textAlignment w:val="baseline"/>
              <w:rPr>
                <w:bCs/>
                <w:i/>
                <w:noProof/>
                <w:sz w:val="20"/>
                <w:lang w:val="en-IE"/>
              </w:rPr>
            </w:pPr>
            <w:r>
              <w:rPr>
                <w:bCs/>
                <w:i/>
                <w:noProof/>
                <w:sz w:val="20"/>
                <w:lang w:val="en-IE"/>
              </w:rPr>
              <w:t>Huynh Duong Vi Nguyen /Council</w:t>
            </w:r>
          </w:p>
        </w:tc>
        <w:tc>
          <w:tcPr>
            <w:tcW w:w="1935" w:type="dxa"/>
            <w:vAlign w:val="center"/>
          </w:tcPr>
          <w:p>
            <w:pPr>
              <w:jc w:val="center"/>
              <w:textAlignment w:val="baseline"/>
              <w:rPr>
                <w:bCs/>
                <w:i/>
                <w:noProof/>
                <w:sz w:val="20"/>
                <w:lang w:val="en-IE"/>
              </w:rPr>
            </w:pPr>
            <w:r>
              <w:rPr>
                <w:bCs/>
                <w:i/>
                <w:noProof/>
                <w:sz w:val="20"/>
                <w:lang w:val="en-IE"/>
              </w:rPr>
              <w:t>T-523/16</w:t>
            </w:r>
          </w:p>
          <w:p>
            <w:pPr>
              <w:jc w:val="center"/>
              <w:textAlignment w:val="baseline"/>
              <w:rPr>
                <w:bCs/>
                <w:i/>
                <w:noProof/>
                <w:sz w:val="20"/>
                <w:lang w:val="en-IE"/>
              </w:rPr>
            </w:pPr>
            <w:r>
              <w:rPr>
                <w:bCs/>
                <w:i/>
                <w:noProof/>
                <w:sz w:val="20"/>
                <w:lang w:val="en-IE"/>
              </w:rPr>
              <w:t>Ardalic a.o. /Council</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274"/>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lang w:val="en-IE"/>
              </w:rPr>
            </w:pPr>
            <w:r>
              <w:rPr>
                <w:bCs/>
                <w:i/>
                <w:noProof/>
                <w:sz w:val="20"/>
                <w:lang w:val="en-IE"/>
              </w:rPr>
              <w:t xml:space="preserve">T-524/16 </w:t>
            </w:r>
          </w:p>
          <w:p>
            <w:pPr>
              <w:jc w:val="center"/>
              <w:rPr>
                <w:bCs/>
                <w:i/>
                <w:noProof/>
                <w:sz w:val="20"/>
                <w:lang w:val="en-IE"/>
              </w:rPr>
            </w:pPr>
            <w:r>
              <w:rPr>
                <w:bCs/>
                <w:i/>
                <w:noProof/>
                <w:sz w:val="20"/>
                <w:lang w:val="en-IE"/>
              </w:rPr>
              <w:t>Aresu /Commission)</w:t>
            </w:r>
          </w:p>
          <w:p>
            <w:pPr>
              <w:jc w:val="center"/>
              <w:textAlignment w:val="baseline"/>
              <w:rPr>
                <w:bCs/>
                <w:i/>
                <w:noProof/>
                <w:sz w:val="20"/>
                <w:lang w:val="en-IE"/>
              </w:rPr>
            </w:pPr>
          </w:p>
        </w:tc>
        <w:tc>
          <w:tcPr>
            <w:tcW w:w="1935" w:type="dxa"/>
            <w:vAlign w:val="center"/>
          </w:tcPr>
          <w:p>
            <w:pPr>
              <w:jc w:val="center"/>
              <w:textAlignment w:val="baseline"/>
              <w:rPr>
                <w:bCs/>
                <w:i/>
                <w:noProof/>
                <w:sz w:val="20"/>
                <w:lang w:val="fr-BE"/>
              </w:rPr>
            </w:pPr>
            <w:r>
              <w:rPr>
                <w:bCs/>
                <w:i/>
                <w:noProof/>
                <w:sz w:val="20"/>
                <w:lang w:val="fr-BE"/>
              </w:rPr>
              <w:t xml:space="preserve">T-531/16 </w:t>
            </w:r>
          </w:p>
          <w:p>
            <w:pPr>
              <w:jc w:val="center"/>
              <w:textAlignment w:val="baseline"/>
              <w:rPr>
                <w:bCs/>
                <w:i/>
                <w:noProof/>
                <w:sz w:val="20"/>
                <w:lang w:val="fr-BE"/>
              </w:rPr>
            </w:pPr>
            <w:r>
              <w:rPr>
                <w:bCs/>
                <w:i/>
                <w:noProof/>
                <w:sz w:val="20"/>
                <w:lang w:val="fr-BE"/>
              </w:rPr>
              <w:t>Dumitrescu a.o. /Commission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991"/>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1582" w:type="dxa"/>
            <w:vAlign w:val="center"/>
          </w:tcPr>
          <w:p>
            <w:pPr>
              <w:jc w:val="center"/>
              <w:textAlignment w:val="baseline"/>
              <w:rPr>
                <w:bCs/>
                <w:i/>
                <w:noProof/>
                <w:sz w:val="20"/>
                <w:lang w:val="fr-BE"/>
              </w:rPr>
            </w:pPr>
            <w:r>
              <w:rPr>
                <w:bCs/>
                <w:i/>
                <w:noProof/>
                <w:sz w:val="20"/>
                <w:lang w:val="fr-BE"/>
              </w:rPr>
              <w:t xml:space="preserve">T-532/16 </w:t>
            </w:r>
          </w:p>
          <w:p>
            <w:pPr>
              <w:jc w:val="center"/>
              <w:textAlignment w:val="baseline"/>
              <w:rPr>
                <w:bCs/>
                <w:i/>
                <w:noProof/>
                <w:sz w:val="20"/>
                <w:lang w:val="fr-BE"/>
              </w:rPr>
            </w:pPr>
            <w:r>
              <w:rPr>
                <w:bCs/>
                <w:i/>
                <w:noProof/>
                <w:sz w:val="20"/>
                <w:lang w:val="fr-BE"/>
              </w:rPr>
              <w:t>Perez Asinari a.o. /Commission</w:t>
            </w:r>
          </w:p>
        </w:tc>
        <w:tc>
          <w:tcPr>
            <w:tcW w:w="1935" w:type="dxa"/>
            <w:vAlign w:val="center"/>
          </w:tcPr>
          <w:p>
            <w:pPr>
              <w:jc w:val="center"/>
              <w:textAlignment w:val="baseline"/>
              <w:rPr>
                <w:bCs/>
                <w:i/>
                <w:noProof/>
                <w:sz w:val="20"/>
                <w:lang w:val="fr-BE"/>
              </w:rPr>
            </w:pPr>
            <w:r>
              <w:rPr>
                <w:bCs/>
                <w:i/>
                <w:noProof/>
                <w:sz w:val="20"/>
                <w:lang w:val="fr-BE"/>
              </w:rPr>
              <w:t xml:space="preserve">T-533/16 </w:t>
            </w:r>
          </w:p>
          <w:p>
            <w:pPr>
              <w:jc w:val="center"/>
              <w:textAlignment w:val="baseline"/>
              <w:rPr>
                <w:bCs/>
                <w:i/>
                <w:noProof/>
                <w:sz w:val="20"/>
                <w:lang w:val="fr-BE"/>
              </w:rPr>
            </w:pPr>
            <w:r>
              <w:rPr>
                <w:bCs/>
                <w:i/>
                <w:noProof/>
                <w:sz w:val="20"/>
                <w:lang w:val="fr-BE"/>
              </w:rPr>
              <w:t>Fillon a.o./Commission</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841"/>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1582" w:type="dxa"/>
            <w:vAlign w:val="center"/>
          </w:tcPr>
          <w:p>
            <w:pPr>
              <w:jc w:val="center"/>
              <w:textAlignment w:val="baseline"/>
              <w:rPr>
                <w:bCs/>
                <w:i/>
                <w:noProof/>
                <w:sz w:val="20"/>
                <w:lang w:val="fr-BE"/>
              </w:rPr>
            </w:pPr>
            <w:r>
              <w:rPr>
                <w:bCs/>
                <w:i/>
                <w:noProof/>
                <w:sz w:val="20"/>
                <w:lang w:val="fr-BE"/>
              </w:rPr>
              <w:t>T-536/16 Alvarez y Bejarano a.o./ Commission</w:t>
            </w:r>
          </w:p>
        </w:tc>
        <w:tc>
          <w:tcPr>
            <w:tcW w:w="1935" w:type="dxa"/>
            <w:vAlign w:val="center"/>
          </w:tcPr>
          <w:p>
            <w:pPr>
              <w:jc w:val="center"/>
              <w:textAlignment w:val="baseline"/>
              <w:rPr>
                <w:bCs/>
                <w:i/>
                <w:noProof/>
                <w:sz w:val="20"/>
                <w:lang w:val="en-IE"/>
              </w:rPr>
            </w:pPr>
            <w:r>
              <w:rPr>
                <w:bCs/>
                <w:i/>
                <w:noProof/>
                <w:sz w:val="20"/>
                <w:lang w:val="en-IE"/>
              </w:rPr>
              <w:t>T-537/16</w:t>
            </w:r>
          </w:p>
          <w:p>
            <w:pPr>
              <w:jc w:val="center"/>
              <w:textAlignment w:val="baseline"/>
              <w:rPr>
                <w:bCs/>
                <w:i/>
                <w:noProof/>
                <w:sz w:val="20"/>
                <w:lang w:val="en-IE"/>
              </w:rPr>
            </w:pPr>
            <w:r>
              <w:rPr>
                <w:bCs/>
                <w:i/>
                <w:noProof/>
                <w:sz w:val="20"/>
                <w:lang w:val="en-IE"/>
              </w:rPr>
              <w:t>Aycinena a.o. /Commission</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754"/>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lang w:val="en-IE"/>
              </w:rPr>
            </w:pPr>
            <w:r>
              <w:rPr>
                <w:bCs/>
                <w:i/>
                <w:noProof/>
                <w:sz w:val="20"/>
                <w:lang w:val="en-IE"/>
              </w:rPr>
              <w:t>T-538/16 Schaffrin / Commission</w:t>
            </w:r>
          </w:p>
          <w:p>
            <w:pPr>
              <w:jc w:val="center"/>
              <w:textAlignment w:val="baseline"/>
              <w:rPr>
                <w:bCs/>
                <w:i/>
                <w:noProof/>
                <w:sz w:val="20"/>
                <w:lang w:val="en-IE"/>
              </w:rPr>
            </w:pPr>
          </w:p>
        </w:tc>
        <w:tc>
          <w:tcPr>
            <w:tcW w:w="1935" w:type="dxa"/>
            <w:vAlign w:val="center"/>
          </w:tcPr>
          <w:p>
            <w:pPr>
              <w:jc w:val="center"/>
              <w:textAlignment w:val="baseline"/>
              <w:rPr>
                <w:bCs/>
                <w:i/>
                <w:noProof/>
                <w:sz w:val="20"/>
                <w:lang w:val="en-IE"/>
              </w:rPr>
            </w:pPr>
            <w:r>
              <w:rPr>
                <w:bCs/>
                <w:i/>
                <w:noProof/>
                <w:sz w:val="20"/>
                <w:lang w:val="en-IE"/>
              </w:rPr>
              <w:t>T-541/16</w:t>
            </w:r>
          </w:p>
          <w:p>
            <w:pPr>
              <w:jc w:val="center"/>
              <w:textAlignment w:val="baseline"/>
              <w:rPr>
                <w:bCs/>
                <w:i/>
                <w:noProof/>
                <w:sz w:val="20"/>
                <w:lang w:val="en-IE"/>
              </w:rPr>
            </w:pPr>
            <w:r>
              <w:rPr>
                <w:bCs/>
                <w:i/>
                <w:noProof/>
                <w:sz w:val="20"/>
                <w:lang w:val="en-IE"/>
              </w:rPr>
              <w:t>Guillen Lazo / Parliament</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540"/>
          <w:jc w:val="center"/>
        </w:trPr>
        <w:tc>
          <w:tcPr>
            <w:tcW w:w="1777" w:type="dxa"/>
            <w:vMerge/>
          </w:tcPr>
          <w:p>
            <w:pPr>
              <w:jc w:val="center"/>
              <w:textAlignment w:val="baseline"/>
              <w:rPr>
                <w:b/>
                <w:bCs/>
                <w:noProof/>
                <w:szCs w:val="24"/>
                <w:lang w:val="en-IE"/>
              </w:rPr>
            </w:pPr>
          </w:p>
        </w:tc>
        <w:tc>
          <w:tcPr>
            <w:tcW w:w="1544" w:type="dxa"/>
            <w:vMerge/>
          </w:tcPr>
          <w:p>
            <w:pPr>
              <w:textAlignment w:val="baseline"/>
              <w:rPr>
                <w:b/>
                <w:bCs/>
                <w:noProof/>
                <w:szCs w:val="24"/>
                <w:lang w:val="en-IE"/>
              </w:rPr>
            </w:pPr>
          </w:p>
        </w:tc>
        <w:tc>
          <w:tcPr>
            <w:tcW w:w="1582" w:type="dxa"/>
            <w:vAlign w:val="center"/>
          </w:tcPr>
          <w:p>
            <w:pPr>
              <w:jc w:val="center"/>
              <w:rPr>
                <w:bCs/>
                <w:i/>
                <w:noProof/>
                <w:sz w:val="20"/>
                <w:lang w:val="en-IE"/>
              </w:rPr>
            </w:pPr>
            <w:r>
              <w:rPr>
                <w:bCs/>
                <w:i/>
                <w:noProof/>
                <w:sz w:val="20"/>
                <w:lang w:val="en-IE"/>
              </w:rPr>
              <w:t>T-542/16 Ardalic a.o. / Council</w:t>
            </w:r>
          </w:p>
        </w:tc>
        <w:tc>
          <w:tcPr>
            <w:tcW w:w="1935" w:type="dxa"/>
            <w:vAlign w:val="center"/>
          </w:tcPr>
          <w:p>
            <w:pPr>
              <w:jc w:val="center"/>
              <w:textAlignment w:val="baseline"/>
              <w:rPr>
                <w:bCs/>
                <w:i/>
                <w:noProof/>
                <w:sz w:val="20"/>
                <w:lang w:val="fr-BE"/>
              </w:rPr>
            </w:pPr>
            <w:r>
              <w:rPr>
                <w:bCs/>
                <w:i/>
                <w:noProof/>
                <w:sz w:val="20"/>
                <w:lang w:val="fr-BE"/>
              </w:rPr>
              <w:t>T-545/16</w:t>
            </w:r>
          </w:p>
          <w:p>
            <w:pPr>
              <w:jc w:val="center"/>
              <w:textAlignment w:val="baseline"/>
              <w:rPr>
                <w:bCs/>
                <w:i/>
                <w:noProof/>
                <w:sz w:val="20"/>
                <w:lang w:val="fr-BE"/>
              </w:rPr>
            </w:pPr>
            <w:r>
              <w:rPr>
                <w:bCs/>
                <w:i/>
                <w:noProof/>
                <w:sz w:val="20"/>
                <w:lang w:val="fr-BE"/>
              </w:rPr>
              <w:t>Torrens et Maraite / Court of Justice</w:t>
            </w:r>
          </w:p>
        </w:tc>
        <w:tc>
          <w:tcPr>
            <w:tcW w:w="2037" w:type="dxa"/>
            <w:vMerge/>
            <w:vAlign w:val="center"/>
          </w:tcPr>
          <w:p>
            <w:pPr>
              <w:textAlignment w:val="baseline"/>
              <w:rPr>
                <w:b/>
                <w:bCs/>
                <w:noProof/>
                <w:szCs w:val="24"/>
                <w:lang w:val="fr-BE"/>
              </w:rPr>
            </w:pPr>
          </w:p>
        </w:tc>
        <w:tc>
          <w:tcPr>
            <w:tcW w:w="6060" w:type="dxa"/>
            <w:vMerge/>
          </w:tcPr>
          <w:p>
            <w:pPr>
              <w:textAlignment w:val="baseline"/>
              <w:rPr>
                <w:b/>
                <w:bCs/>
                <w:noProof/>
                <w:szCs w:val="24"/>
                <w:lang w:val="fr-BE"/>
              </w:rPr>
            </w:pPr>
          </w:p>
        </w:tc>
      </w:tr>
      <w:tr>
        <w:trPr>
          <w:trHeight w:val="396"/>
          <w:jc w:val="center"/>
        </w:trPr>
        <w:tc>
          <w:tcPr>
            <w:tcW w:w="1777" w:type="dxa"/>
            <w:vMerge/>
          </w:tcPr>
          <w:p>
            <w:pPr>
              <w:jc w:val="center"/>
              <w:textAlignment w:val="baseline"/>
              <w:rPr>
                <w:b/>
                <w:bCs/>
                <w:noProof/>
                <w:szCs w:val="24"/>
                <w:lang w:val="fr-BE"/>
              </w:rPr>
            </w:pPr>
          </w:p>
        </w:tc>
        <w:tc>
          <w:tcPr>
            <w:tcW w:w="1544" w:type="dxa"/>
            <w:vMerge/>
          </w:tcPr>
          <w:p>
            <w:pPr>
              <w:textAlignment w:val="baseline"/>
              <w:rPr>
                <w:b/>
                <w:bCs/>
                <w:noProof/>
                <w:szCs w:val="24"/>
                <w:lang w:val="fr-BE"/>
              </w:rPr>
            </w:pPr>
          </w:p>
        </w:tc>
        <w:tc>
          <w:tcPr>
            <w:tcW w:w="3517" w:type="dxa"/>
            <w:gridSpan w:val="2"/>
            <w:tcBorders>
              <w:bottom w:val="single" w:sz="12" w:space="0" w:color="auto"/>
            </w:tcBorders>
            <w:vAlign w:val="center"/>
          </w:tcPr>
          <w:p>
            <w:pPr>
              <w:jc w:val="center"/>
              <w:textAlignment w:val="baseline"/>
              <w:rPr>
                <w:bCs/>
                <w:i/>
                <w:noProof/>
                <w:sz w:val="20"/>
                <w:lang w:val="en-IE"/>
              </w:rPr>
            </w:pPr>
            <w:r>
              <w:rPr>
                <w:bCs/>
                <w:i/>
                <w:noProof/>
                <w:sz w:val="20"/>
                <w:lang w:val="en-IE"/>
              </w:rPr>
              <w:t>T-547/16</w:t>
            </w:r>
          </w:p>
          <w:p>
            <w:pPr>
              <w:jc w:val="center"/>
              <w:textAlignment w:val="baseline"/>
              <w:rPr>
                <w:bCs/>
                <w:i/>
                <w:noProof/>
                <w:sz w:val="20"/>
                <w:lang w:val="en-IE"/>
              </w:rPr>
            </w:pPr>
            <w:r>
              <w:rPr>
                <w:bCs/>
                <w:i/>
                <w:noProof/>
                <w:sz w:val="20"/>
                <w:lang w:val="en-IE"/>
              </w:rPr>
              <w:t xml:space="preserve"> Miranda Garcia / Court of Justice</w:t>
            </w:r>
          </w:p>
        </w:tc>
        <w:tc>
          <w:tcPr>
            <w:tcW w:w="2037" w:type="dxa"/>
            <w:vMerge/>
            <w:vAlign w:val="center"/>
          </w:tcPr>
          <w:p>
            <w:pPr>
              <w:textAlignment w:val="baseline"/>
              <w:rPr>
                <w:b/>
                <w:bCs/>
                <w:noProof/>
                <w:szCs w:val="24"/>
                <w:lang w:val="en-IE"/>
              </w:rPr>
            </w:pPr>
          </w:p>
        </w:tc>
        <w:tc>
          <w:tcPr>
            <w:tcW w:w="6060" w:type="dxa"/>
            <w:vMerge/>
          </w:tcPr>
          <w:p>
            <w:pPr>
              <w:textAlignment w:val="baseline"/>
              <w:rPr>
                <w:b/>
                <w:bCs/>
                <w:noProof/>
                <w:szCs w:val="24"/>
                <w:lang w:val="en-IE"/>
              </w:rPr>
            </w:pPr>
          </w:p>
        </w:tc>
      </w:tr>
      <w:tr>
        <w:trPr>
          <w:trHeight w:val="1756"/>
          <w:jc w:val="center"/>
        </w:trPr>
        <w:tc>
          <w:tcPr>
            <w:tcW w:w="1777" w:type="dxa"/>
            <w:vMerge w:val="restart"/>
            <w:tcBorders>
              <w:top w:val="single" w:sz="12" w:space="0" w:color="auto"/>
              <w:bottom w:val="single" w:sz="4" w:space="0" w:color="auto"/>
            </w:tcBorders>
            <w:vAlign w:val="center"/>
          </w:tcPr>
          <w:p>
            <w:pPr>
              <w:jc w:val="center"/>
              <w:textAlignment w:val="baseline"/>
              <w:rPr>
                <w:b/>
                <w:bCs/>
                <w:noProof/>
                <w:szCs w:val="24"/>
                <w:lang w:val="en-IE"/>
              </w:rPr>
            </w:pPr>
            <w:r>
              <w:rPr>
                <w:b/>
                <w:bCs/>
                <w:noProof/>
                <w:szCs w:val="24"/>
                <w:lang w:val="en-IE"/>
              </w:rPr>
              <w:t>Annual leave applicable to officials posted in a third country</w:t>
            </w:r>
          </w:p>
        </w:tc>
        <w:tc>
          <w:tcPr>
            <w:tcW w:w="1544" w:type="dxa"/>
            <w:tcBorders>
              <w:top w:val="single" w:sz="12" w:space="0" w:color="auto"/>
              <w:bottom w:val="single" w:sz="4" w:space="0" w:color="auto"/>
            </w:tcBorders>
            <w:vAlign w:val="center"/>
          </w:tcPr>
          <w:p>
            <w:pPr>
              <w:jc w:val="center"/>
              <w:textAlignment w:val="baseline"/>
              <w:rPr>
                <w:bCs/>
                <w:noProof/>
                <w:szCs w:val="24"/>
                <w:lang w:val="en-IE"/>
              </w:rPr>
            </w:pPr>
            <w:r>
              <w:rPr>
                <w:bCs/>
                <w:noProof/>
                <w:szCs w:val="24"/>
                <w:lang w:val="en-IE"/>
              </w:rPr>
              <w:t>04/12/2018</w:t>
            </w:r>
          </w:p>
        </w:tc>
        <w:tc>
          <w:tcPr>
            <w:tcW w:w="3517" w:type="dxa"/>
            <w:gridSpan w:val="2"/>
            <w:tcBorders>
              <w:top w:val="single" w:sz="12" w:space="0" w:color="auto"/>
              <w:bottom w:val="single" w:sz="4" w:space="0" w:color="auto"/>
            </w:tcBorders>
            <w:vAlign w:val="center"/>
          </w:tcPr>
          <w:p>
            <w:pPr>
              <w:jc w:val="center"/>
              <w:textAlignment w:val="baseline"/>
              <w:rPr>
                <w:bCs/>
                <w:i/>
                <w:noProof/>
                <w:szCs w:val="24"/>
                <w:lang w:val="en-IE"/>
              </w:rPr>
            </w:pPr>
            <w:r>
              <w:rPr>
                <w:bCs/>
                <w:i/>
                <w:noProof/>
                <w:szCs w:val="24"/>
                <w:lang w:val="en-IE"/>
              </w:rPr>
              <w:t>T-518/16</w:t>
            </w:r>
          </w:p>
          <w:p>
            <w:pPr>
              <w:jc w:val="center"/>
              <w:textAlignment w:val="baseline"/>
              <w:rPr>
                <w:bCs/>
                <w:i/>
                <w:noProof/>
                <w:szCs w:val="24"/>
                <w:lang w:val="en-IE"/>
              </w:rPr>
            </w:pPr>
            <w:r>
              <w:rPr>
                <w:bCs/>
                <w:i/>
                <w:noProof/>
                <w:szCs w:val="24"/>
                <w:lang w:val="en-IE"/>
              </w:rPr>
              <w:t>Carreras Sequeros and Others v Commission</w:t>
            </w:r>
          </w:p>
        </w:tc>
        <w:tc>
          <w:tcPr>
            <w:tcW w:w="2037" w:type="dxa"/>
            <w:vMerge w:val="restart"/>
            <w:tcBorders>
              <w:top w:val="single" w:sz="12" w:space="0" w:color="auto"/>
            </w:tcBorders>
            <w:vAlign w:val="center"/>
          </w:tcPr>
          <w:p>
            <w:pPr>
              <w:jc w:val="center"/>
              <w:textAlignment w:val="baseline"/>
              <w:rPr>
                <w:b/>
                <w:bCs/>
                <w:noProof/>
                <w:szCs w:val="24"/>
                <w:lang w:val="en-IE"/>
              </w:rPr>
            </w:pPr>
            <w:r>
              <w:rPr>
                <w:b/>
                <w:bCs/>
                <w:noProof/>
                <w:szCs w:val="24"/>
                <w:lang w:val="en-IE"/>
              </w:rPr>
              <w:t>Rejected</w:t>
            </w:r>
          </w:p>
        </w:tc>
        <w:tc>
          <w:tcPr>
            <w:tcW w:w="6060" w:type="dxa"/>
            <w:vMerge w:val="restart"/>
            <w:tcBorders>
              <w:top w:val="single" w:sz="12" w:space="0" w:color="auto"/>
            </w:tcBorders>
            <w:vAlign w:val="center"/>
          </w:tcPr>
          <w:p>
            <w:pPr>
              <w:textAlignment w:val="baseline"/>
              <w:rPr>
                <w:bCs/>
                <w:noProof/>
                <w:szCs w:val="24"/>
                <w:lang w:val="en-IE"/>
              </w:rPr>
            </w:pPr>
            <w:r>
              <w:rPr>
                <w:bCs/>
                <w:noProof/>
                <w:szCs w:val="24"/>
                <w:lang w:val="en-IE"/>
              </w:rPr>
              <w:t>The applicants, assigned to third countries before 1 January 2014, were granted for the year 2014, in accordance with the first indent of the new Article 6(2) of Annex X to the Staff Regulations, 36 days of annual leave instead of the 42 days of the previous year.</w:t>
            </w:r>
          </w:p>
          <w:p>
            <w:pPr>
              <w:textAlignment w:val="baseline"/>
              <w:rPr>
                <w:b/>
                <w:bCs/>
                <w:noProof/>
                <w:szCs w:val="24"/>
                <w:lang w:val="en-IE"/>
              </w:rPr>
            </w:pPr>
            <w:r>
              <w:rPr>
                <w:bCs/>
                <w:noProof/>
                <w:szCs w:val="24"/>
                <w:lang w:val="en-IE"/>
              </w:rPr>
              <w:t>They raised a plea of illegality against Article 6 of Annex X to the Staff Regulations and asked for the annulment of the decisions reducing their annual leave with effect from 2014. The General Court annulled the decisions reducing the annual leave granted to the applicants for the year 2014. However, in appeal the Court annulled the Court’s judgment thereby upholding the co-legislator’s margin of manoeuver when amending non-acquired rights.</w:t>
            </w:r>
            <w:r>
              <w:rPr>
                <w:b/>
                <w:bCs/>
                <w:noProof/>
                <w:szCs w:val="24"/>
                <w:lang w:val="en-IE"/>
              </w:rPr>
              <w:t xml:space="preserve"> </w:t>
            </w:r>
          </w:p>
        </w:tc>
      </w:tr>
      <w:tr>
        <w:trPr>
          <w:trHeight w:val="2235"/>
          <w:jc w:val="center"/>
        </w:trPr>
        <w:tc>
          <w:tcPr>
            <w:tcW w:w="1777" w:type="dxa"/>
            <w:vMerge/>
            <w:vAlign w:val="center"/>
          </w:tcPr>
          <w:p>
            <w:pPr>
              <w:jc w:val="center"/>
              <w:textAlignment w:val="baseline"/>
              <w:rPr>
                <w:b/>
                <w:bCs/>
                <w:noProof/>
                <w:szCs w:val="24"/>
                <w:lang w:val="en-IE"/>
              </w:rPr>
            </w:pPr>
          </w:p>
        </w:tc>
        <w:tc>
          <w:tcPr>
            <w:tcW w:w="1544" w:type="dxa"/>
            <w:tcBorders>
              <w:top w:val="single" w:sz="4" w:space="0" w:color="auto"/>
              <w:bottom w:val="single" w:sz="12" w:space="0" w:color="auto"/>
            </w:tcBorders>
            <w:vAlign w:val="center"/>
          </w:tcPr>
          <w:p>
            <w:pPr>
              <w:jc w:val="center"/>
              <w:textAlignment w:val="baseline"/>
              <w:rPr>
                <w:b/>
                <w:bCs/>
                <w:noProof/>
                <w:szCs w:val="24"/>
                <w:lang w:val="en-IE"/>
              </w:rPr>
            </w:pPr>
            <w:r>
              <w:rPr>
                <w:bCs/>
                <w:noProof/>
                <w:szCs w:val="24"/>
                <w:lang w:val="en-IE"/>
              </w:rPr>
              <w:t>08/09/2020</w:t>
            </w:r>
          </w:p>
        </w:tc>
        <w:tc>
          <w:tcPr>
            <w:tcW w:w="3517" w:type="dxa"/>
            <w:gridSpan w:val="2"/>
            <w:tcBorders>
              <w:top w:val="single" w:sz="4" w:space="0" w:color="auto"/>
              <w:bottom w:val="single" w:sz="12" w:space="0" w:color="auto"/>
            </w:tcBorders>
            <w:vAlign w:val="center"/>
          </w:tcPr>
          <w:p>
            <w:pPr>
              <w:jc w:val="center"/>
              <w:textAlignment w:val="baseline"/>
              <w:rPr>
                <w:bCs/>
                <w:i/>
                <w:noProof/>
                <w:szCs w:val="24"/>
                <w:lang w:val="en-IE"/>
              </w:rPr>
            </w:pPr>
            <w:r>
              <w:rPr>
                <w:bCs/>
                <w:i/>
                <w:noProof/>
                <w:szCs w:val="24"/>
                <w:lang w:val="en-IE"/>
              </w:rPr>
              <w:t>C-119/19 P.</w:t>
            </w:r>
          </w:p>
          <w:p>
            <w:pPr>
              <w:jc w:val="center"/>
              <w:textAlignment w:val="baseline"/>
              <w:rPr>
                <w:bCs/>
                <w:i/>
                <w:noProof/>
                <w:szCs w:val="24"/>
                <w:lang w:val="en-IE"/>
              </w:rPr>
            </w:pPr>
            <w:r>
              <w:rPr>
                <w:bCs/>
                <w:i/>
                <w:noProof/>
                <w:szCs w:val="24"/>
                <w:lang w:val="en-IE"/>
              </w:rPr>
              <w:t>European Commission v Francisco Carreras Sequeros and Others</w:t>
            </w:r>
          </w:p>
        </w:tc>
        <w:tc>
          <w:tcPr>
            <w:tcW w:w="2037" w:type="dxa"/>
            <w:vMerge/>
            <w:vAlign w:val="center"/>
          </w:tcPr>
          <w:p>
            <w:pPr>
              <w:textAlignment w:val="baseline"/>
              <w:rPr>
                <w:b/>
                <w:bCs/>
                <w:noProof/>
                <w:szCs w:val="24"/>
                <w:lang w:val="en-IE"/>
              </w:rPr>
            </w:pPr>
          </w:p>
        </w:tc>
        <w:tc>
          <w:tcPr>
            <w:tcW w:w="6060" w:type="dxa"/>
            <w:vMerge/>
            <w:vAlign w:val="center"/>
          </w:tcPr>
          <w:p>
            <w:pPr>
              <w:textAlignment w:val="baseline"/>
              <w:rPr>
                <w:bCs/>
                <w:noProof/>
                <w:szCs w:val="24"/>
                <w:lang w:val="en-IE"/>
              </w:rPr>
            </w:pPr>
          </w:p>
        </w:tc>
      </w:tr>
      <w:tr>
        <w:trPr>
          <w:trHeight w:val="1504"/>
          <w:jc w:val="center"/>
        </w:trPr>
        <w:tc>
          <w:tcPr>
            <w:tcW w:w="1777" w:type="dxa"/>
            <w:tcBorders>
              <w:top w:val="single" w:sz="12" w:space="0" w:color="auto"/>
              <w:bottom w:val="single" w:sz="12" w:space="0" w:color="auto"/>
            </w:tcBorders>
            <w:vAlign w:val="center"/>
          </w:tcPr>
          <w:p>
            <w:pPr>
              <w:jc w:val="center"/>
              <w:textAlignment w:val="baseline"/>
              <w:rPr>
                <w:b/>
                <w:bCs/>
                <w:noProof/>
                <w:szCs w:val="24"/>
                <w:lang w:val="en-IE"/>
              </w:rPr>
            </w:pPr>
            <w:r>
              <w:rPr>
                <w:b/>
                <w:bCs/>
                <w:noProof/>
                <w:szCs w:val="24"/>
                <w:lang w:val="en-IE"/>
              </w:rPr>
              <w:t>Correction coefficient for Luxembourg</w:t>
            </w:r>
          </w:p>
        </w:tc>
        <w:tc>
          <w:tcPr>
            <w:tcW w:w="1544" w:type="dxa"/>
            <w:tcBorders>
              <w:top w:val="single" w:sz="12" w:space="0" w:color="auto"/>
              <w:bottom w:val="single" w:sz="12" w:space="0" w:color="auto"/>
            </w:tcBorders>
            <w:vAlign w:val="center"/>
          </w:tcPr>
          <w:p>
            <w:pPr>
              <w:jc w:val="center"/>
              <w:textAlignment w:val="baseline"/>
              <w:rPr>
                <w:bCs/>
                <w:noProof/>
                <w:szCs w:val="24"/>
                <w:lang w:val="en-IE"/>
              </w:rPr>
            </w:pPr>
            <w:r>
              <w:rPr>
                <w:bCs/>
                <w:noProof/>
                <w:szCs w:val="24"/>
                <w:lang w:val="en-IE"/>
              </w:rPr>
              <w:t>04/10/2018</w:t>
            </w:r>
          </w:p>
        </w:tc>
        <w:tc>
          <w:tcPr>
            <w:tcW w:w="3517" w:type="dxa"/>
            <w:gridSpan w:val="2"/>
            <w:tcBorders>
              <w:top w:val="single" w:sz="12" w:space="0" w:color="auto"/>
              <w:bottom w:val="single" w:sz="12" w:space="0" w:color="auto"/>
            </w:tcBorders>
            <w:vAlign w:val="center"/>
          </w:tcPr>
          <w:p>
            <w:pPr>
              <w:jc w:val="center"/>
              <w:textAlignment w:val="baseline"/>
              <w:rPr>
                <w:bCs/>
                <w:i/>
                <w:noProof/>
                <w:szCs w:val="24"/>
                <w:lang w:val="en-IE"/>
              </w:rPr>
            </w:pPr>
            <w:r>
              <w:rPr>
                <w:bCs/>
                <w:i/>
                <w:noProof/>
                <w:szCs w:val="24"/>
                <w:lang w:val="en-IE"/>
              </w:rPr>
              <w:t xml:space="preserve">T-546/16 </w:t>
            </w:r>
          </w:p>
          <w:p>
            <w:pPr>
              <w:jc w:val="center"/>
              <w:textAlignment w:val="baseline"/>
              <w:rPr>
                <w:b/>
                <w:bCs/>
                <w:noProof/>
                <w:szCs w:val="24"/>
                <w:lang w:val="en-IE"/>
              </w:rPr>
            </w:pPr>
            <w:r>
              <w:rPr>
                <w:bCs/>
                <w:i/>
                <w:noProof/>
                <w:szCs w:val="24"/>
                <w:lang w:val="en-IE"/>
              </w:rPr>
              <w:t>Tataram v Commission</w:t>
            </w:r>
          </w:p>
        </w:tc>
        <w:tc>
          <w:tcPr>
            <w:tcW w:w="2037" w:type="dxa"/>
            <w:tcBorders>
              <w:top w:val="single" w:sz="12" w:space="0" w:color="auto"/>
              <w:bottom w:val="single" w:sz="12" w:space="0" w:color="auto"/>
            </w:tcBorders>
            <w:vAlign w:val="center"/>
          </w:tcPr>
          <w:p>
            <w:pPr>
              <w:textAlignment w:val="baseline"/>
              <w:rPr>
                <w:b/>
                <w:bCs/>
                <w:noProof/>
                <w:szCs w:val="24"/>
                <w:lang w:val="en-IE"/>
              </w:rPr>
            </w:pPr>
            <w:r>
              <w:rPr>
                <w:b/>
                <w:bCs/>
                <w:noProof/>
                <w:szCs w:val="24"/>
                <w:lang w:val="en-IE"/>
              </w:rPr>
              <w:t>Inadmissible</w:t>
            </w:r>
          </w:p>
        </w:tc>
        <w:tc>
          <w:tcPr>
            <w:tcW w:w="6060" w:type="dxa"/>
            <w:tcBorders>
              <w:top w:val="single" w:sz="12" w:space="0" w:color="auto"/>
              <w:bottom w:val="single" w:sz="12" w:space="0" w:color="auto"/>
            </w:tcBorders>
            <w:vAlign w:val="center"/>
          </w:tcPr>
          <w:p>
            <w:pPr>
              <w:textAlignment w:val="baseline"/>
              <w:rPr>
                <w:bCs/>
                <w:noProof/>
                <w:szCs w:val="24"/>
                <w:lang w:val="en-IE"/>
              </w:rPr>
            </w:pPr>
            <w:r>
              <w:rPr>
                <w:bCs/>
                <w:noProof/>
                <w:szCs w:val="24"/>
                <w:lang w:val="en-IE"/>
              </w:rPr>
              <w:t xml:space="preserve">In the 2014 Staff Regulations reform, the co-legislator maintained the long-standing provisions as regards the absence of a correction coefficient applicable to the remuneration of staff in Brussels and Luxembourg, having regard to the special referential role of those places of employment as principal and original seats of most of the institutions. </w:t>
            </w:r>
          </w:p>
          <w:p>
            <w:pPr>
              <w:textAlignment w:val="baseline"/>
              <w:rPr>
                <w:b/>
                <w:bCs/>
                <w:noProof/>
                <w:szCs w:val="24"/>
                <w:lang w:val="en-IE"/>
              </w:rPr>
            </w:pPr>
            <w:r>
              <w:rPr>
                <w:bCs/>
                <w:noProof/>
                <w:szCs w:val="24"/>
                <w:lang w:val="en-IE"/>
              </w:rPr>
              <w:t>A case was lodged before the Court raising a plea of illegality against Articles 64, 65 and 65a of the Staff Regulations and Annex XI thereto, that is to say, the provisions relating to correction coefficients and their adjustment. However, this request was dismissed as inadmissible and the legislative solution was confirmed as long as the Staff Regulations as amended in 2013 remain into force.</w:t>
            </w:r>
          </w:p>
        </w:tc>
      </w:tr>
      <w:tr>
        <w:trPr>
          <w:trHeight w:val="3565"/>
          <w:jc w:val="center"/>
        </w:trPr>
        <w:tc>
          <w:tcPr>
            <w:tcW w:w="1777" w:type="dxa"/>
            <w:tcBorders>
              <w:top w:val="single" w:sz="12" w:space="0" w:color="auto"/>
              <w:bottom w:val="single" w:sz="12" w:space="0" w:color="auto"/>
            </w:tcBorders>
            <w:vAlign w:val="center"/>
          </w:tcPr>
          <w:p>
            <w:pPr>
              <w:rPr>
                <w:b/>
                <w:noProof/>
                <w:szCs w:val="24"/>
                <w:lang w:val="en-IE"/>
              </w:rPr>
            </w:pPr>
            <w:r>
              <w:rPr>
                <w:b/>
                <w:noProof/>
                <w:szCs w:val="24"/>
                <w:lang w:val="en-IE"/>
              </w:rPr>
              <w:t xml:space="preserve">The limitations on salary adjustments for years 2011 and 2012 </w:t>
            </w:r>
          </w:p>
        </w:tc>
        <w:tc>
          <w:tcPr>
            <w:tcW w:w="1544" w:type="dxa"/>
            <w:tcBorders>
              <w:top w:val="single" w:sz="12" w:space="0" w:color="auto"/>
              <w:bottom w:val="single" w:sz="12" w:space="0" w:color="auto"/>
            </w:tcBorders>
            <w:vAlign w:val="center"/>
          </w:tcPr>
          <w:p>
            <w:pPr>
              <w:jc w:val="center"/>
              <w:rPr>
                <w:noProof/>
                <w:szCs w:val="24"/>
                <w:lang w:val="en-IE"/>
              </w:rPr>
            </w:pPr>
            <w:r>
              <w:rPr>
                <w:noProof/>
                <w:szCs w:val="24"/>
                <w:lang w:val="en-IE"/>
              </w:rPr>
              <w:t>13/12/2018</w:t>
            </w:r>
          </w:p>
        </w:tc>
        <w:tc>
          <w:tcPr>
            <w:tcW w:w="3517" w:type="dxa"/>
            <w:gridSpan w:val="2"/>
            <w:tcBorders>
              <w:top w:val="single" w:sz="12" w:space="0" w:color="auto"/>
              <w:bottom w:val="single" w:sz="12" w:space="0" w:color="auto"/>
            </w:tcBorders>
            <w:vAlign w:val="center"/>
          </w:tcPr>
          <w:p>
            <w:pPr>
              <w:jc w:val="center"/>
              <w:rPr>
                <w:i/>
                <w:noProof/>
                <w:szCs w:val="24"/>
                <w:lang w:val="en-IE"/>
              </w:rPr>
            </w:pPr>
            <w:r>
              <w:rPr>
                <w:i/>
                <w:noProof/>
                <w:szCs w:val="24"/>
                <w:lang w:val="en-IE"/>
              </w:rPr>
              <w:t>T-530/16</w:t>
            </w:r>
          </w:p>
          <w:p>
            <w:pPr>
              <w:jc w:val="center"/>
              <w:rPr>
                <w:i/>
                <w:noProof/>
                <w:szCs w:val="24"/>
                <w:lang w:val="en-IE"/>
              </w:rPr>
            </w:pPr>
            <w:r>
              <w:rPr>
                <w:i/>
                <w:noProof/>
                <w:szCs w:val="24"/>
                <w:lang w:val="en-IE"/>
              </w:rPr>
              <w:t>Schubert and Others v Commission</w:t>
            </w:r>
          </w:p>
        </w:tc>
        <w:tc>
          <w:tcPr>
            <w:tcW w:w="2037" w:type="dxa"/>
            <w:tcBorders>
              <w:top w:val="single" w:sz="12" w:space="0" w:color="auto"/>
              <w:bottom w:val="single" w:sz="12" w:space="0" w:color="auto"/>
            </w:tcBorders>
            <w:vAlign w:val="center"/>
          </w:tcPr>
          <w:p>
            <w:pPr>
              <w:jc w:val="center"/>
              <w:rPr>
                <w:b/>
                <w:noProof/>
                <w:szCs w:val="24"/>
                <w:lang w:val="en-IE"/>
              </w:rPr>
            </w:pPr>
            <w:r>
              <w:rPr>
                <w:b/>
                <w:noProof/>
                <w:szCs w:val="24"/>
                <w:lang w:val="en-IE"/>
              </w:rPr>
              <w:t>Rejected</w:t>
            </w:r>
          </w:p>
        </w:tc>
        <w:tc>
          <w:tcPr>
            <w:tcW w:w="6060" w:type="dxa"/>
            <w:tcBorders>
              <w:top w:val="single" w:sz="12" w:space="0" w:color="auto"/>
              <w:bottom w:val="single" w:sz="12" w:space="0" w:color="auto"/>
            </w:tcBorders>
            <w:vAlign w:val="center"/>
          </w:tcPr>
          <w:p>
            <w:pPr>
              <w:rPr>
                <w:noProof/>
                <w:szCs w:val="24"/>
                <w:lang w:val="en-IE"/>
              </w:rPr>
            </w:pPr>
            <w:r>
              <w:rPr>
                <w:noProof/>
                <w:szCs w:val="24"/>
                <w:lang w:val="en-IE"/>
              </w:rPr>
              <w:t>By judgment of 19 November 2013 in Case C-63/12, Commission v. Council, the Court of Justice ruled that the assessment of the existence of a serious and sudden deterioration in the economic and social situation that would trigger a limitation of salary adjustments was a matter for the Council and not for the Commission. Pursuant to that judgment, the Council and the European Parliament fixed the adjustment of remuneration for the years 2011 and 2012 on the basis of the exception clause provided for in Article 10 of Annex XI to the former Staff Regulations. Those Regulations provided for an adjustment of 0% for 2011 and 0.8% for 2012 respectively.</w:t>
            </w:r>
          </w:p>
          <w:p>
            <w:pPr>
              <w:rPr>
                <w:noProof/>
                <w:szCs w:val="24"/>
                <w:lang w:val="en-IE"/>
              </w:rPr>
            </w:pPr>
            <w:r>
              <w:rPr>
                <w:noProof/>
                <w:szCs w:val="24"/>
                <w:lang w:val="en-IE"/>
              </w:rPr>
              <w:t>Staff members contested these limited adjustments that were made part of the 2014 reform of the Staff Regulations. The Court dismissed the applicant’s arguments and confirmed that the EU legislator could derogate from the applicable rules on salary updates to take into account the overall economic context.</w:t>
            </w:r>
          </w:p>
        </w:tc>
      </w:tr>
      <w:tr>
        <w:trPr>
          <w:trHeight w:val="679"/>
          <w:jc w:val="center"/>
        </w:trPr>
        <w:tc>
          <w:tcPr>
            <w:tcW w:w="1777" w:type="dxa"/>
            <w:tcBorders>
              <w:top w:val="single" w:sz="12" w:space="0" w:color="auto"/>
              <w:left w:val="single" w:sz="6" w:space="0" w:color="auto"/>
              <w:bottom w:val="single" w:sz="12" w:space="0" w:color="auto"/>
              <w:right w:val="single" w:sz="4" w:space="0" w:color="auto"/>
            </w:tcBorders>
            <w:shd w:val="clear" w:color="auto" w:fill="auto"/>
            <w:vAlign w:val="center"/>
          </w:tcPr>
          <w:p>
            <w:pPr>
              <w:jc w:val="center"/>
              <w:textAlignment w:val="baseline"/>
              <w:rPr>
                <w:noProof/>
                <w:szCs w:val="24"/>
                <w:lang w:val="en-IE"/>
              </w:rPr>
            </w:pPr>
            <w:r>
              <w:rPr>
                <w:b/>
                <w:bCs/>
                <w:noProof/>
                <w:szCs w:val="24"/>
                <w:lang w:val="en-IE"/>
              </w:rPr>
              <w:t>Reintroduction of the tax levy</w:t>
            </w:r>
          </w:p>
        </w:tc>
        <w:tc>
          <w:tcPr>
            <w:tcW w:w="1544" w:type="dxa"/>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noProof/>
                <w:szCs w:val="24"/>
                <w:lang w:val="en-IE"/>
              </w:rPr>
            </w:pPr>
            <w:r>
              <w:rPr>
                <w:bCs/>
                <w:noProof/>
                <w:szCs w:val="24"/>
                <w:lang w:val="en-IE"/>
              </w:rPr>
              <w:t>12/12/2019</w:t>
            </w:r>
          </w:p>
        </w:tc>
        <w:tc>
          <w:tcPr>
            <w:tcW w:w="351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i/>
                <w:noProof/>
                <w:szCs w:val="24"/>
                <w:lang w:val="en-IE"/>
              </w:rPr>
            </w:pPr>
            <w:r>
              <w:rPr>
                <w:bCs/>
                <w:i/>
                <w:noProof/>
                <w:szCs w:val="24"/>
                <w:lang w:val="en-IE"/>
              </w:rPr>
              <w:t>T</w:t>
            </w:r>
            <w:r>
              <w:rPr>
                <w:bCs/>
                <w:i/>
                <w:noProof/>
                <w:szCs w:val="24"/>
                <w:lang w:val="en-IE"/>
              </w:rPr>
              <w:noBreakHyphen/>
              <w:t>527/16</w:t>
            </w:r>
          </w:p>
          <w:p>
            <w:pPr>
              <w:jc w:val="center"/>
              <w:textAlignment w:val="baseline"/>
              <w:rPr>
                <w:i/>
                <w:noProof/>
                <w:szCs w:val="24"/>
                <w:lang w:val="en-IE"/>
              </w:rPr>
            </w:pPr>
            <w:r>
              <w:rPr>
                <w:bCs/>
                <w:i/>
                <w:noProof/>
                <w:szCs w:val="24"/>
                <w:lang w:val="en-IE"/>
              </w:rPr>
              <w:t>Margarita Tàpias</w:t>
            </w:r>
          </w:p>
          <w:p>
            <w:pPr>
              <w:jc w:val="center"/>
              <w:textAlignment w:val="baseline"/>
              <w:rPr>
                <w:i/>
                <w:noProof/>
                <w:szCs w:val="24"/>
                <w:lang w:val="en-IE"/>
              </w:rPr>
            </w:pPr>
            <w:r>
              <w:rPr>
                <w:bCs/>
                <w:i/>
                <w:noProof/>
                <w:szCs w:val="24"/>
                <w:lang w:val="en-IE"/>
              </w:rPr>
              <w:t>v</w:t>
            </w:r>
          </w:p>
          <w:p>
            <w:pPr>
              <w:jc w:val="center"/>
              <w:textAlignment w:val="baseline"/>
              <w:rPr>
                <w:noProof/>
                <w:szCs w:val="24"/>
                <w:lang w:val="en-IE"/>
              </w:rPr>
            </w:pPr>
            <w:r>
              <w:rPr>
                <w:bCs/>
                <w:i/>
                <w:noProof/>
                <w:szCs w:val="24"/>
                <w:lang w:val="en-IE"/>
              </w:rPr>
              <w:t>Council of the European Union</w:t>
            </w:r>
          </w:p>
        </w:tc>
        <w:tc>
          <w:tcPr>
            <w:tcW w:w="2037" w:type="dxa"/>
            <w:tcBorders>
              <w:top w:val="single" w:sz="12" w:space="0" w:color="auto"/>
              <w:left w:val="single" w:sz="4" w:space="0" w:color="auto"/>
              <w:bottom w:val="single" w:sz="12" w:space="0" w:color="auto"/>
              <w:right w:val="single" w:sz="4" w:space="0" w:color="auto"/>
            </w:tcBorders>
            <w:shd w:val="clear" w:color="auto" w:fill="auto"/>
            <w:vAlign w:val="center"/>
          </w:tcPr>
          <w:p>
            <w:pPr>
              <w:jc w:val="center"/>
              <w:textAlignment w:val="baseline"/>
              <w:rPr>
                <w:b/>
                <w:noProof/>
                <w:szCs w:val="24"/>
                <w:lang w:val="en-IE"/>
              </w:rPr>
            </w:pPr>
            <w:r>
              <w:rPr>
                <w:b/>
                <w:noProof/>
                <w:szCs w:val="24"/>
                <w:lang w:val="en-IE"/>
              </w:rPr>
              <w:t>Rejected</w:t>
            </w:r>
          </w:p>
        </w:tc>
        <w:tc>
          <w:tcPr>
            <w:tcW w:w="6060" w:type="dxa"/>
            <w:tcBorders>
              <w:top w:val="single" w:sz="12" w:space="0" w:color="auto"/>
              <w:left w:val="single" w:sz="4" w:space="0" w:color="auto"/>
              <w:bottom w:val="single" w:sz="12" w:space="0" w:color="auto"/>
              <w:right w:val="single" w:sz="6" w:space="0" w:color="auto"/>
            </w:tcBorders>
            <w:shd w:val="clear" w:color="auto" w:fill="auto"/>
            <w:vAlign w:val="center"/>
          </w:tcPr>
          <w:p>
            <w:pPr>
              <w:textAlignment w:val="baseline"/>
              <w:rPr>
                <w:bCs/>
                <w:noProof/>
                <w:szCs w:val="24"/>
                <w:lang w:val="en-IE"/>
              </w:rPr>
            </w:pPr>
            <w:r>
              <w:rPr>
                <w:bCs/>
                <w:noProof/>
                <w:szCs w:val="24"/>
                <w:lang w:val="en-IE"/>
              </w:rPr>
              <w:t>As a counterpart to the "Method" for updating remuneration and pensions, the 2013 reform of the Staff Regulations reintroduced a 'solidarity levy' applicable as of 2014 replacing earlier and similar levies. The rate was set at 6% (7% for officials at grade AD 15, step 2, and above).</w:t>
            </w:r>
          </w:p>
          <w:p>
            <w:pPr>
              <w:textAlignment w:val="baseline"/>
              <w:rPr>
                <w:noProof/>
                <w:szCs w:val="24"/>
                <w:lang w:val="en-IE"/>
              </w:rPr>
            </w:pPr>
            <w:r>
              <w:rPr>
                <w:bCs/>
                <w:noProof/>
                <w:szCs w:val="24"/>
                <w:lang w:val="en-IE"/>
              </w:rPr>
              <w:t>Staff members contested the reintroduction of this levy arguing notably that the implementation of the levy while the method of salary adjustments is suspended would be contrary to the principle of parallelism of the evolution of purchasing power of EU staff and national officials in central governments. The Court recalled that in the exercise of its wide discretion, the legislator could provide, in Regulation No 1023/2013, that the solidarity levy would apply during a period in which the application of the method for adjusting remuneration was suspended, even if in the past the practice was different.</w:t>
            </w:r>
          </w:p>
        </w:tc>
      </w:tr>
      <w:tr>
        <w:trPr>
          <w:trHeight w:val="2522"/>
          <w:jc w:val="center"/>
        </w:trPr>
        <w:tc>
          <w:tcPr>
            <w:tcW w:w="1777" w:type="dxa"/>
            <w:vMerge w:val="restart"/>
            <w:tcBorders>
              <w:top w:val="single" w:sz="12" w:space="0" w:color="auto"/>
            </w:tcBorders>
            <w:vAlign w:val="center"/>
          </w:tcPr>
          <w:p>
            <w:pPr>
              <w:rPr>
                <w:b/>
                <w:noProof/>
                <w:szCs w:val="24"/>
                <w:lang w:val="en-IE"/>
              </w:rPr>
            </w:pPr>
            <w:r>
              <w:rPr>
                <w:b/>
                <w:noProof/>
                <w:szCs w:val="24"/>
                <w:lang w:val="en-IE"/>
              </w:rPr>
              <w:t>Institution’s language regime</w:t>
            </w:r>
          </w:p>
        </w:tc>
        <w:tc>
          <w:tcPr>
            <w:tcW w:w="1544" w:type="dxa"/>
            <w:vMerge w:val="restart"/>
            <w:tcBorders>
              <w:top w:val="single" w:sz="12" w:space="0" w:color="auto"/>
            </w:tcBorders>
            <w:vAlign w:val="center"/>
          </w:tcPr>
          <w:p>
            <w:pPr>
              <w:jc w:val="center"/>
              <w:rPr>
                <w:noProof/>
                <w:szCs w:val="24"/>
                <w:lang w:val="en-IE"/>
              </w:rPr>
            </w:pPr>
            <w:r>
              <w:rPr>
                <w:noProof/>
                <w:szCs w:val="24"/>
                <w:lang w:val="en-IE"/>
              </w:rPr>
              <w:t>09/09/2020</w:t>
            </w:r>
          </w:p>
          <w:p>
            <w:pPr>
              <w:rPr>
                <w:noProof/>
                <w:szCs w:val="24"/>
                <w:lang w:val="en-IE"/>
              </w:rPr>
            </w:pPr>
            <w:r>
              <w:rPr>
                <w:noProof/>
                <w:szCs w:val="24"/>
                <w:lang w:val="en-IE"/>
              </w:rPr>
              <w:tab/>
            </w:r>
          </w:p>
        </w:tc>
        <w:tc>
          <w:tcPr>
            <w:tcW w:w="3517" w:type="dxa"/>
            <w:gridSpan w:val="2"/>
            <w:tcBorders>
              <w:top w:val="single" w:sz="12" w:space="0" w:color="auto"/>
              <w:bottom w:val="single" w:sz="4" w:space="0" w:color="auto"/>
            </w:tcBorders>
            <w:vAlign w:val="center"/>
          </w:tcPr>
          <w:p>
            <w:pPr>
              <w:jc w:val="center"/>
              <w:rPr>
                <w:i/>
                <w:noProof/>
                <w:szCs w:val="24"/>
                <w:lang w:val="en-IE"/>
              </w:rPr>
            </w:pPr>
            <w:r>
              <w:rPr>
                <w:i/>
                <w:noProof/>
                <w:szCs w:val="24"/>
                <w:lang w:val="en-IE"/>
              </w:rPr>
              <w:t>T-437/16</w:t>
            </w:r>
          </w:p>
          <w:p>
            <w:pPr>
              <w:jc w:val="center"/>
              <w:rPr>
                <w:i/>
                <w:noProof/>
                <w:szCs w:val="24"/>
                <w:lang w:val="en-IE"/>
              </w:rPr>
            </w:pPr>
            <w:r>
              <w:rPr>
                <w:i/>
                <w:noProof/>
                <w:szCs w:val="24"/>
                <w:lang w:val="en-IE"/>
              </w:rPr>
              <w:t>Italy v Commission</w:t>
            </w:r>
          </w:p>
        </w:tc>
        <w:tc>
          <w:tcPr>
            <w:tcW w:w="2037" w:type="dxa"/>
            <w:vMerge w:val="restart"/>
            <w:tcBorders>
              <w:top w:val="single" w:sz="12" w:space="0" w:color="auto"/>
            </w:tcBorders>
            <w:vAlign w:val="center"/>
          </w:tcPr>
          <w:p>
            <w:pPr>
              <w:jc w:val="center"/>
              <w:rPr>
                <w:b/>
                <w:noProof/>
                <w:szCs w:val="24"/>
                <w:lang w:val="en-IE"/>
              </w:rPr>
            </w:pPr>
            <w:r>
              <w:rPr>
                <w:b/>
                <w:noProof/>
                <w:szCs w:val="24"/>
                <w:lang w:val="en-IE"/>
              </w:rPr>
              <w:t>Pending</w:t>
            </w:r>
          </w:p>
        </w:tc>
        <w:tc>
          <w:tcPr>
            <w:tcW w:w="6060" w:type="dxa"/>
            <w:vMerge w:val="restart"/>
            <w:tcBorders>
              <w:top w:val="single" w:sz="12" w:space="0" w:color="auto"/>
            </w:tcBorders>
            <w:vAlign w:val="center"/>
          </w:tcPr>
          <w:p>
            <w:pPr>
              <w:rPr>
                <w:noProof/>
                <w:szCs w:val="24"/>
                <w:lang w:val="en-IE"/>
              </w:rPr>
            </w:pPr>
            <w:r>
              <w:rPr>
                <w:noProof/>
                <w:szCs w:val="24"/>
                <w:lang w:val="en-IE"/>
              </w:rPr>
              <w:t>In its judgments of 9 September 2020 in Case T-437/16, Italy v Commission and in joined Cases T-401/16, Spain v Commission and T-443/16, Italy v Commission, the General Court annulled three Notices of Competition published by EPSO in 2016 for the recruitment of specialists (auditors and OLAF investigators) for the Commission and other institutions.</w:t>
            </w:r>
          </w:p>
          <w:p>
            <w:pPr>
              <w:rPr>
                <w:noProof/>
                <w:szCs w:val="24"/>
                <w:lang w:val="en-IE"/>
              </w:rPr>
            </w:pPr>
            <w:r>
              <w:rPr>
                <w:noProof/>
                <w:szCs w:val="24"/>
                <w:lang w:val="en-IE"/>
              </w:rPr>
              <w:t>The General Court found, first, that the requirement to indicate only English, French and German both as the second language in which certain tests have to be taken and as the language of communication with EPSO during competition procedures was discriminatory and, second, that there is no evidence of interests of the service that can justify such linguistic restriction.</w:t>
            </w:r>
          </w:p>
          <w:p>
            <w:pPr>
              <w:rPr>
                <w:noProof/>
                <w:szCs w:val="24"/>
                <w:lang w:val="en-IE"/>
              </w:rPr>
            </w:pPr>
            <w:r>
              <w:rPr>
                <w:noProof/>
                <w:szCs w:val="24"/>
                <w:lang w:val="en-IE"/>
              </w:rPr>
              <w:t>The Commission decided to lodge an appeal against the judgments of the General Court of 9 September 2020, which, in its opinion, is contrary to some principles established by the Court of Justice in the same matter.</w:t>
            </w:r>
          </w:p>
        </w:tc>
      </w:tr>
      <w:tr>
        <w:trPr>
          <w:trHeight w:val="2313"/>
          <w:jc w:val="center"/>
        </w:trPr>
        <w:tc>
          <w:tcPr>
            <w:tcW w:w="1777" w:type="dxa"/>
            <w:vMerge/>
            <w:vAlign w:val="center"/>
          </w:tcPr>
          <w:p>
            <w:pPr>
              <w:rPr>
                <w:b/>
                <w:noProof/>
                <w:szCs w:val="24"/>
                <w:lang w:val="en-IE"/>
              </w:rPr>
            </w:pPr>
          </w:p>
        </w:tc>
        <w:tc>
          <w:tcPr>
            <w:tcW w:w="1544" w:type="dxa"/>
            <w:vMerge/>
            <w:vAlign w:val="center"/>
          </w:tcPr>
          <w:p>
            <w:pPr>
              <w:rPr>
                <w:noProof/>
                <w:szCs w:val="24"/>
                <w:lang w:val="en-IE"/>
              </w:rPr>
            </w:pPr>
          </w:p>
        </w:tc>
        <w:tc>
          <w:tcPr>
            <w:tcW w:w="3517" w:type="dxa"/>
            <w:gridSpan w:val="2"/>
            <w:tcBorders>
              <w:top w:val="single" w:sz="4" w:space="0" w:color="auto"/>
              <w:bottom w:val="single" w:sz="12" w:space="0" w:color="auto"/>
            </w:tcBorders>
            <w:vAlign w:val="center"/>
          </w:tcPr>
          <w:p>
            <w:pPr>
              <w:jc w:val="center"/>
              <w:rPr>
                <w:i/>
                <w:noProof/>
                <w:szCs w:val="24"/>
                <w:lang w:val="en-IE"/>
              </w:rPr>
            </w:pPr>
            <w:r>
              <w:rPr>
                <w:i/>
                <w:noProof/>
                <w:szCs w:val="24"/>
                <w:lang w:val="en-IE"/>
              </w:rPr>
              <w:t xml:space="preserve">Joined Cases </w:t>
            </w:r>
          </w:p>
          <w:p>
            <w:pPr>
              <w:jc w:val="center"/>
              <w:rPr>
                <w:i/>
                <w:noProof/>
                <w:szCs w:val="24"/>
                <w:lang w:val="en-IE"/>
              </w:rPr>
            </w:pPr>
            <w:r>
              <w:rPr>
                <w:i/>
                <w:noProof/>
                <w:szCs w:val="24"/>
                <w:lang w:val="en-IE"/>
              </w:rPr>
              <w:t>T-401/16</w:t>
            </w:r>
          </w:p>
          <w:p>
            <w:pPr>
              <w:jc w:val="center"/>
              <w:rPr>
                <w:i/>
                <w:noProof/>
                <w:szCs w:val="24"/>
                <w:lang w:val="en-IE"/>
              </w:rPr>
            </w:pPr>
            <w:r>
              <w:rPr>
                <w:i/>
                <w:noProof/>
                <w:szCs w:val="24"/>
                <w:lang w:val="en-IE"/>
              </w:rPr>
              <w:t xml:space="preserve"> Spain v Commission </w:t>
            </w:r>
          </w:p>
          <w:p>
            <w:pPr>
              <w:jc w:val="center"/>
              <w:rPr>
                <w:i/>
                <w:noProof/>
                <w:szCs w:val="24"/>
                <w:lang w:val="en-IE"/>
              </w:rPr>
            </w:pPr>
            <w:r>
              <w:rPr>
                <w:i/>
                <w:noProof/>
                <w:szCs w:val="24"/>
                <w:lang w:val="en-IE"/>
              </w:rPr>
              <w:t xml:space="preserve">and </w:t>
            </w:r>
          </w:p>
          <w:p>
            <w:pPr>
              <w:jc w:val="center"/>
              <w:rPr>
                <w:i/>
                <w:noProof/>
                <w:szCs w:val="24"/>
                <w:lang w:val="en-IE"/>
              </w:rPr>
            </w:pPr>
            <w:r>
              <w:rPr>
                <w:i/>
                <w:noProof/>
                <w:szCs w:val="24"/>
                <w:lang w:val="en-IE"/>
              </w:rPr>
              <w:t>T-443/16</w:t>
            </w:r>
          </w:p>
          <w:p>
            <w:pPr>
              <w:jc w:val="center"/>
              <w:rPr>
                <w:i/>
                <w:noProof/>
                <w:szCs w:val="24"/>
                <w:lang w:val="en-IE"/>
              </w:rPr>
            </w:pPr>
            <w:r>
              <w:rPr>
                <w:i/>
                <w:noProof/>
                <w:szCs w:val="24"/>
                <w:lang w:val="en-IE"/>
              </w:rPr>
              <w:t>Italy v Commission</w:t>
            </w:r>
          </w:p>
        </w:tc>
        <w:tc>
          <w:tcPr>
            <w:tcW w:w="2037" w:type="dxa"/>
            <w:vMerge/>
            <w:vAlign w:val="center"/>
          </w:tcPr>
          <w:p>
            <w:pPr>
              <w:jc w:val="center"/>
              <w:rPr>
                <w:b/>
                <w:noProof/>
                <w:szCs w:val="24"/>
                <w:lang w:val="en-IE"/>
              </w:rPr>
            </w:pPr>
          </w:p>
        </w:tc>
        <w:tc>
          <w:tcPr>
            <w:tcW w:w="6060" w:type="dxa"/>
            <w:vMerge/>
            <w:vAlign w:val="center"/>
          </w:tcPr>
          <w:p>
            <w:pPr>
              <w:rPr>
                <w:noProof/>
                <w:szCs w:val="24"/>
                <w:lang w:val="en-IE"/>
              </w:rPr>
            </w:pPr>
          </w:p>
        </w:tc>
      </w:tr>
    </w:tbl>
    <w:p>
      <w:pPr>
        <w:spacing w:after="0"/>
        <w:textAlignment w:val="baseline"/>
        <w:rPr>
          <w:b/>
          <w:bCs/>
          <w:noProof/>
          <w:szCs w:val="24"/>
          <w:lang w:val="en-IE"/>
        </w:rPr>
      </w:pPr>
    </w:p>
    <w:sectPr>
      <w:headerReference w:type="even" r:id="rId64"/>
      <w:headerReference w:type="default" r:id="rId65"/>
      <w:footerReference w:type="even" r:id="rId66"/>
      <w:footerReference w:type="default" r:id="rId67"/>
      <w:headerReference w:type="first" r:id="rId68"/>
      <w:footerReference w:type="first" r:id="rId6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423D07" w16cex:dateUtc="2020-11-04T08:12:18.351Z"/>
</w16cex:commentsExtensible>
</file>

<file path=word/commentsIds.xml><?xml version="1.0" encoding="utf-8"?>
<w16cid:commentsIds xmlns:mc="http://schemas.openxmlformats.org/markup-compatibility/2006" xmlns:w16cid="http://schemas.microsoft.com/office/word/2016/wordml/cid" mc:Ignorable="w16cid">
  <w16cid:commentId w16cid:paraId="412985DF" w16cid:durableId="744FB982"/>
  <w16cid:commentId w16cid:paraId="332F43C6" w16cid:durableId="262DC5CE"/>
  <w16cid:commentId w16cid:paraId="575A7627" w16cid:durableId="618BDD7D"/>
  <w16cid:commentId w16cid:paraId="62D611B1" w16cid:durableId="62EA5E55"/>
  <w16cid:commentId w16cid:paraId="59F4FB01" w16cid:durableId="26C9E0DC"/>
  <w16cid:commentId w16cid:paraId="35836E38" w16cid:durableId="598DF5B2"/>
  <w16cid:commentId w16cid:paraId="1D2F3B21" w16cid:durableId="7EF0E94A"/>
  <w16cid:commentId w16cid:paraId="582B9522" w16cid:durableId="2D18138F"/>
  <w16cid:commentId w16cid:paraId="47939AD0" w16cid:durableId="365739AD"/>
  <w16cid:commentId w16cid:paraId="482BC071" w16cid:durableId="14423D07"/>
  <w16cid:commentId w16cid:paraId="6DE86484" w16cid:durableId="3AC4E8CD"/>
  <w16cid:commentId w16cid:paraId="2924AF45" w16cid:durableId="5972D999"/>
  <w16cid:commentId w16cid:paraId="5B61AE55" w16cid:durableId="2C4E61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1343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707488304"/>
    </w:sdtPr>
    <w:sdtContent>
      <w:p>
        <w:pPr>
          <w:pStyle w:val="Footer"/>
          <w:rPr>
            <w:sz w:val="24"/>
          </w:rPr>
        </w:pPr>
      </w:p>
      <w:p>
        <w:pPr>
          <w:pStyle w:val="Footer"/>
        </w:pPr>
        <w:sdt>
          <w:sdtPr>
            <w:rPr>
              <w:lang w:val="fr-BE"/>
            </w:rPr>
            <w:id w:val="-1270539981"/>
            <w:dataBinding w:xpath="/Author/Addresses/Address[Id = 'f03b5801-04c9-4931-aa17-c6d6c70bc579']/Footer" w:storeItemID="{272DCEA4-7109-4B17-96D0-93B484ED1E2D}"/>
            <w:text w:multiLine="1"/>
          </w:sdtPr>
          <w:sdtContent>
            <w:r>
              <w:rPr>
                <w:lang w:val="fr-BE"/>
              </w:rPr>
              <w:t>Commission européenne/Europese Commissie, 1049 Bruxelles/Brussel, BELGIQUE/BELGIË - Tel. +32 22991111</w:t>
            </w:r>
          </w:sdtContent>
        </w:sdt>
      </w:p>
      <w:p>
        <w:pPr>
          <w:pStyle w:val="Footer"/>
        </w:pPr>
        <w:sdt>
          <w:sdtPr>
            <w:id w:val="375436050"/>
            <w:dataBinding w:xpath="/Texts/FooterOffice" w:storeItemID="{4EF90DE6-88B6-4264-9629-4D8DFDFE87D2}"/>
            <w:text w:multiLine="1"/>
          </w:sdtPr>
          <w:sdtContent>
            <w:r>
              <w:t>Office:</w:t>
            </w:r>
          </w:sdtContent>
        </w:sdt>
        <w:r>
          <w:t xml:space="preserve"> </w:t>
        </w:r>
        <w:sdt>
          <w:sdtPr>
            <w:id w:val="571314234"/>
            <w:dataBinding w:xpath="/Author/Workplaces/Workplace[AddressId = 'f03b5801-04c9-4931-aa17-c6d6c70bc579']/Office" w:storeItemID="{272DCEA4-7109-4B17-96D0-93B484ED1E2D}"/>
            <w:text w:multiLine="1"/>
          </w:sdtPr>
          <w:sdtContent>
            <w:r>
              <w:t>SC11 05/060</w:t>
            </w:r>
          </w:sdtContent>
        </w:sdt>
        <w:r>
          <w:t xml:space="preserve"> - </w:t>
        </w:r>
        <w:sdt>
          <w:sdtPr>
            <w:id w:val="1345980611"/>
            <w:dataBinding w:xpath="/Texts/FooterPhone" w:storeItemID="{4EF90DE6-88B6-4264-9629-4D8DFDFE87D2}"/>
            <w:text w:multiLine="1"/>
          </w:sdtPr>
          <w:sdtContent>
            <w:r>
              <w:t>Tel. direct line</w:t>
            </w:r>
          </w:sdtContent>
        </w:sdt>
        <w:r>
          <w:t xml:space="preserve"> </w:t>
        </w:r>
        <w:sdt>
          <w:sdtPr>
            <w:id w:val="1716310777"/>
            <w:dataBinding w:xpath="/Author/Workplaces/Workplace[AddressId = 'f03b5801-04c9-4931-aa17-c6d6c70bc579']/Phone" w:storeItemID="{272DCEA4-7109-4B17-96D0-93B484ED1E2D}"/>
            <w:text w:multiLine="1"/>
          </w:sdtPr>
          <w:sdtContent>
            <w:r>
              <w:t>+32 229-69098</w:t>
            </w:r>
          </w:sdtContent>
        </w:sdt>
      </w:p>
      <w:p>
        <w:pPr>
          <w:pStyle w:val="Footer"/>
          <w:rPr>
            <w:sz w:val="12"/>
          </w:rPr>
        </w:pPr>
      </w:p>
    </w:sdtContent>
  </w:sdt>
  <w:p>
    <w:pPr>
      <w:pStyle w:val="Footer"/>
    </w:pPr>
    <w:sdt>
      <w:sdtPr>
        <w:alias w:val="Email Address"/>
        <w:tag w:val="MjGgt6e7BqMZJMWY5fWzc6"/>
        <w:id w:val="99696275"/>
        <w:dataBinding w:xpath="/Author/Email" w:storeItemID="{272DCEA4-7109-4B17-96D0-93B484ED1E2D}"/>
        <w:text w:multiLine="1"/>
      </w:sdtPr>
      <w:sdtContent>
        <w:r>
          <w:t>Stanislav.DEMIRDJIEV@ec.europa.eu</w:t>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40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1753357424"/>
    </w:sdtPr>
    <w:sdtContent>
      <w:p>
        <w:pPr>
          <w:pStyle w:val="Footer"/>
          <w:rPr>
            <w:sz w:val="24"/>
          </w:rPr>
        </w:pPr>
      </w:p>
      <w:p>
        <w:pPr>
          <w:pStyle w:val="Footer"/>
        </w:pPr>
        <w:sdt>
          <w:sdtPr>
            <w:rPr>
              <w:lang w:val="fr-BE"/>
            </w:rPr>
            <w:id w:val="-2145109487"/>
            <w:dataBinding w:xpath="/Author/Addresses/Address[Id = 'f03b5801-04c9-4931-aa17-c6d6c70bc579']/Footer" w:storeItemID="{272DCEA4-7109-4B17-96D0-93B484ED1E2D}"/>
            <w:text w:multiLine="1"/>
          </w:sdtPr>
          <w:sdtContent>
            <w:r>
              <w:rPr>
                <w:lang w:val="fr-BE"/>
              </w:rPr>
              <w:t>Commission européenne/Europese Commissie, 1049 Bruxelles/Brussel, BELGIQUE/BELGIË - Tel. +32 22991111</w:t>
            </w:r>
          </w:sdtContent>
        </w:sdt>
      </w:p>
      <w:p>
        <w:pPr>
          <w:pStyle w:val="Footer"/>
        </w:pPr>
        <w:sdt>
          <w:sdtPr>
            <w:id w:val="-377542328"/>
            <w:dataBinding w:xpath="/Texts/FooterOffice" w:storeItemID="{4EF90DE6-88B6-4264-9629-4D8DFDFE87D2}"/>
            <w:text w:multiLine="1"/>
          </w:sdtPr>
          <w:sdtContent>
            <w:r>
              <w:t>Office:</w:t>
            </w:r>
          </w:sdtContent>
        </w:sdt>
        <w:r>
          <w:t xml:space="preserve"> </w:t>
        </w:r>
        <w:sdt>
          <w:sdtPr>
            <w:id w:val="13351775"/>
            <w:dataBinding w:xpath="/Author/Workplaces/Workplace[AddressId = 'f03b5801-04c9-4931-aa17-c6d6c70bc579']/Office" w:storeItemID="{272DCEA4-7109-4B17-96D0-93B484ED1E2D}"/>
            <w:text w:multiLine="1"/>
          </w:sdtPr>
          <w:sdtContent>
            <w:r>
              <w:t>SC11 05/060</w:t>
            </w:r>
          </w:sdtContent>
        </w:sdt>
        <w:r>
          <w:t xml:space="preserve"> - </w:t>
        </w:r>
        <w:sdt>
          <w:sdtPr>
            <w:id w:val="-1990384199"/>
            <w:dataBinding w:xpath="/Texts/FooterPhone" w:storeItemID="{4EF90DE6-88B6-4264-9629-4D8DFDFE87D2}"/>
            <w:text w:multiLine="1"/>
          </w:sdtPr>
          <w:sdtContent>
            <w:r>
              <w:t>Tel. direct line</w:t>
            </w:r>
          </w:sdtContent>
        </w:sdt>
        <w:r>
          <w:t xml:space="preserve"> </w:t>
        </w:r>
        <w:sdt>
          <w:sdtPr>
            <w:id w:val="-2059622815"/>
            <w:dataBinding w:xpath="/Author/Workplaces/Workplace[AddressId = 'f03b5801-04c9-4931-aa17-c6d6c70bc579']/Phone" w:storeItemID="{272DCEA4-7109-4B17-96D0-93B484ED1E2D}"/>
            <w:text w:multiLine="1"/>
          </w:sdtPr>
          <w:sdtContent>
            <w:r>
              <w:t>+32 229-69098</w:t>
            </w:r>
          </w:sdtContent>
        </w:sdt>
      </w:p>
      <w:p>
        <w:pPr>
          <w:pStyle w:val="Footer"/>
          <w:rPr>
            <w:sz w:val="12"/>
          </w:rPr>
        </w:pPr>
      </w:p>
    </w:sdtContent>
  </w:sdt>
  <w:p>
    <w:pPr>
      <w:pStyle w:val="Footer"/>
    </w:pPr>
    <w:sdt>
      <w:sdtPr>
        <w:alias w:val="Email Address"/>
        <w:tag w:val="MjGgt6e7BqMZJMWY5fWzc6"/>
        <w:id w:val="1115493603"/>
        <w:dataBinding w:xpath="/Author/Email" w:storeItemID="{272DCEA4-7109-4B17-96D0-93B484ED1E2D}"/>
        <w:text w:multiLine="1"/>
      </w:sdtPr>
      <w:sdtContent>
        <w:r>
          <w:t>Stanislav.DEMIRDJIEV@ec.europa.eu</w:t>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1066948959"/>
    </w:sdtPr>
    <w:sdtContent>
      <w:p>
        <w:pPr>
          <w:pStyle w:val="Footer"/>
          <w:rPr>
            <w:sz w:val="24"/>
          </w:rPr>
        </w:pPr>
      </w:p>
      <w:p>
        <w:pPr>
          <w:pStyle w:val="Footer"/>
        </w:pPr>
        <w:sdt>
          <w:sdtPr>
            <w:rPr>
              <w:lang w:val="fr-BE"/>
            </w:rPr>
            <w:id w:val="-624772655"/>
            <w:dataBinding w:xpath="/Author/Addresses/Address[Id = 'f03b5801-04c9-4931-aa17-c6d6c70bc579']/Footer" w:storeItemID="{272DCEA4-7109-4B17-96D0-93B484ED1E2D}"/>
            <w:text w:multiLine="1"/>
          </w:sdtPr>
          <w:sdtContent>
            <w:r>
              <w:rPr>
                <w:lang w:val="fr-BE"/>
              </w:rPr>
              <w:t>Commission européenne/Europese Commissie, 1049 Bruxelles/Brussel, BELGIQUE/BELGIË - Tel. +32 22991111</w:t>
            </w:r>
          </w:sdtContent>
        </w:sdt>
      </w:p>
      <w:p>
        <w:pPr>
          <w:pStyle w:val="Footer"/>
        </w:pPr>
        <w:sdt>
          <w:sdtPr>
            <w:id w:val="-477842766"/>
            <w:dataBinding w:xpath="/Texts/FooterOffice" w:storeItemID="{4EF90DE6-88B6-4264-9629-4D8DFDFE87D2}"/>
            <w:text w:multiLine="1"/>
          </w:sdtPr>
          <w:sdtContent>
            <w:r>
              <w:t>Office:</w:t>
            </w:r>
          </w:sdtContent>
        </w:sdt>
        <w:r>
          <w:t xml:space="preserve"> </w:t>
        </w:r>
        <w:sdt>
          <w:sdtPr>
            <w:id w:val="-1147820571"/>
            <w:dataBinding w:xpath="/Author/Workplaces/Workplace[AddressId = 'f03b5801-04c9-4931-aa17-c6d6c70bc579']/Office" w:storeItemID="{272DCEA4-7109-4B17-96D0-93B484ED1E2D}"/>
            <w:text w:multiLine="1"/>
          </w:sdtPr>
          <w:sdtContent>
            <w:r>
              <w:t>SC11 05/060</w:t>
            </w:r>
          </w:sdtContent>
        </w:sdt>
        <w:r>
          <w:t xml:space="preserve"> - </w:t>
        </w:r>
        <w:sdt>
          <w:sdtPr>
            <w:id w:val="-1528786256"/>
            <w:dataBinding w:xpath="/Texts/FooterPhone" w:storeItemID="{4EF90DE6-88B6-4264-9629-4D8DFDFE87D2}"/>
            <w:text w:multiLine="1"/>
          </w:sdtPr>
          <w:sdtContent>
            <w:r>
              <w:t>Tel. direct line</w:t>
            </w:r>
          </w:sdtContent>
        </w:sdt>
        <w:r>
          <w:t xml:space="preserve"> </w:t>
        </w:r>
        <w:sdt>
          <w:sdtPr>
            <w:id w:val="-672257215"/>
            <w:dataBinding w:xpath="/Author/Workplaces/Workplace[AddressId = 'f03b5801-04c9-4931-aa17-c6d6c70bc579']/Phone" w:storeItemID="{272DCEA4-7109-4B17-96D0-93B484ED1E2D}"/>
            <w:text w:multiLine="1"/>
          </w:sdtPr>
          <w:sdtContent>
            <w:r>
              <w:t>+32 229-69098</w:t>
            </w:r>
          </w:sdtContent>
        </w:sdt>
      </w:p>
      <w:p>
        <w:pPr>
          <w:pStyle w:val="Footer"/>
          <w:rPr>
            <w:sz w:val="12"/>
          </w:rPr>
        </w:pPr>
      </w:p>
    </w:sdtContent>
  </w:sdt>
  <w:p>
    <w:pPr>
      <w:pStyle w:val="Footer"/>
    </w:pPr>
    <w:sdt>
      <w:sdtPr>
        <w:alias w:val="Email Address"/>
        <w:tag w:val="MjGgt6e7BqMZJMWY5fWzc6"/>
        <w:id w:val="-1486553397"/>
        <w:dataBinding w:xpath="/Author/Email" w:storeItemID="{272DCEA4-7109-4B17-96D0-93B484ED1E2D}"/>
        <w:text w:multiLine="1"/>
      </w:sdtPr>
      <w:sdtContent>
        <w:r>
          <w:t>Stanislav.DEMIRDJIEV@ec.europa.eu</w:t>
        </w:r>
      </w:sdtContent>
    </w:sdt>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1271282425"/>
    </w:sdtPr>
    <w:sdtContent>
      <w:p>
        <w:pPr>
          <w:pStyle w:val="Footer"/>
          <w:rPr>
            <w:sz w:val="24"/>
          </w:rPr>
        </w:pPr>
      </w:p>
      <w:p>
        <w:pPr>
          <w:pStyle w:val="Footer"/>
        </w:pPr>
        <w:sdt>
          <w:sdtPr>
            <w:rPr>
              <w:lang w:val="fr-BE"/>
            </w:rPr>
            <w:id w:val="-1273159990"/>
            <w:dataBinding w:xpath="/Author/Addresses/Address[Id = 'f03b5801-04c9-4931-aa17-c6d6c70bc579']/Footer" w:storeItemID="{272DCEA4-7109-4B17-96D0-93B484ED1E2D}"/>
            <w:text w:multiLine="1"/>
          </w:sdtPr>
          <w:sdtContent>
            <w:r>
              <w:rPr>
                <w:lang w:val="fr-BE"/>
              </w:rPr>
              <w:t>Commission européenne/Europese Commissie, 1049 Bruxelles/Brussel, BELGIQUE/BELGIË - Tel. +32 22991111</w:t>
            </w:r>
          </w:sdtContent>
        </w:sdt>
      </w:p>
      <w:p>
        <w:pPr>
          <w:pStyle w:val="Footer"/>
        </w:pPr>
        <w:sdt>
          <w:sdtPr>
            <w:id w:val="-2132851918"/>
            <w:dataBinding w:xpath="/Texts/FooterOffice" w:storeItemID="{4EF90DE6-88B6-4264-9629-4D8DFDFE87D2}"/>
            <w:text w:multiLine="1"/>
          </w:sdtPr>
          <w:sdtContent>
            <w:r>
              <w:t>Office:</w:t>
            </w:r>
          </w:sdtContent>
        </w:sdt>
        <w:r>
          <w:t xml:space="preserve"> </w:t>
        </w:r>
        <w:sdt>
          <w:sdtPr>
            <w:id w:val="555824562"/>
            <w:dataBinding w:xpath="/Author/Workplaces/Workplace[AddressId = 'f03b5801-04c9-4931-aa17-c6d6c70bc579']/Office" w:storeItemID="{272DCEA4-7109-4B17-96D0-93B484ED1E2D}"/>
            <w:text w:multiLine="1"/>
          </w:sdtPr>
          <w:sdtContent>
            <w:r>
              <w:t>SC11 05/060</w:t>
            </w:r>
          </w:sdtContent>
        </w:sdt>
        <w:r>
          <w:t xml:space="preserve"> - </w:t>
        </w:r>
        <w:sdt>
          <w:sdtPr>
            <w:id w:val="1136060814"/>
            <w:dataBinding w:xpath="/Texts/FooterPhone" w:storeItemID="{4EF90DE6-88B6-4264-9629-4D8DFDFE87D2}"/>
            <w:text w:multiLine="1"/>
          </w:sdtPr>
          <w:sdtContent>
            <w:r>
              <w:t>Tel. direct line</w:t>
            </w:r>
          </w:sdtContent>
        </w:sdt>
        <w:r>
          <w:t xml:space="preserve"> </w:t>
        </w:r>
        <w:sdt>
          <w:sdtPr>
            <w:id w:val="1406348445"/>
            <w:dataBinding w:xpath="/Author/Workplaces/Workplace[AddressId = 'f03b5801-04c9-4931-aa17-c6d6c70bc579']/Phone" w:storeItemID="{272DCEA4-7109-4B17-96D0-93B484ED1E2D}"/>
            <w:text w:multiLine="1"/>
          </w:sdtPr>
          <w:sdtContent>
            <w:r>
              <w:t>+32 229-69098</w:t>
            </w:r>
          </w:sdtContent>
        </w:sdt>
      </w:p>
      <w:p>
        <w:pPr>
          <w:pStyle w:val="Footer"/>
          <w:rPr>
            <w:sz w:val="12"/>
          </w:rPr>
        </w:pPr>
      </w:p>
    </w:sdtContent>
  </w:sdt>
  <w:p>
    <w:pPr>
      <w:pStyle w:val="Footer"/>
    </w:pPr>
    <w:sdt>
      <w:sdtPr>
        <w:alias w:val="Email Address"/>
        <w:tag w:val="MjGgt6e7BqMZJMWY5fWzc6"/>
        <w:id w:val="-878468769"/>
        <w:dataBinding w:xpath="/Author/Email" w:storeItemID="{272DCEA4-7109-4B17-96D0-93B484ED1E2D}"/>
        <w:text w:multiLine="1"/>
      </w:sdtPr>
      <w:sdtContent>
        <w:r>
          <w:t>Stanislav.DEMIRDJIEV@ec.europa.eu</w:t>
        </w:r>
      </w:sdtContent>
    </w:sdt>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102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Footer - Standard "/>
      <w:tag w:val="SVoGAZ38gakDmzcHmLly90-Uz5BECj2qQF70SGAMzDdI0"/>
      <w:id w:val="-1383169420"/>
    </w:sdtPr>
    <w:sdtContent>
      <w:p>
        <w:pPr>
          <w:pStyle w:val="Footer"/>
          <w:rPr>
            <w:sz w:val="24"/>
          </w:rPr>
        </w:pPr>
      </w:p>
      <w:p>
        <w:pPr>
          <w:pStyle w:val="Footer"/>
        </w:pPr>
        <w:sdt>
          <w:sdtPr>
            <w:rPr>
              <w:lang w:val="fr-BE"/>
            </w:rPr>
            <w:id w:val="-361368627"/>
            <w:dataBinding w:xpath="/Author/Addresses/Address[Id = 'f03b5801-04c9-4931-aa17-c6d6c70bc579']/Footer" w:storeItemID="{272DCEA4-7109-4B17-96D0-93B484ED1E2D}"/>
            <w:text w:multiLine="1"/>
          </w:sdtPr>
          <w:sdtContent>
            <w:r>
              <w:rPr>
                <w:lang w:val="fr-BE"/>
              </w:rPr>
              <w:t>Commission européenne/Europese Commissie, 1049 Bruxelles/Brussel, BELGIQUE/BELGIË - Tel. +32 22991111</w:t>
            </w:r>
          </w:sdtContent>
        </w:sdt>
      </w:p>
      <w:p>
        <w:pPr>
          <w:pStyle w:val="Footer"/>
        </w:pPr>
        <w:sdt>
          <w:sdtPr>
            <w:id w:val="1527898214"/>
            <w:dataBinding w:xpath="/Texts/FooterOffice" w:storeItemID="{4EF90DE6-88B6-4264-9629-4D8DFDFE87D2}"/>
            <w:text w:multiLine="1"/>
          </w:sdtPr>
          <w:sdtContent>
            <w:r>
              <w:t>Office:</w:t>
            </w:r>
          </w:sdtContent>
        </w:sdt>
        <w:r>
          <w:t xml:space="preserve"> </w:t>
        </w:r>
        <w:sdt>
          <w:sdtPr>
            <w:id w:val="377591962"/>
            <w:dataBinding w:xpath="/Author/Workplaces/Workplace[AddressId = 'f03b5801-04c9-4931-aa17-c6d6c70bc579']/Office" w:storeItemID="{272DCEA4-7109-4B17-96D0-93B484ED1E2D}"/>
            <w:text w:multiLine="1"/>
          </w:sdtPr>
          <w:sdtContent>
            <w:r>
              <w:t>SC11 05/060</w:t>
            </w:r>
          </w:sdtContent>
        </w:sdt>
        <w:r>
          <w:t xml:space="preserve"> - </w:t>
        </w:r>
        <w:sdt>
          <w:sdtPr>
            <w:id w:val="-1375844056"/>
            <w:dataBinding w:xpath="/Texts/FooterPhone" w:storeItemID="{4EF90DE6-88B6-4264-9629-4D8DFDFE87D2}"/>
            <w:text w:multiLine="1"/>
          </w:sdtPr>
          <w:sdtContent>
            <w:r>
              <w:t>Tel. direct line</w:t>
            </w:r>
          </w:sdtContent>
        </w:sdt>
        <w:r>
          <w:t xml:space="preserve"> </w:t>
        </w:r>
        <w:sdt>
          <w:sdtPr>
            <w:id w:val="-441450371"/>
            <w:dataBinding w:xpath="/Author/Workplaces/Workplace[AddressId = 'f03b5801-04c9-4931-aa17-c6d6c70bc579']/Phone" w:storeItemID="{272DCEA4-7109-4B17-96D0-93B484ED1E2D}"/>
            <w:text w:multiLine="1"/>
          </w:sdtPr>
          <w:sdtContent>
            <w:r>
              <w:t>+32 229-69098</w:t>
            </w:r>
          </w:sdtContent>
        </w:sdt>
      </w:p>
      <w:p>
        <w:pPr>
          <w:pStyle w:val="Footer"/>
          <w:rPr>
            <w:sz w:val="12"/>
          </w:rPr>
        </w:pPr>
      </w:p>
    </w:sdtContent>
  </w:sdt>
  <w:p>
    <w:pPr>
      <w:pStyle w:val="Footer"/>
    </w:pPr>
    <w:sdt>
      <w:sdtPr>
        <w:alias w:val="Email Address"/>
        <w:tag w:val="MjGgt6e7BqMZJMWY5fWzc6"/>
        <w:id w:val="153270248"/>
        <w:dataBinding w:xpath="/Author/Email" w:storeItemID="{272DCEA4-7109-4B17-96D0-93B484ED1E2D}"/>
        <w:text w:multiLine="1"/>
      </w:sdtPr>
      <w:sdtContent>
        <w:r>
          <w:t>Stanislav.DEMIRDJIEV@ec.europa.eu</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27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IE"/>
        </w:rPr>
      </w:pPr>
      <w:r>
        <w:rPr>
          <w:rStyle w:val="FootnoteReference"/>
        </w:rPr>
        <w:footnoteRef/>
      </w:r>
      <w:r>
        <w:t xml:space="preserve"> </w:t>
      </w:r>
      <w:r>
        <w:tab/>
        <w:t>Article 6 of the SR concerning Annex IB and AST/SC and AST staff in transition.</w:t>
      </w:r>
    </w:p>
  </w:footnote>
  <w:footnote w:id="2">
    <w:p>
      <w:pPr>
        <w:pStyle w:val="FootnoteText"/>
      </w:pPr>
      <w:r>
        <w:rPr>
          <w:rStyle w:val="FootnoteReference"/>
        </w:rPr>
        <w:footnoteRef/>
      </w:r>
      <w:r>
        <w:t xml:space="preserve"> </w:t>
      </w:r>
      <w:r>
        <w:tab/>
        <w:t>The Commission regularly makes authorisation decisions subject to conditions (such as the prohibition to work on specific cases, which the staff member dealt with in the Commission). An outside occupational activity that involves lobbying and advocacy directed at the Commission and which could lead to the existence, or possibility, of a conflict with the Commission’s legitimate interests must be refused. The Commission performs approximately 700 conflict of interest checks a year in relation to intended outside occupational activities during leave on personal grounds.</w:t>
      </w:r>
    </w:p>
  </w:footnote>
  <w:footnote w:id="3">
    <w:p>
      <w:pPr>
        <w:pStyle w:val="FootnoteText"/>
      </w:pPr>
      <w:r>
        <w:rPr>
          <w:rStyle w:val="FootnoteReference"/>
        </w:rPr>
        <w:footnoteRef/>
      </w:r>
      <w:r>
        <w:t xml:space="preserve"> </w:t>
      </w:r>
      <w:r>
        <w:tab/>
        <w:t>In June 2018, the Commission adopted the Commission decision C(2018) 4048 on outside activities and assignments and on occupational activities after leaving the Service, with the aim of providing greater clarity on what criteria are used by the Commission to assess activities during and after the service. In addition, new and updated Social Media Guidelines were also adopted in 2019, to reflect the changes in the social media context and provide indications, guidance and rules for staff members engaging on such platforms in their personal capacity.</w:t>
      </w:r>
    </w:p>
  </w:footnote>
  <w:footnote w:id="4">
    <w:p>
      <w:pPr>
        <w:pStyle w:val="FootnoteText"/>
        <w:rPr>
          <w:lang w:val="en-IE"/>
        </w:rPr>
      </w:pPr>
      <w:r>
        <w:rPr>
          <w:rStyle w:val="FootnoteReference"/>
        </w:rPr>
        <w:footnoteRef/>
      </w:r>
      <w:r>
        <w:t xml:space="preserve"> </w:t>
      </w:r>
      <w:r>
        <w:rPr>
          <w:lang w:val="en-IE"/>
        </w:rPr>
        <w:tab/>
        <w:t>Report to the European Parliament and the Council pursuant to Article 27 of the SR of Officials and to Article 12 of the Conditions of Employment of Other Servants of the European Union (Geographical balance) on 15 June 2018 and a technical corrigendum on 24 August 2018 (COM(2018)377/2 final).</w:t>
      </w:r>
    </w:p>
  </w:footnote>
  <w:footnote w:id="5">
    <w:p>
      <w:pPr>
        <w:pStyle w:val="FootnoteText"/>
      </w:pPr>
      <w:r>
        <w:rPr>
          <w:rStyle w:val="FootnoteReference"/>
        </w:rPr>
        <w:footnoteRef/>
      </w:r>
      <w:r>
        <w:t xml:space="preserve"> </w:t>
      </w:r>
      <w:r>
        <w:tab/>
        <w:t>Denmark, Germany, Ireland, France, Luxembourg, the Netherlands, Austria, Portugal, Finland and Sweden.</w:t>
      </w:r>
    </w:p>
  </w:footnote>
  <w:footnote w:id="6">
    <w:p>
      <w:pPr>
        <w:pStyle w:val="FootnoteText"/>
      </w:pPr>
      <w:r>
        <w:rPr>
          <w:rStyle w:val="FootnoteReference"/>
        </w:rPr>
        <w:footnoteRef/>
      </w:r>
      <w:r>
        <w:t xml:space="preserve"> </w:t>
      </w:r>
      <w:r>
        <w:tab/>
        <w:t xml:space="preserve">Special Report 23/2020 of the Court of Auditors: “The European Personnel Selection Office: Time to adapt the selection process to changing recruitment needs”, available </w:t>
      </w:r>
      <w:hyperlink r:id="rId1" w:history="1">
        <w:r>
          <w:rPr>
            <w:rStyle w:val="Hyperlink"/>
          </w:rPr>
          <w:t>here</w:t>
        </w:r>
      </w:hyperlink>
      <w:r>
        <w:t>.</w:t>
      </w:r>
    </w:p>
  </w:footnote>
  <w:footnote w:id="7">
    <w:p>
      <w:pPr>
        <w:pStyle w:val="FootnoteText"/>
      </w:pPr>
      <w:r>
        <w:rPr>
          <w:rStyle w:val="FootnoteReference"/>
        </w:rPr>
        <w:footnoteRef/>
      </w:r>
      <w:r>
        <w:t xml:space="preserve"> </w:t>
      </w:r>
      <w:r>
        <w:tab/>
        <w:t>This is due in part to the fact that a large share of the candidates are already employed in an EU institution (one third) and the fact that they seem to perform better at the tests.</w:t>
      </w:r>
    </w:p>
  </w:footnote>
  <w:footnote w:id="8">
    <w:p>
      <w:pPr>
        <w:pStyle w:val="FootnoteText"/>
        <w:rPr>
          <w:lang w:val="pt-PT"/>
        </w:rPr>
      </w:pPr>
      <w:r>
        <w:rPr>
          <w:rStyle w:val="FootnoteReference"/>
        </w:rPr>
        <w:footnoteRef/>
      </w:r>
      <w:r>
        <w:rPr>
          <w:lang w:val="pt-PT"/>
        </w:rPr>
        <w:t xml:space="preserve"> </w:t>
      </w:r>
      <w:r>
        <w:rPr>
          <w:lang w:val="pt-PT"/>
        </w:rPr>
        <w:tab/>
        <w:t xml:space="preserve">Reports COM(2016) 832 final, COM(2017) 96 final, COM(2018) 38 final, COM(2019) 217 final, COM(2020) 634 final, COM(2021) 204 final. </w:t>
      </w:r>
    </w:p>
  </w:footnote>
  <w:footnote w:id="9">
    <w:p>
      <w:pPr>
        <w:pStyle w:val="FootnoteText"/>
      </w:pPr>
      <w:r>
        <w:rPr>
          <w:rStyle w:val="FootnoteReference"/>
        </w:rPr>
        <w:footnoteRef/>
      </w:r>
      <w:r>
        <w:t xml:space="preserve"> </w:t>
      </w:r>
      <w:r>
        <w:tab/>
        <w:t xml:space="preserve">In the Commission, standby duty allowances are mainly used in the fields of security and safety, technical installations and IT services and 24/7 assistance for Member States (see Annex 2). </w:t>
      </w:r>
    </w:p>
  </w:footnote>
  <w:footnote w:id="10">
    <w:p>
      <w:pPr>
        <w:pStyle w:val="FootnoteText"/>
      </w:pPr>
      <w:r>
        <w:rPr>
          <w:rStyle w:val="FootnoteReference"/>
        </w:rPr>
        <w:footnoteRef/>
      </w:r>
      <w:r>
        <w:t xml:space="preserve"> </w:t>
      </w:r>
      <w:r>
        <w:tab/>
        <w:t>This allowance is mostly used at the Joint Research Centres, DG Energy and the Office for Infrastructures and Logistic (OIB). The use of this allowance is connected with the safety of the individuals, the difficult place and nature of work (see Annex 3).</w:t>
      </w:r>
    </w:p>
  </w:footnote>
  <w:footnote w:id="11">
    <w:p>
      <w:pPr>
        <w:pStyle w:val="FootnoteText"/>
      </w:pPr>
      <w:r>
        <w:rPr>
          <w:rStyle w:val="FootnoteReference"/>
        </w:rPr>
        <w:footnoteRef/>
      </w:r>
      <w:r>
        <w:t xml:space="preserve"> </w:t>
      </w:r>
      <w:r>
        <w:tab/>
        <w:t>This increase in the use of shift work allowances is due to the opening of the new Council Europa building in 2016 and the decision by the Parliament to entitle security and prevention staff to the allowance for shift work in order to avoid overtime compensation that would have had an higher budgetary impact.</w:t>
      </w:r>
    </w:p>
  </w:footnote>
  <w:footnote w:id="12">
    <w:p>
      <w:pPr>
        <w:pStyle w:val="FootnoteText"/>
      </w:pPr>
      <w:r>
        <w:rPr>
          <w:rStyle w:val="FootnoteReference"/>
        </w:rPr>
        <w:footnoteRef/>
      </w:r>
      <w:r>
        <w:t xml:space="preserve"> </w:t>
      </w:r>
      <w:r>
        <w:tab/>
        <w:t>Report from the Commission to the European Parliament and the Council pursuant to Article 77 of the Staff Regulations – COM(2021) 94 final.</w:t>
      </w:r>
    </w:p>
  </w:footnote>
  <w:footnote w:id="13">
    <w:p>
      <w:pPr>
        <w:pStyle w:val="FootnoteText"/>
      </w:pPr>
      <w:r>
        <w:rPr>
          <w:rStyle w:val="FootnoteReference"/>
        </w:rPr>
        <w:footnoteRef/>
      </w:r>
      <w:r>
        <w:t xml:space="preserve"> </w:t>
      </w:r>
      <w:r>
        <w:tab/>
        <w:t>Report from the Commission to the European Parliament and the Council on the application of Annex XI to the Staff Regulations and Article 66a thereof - COM(2018) 830 final.</w:t>
      </w:r>
    </w:p>
  </w:footnote>
  <w:footnote w:id="14">
    <w:p>
      <w:pPr>
        <w:pStyle w:val="FootnoteText"/>
      </w:pPr>
      <w:r>
        <w:rPr>
          <w:rStyle w:val="FootnoteReference"/>
        </w:rPr>
        <w:footnoteRef/>
      </w:r>
      <w:r>
        <w:t xml:space="preserve"> </w:t>
      </w:r>
      <w:r>
        <w:tab/>
        <w:t>Report from the Commission to the European Parliament and the Council on the application of Annex XII to the Staff Regulations - COM(2018) 829 final.</w:t>
      </w:r>
    </w:p>
  </w:footnote>
  <w:footnote w:id="15">
    <w:p>
      <w:pPr>
        <w:pStyle w:val="FootnoteText"/>
      </w:pPr>
      <w:r>
        <w:rPr>
          <w:rStyle w:val="FootnoteReference"/>
        </w:rPr>
        <w:footnoteRef/>
      </w:r>
      <w:r>
        <w:t xml:space="preserve"> </w:t>
      </w:r>
      <w:r>
        <w:tab/>
        <w:t xml:space="preserve">This was confirmed by the European Court of Auditors in the Special report no 15/2019: </w:t>
      </w:r>
      <w:r>
        <w:rPr>
          <w:i/>
        </w:rPr>
        <w:t>Implementation of the 2014 staff reform package at the Commission - Big savings but not without consequences for staff</w:t>
      </w:r>
      <w:r>
        <w:t>.</w:t>
      </w:r>
    </w:p>
  </w:footnote>
  <w:footnote w:id="16">
    <w:p>
      <w:pPr>
        <w:pStyle w:val="FootnoteText"/>
      </w:pPr>
      <w:r>
        <w:rPr>
          <w:rStyle w:val="FootnoteReference"/>
        </w:rPr>
        <w:footnoteRef/>
      </w:r>
      <w:r>
        <w:t xml:space="preserve"> </w:t>
      </w:r>
      <w:r>
        <w:tab/>
        <w:t>Commission 2009-2015 report on the financial situation of the unemployment benefit scheme for former members of the temporary or contract staff and accredited parliamentary assistants who are unemployed after the termination of their service in a European Union institution – COM(2016) 754 final; and, Commission 2013-2018 report on the financial situation of the unemployment insurance scheme for former members of the temporary or contract staff and parliamentary assistants who are unemployed after the termination of their service in a European Union institution.</w:t>
      </w:r>
    </w:p>
  </w:footnote>
  <w:footnote w:id="17">
    <w:p>
      <w:pPr>
        <w:pStyle w:val="FootnoteText"/>
      </w:pPr>
      <w:r>
        <w:rPr>
          <w:rStyle w:val="FootnoteReference"/>
        </w:rPr>
        <w:footnoteRef/>
      </w:r>
      <w:r>
        <w:t xml:space="preserve"> </w:t>
      </w:r>
      <w:r>
        <w:tab/>
        <w:t>The fund reserve fell from EUR 16 million in 2009 to only EUR 2 million in 2015.</w:t>
      </w:r>
    </w:p>
  </w:footnote>
  <w:footnote w:id="18">
    <w:p>
      <w:pPr>
        <w:pStyle w:val="FootnoteText"/>
      </w:pPr>
      <w:r>
        <w:rPr>
          <w:rStyle w:val="FootnoteReference"/>
        </w:rPr>
        <w:footnoteRef/>
      </w:r>
      <w:r>
        <w:t xml:space="preserve"> </w:t>
      </w:r>
      <w:r>
        <w:tab/>
        <w:t>The fund reserve reached EUR 28 million at the end of 2018.</w:t>
      </w:r>
    </w:p>
  </w:footnote>
  <w:footnote w:id="19">
    <w:p>
      <w:pPr>
        <w:pStyle w:val="FootnoteText"/>
      </w:pPr>
      <w:r>
        <w:rPr>
          <w:rStyle w:val="FootnoteReference"/>
        </w:rPr>
        <w:footnoteRef/>
      </w:r>
      <w:r>
        <w:t xml:space="preserve"> </w:t>
      </w:r>
      <w:r>
        <w:tab/>
        <w:t xml:space="preserve">Commission Decision of 16.10.2017 on the general provisions for implementing Article 79(2) of the Conditions of Employment of Other Servants of the European Union, governing the conditions of employment of contract staff employed by the Commission under the terms of Articles 3a and 3b thereof - </w:t>
      </w:r>
      <w:r>
        <w:rPr>
          <w:szCs w:val="24"/>
        </w:rPr>
        <w:t>C(2017) 6760.</w:t>
      </w:r>
    </w:p>
  </w:footnote>
  <w:footnote w:id="20">
    <w:p>
      <w:pPr>
        <w:pStyle w:val="FootnoteText"/>
        <w:rPr>
          <w:lang w:val="en-IE"/>
        </w:rPr>
      </w:pPr>
      <w:r>
        <w:rPr>
          <w:rStyle w:val="FootnoteReference"/>
        </w:rPr>
        <w:footnoteRef/>
      </w:r>
      <w:r>
        <w:t xml:space="preserve"> </w:t>
      </w:r>
      <w:r>
        <w:tab/>
        <w:t xml:space="preserve">Under Article 13, paragraph 1 of Commission Decision </w:t>
      </w:r>
      <w:r>
        <w:rPr>
          <w:szCs w:val="24"/>
        </w:rPr>
        <w:t>C(2017) 6760</w:t>
      </w:r>
      <w:r>
        <w:t xml:space="preserve"> “in application of Article 87(4) of the CEOS, a CA 3a shall advance to a higher function group by taking part in a general selection procedure”.</w:t>
      </w:r>
    </w:p>
  </w:footnote>
  <w:footnote w:id="21">
    <w:p>
      <w:pPr>
        <w:pStyle w:val="FootnoteText"/>
      </w:pPr>
      <w:r>
        <w:rPr>
          <w:rStyle w:val="FootnoteReference"/>
        </w:rPr>
        <w:footnoteRef/>
      </w:r>
      <w:r>
        <w:t xml:space="preserve"> </w:t>
      </w:r>
      <w:r>
        <w:tab/>
        <w:t>In Luxembourg in the 2019 exercise, 25 contract agents performing tasks corresponding to a higher function group were moved to the appropriate function group. These changes took place across all the function groups. A similar exercise was launched in 2020 to specifically address the situation of educational coordinators at the Office for Infrastructure and Logistics in Luxembourg, to ensure that their function group corresponds to the tasks actually performed. A further exercise limited to profiles in function group I is about to be launched for the Office for Infrastructure and Logistics in Brussels and in Luxembourg.</w:t>
      </w:r>
    </w:p>
  </w:footnote>
  <w:footnote w:id="22">
    <w:p>
      <w:pPr>
        <w:pStyle w:val="FootnoteText"/>
        <w:ind w:left="187" w:hanging="187"/>
      </w:pPr>
      <w:r>
        <w:rPr>
          <w:rStyle w:val="FootnoteReference"/>
        </w:rPr>
        <w:footnoteRef/>
      </w:r>
      <w:r>
        <w:t xml:space="preserve"> The figures displayed in Annexes 14 and 15 present the promotion rates. In general, for grades with a stable population and having reached a cruising speed, there is a relation between these rates and the time spent in the grade.</w:t>
      </w:r>
    </w:p>
  </w:footnote>
  <w:footnote w:id="23">
    <w:p>
      <w:pPr>
        <w:pStyle w:val="FootnoteText"/>
      </w:pPr>
      <w:r>
        <w:rPr>
          <w:rStyle w:val="FootnoteReference"/>
        </w:rPr>
        <w:footnoteRef/>
      </w:r>
      <w:r>
        <w:t xml:space="preserve"> </w:t>
      </w:r>
      <w:r>
        <w:tab/>
      </w:r>
      <w:r>
        <w:rPr>
          <w:szCs w:val="24"/>
        </w:rPr>
        <w:t>With a positive or negative variation of maximum 2%.</w:t>
      </w:r>
    </w:p>
  </w:footnote>
  <w:footnote w:id="24">
    <w:p>
      <w:pPr>
        <w:pStyle w:val="FootnoteText"/>
      </w:pPr>
      <w:r>
        <w:rPr>
          <w:rStyle w:val="FootnoteReference"/>
        </w:rPr>
        <w:footnoteRef/>
      </w:r>
      <w:r>
        <w:t xml:space="preserve"> </w:t>
      </w:r>
      <w:r>
        <w:tab/>
      </w:r>
      <w:r>
        <w:rPr>
          <w:lang w:val="en-US"/>
        </w:rPr>
        <w:t>With the sole exception of year 2019.</w:t>
      </w:r>
    </w:p>
  </w:footnote>
  <w:footnote w:id="25">
    <w:p>
      <w:pPr>
        <w:pStyle w:val="FootnoteText"/>
      </w:pPr>
      <w:r>
        <w:rPr>
          <w:rStyle w:val="FootnoteReference"/>
        </w:rPr>
        <w:footnoteRef/>
      </w:r>
      <w:r>
        <w:t xml:space="preserve"> </w:t>
      </w:r>
      <w:r>
        <w:tab/>
        <w:t xml:space="preserve">Report to the European Parliament and the Council, Equivalence between old and new career structures, 30.03.2011, COM(2011) 171 final. </w:t>
      </w:r>
    </w:p>
  </w:footnote>
  <w:footnote w:id="26">
    <w:p>
      <w:pPr>
        <w:pStyle w:val="FootnoteText"/>
      </w:pPr>
      <w:r>
        <w:rPr>
          <w:rStyle w:val="FootnoteReference"/>
        </w:rPr>
        <w:footnoteRef/>
      </w:r>
      <w:r>
        <w:t xml:space="preserve"> </w:t>
      </w:r>
      <w:r>
        <w:tab/>
        <w:t>The 2014 reform of the SR limited the access to the last two grades of the non-management career (AD 13-AD 14) to senior experts and advisers.</w:t>
      </w:r>
    </w:p>
  </w:footnote>
  <w:footnote w:id="27">
    <w:p>
      <w:pPr>
        <w:pStyle w:val="FootnoteText"/>
      </w:pPr>
      <w:r>
        <w:rPr>
          <w:rStyle w:val="FootnoteReference"/>
        </w:rPr>
        <w:footnoteRef/>
      </w:r>
      <w:r>
        <w:t xml:space="preserve"> </w:t>
      </w:r>
      <w:r>
        <w:tab/>
        <w:t>A description of the types of posts in transition is set forth in Annex 16.</w:t>
      </w:r>
    </w:p>
  </w:footnote>
  <w:footnote w:id="28">
    <w:p>
      <w:pPr>
        <w:pStyle w:val="FootnoteText"/>
      </w:pPr>
      <w:r>
        <w:rPr>
          <w:rStyle w:val="FootnoteReference"/>
        </w:rPr>
        <w:footnoteRef/>
      </w:r>
      <w:r>
        <w:t xml:space="preserve"> </w:t>
      </w:r>
      <w:r>
        <w:tab/>
      </w:r>
      <w:r>
        <w:rPr>
          <w:szCs w:val="24"/>
        </w:rPr>
        <w:t>Article 13(3) of Annex VII to the SR provides for a biannual review by means of a delegated act of the reimbursement rates of mission expenses, i.e. daily subsistence allowance and hotel ceilings.</w:t>
      </w:r>
    </w:p>
  </w:footnote>
  <w:footnote w:id="29">
    <w:p>
      <w:pPr>
        <w:pStyle w:val="FootnoteText"/>
        <w:rPr>
          <w:lang w:val="en-IE"/>
        </w:rPr>
      </w:pPr>
      <w:r>
        <w:rPr>
          <w:rStyle w:val="FootnoteReference"/>
        </w:rPr>
        <w:footnoteRef/>
      </w:r>
      <w:r>
        <w:t xml:space="preserve"> </w:t>
      </w:r>
      <w:r>
        <w:tab/>
        <w:t>Annexed to the Interinstitutional agreement on Better Law-Making signed on 13 April 2016.</w:t>
      </w:r>
    </w:p>
  </w:footnote>
  <w:footnote w:id="30">
    <w:p>
      <w:pPr>
        <w:pStyle w:val="FootnoteText"/>
      </w:pPr>
      <w:r>
        <w:rPr>
          <w:rStyle w:val="FootnoteReference"/>
        </w:rPr>
        <w:footnoteRef/>
      </w:r>
      <w:r>
        <w:t xml:space="preserve"> </w:t>
      </w:r>
      <w:r>
        <w:tab/>
        <w:t>Commission delegated regulation (EU) 2016/1611 of 7 July 2016 on reviewing the scale for missions by officials and other servants of the European Union in the Member States.</w:t>
      </w:r>
    </w:p>
  </w:footnote>
  <w:footnote w:id="31">
    <w:p>
      <w:pPr>
        <w:pStyle w:val="FootnoteText"/>
      </w:pPr>
      <w:r>
        <w:rPr>
          <w:rStyle w:val="FootnoteReference"/>
        </w:rPr>
        <w:footnoteRef/>
      </w:r>
      <w:r>
        <w:t xml:space="preserve"> </w:t>
      </w:r>
      <w:r>
        <w:tab/>
        <w:t>Regulation (EU, Euratom) No 1023/2013 of the European Parliament and of the Council of 22 October 2013 amended the review mechanism by providing for a delegated act (article 111 and 112 of the SR).</w:t>
      </w:r>
    </w:p>
  </w:footnote>
  <w:footnote w:id="32">
    <w:p>
      <w:pPr>
        <w:pStyle w:val="FootnoteText"/>
      </w:pPr>
      <w:r>
        <w:rPr>
          <w:rStyle w:val="FootnoteReference"/>
        </w:rPr>
        <w:footnoteRef/>
      </w:r>
      <w:r>
        <w:t xml:space="preserve"> </w:t>
      </w:r>
      <w:r>
        <w:tab/>
        <w:t>The last review were made by means of Council Regulations in 2006 (for the EU-25 Member States).</w:t>
      </w:r>
    </w:p>
  </w:footnote>
  <w:footnote w:id="33">
    <w:p>
      <w:pPr>
        <w:pStyle w:val="FootnoteText"/>
      </w:pPr>
      <w:r>
        <w:rPr>
          <w:rStyle w:val="FootnoteReference"/>
        </w:rPr>
        <w:footnoteRef/>
      </w:r>
      <w:r>
        <w:t xml:space="preserve"> </w:t>
      </w:r>
      <w:r>
        <w:tab/>
        <w:t>As reported in section 3.1.4, the Commission considered in 2017 a limited increase in the contributions to the unemployment insurance scheme by means of a delegated act, in accordance with Article 28a(11) and Article 96(11) of the CEOS, in order to ensure the scheme’s financial equilibrium.</w:t>
      </w:r>
    </w:p>
  </w:footnote>
  <w:footnote w:id="34">
    <w:p>
      <w:pPr>
        <w:pStyle w:val="FootnoteText"/>
      </w:pPr>
      <w:r>
        <w:rPr>
          <w:rStyle w:val="FootnoteReference"/>
        </w:rPr>
        <w:footnoteRef/>
      </w:r>
      <w:r>
        <w:t xml:space="preserve"> </w:t>
      </w:r>
      <w:r>
        <w:tab/>
        <w:t>A number of mechanisms are in place to ensure a uniform application of the SR and the CEOS across institutions and agencies such as the use of rules adopted by agreement between institutions, the possibility to empower one institution to adopt general implementing provisions applicable to all of them, the mandatory consultation of the Staff Regulations Committee, specific mechanisms applicable to agencies.</w:t>
      </w:r>
    </w:p>
  </w:footnote>
  <w:footnote w:id="35">
    <w:p>
      <w:pPr>
        <w:pStyle w:val="FootnoteText"/>
      </w:pPr>
      <w:r>
        <w:rPr>
          <w:rStyle w:val="FootnoteReference"/>
        </w:rPr>
        <w:footnoteRef/>
      </w:r>
      <w:r>
        <w:t xml:space="preserve"> </w:t>
      </w:r>
      <w:r>
        <w:tab/>
        <w:t>Report from the Commission to the European Parliament and the Council on the rules adopted by the appointing authority of each institution to give effect to the Staff Regulations – COM(2021) 258.</w:t>
      </w:r>
    </w:p>
  </w:footnote>
  <w:footnote w:id="36">
    <w:p>
      <w:pPr>
        <w:pStyle w:val="FootnoteText"/>
      </w:pPr>
      <w:r>
        <w:rPr>
          <w:rStyle w:val="FootnoteReference"/>
        </w:rPr>
        <w:footnoteRef/>
      </w:r>
      <w:r>
        <w:t xml:space="preserve"> </w:t>
      </w:r>
      <w:r>
        <w:tab/>
        <w:t xml:space="preserve">For further reference, see the Communication C(2014) 6543 final of 26 September 2014 from Vice-President Šefčovič to the Commission on the guidelines on the implementation of Article 110(2) of the SR with regard to the implementing rules applicable in the agencies, and the Commission Decision C(2014) 7229 final of 8 October 2014 on the exercise of certain powers in respect of the agreement to be given by the Commission to the agencies before the adoption of implementing rules giving effect to the Staff Regulations in accordance with Article 110(2) thereof. See as well the Commission report on the rules adopted by the appointing authority of each institution to give effect to the Staff Regulations – COM(2016) 632 final. </w:t>
      </w:r>
    </w:p>
  </w:footnote>
  <w:footnote w:id="37">
    <w:p>
      <w:pPr>
        <w:pStyle w:val="FootnoteText"/>
      </w:pPr>
      <w:r>
        <w:rPr>
          <w:rStyle w:val="FootnoteReference"/>
        </w:rPr>
        <w:footnoteRef/>
      </w:r>
      <w:r>
        <w:t xml:space="preserve"> </w:t>
      </w:r>
      <w:r>
        <w:tab/>
        <w:t xml:space="preserve">This mechanism has been used for the adoption of implementing rules on the engagement of temporary agents under Article 2(f) of the CEOS. </w:t>
      </w:r>
    </w:p>
  </w:footnote>
  <w:footnote w:id="38">
    <w:p>
      <w:pPr>
        <w:pStyle w:val="FootnoteText"/>
      </w:pPr>
      <w:r>
        <w:rPr>
          <w:rStyle w:val="FootnoteReference"/>
        </w:rPr>
        <w:footnoteRef/>
      </w:r>
      <w:r>
        <w:t xml:space="preserve"> </w:t>
      </w:r>
      <w:r>
        <w:tab/>
        <w:t>In addition, in October 2020 the European Court of Auditors adopted Special report 23/2020 “</w:t>
      </w:r>
      <w:r>
        <w:rPr>
          <w:i/>
        </w:rPr>
        <w:t>The European Personnel Selection Office: Time to adapt the selection process to changing recruitment needs</w:t>
      </w:r>
      <w:r>
        <w:t>” and a Special Report 22/2020 “</w:t>
      </w:r>
      <w:r>
        <w:rPr>
          <w:i/>
        </w:rPr>
        <w:t>Future of EU agencies – Potential for more flexibility and cooperation</w:t>
      </w:r>
      <w:r>
        <w:t>”. .</w:t>
      </w:r>
    </w:p>
  </w:footnote>
  <w:footnote w:id="39">
    <w:p>
      <w:pPr>
        <w:pStyle w:val="FootnoteText"/>
      </w:pPr>
      <w:r>
        <w:rPr>
          <w:rStyle w:val="FootnoteReference"/>
        </w:rPr>
        <w:footnoteRef/>
      </w:r>
      <w:r>
        <w:t xml:space="preserve"> </w:t>
      </w:r>
      <w:r>
        <w:tab/>
        <w:t xml:space="preserve">In 2017, the European Court of Auditors adopted a Rapid case review of the 5% staff posts cut which falls outside of the scope of this report. </w:t>
      </w:r>
    </w:p>
  </w:footnote>
  <w:footnote w:id="40">
    <w:p>
      <w:pPr>
        <w:pStyle w:val="FootnoteText"/>
        <w:rPr>
          <w:lang w:val="en-IE"/>
        </w:rPr>
      </w:pPr>
      <w:r>
        <w:rPr>
          <w:rStyle w:val="FootnoteReference"/>
        </w:rPr>
        <w:footnoteRef/>
      </w:r>
      <w:r>
        <w:t xml:space="preserve"> </w:t>
      </w:r>
      <w:r>
        <w:tab/>
        <w:t>The Ombudsman’s status and duties were spelt out by Parliament in a decision of 9 March 1994 taken after consulting the Commission and with the approval of the Council. The European Ombudsman aims to improve the protection of citizens in connection with cases of maladministration by European Union institutions, bodies, offices or agencies; and thereby enhance openness and democratic accountability in the decision-making and administration of the EU’s institutions.</w:t>
      </w:r>
    </w:p>
  </w:footnote>
  <w:footnote w:id="41">
    <w:p>
      <w:pPr>
        <w:pStyle w:val="FootnoteText"/>
      </w:pPr>
      <w:r>
        <w:rPr>
          <w:rStyle w:val="FootnoteReference"/>
        </w:rPr>
        <w:footnoteRef/>
      </w:r>
      <w:r>
        <w:t xml:space="preserve"> </w:t>
      </w:r>
      <w:r>
        <w:tab/>
        <w:t>https://www.ombudsman.europa.eu/en/correspondence/en/119782.</w:t>
      </w:r>
    </w:p>
  </w:footnote>
  <w:footnote w:id="42">
    <w:p>
      <w:pPr>
        <w:pStyle w:val="FootnoteText"/>
      </w:pPr>
      <w:r>
        <w:rPr>
          <w:rStyle w:val="FootnoteReference"/>
        </w:rPr>
        <w:footnoteRef/>
      </w:r>
      <w:r>
        <w:t xml:space="preserve"> </w:t>
      </w:r>
      <w:r>
        <w:tab/>
        <w:t xml:space="preserve">Following the recommendations in the 2018 discharge to strengthen gender equality in managerial positions, the Commission adopted on 5 March 2020 the Commission Communication “A Union of Equality: Gender Equality Strategy 2020-2025” - </w:t>
      </w:r>
      <w:hyperlink r:id="rId2" w:history="1">
        <w:r>
          <w:t>COM(2020) 152 final</w:t>
        </w:r>
      </w:hyperlink>
      <w:r>
        <w:t xml:space="preserve">. In the same manner, the recommendation to provide adequate protection to whistle-blowers, confidentiality and anonymity of whistle-blowers was addressed by the Commission Decision (EU) </w:t>
      </w:r>
      <w:hyperlink r:id="rId3" w:history="1">
        <w:r>
          <w:t>2019/165</w:t>
        </w:r>
      </w:hyperlink>
      <w:r>
        <w:t xml:space="preserve"> concerning the processing of personal data in the context of administrative inquiries, pre-disciplinary, disciplinary and suspension proceedings.</w:t>
      </w:r>
    </w:p>
  </w:footnote>
  <w:footnote w:id="43">
    <w:p>
      <w:pPr>
        <w:pStyle w:val="FootnoteText"/>
      </w:pPr>
      <w:r>
        <w:rPr>
          <w:rStyle w:val="FootnoteReference"/>
        </w:rPr>
        <w:footnoteRef/>
      </w:r>
      <w:r>
        <w:t xml:space="preserve"> </w:t>
      </w:r>
      <w:r>
        <w:tab/>
        <w:t>Council Document 7515/00 + COR 1.</w:t>
      </w:r>
    </w:p>
  </w:footnote>
  <w:footnote w:id="44">
    <w:p>
      <w:pPr>
        <w:pStyle w:val="FootnoteText"/>
      </w:pPr>
      <w:r>
        <w:rPr>
          <w:rStyle w:val="FootnoteReference"/>
        </w:rPr>
        <w:footnoteRef/>
      </w:r>
      <w:r>
        <w:t xml:space="preserve"> </w:t>
      </w:r>
      <w:r>
        <w:tab/>
        <w:t xml:space="preserve">Conclusions adopted by the Council express a political position on a topic related to the European Union's areas of activity. Such conclusions are not foreseen under the Treaties. Therefore, they are not legally binding. They inform the other institutions on the Council’s political position.  </w:t>
      </w:r>
    </w:p>
  </w:footnote>
  <w:footnote w:id="45">
    <w:p>
      <w:pPr>
        <w:pStyle w:val="FootnoteText"/>
      </w:pPr>
      <w:r>
        <w:rPr>
          <w:rStyle w:val="FootnoteReference"/>
        </w:rPr>
        <w:footnoteRef/>
      </w:r>
      <w:r>
        <w:t xml:space="preserve"> </w:t>
      </w:r>
      <w:r>
        <w:tab/>
        <w:t>European Court of Auditors' Special Report No 13/2019 entitled "The ethical frameworks of the audited EU institutions: scope for improvement" and Special Report No 15/2019 entitled ‘Implementation of the 2014 staff reform package at the Commission - Big savings but not without consequences for staff’. Other Council conclusions were adopted following the publication by Eurostat of a study on the long-term budgetary implications of pension costs.</w:t>
      </w:r>
    </w:p>
  </w:footnote>
  <w:footnote w:id="46">
    <w:p>
      <w:pPr>
        <w:pStyle w:val="FootnoteText"/>
        <w:rPr>
          <w:lang w:val="en-IE"/>
        </w:rPr>
      </w:pPr>
      <w:r>
        <w:rPr>
          <w:rStyle w:val="FootnoteReference"/>
        </w:rPr>
        <w:footnoteRef/>
      </w:r>
      <w:r>
        <w:t xml:space="preserve"> </w:t>
      </w:r>
      <w:r>
        <w:rPr>
          <w:lang w:val="en-IE"/>
        </w:rPr>
        <w:tab/>
        <w:t>Council conclusions on the European Court of Auditors' Special Report No 13/2019 entitled ''The ethical frameworks of the audited EU institutions: scope for improvement'.</w:t>
      </w:r>
    </w:p>
  </w:footnote>
  <w:footnote w:id="47">
    <w:p>
      <w:pPr>
        <w:pStyle w:val="FootnoteText"/>
        <w:rPr>
          <w:lang w:val="en-IE"/>
        </w:rPr>
      </w:pPr>
      <w:r>
        <w:rPr>
          <w:rStyle w:val="FootnoteReference"/>
        </w:rPr>
        <w:footnoteRef/>
      </w:r>
      <w:r>
        <w:t xml:space="preserve"> </w:t>
      </w:r>
      <w:r>
        <w:rPr>
          <w:lang w:val="en-IE"/>
        </w:rPr>
        <w:tab/>
        <w:t xml:space="preserve">Council conclusions on the Special Report No 15/2019 of the European Court of Auditors, entitled ‘Implementation of the 2014 staff reform package at the Commission - Big savings but not without consequences for staff’. </w:t>
      </w:r>
    </w:p>
  </w:footnote>
  <w:footnote w:id="48">
    <w:p>
      <w:pPr>
        <w:pStyle w:val="FootnoteText"/>
        <w:rPr>
          <w:lang w:val="en-IE"/>
        </w:rPr>
      </w:pPr>
      <w:r>
        <w:rPr>
          <w:rStyle w:val="FootnoteReference"/>
        </w:rPr>
        <w:footnoteRef/>
      </w:r>
      <w:r>
        <w:t xml:space="preserve"> </w:t>
      </w:r>
      <w:r>
        <w:rPr>
          <w:lang w:val="en-IE"/>
        </w:rPr>
        <w:tab/>
        <w:t>Council conclusions on the Eurostat study on the long-term budgetary implications of EU pension costs.</w:t>
      </w:r>
    </w:p>
  </w:footnote>
  <w:footnote w:id="49">
    <w:p>
      <w:pPr>
        <w:pStyle w:val="FootnoteText"/>
      </w:pPr>
      <w:r>
        <w:rPr>
          <w:rStyle w:val="FootnoteReference"/>
        </w:rPr>
        <w:footnoteRef/>
      </w:r>
      <w:r>
        <w:t xml:space="preserve"> </w:t>
      </w:r>
      <w:r>
        <w:tab/>
        <w:t>Laid down under Article 4, paragraph 3 of the TEU.</w:t>
      </w:r>
    </w:p>
  </w:footnote>
  <w:footnote w:id="50">
    <w:p>
      <w:pPr>
        <w:pStyle w:val="FootnoteText"/>
        <w:rPr>
          <w:lang w:val="en-IE"/>
        </w:rPr>
      </w:pPr>
      <w:r>
        <w:rPr>
          <w:rStyle w:val="FootnoteReference"/>
        </w:rPr>
        <w:footnoteRef/>
      </w:r>
      <w:r>
        <w:t xml:space="preserve"> </w:t>
      </w:r>
      <w:r>
        <w:rPr>
          <w:lang w:val="en-IE"/>
        </w:rPr>
        <w:tab/>
        <w:t>Regulation (EU, Euratom) No 1023/2013 of the European Parliament and of the Council of 22 October 2013 amending the Staff Regulations of officials of the European Union and the Conditions of Employment of other servants of the European Union (OJ L 287, 29.10.2013, p. 15).</w:t>
      </w:r>
    </w:p>
  </w:footnote>
  <w:footnote w:id="51">
    <w:p>
      <w:pPr>
        <w:pStyle w:val="FootnoteText"/>
        <w:rPr>
          <w:lang w:val="en-IE"/>
        </w:rPr>
      </w:pPr>
      <w:r>
        <w:rPr>
          <w:rStyle w:val="FootnoteReference"/>
        </w:rPr>
        <w:footnoteRef/>
      </w:r>
      <w:r>
        <w:t xml:space="preserve"> </w:t>
      </w:r>
      <w:r>
        <w:tab/>
        <w:t>Article 263 TFEU.</w:t>
      </w:r>
    </w:p>
  </w:footnote>
  <w:footnote w:id="52">
    <w:p>
      <w:pPr>
        <w:pStyle w:val="FootnoteText"/>
      </w:pPr>
      <w:r>
        <w:rPr>
          <w:rStyle w:val="FootnoteReference"/>
          <w:sz w:val="16"/>
        </w:rPr>
        <w:footnoteRef/>
      </w:r>
      <w:r>
        <w:t xml:space="preserve"> </w:t>
      </w:r>
      <w:r>
        <w:rPr>
          <w:sz w:val="16"/>
        </w:rPr>
        <w:t>Names of former managers are mentioned, but no application of ban of lobbying under Article 16 (3).</w:t>
      </w:r>
    </w:p>
  </w:footnote>
  <w:footnote w:id="53">
    <w:p>
      <w:pPr>
        <w:pStyle w:val="FootnoteText"/>
        <w:rPr>
          <w:sz w:val="16"/>
        </w:rPr>
      </w:pPr>
      <w:r>
        <w:rPr>
          <w:rStyle w:val="FootnoteReference"/>
          <w:sz w:val="16"/>
        </w:rPr>
        <w:footnoteRef/>
      </w:r>
      <w:r>
        <w:rPr>
          <w:sz w:val="16"/>
        </w:rPr>
        <w:t xml:space="preserve"> One name of former senior manager is mentioned, but no application of ban of lobbying under Article 16 (3).</w:t>
      </w:r>
    </w:p>
  </w:footnote>
  <w:footnote w:id="54">
    <w:p>
      <w:pPr>
        <w:pStyle w:val="FootnoteText"/>
        <w:rPr>
          <w:sz w:val="16"/>
        </w:rPr>
      </w:pPr>
      <w:r>
        <w:rPr>
          <w:rStyle w:val="FootnoteReference"/>
          <w:sz w:val="16"/>
        </w:rPr>
        <w:footnoteRef/>
      </w:r>
      <w:r>
        <w:rPr>
          <w:sz w:val="16"/>
        </w:rPr>
        <w:t xml:space="preserve"> One name of former senior manager is mentioned, but no application of ban of lobbying under Article 16 (3).</w:t>
      </w:r>
    </w:p>
  </w:footnote>
  <w:footnote w:id="55">
    <w:p>
      <w:pPr>
        <w:pStyle w:val="FootnoteText"/>
        <w:rPr>
          <w:sz w:val="16"/>
        </w:rPr>
      </w:pPr>
      <w:r>
        <w:rPr>
          <w:rStyle w:val="FootnoteReference"/>
          <w:sz w:val="16"/>
        </w:rPr>
        <w:footnoteRef/>
      </w:r>
      <w:r>
        <w:rPr>
          <w:sz w:val="16"/>
        </w:rPr>
        <w:t xml:space="preserve"> Names of former managers are mentioned, but no application of ban of lobbying under Article 16 (3). </w:t>
      </w:r>
    </w:p>
  </w:footnote>
  <w:footnote w:id="56">
    <w:p>
      <w:pPr>
        <w:pStyle w:val="FootnoteText"/>
      </w:pPr>
      <w:r>
        <w:rPr>
          <w:rStyle w:val="FootnoteReference"/>
          <w:sz w:val="16"/>
        </w:rPr>
        <w:footnoteRef/>
      </w:r>
      <w:r>
        <w:t xml:space="preserve"> </w:t>
      </w:r>
      <w:r>
        <w:rPr>
          <w:sz w:val="16"/>
        </w:rPr>
        <w:t>Names of former managers are mentioned, but no application of ban of lobbying under Article 16 (3).</w:t>
      </w:r>
    </w:p>
  </w:footnote>
  <w:footnote w:id="57">
    <w:p>
      <w:pPr>
        <w:pStyle w:val="FootnoteText"/>
      </w:pPr>
      <w:r>
        <w:rPr>
          <w:rStyle w:val="FootnoteReference"/>
          <w:sz w:val="16"/>
        </w:rPr>
        <w:footnoteRef/>
      </w:r>
      <w:r>
        <w:rPr>
          <w:sz w:val="16"/>
        </w:rPr>
        <w:t xml:space="preserve"> Names of former managers are mentioned, but no application of ban of lobbying under Article 16 (3).</w:t>
      </w:r>
    </w:p>
  </w:footnote>
  <w:footnote w:id="58">
    <w:p>
      <w:pPr>
        <w:pStyle w:val="FootnoteText"/>
        <w:ind w:left="709" w:hanging="709"/>
      </w:pPr>
      <w:r>
        <w:rPr>
          <w:rStyle w:val="FootnoteReference"/>
        </w:rPr>
        <w:footnoteRef/>
      </w:r>
      <w:r>
        <w:t xml:space="preserve"> </w:t>
      </w:r>
      <w:r>
        <w:tab/>
        <w:t xml:space="preserve">Out of 44 Commission Decisions, 19 are applied by analogy, in 16 areas the agencies have choice between the model decision provided for by the </w:t>
      </w:r>
      <w:r>
        <w:rPr>
          <w:i/>
        </w:rPr>
        <w:t xml:space="preserve">ex ante </w:t>
      </w:r>
      <w:r>
        <w:t xml:space="preserve">Commission agreement and the Commission’s rules, 5 Commission Decisions were repealed by a new Commission Decision on the same matter, for 2 Commission Decisions there are requests for derogation pending and 1 will be replied by the </w:t>
      </w:r>
      <w:r>
        <w:rPr>
          <w:i/>
        </w:rPr>
        <w:t xml:space="preserve">ex ante </w:t>
      </w:r>
      <w:r>
        <w:t>agreement.</w:t>
      </w:r>
    </w:p>
  </w:footnote>
  <w:footnote w:id="59">
    <w:p>
      <w:pPr>
        <w:pStyle w:val="FootnoteText"/>
        <w:ind w:left="709" w:hanging="709"/>
      </w:pPr>
      <w:r>
        <w:rPr>
          <w:rStyle w:val="FootnoteReference"/>
        </w:rPr>
        <w:footnoteRef/>
      </w:r>
      <w:r>
        <w:t xml:space="preserve"> </w:t>
      </w:r>
      <w:r>
        <w:tab/>
        <w:t>In some cases, one Commission Decision was adapted into more than one model decision addressed to different categories of agencies/JU.</w:t>
      </w:r>
    </w:p>
  </w:footnote>
  <w:footnote w:id="60">
    <w:p>
      <w:pPr>
        <w:pStyle w:val="FootnoteText"/>
        <w:ind w:left="709" w:hanging="709"/>
      </w:pPr>
      <w:r>
        <w:rPr>
          <w:rStyle w:val="FootnoteReference"/>
        </w:rPr>
        <w:footnoteRef/>
      </w:r>
      <w:r>
        <w:t xml:space="preserve"> </w:t>
      </w:r>
      <w:r>
        <w:tab/>
        <w:t>25 of those individual agreements where given to rules covering two topics for which a template is used allowing very similar rules by different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4B4197A"/>
    <w:multiLevelType w:val="hybridMultilevel"/>
    <w:tmpl w:val="EDE88630"/>
    <w:lvl w:ilvl="0" w:tplc="C77A33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900F7"/>
    <w:multiLevelType w:val="hybridMultilevel"/>
    <w:tmpl w:val="B1E2D238"/>
    <w:name w:val="ListDash4Numbering"/>
    <w:lvl w:ilvl="0" w:tplc="42C61B86">
      <w:start w:val="1"/>
      <w:numFmt w:val="bullet"/>
      <w:pStyle w:val="ListDash4"/>
      <w:lvlText w:val="–"/>
      <w:lvlJc w:val="left"/>
      <w:pPr>
        <w:tabs>
          <w:tab w:val="num" w:pos="1485"/>
        </w:tabs>
        <w:ind w:left="1485" w:hanging="283"/>
      </w:pPr>
      <w:rPr>
        <w:rFonts w:ascii="Times New Roman" w:hAnsi="Times New Roman"/>
      </w:rPr>
    </w:lvl>
    <w:lvl w:ilvl="1" w:tplc="47501EBE">
      <w:start w:val="1"/>
      <w:numFmt w:val="bullet"/>
      <w:pStyle w:val="ListDash4Level2"/>
      <w:lvlText w:val="–"/>
      <w:lvlJc w:val="left"/>
      <w:pPr>
        <w:tabs>
          <w:tab w:val="num" w:pos="1769"/>
        </w:tabs>
        <w:ind w:left="1769" w:hanging="284"/>
      </w:pPr>
      <w:rPr>
        <w:rFonts w:ascii="Times New Roman" w:hAnsi="Times New Roman"/>
      </w:rPr>
    </w:lvl>
    <w:lvl w:ilvl="2" w:tplc="B422137C">
      <w:start w:val="1"/>
      <w:numFmt w:val="bullet"/>
      <w:pStyle w:val="ListDash4Level3"/>
      <w:lvlText w:val="–"/>
      <w:lvlJc w:val="left"/>
      <w:pPr>
        <w:tabs>
          <w:tab w:val="num" w:pos="2052"/>
        </w:tabs>
        <w:ind w:left="2052" w:hanging="283"/>
      </w:pPr>
      <w:rPr>
        <w:rFonts w:ascii="Times New Roman" w:hAnsi="Times New Roman"/>
      </w:rPr>
    </w:lvl>
    <w:lvl w:ilvl="3" w:tplc="CB6EF21C">
      <w:start w:val="1"/>
      <w:numFmt w:val="bullet"/>
      <w:pStyle w:val="ListDash4Level4"/>
      <w:lvlText w:val="–"/>
      <w:lvlJc w:val="left"/>
      <w:pPr>
        <w:tabs>
          <w:tab w:val="num" w:pos="2336"/>
        </w:tabs>
        <w:ind w:left="2336" w:hanging="284"/>
      </w:pPr>
      <w:rPr>
        <w:rFonts w:ascii="Times New Roman" w:hAnsi="Times New Roman"/>
      </w:rPr>
    </w:lvl>
    <w:lvl w:ilvl="4" w:tplc="C66A673C">
      <w:numFmt w:val="none"/>
      <w:lvlText w:val=""/>
      <w:lvlJc w:val="left"/>
    </w:lvl>
    <w:lvl w:ilvl="5" w:tplc="D220B350">
      <w:numFmt w:val="none"/>
      <w:lvlText w:val=""/>
      <w:lvlJc w:val="left"/>
    </w:lvl>
    <w:lvl w:ilvl="6" w:tplc="B18E00CA">
      <w:numFmt w:val="none"/>
      <w:lvlText w:val=""/>
      <w:lvlJc w:val="left"/>
    </w:lvl>
    <w:lvl w:ilvl="7" w:tplc="83F27CCA">
      <w:numFmt w:val="none"/>
      <w:lvlText w:val=""/>
      <w:lvlJc w:val="left"/>
    </w:lvl>
    <w:lvl w:ilvl="8" w:tplc="D8D60B4C">
      <w:numFmt w:val="none"/>
      <w:lvlText w:val=""/>
      <w:lvlJc w:val="left"/>
    </w:lvl>
  </w:abstractNum>
  <w:abstractNum w:abstractNumId="3">
    <w:nsid w:val="120B7201"/>
    <w:multiLevelType w:val="hybridMultilevel"/>
    <w:tmpl w:val="876A5278"/>
    <w:name w:val="ListNumberNumbering"/>
    <w:lvl w:ilvl="0" w:tplc="C1D239D8">
      <w:start w:val="1"/>
      <w:numFmt w:val="decimal"/>
      <w:pStyle w:val="ListNumber"/>
      <w:lvlText w:val="(%1)"/>
      <w:lvlJc w:val="left"/>
      <w:pPr>
        <w:tabs>
          <w:tab w:val="num" w:pos="709"/>
        </w:tabs>
        <w:ind w:left="709" w:hanging="709"/>
      </w:pPr>
    </w:lvl>
    <w:lvl w:ilvl="1" w:tplc="95EAC038">
      <w:start w:val="1"/>
      <w:numFmt w:val="lowerLetter"/>
      <w:pStyle w:val="ListNumberLevel2"/>
      <w:lvlText w:val="(%2)"/>
      <w:lvlJc w:val="left"/>
      <w:pPr>
        <w:tabs>
          <w:tab w:val="num" w:pos="1417"/>
        </w:tabs>
        <w:ind w:left="1417" w:hanging="708"/>
      </w:pPr>
    </w:lvl>
    <w:lvl w:ilvl="2" w:tplc="DD349854">
      <w:start w:val="1"/>
      <w:numFmt w:val="bullet"/>
      <w:pStyle w:val="ListNumberLevel3"/>
      <w:lvlText w:val="–"/>
      <w:lvlJc w:val="left"/>
      <w:pPr>
        <w:tabs>
          <w:tab w:val="num" w:pos="2126"/>
        </w:tabs>
        <w:ind w:left="2126" w:hanging="709"/>
      </w:pPr>
      <w:rPr>
        <w:rFonts w:ascii="Times New Roman" w:hAnsi="Times New Roman"/>
      </w:rPr>
    </w:lvl>
    <w:lvl w:ilvl="3" w:tplc="5A4EE58C">
      <w:start w:val="1"/>
      <w:numFmt w:val="bullet"/>
      <w:pStyle w:val="ListNumberLevel4"/>
      <w:lvlText w:val=""/>
      <w:lvlJc w:val="left"/>
      <w:pPr>
        <w:tabs>
          <w:tab w:val="num" w:pos="2835"/>
        </w:tabs>
        <w:ind w:left="2835" w:hanging="709"/>
      </w:pPr>
      <w:rPr>
        <w:rFonts w:ascii="Symbol" w:hAnsi="Symbol"/>
      </w:rPr>
    </w:lvl>
    <w:lvl w:ilvl="4" w:tplc="BB100A3C">
      <w:numFmt w:val="none"/>
      <w:lvlText w:val=""/>
      <w:lvlJc w:val="left"/>
    </w:lvl>
    <w:lvl w:ilvl="5" w:tplc="FDF8B5CC">
      <w:numFmt w:val="none"/>
      <w:lvlText w:val=""/>
      <w:lvlJc w:val="left"/>
    </w:lvl>
    <w:lvl w:ilvl="6" w:tplc="F5BE0556">
      <w:numFmt w:val="none"/>
      <w:lvlText w:val=""/>
      <w:lvlJc w:val="left"/>
    </w:lvl>
    <w:lvl w:ilvl="7" w:tplc="1DAC914E">
      <w:numFmt w:val="none"/>
      <w:lvlText w:val=""/>
      <w:lvlJc w:val="left"/>
    </w:lvl>
    <w:lvl w:ilvl="8" w:tplc="0B1C9892">
      <w:numFmt w:val="none"/>
      <w:lvlText w:val=""/>
      <w:lvlJc w:val="left"/>
    </w:lvl>
  </w:abstractNum>
  <w:abstractNum w:abstractNumId="4">
    <w:nsid w:val="288A7F47"/>
    <w:multiLevelType w:val="hybridMultilevel"/>
    <w:tmpl w:val="3DE8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7CB1E1C"/>
    <w:multiLevelType w:val="hybridMultilevel"/>
    <w:tmpl w:val="D6E82018"/>
    <w:name w:val="ListDash1Numbering"/>
    <w:lvl w:ilvl="0" w:tplc="7B669670">
      <w:start w:val="1"/>
      <w:numFmt w:val="bullet"/>
      <w:pStyle w:val="ListDash1"/>
      <w:lvlText w:val="–"/>
      <w:lvlJc w:val="left"/>
      <w:pPr>
        <w:tabs>
          <w:tab w:val="num" w:pos="765"/>
        </w:tabs>
        <w:ind w:left="765" w:hanging="283"/>
      </w:pPr>
      <w:rPr>
        <w:rFonts w:ascii="Times New Roman" w:hAnsi="Times New Roman"/>
      </w:rPr>
    </w:lvl>
    <w:lvl w:ilvl="1" w:tplc="BC185C46">
      <w:start w:val="1"/>
      <w:numFmt w:val="bullet"/>
      <w:pStyle w:val="ListDash1Level2"/>
      <w:lvlText w:val="–"/>
      <w:lvlJc w:val="left"/>
      <w:pPr>
        <w:tabs>
          <w:tab w:val="num" w:pos="1049"/>
        </w:tabs>
        <w:ind w:left="1049" w:hanging="284"/>
      </w:pPr>
      <w:rPr>
        <w:rFonts w:ascii="Times New Roman" w:hAnsi="Times New Roman"/>
      </w:rPr>
    </w:lvl>
    <w:lvl w:ilvl="2" w:tplc="815E77BE">
      <w:start w:val="1"/>
      <w:numFmt w:val="bullet"/>
      <w:pStyle w:val="ListDash1Level3"/>
      <w:lvlText w:val="–"/>
      <w:lvlJc w:val="left"/>
      <w:pPr>
        <w:tabs>
          <w:tab w:val="num" w:pos="1332"/>
        </w:tabs>
        <w:ind w:left="1332" w:hanging="283"/>
      </w:pPr>
      <w:rPr>
        <w:rFonts w:ascii="Times New Roman" w:hAnsi="Times New Roman"/>
      </w:rPr>
    </w:lvl>
    <w:lvl w:ilvl="3" w:tplc="2A02061A">
      <w:start w:val="1"/>
      <w:numFmt w:val="bullet"/>
      <w:pStyle w:val="ListDash1Level4"/>
      <w:lvlText w:val="–"/>
      <w:lvlJc w:val="left"/>
      <w:pPr>
        <w:tabs>
          <w:tab w:val="num" w:pos="1616"/>
        </w:tabs>
        <w:ind w:left="1616" w:hanging="284"/>
      </w:pPr>
      <w:rPr>
        <w:rFonts w:ascii="Times New Roman" w:hAnsi="Times New Roman"/>
      </w:rPr>
    </w:lvl>
    <w:lvl w:ilvl="4" w:tplc="4DD40D1A">
      <w:numFmt w:val="none"/>
      <w:lvlText w:val=""/>
      <w:lvlJc w:val="left"/>
    </w:lvl>
    <w:lvl w:ilvl="5" w:tplc="EDE2ABC2">
      <w:numFmt w:val="none"/>
      <w:lvlText w:val=""/>
      <w:lvlJc w:val="left"/>
    </w:lvl>
    <w:lvl w:ilvl="6" w:tplc="A9CA21C2">
      <w:numFmt w:val="none"/>
      <w:lvlText w:val=""/>
      <w:lvlJc w:val="left"/>
    </w:lvl>
    <w:lvl w:ilvl="7" w:tplc="5F361B28">
      <w:numFmt w:val="none"/>
      <w:lvlText w:val=""/>
      <w:lvlJc w:val="left"/>
    </w:lvl>
    <w:lvl w:ilvl="8" w:tplc="39281006">
      <w:numFmt w:val="none"/>
      <w:lvlText w:val=""/>
      <w:lvlJc w:val="left"/>
    </w:lvl>
  </w:abstractNum>
  <w:abstractNum w:abstractNumId="7">
    <w:nsid w:val="3A7730C4"/>
    <w:multiLevelType w:val="hybridMultilevel"/>
    <w:tmpl w:val="456C96DE"/>
    <w:lvl w:ilvl="0" w:tplc="8B968F8C">
      <w:start w:val="1"/>
      <w:numFmt w:val="bullet"/>
      <w:pStyle w:val="ListBullet1"/>
      <w:lvlText w:val=""/>
      <w:lvlJc w:val="left"/>
      <w:pPr>
        <w:tabs>
          <w:tab w:val="num" w:pos="765"/>
        </w:tabs>
        <w:ind w:left="765" w:hanging="283"/>
      </w:pPr>
      <w:rPr>
        <w:rFonts w:ascii="Symbol" w:hAnsi="Symbol"/>
      </w:rPr>
    </w:lvl>
    <w:lvl w:ilvl="1" w:tplc="96F6D2C6">
      <w:numFmt w:val="decimal"/>
      <w:lvlText w:val=""/>
      <w:lvlJc w:val="left"/>
    </w:lvl>
    <w:lvl w:ilvl="2" w:tplc="A8207AFC">
      <w:numFmt w:val="decimal"/>
      <w:lvlText w:val=""/>
      <w:lvlJc w:val="left"/>
    </w:lvl>
    <w:lvl w:ilvl="3" w:tplc="AA0AB024">
      <w:numFmt w:val="decimal"/>
      <w:lvlText w:val=""/>
      <w:lvlJc w:val="left"/>
    </w:lvl>
    <w:lvl w:ilvl="4" w:tplc="FDC03930">
      <w:numFmt w:val="decimal"/>
      <w:lvlText w:val=""/>
      <w:lvlJc w:val="left"/>
    </w:lvl>
    <w:lvl w:ilvl="5" w:tplc="38E03ACE">
      <w:numFmt w:val="decimal"/>
      <w:lvlText w:val=""/>
      <w:lvlJc w:val="left"/>
    </w:lvl>
    <w:lvl w:ilvl="6" w:tplc="654EFB68">
      <w:numFmt w:val="decimal"/>
      <w:lvlText w:val=""/>
      <w:lvlJc w:val="left"/>
    </w:lvl>
    <w:lvl w:ilvl="7" w:tplc="6D72109A">
      <w:numFmt w:val="decimal"/>
      <w:lvlText w:val=""/>
      <w:lvlJc w:val="left"/>
    </w:lvl>
    <w:lvl w:ilvl="8" w:tplc="23B8AE40">
      <w:numFmt w:val="decimal"/>
      <w:lvlText w:val=""/>
      <w:lvlJc w:val="left"/>
    </w:lvl>
  </w:abstractNum>
  <w:abstractNum w:abstractNumId="8">
    <w:nsid w:val="75EB0F58"/>
    <w:multiLevelType w:val="hybridMultilevel"/>
    <w:tmpl w:val="9450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65145E"/>
    <w:multiLevelType w:val="multilevel"/>
    <w:tmpl w:val="0DB6564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854"/>
        </w:tabs>
        <w:ind w:left="1854"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9"/>
  </w:num>
  <w:num w:numId="2">
    <w:abstractNumId w:val="2"/>
  </w:num>
  <w:num w:numId="3">
    <w:abstractNumId w:val="3"/>
  </w:num>
  <w:num w:numId="4">
    <w:abstractNumId w:val="8"/>
  </w:num>
  <w:num w:numId="5">
    <w:abstractNumId w:val="6"/>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4B07AD-CB5B-4593-8287-6E8616D8453A"/>
    <w:docVar w:name="LW_COVERPAGE_TYPE" w:val="1"/>
    <w:docVar w:name="LW_CROSSREFERENCE" w:val="&lt;UNUSED&gt;"/>
    <w:docVar w:name="LW_DocType" w:val="NORMAL"/>
    <w:docVar w:name="LW_EMISSION" w:val="4.8.2021"/>
    <w:docVar w:name="LW_EMISSION_ISODATE" w:val="2021-08-0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essing the functioning of the Staff Regulations of officials and the Conditions of employment of other servants of the European Union"/>
    <w:docVar w:name="LW_TYPE.DOC.CP" w:val="REPORT FROM THE COMMISSION TO THE EUROPEAN PARLIAMENT AND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fr-BE"/>
    </w:rPr>
  </w:style>
  <w:style w:type="paragraph" w:styleId="Heading1">
    <w:name w:val="heading 1"/>
    <w:basedOn w:val="Normal"/>
    <w:next w:val="Text1"/>
    <w:link w:val="Heading1Char"/>
    <w:uiPriority w:val="90"/>
    <w:qFormat/>
    <w:pPr>
      <w:keepNext/>
      <w:numPr>
        <w:numId w:val="1"/>
      </w:numPr>
      <w:spacing w:before="240"/>
      <w:outlineLvl w:val="0"/>
    </w:pPr>
    <w:rPr>
      <w:b/>
      <w:smallCaps/>
    </w:rPr>
  </w:style>
  <w:style w:type="paragraph" w:styleId="Heading2">
    <w:name w:val="heading 2"/>
    <w:basedOn w:val="Normal"/>
    <w:next w:val="Text2"/>
    <w:link w:val="Heading2Char"/>
    <w:uiPriority w:val="90"/>
    <w:qFormat/>
    <w:pPr>
      <w:keepNext/>
      <w:numPr>
        <w:ilvl w:val="1"/>
        <w:numId w:val="1"/>
      </w:numPr>
      <w:outlineLvl w:val="1"/>
    </w:pPr>
    <w:rPr>
      <w:b/>
    </w:rPr>
  </w:style>
  <w:style w:type="paragraph" w:styleId="Heading3">
    <w:name w:val="heading 3"/>
    <w:basedOn w:val="Normal"/>
    <w:next w:val="Normal"/>
    <w:link w:val="Heading3Char"/>
    <w:uiPriority w:val="90"/>
    <w:qFormat/>
    <w:pPr>
      <w:keepNext/>
      <w:numPr>
        <w:ilvl w:val="2"/>
        <w:numId w:val="1"/>
      </w:numPr>
      <w:outlineLvl w:val="2"/>
    </w:pPr>
    <w:rPr>
      <w:i/>
    </w:rPr>
  </w:style>
  <w:style w:type="paragraph" w:styleId="Heading4">
    <w:name w:val="heading 4"/>
    <w:basedOn w:val="Normal"/>
    <w:next w:val="Normal"/>
    <w:link w:val="Heading4Char"/>
    <w:uiPriority w:val="90"/>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fr-BE"/>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SubTitle1">
    <w:name w:val="SubTitle 1"/>
    <w:basedOn w:val="Normal"/>
    <w:next w:val="Normal"/>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fr-BE"/>
    </w:r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fr-BE"/>
    </w:rPr>
  </w:style>
  <w:style w:type="paragraph" w:styleId="FootnoteText">
    <w:name w:val="footnote text"/>
    <w:basedOn w:val="Normal"/>
    <w:link w:val="FootnoteTextChar"/>
    <w:uiPriority w:val="99"/>
    <w:pPr>
      <w:spacing w:after="120"/>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fr-BE"/>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n-GB" w:eastAsia="fr-BE"/>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fr-BE"/>
    </w:rPr>
    <w:tblPr>
      <w:tblCellMar>
        <w:left w:w="0" w:type="dxa"/>
        <w:bottom w:w="340" w:type="dxa"/>
        <w:right w:w="0" w:type="dxa"/>
      </w:tblCellMar>
    </w:tblPr>
  </w:style>
  <w:style w:type="character" w:styleId="FootnoteReference">
    <w:name w:val="footnote reference"/>
    <w:basedOn w:val="DefaultParagraphFont"/>
    <w:uiPriority w:val="99"/>
    <w:rPr>
      <w:vertAlign w:val="superscript"/>
    </w:rPr>
  </w:style>
  <w:style w:type="character" w:styleId="PlaceholderText">
    <w:name w:val="Placeholder Text"/>
    <w:basedOn w:val="DefaultParagraphFont"/>
    <w:uiPriority w:val="99"/>
    <w:semiHidden/>
    <w:rPr>
      <w:color w:val="288061"/>
    </w:rPr>
  </w:style>
  <w:style w:type="paragraph" w:customStyle="1" w:styleId="ListDash4">
    <w:name w:val="List Dash 4"/>
    <w:basedOn w:val="Normal"/>
    <w:pPr>
      <w:numPr>
        <w:numId w:val="2"/>
      </w:numPr>
    </w:pPr>
  </w:style>
  <w:style w:type="paragraph" w:customStyle="1" w:styleId="ListDash4Level2">
    <w:name w:val="List Dash 4 (Level 2)"/>
    <w:basedOn w:val="Normal"/>
    <w:pPr>
      <w:numPr>
        <w:ilvl w:val="1"/>
        <w:numId w:val="2"/>
      </w:numPr>
    </w:pPr>
  </w:style>
  <w:style w:type="paragraph" w:customStyle="1" w:styleId="ListDash4Level3">
    <w:name w:val="List Dash 4 (Level 3)"/>
    <w:basedOn w:val="Normal"/>
    <w:semiHidden/>
    <w:unhideWhenUsed/>
    <w:pPr>
      <w:numPr>
        <w:ilvl w:val="2"/>
        <w:numId w:val="2"/>
      </w:numPr>
    </w:pPr>
  </w:style>
  <w:style w:type="paragraph" w:customStyle="1" w:styleId="ListDash4Level4">
    <w:name w:val="List Dash 4 (Level 4)"/>
    <w:basedOn w:val="Normal"/>
    <w:semiHidden/>
    <w:unhideWhenUsed/>
    <w:pPr>
      <w:numPr>
        <w:ilvl w:val="3"/>
        <w:numId w:val="2"/>
      </w:numPr>
    </w:pPr>
  </w:style>
  <w:style w:type="paragraph" w:styleId="ListNumber">
    <w:name w:val="List Number"/>
    <w:basedOn w:val="Normal"/>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unhideWhenUsed/>
    <w:pPr>
      <w:numPr>
        <w:ilvl w:val="2"/>
        <w:numId w:val="3"/>
      </w:numPr>
    </w:pPr>
  </w:style>
  <w:style w:type="paragraph" w:customStyle="1" w:styleId="ListNumberLevel4">
    <w:name w:val="List Number (Level 4)"/>
    <w:basedOn w:val="Normal"/>
    <w:unhideWhenUsed/>
    <w:pPr>
      <w:numPr>
        <w:ilvl w:val="3"/>
        <w:numId w:val="3"/>
      </w:numPr>
    </w:p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B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fr-BE"/>
    </w:r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table" w:styleId="TableGrid">
    <w:name w:val="Table Grid"/>
    <w:basedOn w:val="TableNormal"/>
    <w:uiPriority w:val="39"/>
    <w:pPr>
      <w:spacing w:after="0" w:line="240" w:lineRule="auto"/>
    </w:pPr>
    <w:rPr>
      <w:rFonts w:ascii="Times New Roman" w:eastAsia="Times New Roman" w:hAnsi="Times New Roman" w:cs="Times New Roman"/>
      <w:sz w:val="24"/>
      <w:szCs w:val="20"/>
      <w:lang w:val="en-GB"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Pr>
      <w:color w:val="0563C1" w:themeColor="hyperlink"/>
      <w:u w:val="single"/>
    </w:rPr>
  </w:style>
  <w:style w:type="paragraph" w:customStyle="1" w:styleId="Normal12Hanging">
    <w:name w:val="Normal12Hanging"/>
    <w:basedOn w:val="Normal"/>
    <w:link w:val="Normal12HangingChar"/>
    <w:pPr>
      <w:widowControl w:val="0"/>
      <w:ind w:left="567" w:hanging="567"/>
      <w:jc w:val="left"/>
    </w:pPr>
    <w:rPr>
      <w:lang w:eastAsia="en-GB"/>
    </w:rPr>
  </w:style>
  <w:style w:type="paragraph" w:customStyle="1" w:styleId="NormalHanging12a">
    <w:name w:val="NormalHanging12a"/>
    <w:basedOn w:val="Normal"/>
    <w:link w:val="NormalHanging12aChar"/>
    <w:pPr>
      <w:widowControl w:val="0"/>
      <w:ind w:left="567" w:hanging="567"/>
      <w:jc w:val="left"/>
    </w:pPr>
    <w:rPr>
      <w:lang w:eastAsia="en-GB"/>
    </w:rPr>
  </w:style>
  <w:style w:type="character" w:customStyle="1" w:styleId="NormalHanging12aChar">
    <w:name w:val="NormalHanging12a Char"/>
    <w:link w:val="NormalHanging12a"/>
    <w:rPr>
      <w:rFonts w:ascii="Times New Roman" w:eastAsia="Times New Roman" w:hAnsi="Times New Roman" w:cs="Times New Roman"/>
      <w:sz w:val="24"/>
      <w:szCs w:val="20"/>
      <w:lang w:val="en-GB" w:eastAsia="en-GB"/>
    </w:rPr>
  </w:style>
  <w:style w:type="character" w:customStyle="1" w:styleId="Normal12HangingChar">
    <w:name w:val="Normal12Hanging Char"/>
    <w:link w:val="Normal12Hanging"/>
    <w:locked/>
    <w:rPr>
      <w:rFonts w:ascii="Times New Roman" w:eastAsia="Times New Roman" w:hAnsi="Times New Roman" w:cs="Times New Roman"/>
      <w:sz w:val="24"/>
      <w:szCs w:val="20"/>
      <w:lang w:val="en-GB" w:eastAsia="en-GB"/>
    </w:rPr>
  </w:style>
  <w:style w:type="paragraph" w:styleId="ListBullet5">
    <w:name w:val="List Bullet 5"/>
    <w:basedOn w:val="Normal"/>
    <w:autoRedefine/>
    <w:pPr>
      <w:numPr>
        <w:numId w:val="6"/>
      </w:numPr>
    </w:pPr>
    <w:rPr>
      <w:lang w:eastAsia="en-US"/>
    </w:rPr>
  </w:style>
  <w:style w:type="paragraph" w:customStyle="1" w:styleId="ListBullet1">
    <w:name w:val="List Bullet 1"/>
    <w:basedOn w:val="Text1"/>
    <w:pPr>
      <w:numPr>
        <w:numId w:val="7"/>
      </w:numPr>
    </w:pPr>
    <w:rPr>
      <w:lang w:eastAsia="en-US"/>
    </w:rPr>
  </w:style>
  <w:style w:type="paragraph" w:customStyle="1" w:styleId="text10">
    <w:name w:val="text1"/>
    <w:basedOn w:val="Normal"/>
    <w:pPr>
      <w:spacing w:before="100" w:beforeAutospacing="1" w:after="100" w:afterAutospacing="1"/>
      <w:jc w:val="left"/>
    </w:pPr>
    <w:rPr>
      <w:szCs w:val="24"/>
      <w:lang w:val="fr-BE"/>
    </w:rPr>
  </w:style>
  <w:style w:type="paragraph" w:customStyle="1" w:styleId="li">
    <w:name w:val="li"/>
    <w:basedOn w:val="Normal"/>
    <w:pPr>
      <w:spacing w:before="100" w:beforeAutospacing="1" w:after="100" w:afterAutospacing="1"/>
      <w:jc w:val="left"/>
    </w:pPr>
    <w:rPr>
      <w:szCs w:val="24"/>
      <w:lang w:val="fr-BE"/>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GridTable4Accent5">
    <w:name w:val="Grid Table 4 Accent 5"/>
    <w:basedOn w:val="TableNormal"/>
    <w:uiPriority w:val="4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ubTitle2">
    <w:name w:val="SubTitle 2"/>
    <w:basedOn w:val="Normal"/>
    <w:pPr>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character" w:customStyle="1" w:styleId="tab">
    <w:name w:val="tab"/>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customStyle="1" w:styleId="GridTable4-Accent51">
    <w:name w:val="Grid Table 4 - Accent 51"/>
    <w:basedOn w:val="TableNormal"/>
    <w:next w:val="GridTable4Accent5"/>
    <w:uiPriority w:val="4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pPr>
      <w:spacing w:before="100" w:beforeAutospacing="1" w:after="100" w:afterAutospacing="1"/>
      <w:jc w:val="left"/>
    </w:pPr>
    <w:rPr>
      <w:szCs w:val="24"/>
      <w:lang w:val="fr-BE"/>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en-GB"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en-GB"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en-GB" w:eastAsia="fr-B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fr-BE"/>
    </w:rPr>
  </w:style>
  <w:style w:type="paragraph" w:styleId="Heading1">
    <w:name w:val="heading 1"/>
    <w:basedOn w:val="Normal"/>
    <w:next w:val="Text1"/>
    <w:link w:val="Heading1Char"/>
    <w:uiPriority w:val="90"/>
    <w:qFormat/>
    <w:pPr>
      <w:keepNext/>
      <w:numPr>
        <w:numId w:val="1"/>
      </w:numPr>
      <w:spacing w:before="240"/>
      <w:outlineLvl w:val="0"/>
    </w:pPr>
    <w:rPr>
      <w:b/>
      <w:smallCaps/>
    </w:rPr>
  </w:style>
  <w:style w:type="paragraph" w:styleId="Heading2">
    <w:name w:val="heading 2"/>
    <w:basedOn w:val="Normal"/>
    <w:next w:val="Text2"/>
    <w:link w:val="Heading2Char"/>
    <w:uiPriority w:val="90"/>
    <w:qFormat/>
    <w:pPr>
      <w:keepNext/>
      <w:numPr>
        <w:ilvl w:val="1"/>
        <w:numId w:val="1"/>
      </w:numPr>
      <w:outlineLvl w:val="1"/>
    </w:pPr>
    <w:rPr>
      <w:b/>
    </w:rPr>
  </w:style>
  <w:style w:type="paragraph" w:styleId="Heading3">
    <w:name w:val="heading 3"/>
    <w:basedOn w:val="Normal"/>
    <w:next w:val="Normal"/>
    <w:link w:val="Heading3Char"/>
    <w:uiPriority w:val="90"/>
    <w:qFormat/>
    <w:pPr>
      <w:keepNext/>
      <w:numPr>
        <w:ilvl w:val="2"/>
        <w:numId w:val="1"/>
      </w:numPr>
      <w:outlineLvl w:val="2"/>
    </w:pPr>
    <w:rPr>
      <w:i/>
    </w:rPr>
  </w:style>
  <w:style w:type="paragraph" w:styleId="Heading4">
    <w:name w:val="heading 4"/>
    <w:basedOn w:val="Normal"/>
    <w:next w:val="Normal"/>
    <w:link w:val="Heading4Char"/>
    <w:uiPriority w:val="90"/>
    <w:qFormat/>
    <w:pPr>
      <w:keepNext/>
      <w:numPr>
        <w:ilvl w:val="3"/>
        <w:numId w:val="1"/>
      </w:numPr>
      <w:outlineLvl w:val="3"/>
    </w:pPr>
  </w:style>
  <w:style w:type="paragraph" w:styleId="Heading5">
    <w:name w:val="heading 5"/>
    <w:basedOn w:val="Normal"/>
    <w:next w:val="Normal"/>
    <w:link w:val="Heading5Char"/>
    <w:semiHidden/>
    <w:qFormat/>
    <w:pPr>
      <w:keepNext/>
      <w:numPr>
        <w:ilvl w:val="4"/>
        <w:numId w:val="1"/>
      </w:numPr>
      <w:outlineLvl w:val="4"/>
    </w:pPr>
  </w:style>
  <w:style w:type="paragraph" w:styleId="Heading6">
    <w:name w:val="heading 6"/>
    <w:basedOn w:val="Normal"/>
    <w:next w:val="Normal"/>
    <w:link w:val="Heading6Char"/>
    <w:semiHidden/>
    <w:qFormat/>
    <w:pPr>
      <w:keepNext/>
      <w:numPr>
        <w:ilvl w:val="5"/>
        <w:numId w:val="1"/>
      </w:numPr>
      <w:outlineLvl w:val="5"/>
    </w:pPr>
  </w:style>
  <w:style w:type="paragraph" w:styleId="Heading7">
    <w:name w:val="heading 7"/>
    <w:basedOn w:val="Normal"/>
    <w:next w:val="Normal"/>
    <w:link w:val="Heading7Char"/>
    <w:semiHidden/>
    <w:qFormat/>
    <w:pPr>
      <w:keepNext/>
      <w:numPr>
        <w:ilvl w:val="6"/>
        <w:numId w:val="1"/>
      </w:numPr>
      <w:outlineLvl w:val="6"/>
    </w:pPr>
  </w:style>
  <w:style w:type="paragraph" w:styleId="Heading8">
    <w:name w:val="heading 8"/>
    <w:basedOn w:val="Normal"/>
    <w:next w:val="Normal"/>
    <w:link w:val="Heading8Char"/>
    <w:semiHidden/>
    <w:qFormat/>
    <w:pPr>
      <w:keepNext/>
      <w:numPr>
        <w:ilvl w:val="7"/>
        <w:numId w:val="1"/>
      </w:numPr>
      <w:outlineLvl w:val="7"/>
    </w:pPr>
  </w:style>
  <w:style w:type="paragraph" w:styleId="Heading9">
    <w:name w:val="heading 9"/>
    <w:basedOn w:val="Normal"/>
    <w:next w:val="Normal"/>
    <w:link w:val="Heading9Char"/>
    <w:semiHidden/>
    <w:qFormat/>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fr-BE"/>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SubTitle1">
    <w:name w:val="SubTitle 1"/>
    <w:basedOn w:val="Normal"/>
    <w:next w:val="Normal"/>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fr-BE"/>
    </w:r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fr-BE"/>
    </w:rPr>
  </w:style>
  <w:style w:type="paragraph" w:styleId="FootnoteText">
    <w:name w:val="footnote text"/>
    <w:basedOn w:val="Normal"/>
    <w:link w:val="FootnoteTextChar"/>
    <w:uiPriority w:val="99"/>
    <w:pPr>
      <w:spacing w:after="120"/>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fr-BE"/>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n-GB" w:eastAsia="fr-BE"/>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fr-BE"/>
    </w:rPr>
    <w:tblPr>
      <w:tblCellMar>
        <w:left w:w="0" w:type="dxa"/>
        <w:bottom w:w="340" w:type="dxa"/>
        <w:right w:w="0" w:type="dxa"/>
      </w:tblCellMar>
    </w:tblPr>
  </w:style>
  <w:style w:type="character" w:styleId="FootnoteReference">
    <w:name w:val="footnote reference"/>
    <w:basedOn w:val="DefaultParagraphFont"/>
    <w:uiPriority w:val="99"/>
    <w:rPr>
      <w:vertAlign w:val="superscript"/>
    </w:rPr>
  </w:style>
  <w:style w:type="character" w:styleId="PlaceholderText">
    <w:name w:val="Placeholder Text"/>
    <w:basedOn w:val="DefaultParagraphFont"/>
    <w:uiPriority w:val="99"/>
    <w:semiHidden/>
    <w:rPr>
      <w:color w:val="288061"/>
    </w:rPr>
  </w:style>
  <w:style w:type="paragraph" w:customStyle="1" w:styleId="ListDash4">
    <w:name w:val="List Dash 4"/>
    <w:basedOn w:val="Normal"/>
    <w:pPr>
      <w:numPr>
        <w:numId w:val="2"/>
      </w:numPr>
    </w:pPr>
  </w:style>
  <w:style w:type="paragraph" w:customStyle="1" w:styleId="ListDash4Level2">
    <w:name w:val="List Dash 4 (Level 2)"/>
    <w:basedOn w:val="Normal"/>
    <w:pPr>
      <w:numPr>
        <w:ilvl w:val="1"/>
        <w:numId w:val="2"/>
      </w:numPr>
    </w:pPr>
  </w:style>
  <w:style w:type="paragraph" w:customStyle="1" w:styleId="ListDash4Level3">
    <w:name w:val="List Dash 4 (Level 3)"/>
    <w:basedOn w:val="Normal"/>
    <w:semiHidden/>
    <w:unhideWhenUsed/>
    <w:pPr>
      <w:numPr>
        <w:ilvl w:val="2"/>
        <w:numId w:val="2"/>
      </w:numPr>
    </w:pPr>
  </w:style>
  <w:style w:type="paragraph" w:customStyle="1" w:styleId="ListDash4Level4">
    <w:name w:val="List Dash 4 (Level 4)"/>
    <w:basedOn w:val="Normal"/>
    <w:semiHidden/>
    <w:unhideWhenUsed/>
    <w:pPr>
      <w:numPr>
        <w:ilvl w:val="3"/>
        <w:numId w:val="2"/>
      </w:numPr>
    </w:pPr>
  </w:style>
  <w:style w:type="paragraph" w:styleId="ListNumber">
    <w:name w:val="List Number"/>
    <w:basedOn w:val="Normal"/>
    <w:pPr>
      <w:numPr>
        <w:numId w:val="3"/>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unhideWhenUsed/>
    <w:pPr>
      <w:numPr>
        <w:ilvl w:val="2"/>
        <w:numId w:val="3"/>
      </w:numPr>
    </w:pPr>
  </w:style>
  <w:style w:type="paragraph" w:customStyle="1" w:styleId="ListNumberLevel4">
    <w:name w:val="List Number (Level 4)"/>
    <w:basedOn w:val="Normal"/>
    <w:unhideWhenUsed/>
    <w:pPr>
      <w:numPr>
        <w:ilvl w:val="3"/>
        <w:numId w:val="3"/>
      </w:numPr>
    </w:p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fr-B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fr-BE"/>
    </w:rPr>
  </w:style>
  <w:style w:type="paragraph" w:customStyle="1" w:styleId="ListDash1">
    <w:name w:val="List Dash 1"/>
    <w:basedOn w:val="Text1"/>
    <w:pPr>
      <w:numPr>
        <w:numId w:val="5"/>
      </w:numPr>
    </w:pPr>
  </w:style>
  <w:style w:type="paragraph" w:customStyle="1" w:styleId="ListDash1Level2">
    <w:name w:val="List Dash 1 (Level 2)"/>
    <w:basedOn w:val="Text1"/>
    <w:pPr>
      <w:numPr>
        <w:ilvl w:val="1"/>
        <w:numId w:val="5"/>
      </w:numPr>
    </w:pPr>
  </w:style>
  <w:style w:type="paragraph" w:customStyle="1" w:styleId="ListDash1Level3">
    <w:name w:val="List Dash 1 (Level 3)"/>
    <w:basedOn w:val="Text1"/>
    <w:semiHidden/>
    <w:unhideWhenUsed/>
    <w:pPr>
      <w:numPr>
        <w:ilvl w:val="2"/>
        <w:numId w:val="5"/>
      </w:numPr>
    </w:pPr>
  </w:style>
  <w:style w:type="paragraph" w:customStyle="1" w:styleId="ListDash1Level4">
    <w:name w:val="List Dash 1 (Level 4)"/>
    <w:basedOn w:val="Text1"/>
    <w:semiHidden/>
    <w:unhideWhenUsed/>
    <w:pPr>
      <w:numPr>
        <w:ilvl w:val="3"/>
        <w:numId w:val="5"/>
      </w:numPr>
    </w:pPr>
  </w:style>
  <w:style w:type="table" w:styleId="TableGrid">
    <w:name w:val="Table Grid"/>
    <w:basedOn w:val="TableNormal"/>
    <w:uiPriority w:val="39"/>
    <w:pPr>
      <w:spacing w:after="0" w:line="240" w:lineRule="auto"/>
    </w:pPr>
    <w:rPr>
      <w:rFonts w:ascii="Times New Roman" w:eastAsia="Times New Roman" w:hAnsi="Times New Roman" w:cs="Times New Roman"/>
      <w:sz w:val="24"/>
      <w:szCs w:val="20"/>
      <w:lang w:val="en-GB"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Pr>
      <w:color w:val="0563C1" w:themeColor="hyperlink"/>
      <w:u w:val="single"/>
    </w:rPr>
  </w:style>
  <w:style w:type="paragraph" w:customStyle="1" w:styleId="Normal12Hanging">
    <w:name w:val="Normal12Hanging"/>
    <w:basedOn w:val="Normal"/>
    <w:link w:val="Normal12HangingChar"/>
    <w:pPr>
      <w:widowControl w:val="0"/>
      <w:ind w:left="567" w:hanging="567"/>
      <w:jc w:val="left"/>
    </w:pPr>
    <w:rPr>
      <w:lang w:eastAsia="en-GB"/>
    </w:rPr>
  </w:style>
  <w:style w:type="paragraph" w:customStyle="1" w:styleId="NormalHanging12a">
    <w:name w:val="NormalHanging12a"/>
    <w:basedOn w:val="Normal"/>
    <w:link w:val="NormalHanging12aChar"/>
    <w:pPr>
      <w:widowControl w:val="0"/>
      <w:ind w:left="567" w:hanging="567"/>
      <w:jc w:val="left"/>
    </w:pPr>
    <w:rPr>
      <w:lang w:eastAsia="en-GB"/>
    </w:rPr>
  </w:style>
  <w:style w:type="character" w:customStyle="1" w:styleId="NormalHanging12aChar">
    <w:name w:val="NormalHanging12a Char"/>
    <w:link w:val="NormalHanging12a"/>
    <w:rPr>
      <w:rFonts w:ascii="Times New Roman" w:eastAsia="Times New Roman" w:hAnsi="Times New Roman" w:cs="Times New Roman"/>
      <w:sz w:val="24"/>
      <w:szCs w:val="20"/>
      <w:lang w:val="en-GB" w:eastAsia="en-GB"/>
    </w:rPr>
  </w:style>
  <w:style w:type="character" w:customStyle="1" w:styleId="Normal12HangingChar">
    <w:name w:val="Normal12Hanging Char"/>
    <w:link w:val="Normal12Hanging"/>
    <w:locked/>
    <w:rPr>
      <w:rFonts w:ascii="Times New Roman" w:eastAsia="Times New Roman" w:hAnsi="Times New Roman" w:cs="Times New Roman"/>
      <w:sz w:val="24"/>
      <w:szCs w:val="20"/>
      <w:lang w:val="en-GB" w:eastAsia="en-GB"/>
    </w:rPr>
  </w:style>
  <w:style w:type="paragraph" w:styleId="ListBullet5">
    <w:name w:val="List Bullet 5"/>
    <w:basedOn w:val="Normal"/>
    <w:autoRedefine/>
    <w:pPr>
      <w:numPr>
        <w:numId w:val="6"/>
      </w:numPr>
    </w:pPr>
    <w:rPr>
      <w:lang w:eastAsia="en-US"/>
    </w:rPr>
  </w:style>
  <w:style w:type="paragraph" w:customStyle="1" w:styleId="ListBullet1">
    <w:name w:val="List Bullet 1"/>
    <w:basedOn w:val="Text1"/>
    <w:pPr>
      <w:numPr>
        <w:numId w:val="7"/>
      </w:numPr>
    </w:pPr>
    <w:rPr>
      <w:lang w:eastAsia="en-US"/>
    </w:rPr>
  </w:style>
  <w:style w:type="paragraph" w:customStyle="1" w:styleId="text10">
    <w:name w:val="text1"/>
    <w:basedOn w:val="Normal"/>
    <w:pPr>
      <w:spacing w:before="100" w:beforeAutospacing="1" w:after="100" w:afterAutospacing="1"/>
      <w:jc w:val="left"/>
    </w:pPr>
    <w:rPr>
      <w:szCs w:val="24"/>
      <w:lang w:val="fr-BE"/>
    </w:rPr>
  </w:style>
  <w:style w:type="paragraph" w:customStyle="1" w:styleId="li">
    <w:name w:val="li"/>
    <w:basedOn w:val="Normal"/>
    <w:pPr>
      <w:spacing w:before="100" w:beforeAutospacing="1" w:after="100" w:afterAutospacing="1"/>
      <w:jc w:val="left"/>
    </w:pPr>
    <w:rPr>
      <w:szCs w:val="24"/>
      <w:lang w:val="fr-BE"/>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GridTable4Accent5">
    <w:name w:val="Grid Table 4 Accent 5"/>
    <w:basedOn w:val="TableNormal"/>
    <w:uiPriority w:val="4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ubTitle2">
    <w:name w:val="SubTitle 2"/>
    <w:basedOn w:val="Normal"/>
    <w:pPr>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fr-B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 w:type="character" w:customStyle="1" w:styleId="tab">
    <w:name w:val="tab"/>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customStyle="1" w:styleId="GridTable4-Accent51">
    <w:name w:val="Grid Table 4 - Accent 51"/>
    <w:basedOn w:val="TableNormal"/>
    <w:next w:val="GridTable4Accent5"/>
    <w:uiPriority w:val="49"/>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pPr>
      <w:spacing w:before="100" w:beforeAutospacing="1" w:after="100" w:afterAutospacing="1"/>
      <w:jc w:val="left"/>
    </w:pPr>
    <w:rPr>
      <w:szCs w:val="24"/>
      <w:lang w:val="fr-BE"/>
    </w:rPr>
  </w:style>
  <w:style w:type="character" w:customStyle="1" w:styleId="normaltextrun">
    <w:name w:val="normaltextrun"/>
    <w:basedOn w:val="DefaultParagraphFont"/>
  </w:style>
  <w:style w:type="character" w:customStyle="1" w:styleId="eop">
    <w:name w:val="eop"/>
    <w:basedOn w:val="DefaultParagraphFont"/>
  </w:style>
  <w:style w:type="numbering" w:customStyle="1" w:styleId="NoList1">
    <w:name w:val="No List1"/>
    <w:next w:val="NoList"/>
    <w:uiPriority w:val="99"/>
    <w:semiHidden/>
    <w:unhideWhenUsed/>
  </w:style>
  <w:style w:type="numbering" w:customStyle="1" w:styleId="NoList2">
    <w:name w:val="No List2"/>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val="en-GB"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lang w:val="en-GB" w:eastAsia="fr-B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val="en-GB"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lang w:val="en-GB"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lang w:val="en-GB" w:eastAsia="fr-B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pPr>
  </w:style>
  <w:style w:type="paragraph" w:customStyle="1" w:styleId="LegalNumPar3">
    <w:name w:val="LegalNumPar3"/>
    <w:basedOn w:val="Normal"/>
    <w:pPr>
      <w:numPr>
        <w:ilvl w:val="2"/>
        <w:numId w:val="27"/>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892">
      <w:bodyDiv w:val="1"/>
      <w:marLeft w:val="0"/>
      <w:marRight w:val="0"/>
      <w:marTop w:val="0"/>
      <w:marBottom w:val="0"/>
      <w:divBdr>
        <w:top w:val="none" w:sz="0" w:space="0" w:color="auto"/>
        <w:left w:val="none" w:sz="0" w:space="0" w:color="auto"/>
        <w:bottom w:val="none" w:sz="0" w:space="0" w:color="auto"/>
        <w:right w:val="none" w:sz="0" w:space="0" w:color="auto"/>
      </w:divBdr>
    </w:div>
    <w:div w:id="783429448">
      <w:bodyDiv w:val="1"/>
      <w:marLeft w:val="0"/>
      <w:marRight w:val="0"/>
      <w:marTop w:val="0"/>
      <w:marBottom w:val="0"/>
      <w:divBdr>
        <w:top w:val="none" w:sz="0" w:space="0" w:color="auto"/>
        <w:left w:val="none" w:sz="0" w:space="0" w:color="auto"/>
        <w:bottom w:val="none" w:sz="0" w:space="0" w:color="auto"/>
        <w:right w:val="none" w:sz="0" w:space="0" w:color="auto"/>
      </w:divBdr>
      <w:divsChild>
        <w:div w:id="590548566">
          <w:marLeft w:val="0"/>
          <w:marRight w:val="0"/>
          <w:marTop w:val="0"/>
          <w:marBottom w:val="0"/>
          <w:divBdr>
            <w:top w:val="none" w:sz="0" w:space="0" w:color="auto"/>
            <w:left w:val="none" w:sz="0" w:space="0" w:color="auto"/>
            <w:bottom w:val="none" w:sz="0" w:space="0" w:color="auto"/>
            <w:right w:val="none" w:sz="0" w:space="0" w:color="auto"/>
          </w:divBdr>
          <w:divsChild>
            <w:div w:id="2132044784">
              <w:marLeft w:val="0"/>
              <w:marRight w:val="0"/>
              <w:marTop w:val="0"/>
              <w:marBottom w:val="0"/>
              <w:divBdr>
                <w:top w:val="none" w:sz="0" w:space="0" w:color="auto"/>
                <w:left w:val="none" w:sz="0" w:space="0" w:color="auto"/>
                <w:bottom w:val="none" w:sz="0" w:space="0" w:color="auto"/>
                <w:right w:val="none" w:sz="0" w:space="0" w:color="auto"/>
              </w:divBdr>
              <w:divsChild>
                <w:div w:id="1604528825">
                  <w:marLeft w:val="0"/>
                  <w:marRight w:val="0"/>
                  <w:marTop w:val="0"/>
                  <w:marBottom w:val="0"/>
                  <w:divBdr>
                    <w:top w:val="none" w:sz="0" w:space="0" w:color="auto"/>
                    <w:left w:val="none" w:sz="0" w:space="0" w:color="auto"/>
                    <w:bottom w:val="none" w:sz="0" w:space="0" w:color="auto"/>
                    <w:right w:val="none" w:sz="0" w:space="0" w:color="auto"/>
                  </w:divBdr>
                  <w:divsChild>
                    <w:div w:id="1473406977">
                      <w:marLeft w:val="0"/>
                      <w:marRight w:val="0"/>
                      <w:marTop w:val="0"/>
                      <w:marBottom w:val="0"/>
                      <w:divBdr>
                        <w:top w:val="none" w:sz="0" w:space="0" w:color="auto"/>
                        <w:left w:val="none" w:sz="0" w:space="0" w:color="auto"/>
                        <w:bottom w:val="none" w:sz="0" w:space="0" w:color="auto"/>
                        <w:right w:val="none" w:sz="0" w:space="0" w:color="auto"/>
                      </w:divBdr>
                      <w:divsChild>
                        <w:div w:id="1589345884">
                          <w:marLeft w:val="0"/>
                          <w:marRight w:val="0"/>
                          <w:marTop w:val="0"/>
                          <w:marBottom w:val="0"/>
                          <w:divBdr>
                            <w:top w:val="none" w:sz="0" w:space="0" w:color="auto"/>
                            <w:left w:val="none" w:sz="0" w:space="0" w:color="auto"/>
                            <w:bottom w:val="none" w:sz="0" w:space="0" w:color="auto"/>
                            <w:right w:val="none" w:sz="0" w:space="0" w:color="auto"/>
                          </w:divBdr>
                        </w:div>
                        <w:div w:id="1003704541">
                          <w:marLeft w:val="0"/>
                          <w:marRight w:val="0"/>
                          <w:marTop w:val="0"/>
                          <w:marBottom w:val="0"/>
                          <w:divBdr>
                            <w:top w:val="none" w:sz="0" w:space="0" w:color="auto"/>
                            <w:left w:val="none" w:sz="0" w:space="0" w:color="auto"/>
                            <w:bottom w:val="none" w:sz="0" w:space="0" w:color="auto"/>
                            <w:right w:val="none" w:sz="0" w:space="0" w:color="auto"/>
                          </w:divBdr>
                          <w:divsChild>
                            <w:div w:id="4284694">
                              <w:marLeft w:val="0"/>
                              <w:marRight w:val="0"/>
                              <w:marTop w:val="0"/>
                              <w:marBottom w:val="0"/>
                              <w:divBdr>
                                <w:top w:val="none" w:sz="0" w:space="0" w:color="auto"/>
                                <w:left w:val="none" w:sz="0" w:space="0" w:color="auto"/>
                                <w:bottom w:val="none" w:sz="0" w:space="0" w:color="auto"/>
                                <w:right w:val="none" w:sz="0" w:space="0" w:color="auto"/>
                              </w:divBdr>
                              <w:divsChild>
                                <w:div w:id="719132770">
                                  <w:marLeft w:val="0"/>
                                  <w:marRight w:val="0"/>
                                  <w:marTop w:val="0"/>
                                  <w:marBottom w:val="0"/>
                                  <w:divBdr>
                                    <w:top w:val="none" w:sz="0" w:space="0" w:color="auto"/>
                                    <w:left w:val="none" w:sz="0" w:space="0" w:color="auto"/>
                                    <w:bottom w:val="none" w:sz="0" w:space="0" w:color="auto"/>
                                    <w:right w:val="none" w:sz="0" w:space="0" w:color="auto"/>
                                  </w:divBdr>
                                  <w:divsChild>
                                    <w:div w:id="1042052491">
                                      <w:marLeft w:val="0"/>
                                      <w:marRight w:val="0"/>
                                      <w:marTop w:val="0"/>
                                      <w:marBottom w:val="0"/>
                                      <w:divBdr>
                                        <w:top w:val="none" w:sz="0" w:space="0" w:color="auto"/>
                                        <w:left w:val="none" w:sz="0" w:space="0" w:color="auto"/>
                                        <w:bottom w:val="none" w:sz="0" w:space="0" w:color="auto"/>
                                        <w:right w:val="none" w:sz="0" w:space="0" w:color="auto"/>
                                      </w:divBdr>
                                    </w:div>
                                    <w:div w:id="1306622579">
                                      <w:marLeft w:val="0"/>
                                      <w:marRight w:val="0"/>
                                      <w:marTop w:val="0"/>
                                      <w:marBottom w:val="0"/>
                                      <w:divBdr>
                                        <w:top w:val="none" w:sz="0" w:space="0" w:color="auto"/>
                                        <w:left w:val="none" w:sz="0" w:space="0" w:color="auto"/>
                                        <w:bottom w:val="none" w:sz="0" w:space="0" w:color="auto"/>
                                        <w:right w:val="none" w:sz="0" w:space="0" w:color="auto"/>
                                      </w:divBdr>
                                      <w:divsChild>
                                        <w:div w:id="1650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3928">
              <w:marLeft w:val="0"/>
              <w:marRight w:val="0"/>
              <w:marTop w:val="0"/>
              <w:marBottom w:val="0"/>
              <w:divBdr>
                <w:top w:val="none" w:sz="0" w:space="0" w:color="auto"/>
                <w:left w:val="none" w:sz="0" w:space="0" w:color="auto"/>
                <w:bottom w:val="none" w:sz="0" w:space="0" w:color="auto"/>
                <w:right w:val="none" w:sz="0" w:space="0" w:color="auto"/>
              </w:divBdr>
              <w:divsChild>
                <w:div w:id="1299382438">
                  <w:marLeft w:val="0"/>
                  <w:marRight w:val="0"/>
                  <w:marTop w:val="0"/>
                  <w:marBottom w:val="0"/>
                  <w:divBdr>
                    <w:top w:val="none" w:sz="0" w:space="0" w:color="auto"/>
                    <w:left w:val="none" w:sz="0" w:space="0" w:color="auto"/>
                    <w:bottom w:val="none" w:sz="0" w:space="0" w:color="auto"/>
                    <w:right w:val="none" w:sz="0" w:space="0" w:color="auto"/>
                  </w:divBdr>
                  <w:divsChild>
                    <w:div w:id="186799185">
                      <w:marLeft w:val="0"/>
                      <w:marRight w:val="0"/>
                      <w:marTop w:val="0"/>
                      <w:marBottom w:val="0"/>
                      <w:divBdr>
                        <w:top w:val="none" w:sz="0" w:space="0" w:color="auto"/>
                        <w:left w:val="none" w:sz="0" w:space="0" w:color="auto"/>
                        <w:bottom w:val="none" w:sz="0" w:space="0" w:color="auto"/>
                        <w:right w:val="none" w:sz="0" w:space="0" w:color="auto"/>
                      </w:divBdr>
                      <w:divsChild>
                        <w:div w:id="1480851473">
                          <w:marLeft w:val="0"/>
                          <w:marRight w:val="0"/>
                          <w:marTop w:val="0"/>
                          <w:marBottom w:val="0"/>
                          <w:divBdr>
                            <w:top w:val="none" w:sz="0" w:space="0" w:color="auto"/>
                            <w:left w:val="none" w:sz="0" w:space="0" w:color="auto"/>
                            <w:bottom w:val="none" w:sz="0" w:space="0" w:color="auto"/>
                            <w:right w:val="none" w:sz="0" w:space="0" w:color="auto"/>
                          </w:divBdr>
                          <w:divsChild>
                            <w:div w:id="1973632772">
                              <w:marLeft w:val="0"/>
                              <w:marRight w:val="0"/>
                              <w:marTop w:val="0"/>
                              <w:marBottom w:val="0"/>
                              <w:divBdr>
                                <w:top w:val="none" w:sz="0" w:space="0" w:color="auto"/>
                                <w:left w:val="none" w:sz="0" w:space="0" w:color="auto"/>
                                <w:bottom w:val="none" w:sz="0" w:space="0" w:color="auto"/>
                                <w:right w:val="none" w:sz="0" w:space="0" w:color="auto"/>
                              </w:divBdr>
                              <w:divsChild>
                                <w:div w:id="98139058">
                                  <w:marLeft w:val="0"/>
                                  <w:marRight w:val="0"/>
                                  <w:marTop w:val="0"/>
                                  <w:marBottom w:val="0"/>
                                  <w:divBdr>
                                    <w:top w:val="none" w:sz="0" w:space="0" w:color="auto"/>
                                    <w:left w:val="none" w:sz="0" w:space="0" w:color="auto"/>
                                    <w:bottom w:val="none" w:sz="0" w:space="0" w:color="auto"/>
                                    <w:right w:val="none" w:sz="0" w:space="0" w:color="auto"/>
                                  </w:divBdr>
                                </w:div>
                                <w:div w:id="113914686">
                                  <w:marLeft w:val="0"/>
                                  <w:marRight w:val="0"/>
                                  <w:marTop w:val="0"/>
                                  <w:marBottom w:val="0"/>
                                  <w:divBdr>
                                    <w:top w:val="none" w:sz="0" w:space="0" w:color="auto"/>
                                    <w:left w:val="none" w:sz="0" w:space="0" w:color="auto"/>
                                    <w:bottom w:val="none" w:sz="0" w:space="0" w:color="auto"/>
                                    <w:right w:val="none" w:sz="0" w:space="0" w:color="auto"/>
                                  </w:divBdr>
                                </w:div>
                              </w:divsChild>
                            </w:div>
                            <w:div w:id="1786385508">
                              <w:marLeft w:val="0"/>
                              <w:marRight w:val="0"/>
                              <w:marTop w:val="0"/>
                              <w:marBottom w:val="0"/>
                              <w:divBdr>
                                <w:top w:val="none" w:sz="0" w:space="0" w:color="auto"/>
                                <w:left w:val="none" w:sz="0" w:space="0" w:color="auto"/>
                                <w:bottom w:val="none" w:sz="0" w:space="0" w:color="auto"/>
                                <w:right w:val="none" w:sz="0" w:space="0" w:color="auto"/>
                              </w:divBdr>
                              <w:divsChild>
                                <w:div w:id="240214316">
                                  <w:marLeft w:val="0"/>
                                  <w:marRight w:val="0"/>
                                  <w:marTop w:val="0"/>
                                  <w:marBottom w:val="0"/>
                                  <w:divBdr>
                                    <w:top w:val="none" w:sz="0" w:space="0" w:color="auto"/>
                                    <w:left w:val="none" w:sz="0" w:space="0" w:color="auto"/>
                                    <w:bottom w:val="none" w:sz="0" w:space="0" w:color="auto"/>
                                    <w:right w:val="none" w:sz="0" w:space="0" w:color="auto"/>
                                  </w:divBdr>
                                </w:div>
                                <w:div w:id="19328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188">
          <w:marLeft w:val="0"/>
          <w:marRight w:val="0"/>
          <w:marTop w:val="0"/>
          <w:marBottom w:val="0"/>
          <w:divBdr>
            <w:top w:val="none" w:sz="0" w:space="0" w:color="auto"/>
            <w:left w:val="none" w:sz="0" w:space="0" w:color="auto"/>
            <w:bottom w:val="none" w:sz="0" w:space="0" w:color="auto"/>
            <w:right w:val="none" w:sz="0" w:space="0" w:color="auto"/>
          </w:divBdr>
          <w:divsChild>
            <w:div w:id="772014171">
              <w:marLeft w:val="0"/>
              <w:marRight w:val="0"/>
              <w:marTop w:val="0"/>
              <w:marBottom w:val="0"/>
              <w:divBdr>
                <w:top w:val="none" w:sz="0" w:space="0" w:color="auto"/>
                <w:left w:val="none" w:sz="0" w:space="0" w:color="auto"/>
                <w:bottom w:val="none" w:sz="0" w:space="0" w:color="auto"/>
                <w:right w:val="none" w:sz="0" w:space="0" w:color="auto"/>
              </w:divBdr>
              <w:divsChild>
                <w:div w:id="2076470323">
                  <w:marLeft w:val="0"/>
                  <w:marRight w:val="0"/>
                  <w:marTop w:val="0"/>
                  <w:marBottom w:val="0"/>
                  <w:divBdr>
                    <w:top w:val="none" w:sz="0" w:space="0" w:color="auto"/>
                    <w:left w:val="none" w:sz="0" w:space="0" w:color="auto"/>
                    <w:bottom w:val="none" w:sz="0" w:space="0" w:color="auto"/>
                    <w:right w:val="none" w:sz="0" w:space="0" w:color="auto"/>
                  </w:divBdr>
                </w:div>
                <w:div w:id="299119512">
                  <w:marLeft w:val="0"/>
                  <w:marRight w:val="0"/>
                  <w:marTop w:val="0"/>
                  <w:marBottom w:val="0"/>
                  <w:divBdr>
                    <w:top w:val="none" w:sz="0" w:space="0" w:color="auto"/>
                    <w:left w:val="none" w:sz="0" w:space="0" w:color="auto"/>
                    <w:bottom w:val="none" w:sz="0" w:space="0" w:color="auto"/>
                    <w:right w:val="none" w:sz="0" w:space="0" w:color="auto"/>
                  </w:divBdr>
                </w:div>
                <w:div w:id="252664102">
                  <w:marLeft w:val="0"/>
                  <w:marRight w:val="0"/>
                  <w:marTop w:val="0"/>
                  <w:marBottom w:val="0"/>
                  <w:divBdr>
                    <w:top w:val="none" w:sz="0" w:space="0" w:color="auto"/>
                    <w:left w:val="none" w:sz="0" w:space="0" w:color="auto"/>
                    <w:bottom w:val="none" w:sz="0" w:space="0" w:color="auto"/>
                    <w:right w:val="none" w:sz="0" w:space="0" w:color="auto"/>
                  </w:divBdr>
                </w:div>
                <w:div w:id="1732729100">
                  <w:marLeft w:val="0"/>
                  <w:marRight w:val="0"/>
                  <w:marTop w:val="0"/>
                  <w:marBottom w:val="0"/>
                  <w:divBdr>
                    <w:top w:val="none" w:sz="0" w:space="0" w:color="auto"/>
                    <w:left w:val="none" w:sz="0" w:space="0" w:color="auto"/>
                    <w:bottom w:val="none" w:sz="0" w:space="0" w:color="auto"/>
                    <w:right w:val="none" w:sz="0" w:space="0" w:color="auto"/>
                  </w:divBdr>
                </w:div>
                <w:div w:id="1042905623">
                  <w:marLeft w:val="0"/>
                  <w:marRight w:val="0"/>
                  <w:marTop w:val="0"/>
                  <w:marBottom w:val="0"/>
                  <w:divBdr>
                    <w:top w:val="none" w:sz="0" w:space="0" w:color="auto"/>
                    <w:left w:val="none" w:sz="0" w:space="0" w:color="auto"/>
                    <w:bottom w:val="none" w:sz="0" w:space="0" w:color="auto"/>
                    <w:right w:val="none" w:sz="0" w:space="0" w:color="auto"/>
                  </w:divBdr>
                </w:div>
                <w:div w:id="1707365703">
                  <w:marLeft w:val="0"/>
                  <w:marRight w:val="0"/>
                  <w:marTop w:val="0"/>
                  <w:marBottom w:val="0"/>
                  <w:divBdr>
                    <w:top w:val="none" w:sz="0" w:space="0" w:color="auto"/>
                    <w:left w:val="none" w:sz="0" w:space="0" w:color="auto"/>
                    <w:bottom w:val="none" w:sz="0" w:space="0" w:color="auto"/>
                    <w:right w:val="none" w:sz="0" w:space="0" w:color="auto"/>
                  </w:divBdr>
                </w:div>
                <w:div w:id="110437305">
                  <w:marLeft w:val="0"/>
                  <w:marRight w:val="0"/>
                  <w:marTop w:val="0"/>
                  <w:marBottom w:val="0"/>
                  <w:divBdr>
                    <w:top w:val="none" w:sz="0" w:space="0" w:color="auto"/>
                    <w:left w:val="none" w:sz="0" w:space="0" w:color="auto"/>
                    <w:bottom w:val="none" w:sz="0" w:space="0" w:color="auto"/>
                    <w:right w:val="none" w:sz="0" w:space="0" w:color="auto"/>
                  </w:divBdr>
                </w:div>
                <w:div w:id="2706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2251">
      <w:bodyDiv w:val="1"/>
      <w:marLeft w:val="0"/>
      <w:marRight w:val="0"/>
      <w:marTop w:val="0"/>
      <w:marBottom w:val="0"/>
      <w:divBdr>
        <w:top w:val="none" w:sz="0" w:space="0" w:color="auto"/>
        <w:left w:val="none" w:sz="0" w:space="0" w:color="auto"/>
        <w:bottom w:val="none" w:sz="0" w:space="0" w:color="auto"/>
        <w:right w:val="none" w:sz="0" w:space="0" w:color="auto"/>
      </w:divBdr>
    </w:div>
    <w:div w:id="961035568">
      <w:bodyDiv w:val="1"/>
      <w:marLeft w:val="0"/>
      <w:marRight w:val="0"/>
      <w:marTop w:val="0"/>
      <w:marBottom w:val="0"/>
      <w:divBdr>
        <w:top w:val="none" w:sz="0" w:space="0" w:color="auto"/>
        <w:left w:val="none" w:sz="0" w:space="0" w:color="auto"/>
        <w:bottom w:val="none" w:sz="0" w:space="0" w:color="auto"/>
        <w:right w:val="none" w:sz="0" w:space="0" w:color="auto"/>
      </w:divBdr>
      <w:divsChild>
        <w:div w:id="120807702">
          <w:marLeft w:val="0"/>
          <w:marRight w:val="0"/>
          <w:marTop w:val="0"/>
          <w:marBottom w:val="0"/>
          <w:divBdr>
            <w:top w:val="none" w:sz="0" w:space="0" w:color="auto"/>
            <w:left w:val="none" w:sz="0" w:space="0" w:color="auto"/>
            <w:bottom w:val="none" w:sz="0" w:space="0" w:color="auto"/>
            <w:right w:val="none" w:sz="0" w:space="0" w:color="auto"/>
          </w:divBdr>
          <w:divsChild>
            <w:div w:id="1977444453">
              <w:marLeft w:val="0"/>
              <w:marRight w:val="0"/>
              <w:marTop w:val="0"/>
              <w:marBottom w:val="0"/>
              <w:divBdr>
                <w:top w:val="none" w:sz="0" w:space="0" w:color="auto"/>
                <w:left w:val="none" w:sz="0" w:space="0" w:color="auto"/>
                <w:bottom w:val="none" w:sz="0" w:space="0" w:color="auto"/>
                <w:right w:val="none" w:sz="0" w:space="0" w:color="auto"/>
              </w:divBdr>
              <w:divsChild>
                <w:div w:id="11095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5074">
      <w:bodyDiv w:val="1"/>
      <w:marLeft w:val="0"/>
      <w:marRight w:val="0"/>
      <w:marTop w:val="0"/>
      <w:marBottom w:val="0"/>
      <w:divBdr>
        <w:top w:val="none" w:sz="0" w:space="0" w:color="auto"/>
        <w:left w:val="none" w:sz="0" w:space="0" w:color="auto"/>
        <w:bottom w:val="none" w:sz="0" w:space="0" w:color="auto"/>
        <w:right w:val="none" w:sz="0" w:space="0" w:color="auto"/>
      </w:divBdr>
    </w:div>
    <w:div w:id="20671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footer" Target="footer24.xml"/><Relationship Id="rId68" Type="http://schemas.openxmlformats.org/officeDocument/2006/relationships/header" Target="header2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3.png"/><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header" Target="header22.xml"/><Relationship Id="rId66"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chart" Target="charts/chart3.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footer" Target="footer22.xml"/><Relationship Id="rId65" Type="http://schemas.openxmlformats.org/officeDocument/2006/relationships/header" Target="header26.xml"/><Relationship Id="R6d3af286461c466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hart" Target="charts/chart1.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chart" Target="charts/chart2.xml"/><Relationship Id="rId64" Type="http://schemas.openxmlformats.org/officeDocument/2006/relationships/header" Target="header25.xml"/><Relationship Id="rId69"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84d713700e57427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32019D0165&amp;from=EN" TargetMode="External"/><Relationship Id="rId2" Type="http://schemas.openxmlformats.org/officeDocument/2006/relationships/hyperlink" Target="https://eur-lex.europa.eu/legal-content/EN/TXT/PDF/?uri=CELEX:52020DC0152&amp;from=EN" TargetMode="External"/><Relationship Id="rId1" Type="http://schemas.openxmlformats.org/officeDocument/2006/relationships/hyperlink" Target="https://www.eca.europa.eu/Lists/ECADocuments/SR20_23/SR_EPSO_EN.pdf"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gigleau\AppData\Local\Microsoft\Windows\INetCache\Content.Outlook\A26EG702\SR%20Evaluatin%20report.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a:t>
            </a:r>
            <a:r>
              <a:rPr lang="en-GB" baseline="0"/>
              <a:t> n</a:t>
            </a:r>
            <a:r>
              <a:rPr lang="en-GB"/>
              <a:t>umber of beneficiaries/domain/year</a:t>
            </a:r>
          </a:p>
          <a:p>
            <a:pPr>
              <a:defRPr sz="1400" b="0" i="0" u="none" strike="noStrike" kern="1200" spc="0" baseline="0">
                <a:solidFill>
                  <a:schemeClr val="tx1">
                    <a:lumMod val="65000"/>
                    <a:lumOff val="35000"/>
                  </a:schemeClr>
                </a:solidFill>
                <a:latin typeface="+mn-lt"/>
                <a:ea typeface="+mn-ea"/>
                <a:cs typeface="+mn-cs"/>
              </a:defRPr>
            </a:pPr>
            <a:r>
              <a:rPr lang="en-GB"/>
              <a:t>(all institutions)</a:t>
            </a:r>
          </a:p>
        </c:rich>
      </c:tx>
      <c:overlay val="0"/>
      <c:spPr>
        <a:noFill/>
        <a:ln>
          <a:noFill/>
        </a:ln>
        <a:effectLst/>
      </c:spPr>
    </c:title>
    <c:autoTitleDeleted val="0"/>
    <c:plotArea>
      <c:layout/>
      <c:barChart>
        <c:barDir val="col"/>
        <c:grouping val="stacked"/>
        <c:varyColors val="0"/>
        <c:ser>
          <c:idx val="0"/>
          <c:order val="0"/>
          <c:tx>
            <c:strRef>
              <c:f>Shift!$C$19</c:f>
              <c:strCache>
                <c:ptCount val="1"/>
                <c:pt idx="0">
                  <c:v>JRC</c:v>
                </c:pt>
              </c:strCache>
            </c:strRef>
          </c:tx>
          <c:spPr>
            <a:solidFill>
              <a:schemeClr val="accent1"/>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Shift!$C$20:$C$25</c:f>
              <c:numCache>
                <c:formatCode>General</c:formatCode>
                <c:ptCount val="6"/>
                <c:pt idx="0">
                  <c:v>50</c:v>
                </c:pt>
                <c:pt idx="1">
                  <c:v>49</c:v>
                </c:pt>
                <c:pt idx="2">
                  <c:v>48</c:v>
                </c:pt>
                <c:pt idx="3">
                  <c:v>44</c:v>
                </c:pt>
                <c:pt idx="4">
                  <c:v>29</c:v>
                </c:pt>
                <c:pt idx="5">
                  <c:v>25</c:v>
                </c:pt>
              </c:numCache>
            </c:numRef>
          </c:val>
          <c:extLst xmlns:c16r2="http://schemas.microsoft.com/office/drawing/2015/06/chart">
            <c:ext xmlns:c16="http://schemas.microsoft.com/office/drawing/2014/chart" uri="{C3380CC4-5D6E-409C-BE32-E72D297353CC}">
              <c16:uniqueId val="{00000000-8AF0-4EC7-B75A-002AF8800389}"/>
            </c:ext>
          </c:extLst>
        </c:ser>
        <c:ser>
          <c:idx val="1"/>
          <c:order val="1"/>
          <c:tx>
            <c:strRef>
              <c:f>Shift!$D$19</c:f>
              <c:strCache>
                <c:ptCount val="1"/>
                <c:pt idx="0">
                  <c:v>Crisis coord./
urgency</c:v>
                </c:pt>
              </c:strCache>
            </c:strRef>
          </c:tx>
          <c:spPr>
            <a:solidFill>
              <a:schemeClr val="accent2"/>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Shift!$D$20:$D$25</c:f>
              <c:numCache>
                <c:formatCode>General</c:formatCode>
                <c:ptCount val="6"/>
                <c:pt idx="0">
                  <c:v>0</c:v>
                </c:pt>
                <c:pt idx="1">
                  <c:v>0</c:v>
                </c:pt>
                <c:pt idx="2">
                  <c:v>7</c:v>
                </c:pt>
                <c:pt idx="3">
                  <c:v>16</c:v>
                </c:pt>
                <c:pt idx="4">
                  <c:v>8</c:v>
                </c:pt>
                <c:pt idx="5">
                  <c:v>9</c:v>
                </c:pt>
              </c:numCache>
            </c:numRef>
          </c:val>
          <c:extLst xmlns:c16r2="http://schemas.microsoft.com/office/drawing/2015/06/chart">
            <c:ext xmlns:c16="http://schemas.microsoft.com/office/drawing/2014/chart" uri="{C3380CC4-5D6E-409C-BE32-E72D297353CC}">
              <c16:uniqueId val="{00000001-8AF0-4EC7-B75A-002AF8800389}"/>
            </c:ext>
          </c:extLst>
        </c:ser>
        <c:ser>
          <c:idx val="2"/>
          <c:order val="2"/>
          <c:tx>
            <c:strRef>
              <c:f>Shift!$E$19</c:f>
              <c:strCache>
                <c:ptCount val="1"/>
                <c:pt idx="0">
                  <c:v>ICT</c:v>
                </c:pt>
              </c:strCache>
            </c:strRef>
          </c:tx>
          <c:spPr>
            <a:solidFill>
              <a:schemeClr val="accent3"/>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Shift!$E$20:$E$25</c:f>
              <c:numCache>
                <c:formatCode>General</c:formatCode>
                <c:ptCount val="6"/>
                <c:pt idx="0">
                  <c:v>15</c:v>
                </c:pt>
                <c:pt idx="1">
                  <c:v>14.5</c:v>
                </c:pt>
                <c:pt idx="2">
                  <c:v>33</c:v>
                </c:pt>
                <c:pt idx="3">
                  <c:v>31</c:v>
                </c:pt>
                <c:pt idx="4">
                  <c:v>33</c:v>
                </c:pt>
                <c:pt idx="5">
                  <c:v>27</c:v>
                </c:pt>
              </c:numCache>
            </c:numRef>
          </c:val>
          <c:extLst xmlns:c16r2="http://schemas.microsoft.com/office/drawing/2015/06/chart">
            <c:ext xmlns:c16="http://schemas.microsoft.com/office/drawing/2014/chart" uri="{C3380CC4-5D6E-409C-BE32-E72D297353CC}">
              <c16:uniqueId val="{00000002-8AF0-4EC7-B75A-002AF8800389}"/>
            </c:ext>
          </c:extLst>
        </c:ser>
        <c:ser>
          <c:idx val="3"/>
          <c:order val="3"/>
          <c:tx>
            <c:strRef>
              <c:f>Shift!$F$19</c:f>
              <c:strCache>
                <c:ptCount val="1"/>
                <c:pt idx="0">
                  <c:v>Safety</c:v>
                </c:pt>
              </c:strCache>
            </c:strRef>
          </c:tx>
          <c:spPr>
            <a:solidFill>
              <a:schemeClr val="accent4"/>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Shift!$F$20:$F$25</c:f>
              <c:numCache>
                <c:formatCode>General</c:formatCode>
                <c:ptCount val="6"/>
                <c:pt idx="0">
                  <c:v>246</c:v>
                </c:pt>
                <c:pt idx="1">
                  <c:v>448</c:v>
                </c:pt>
                <c:pt idx="2">
                  <c:v>616</c:v>
                </c:pt>
                <c:pt idx="3">
                  <c:v>717</c:v>
                </c:pt>
                <c:pt idx="4">
                  <c:v>591</c:v>
                </c:pt>
                <c:pt idx="5">
                  <c:v>719</c:v>
                </c:pt>
              </c:numCache>
            </c:numRef>
          </c:val>
          <c:extLst xmlns:c16r2="http://schemas.microsoft.com/office/drawing/2015/06/chart">
            <c:ext xmlns:c16="http://schemas.microsoft.com/office/drawing/2014/chart" uri="{C3380CC4-5D6E-409C-BE32-E72D297353CC}">
              <c16:uniqueId val="{00000003-8AF0-4EC7-B75A-002AF8800389}"/>
            </c:ext>
          </c:extLst>
        </c:ser>
        <c:ser>
          <c:idx val="4"/>
          <c:order val="4"/>
          <c:tx>
            <c:strRef>
              <c:f>Shift!$G$19</c:f>
              <c:strCache>
                <c:ptCount val="1"/>
                <c:pt idx="0">
                  <c:v>Switchboard/reception</c:v>
                </c:pt>
              </c:strCache>
            </c:strRef>
          </c:tx>
          <c:spPr>
            <a:solidFill>
              <a:schemeClr val="accent5"/>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Shift!$G$20:$G$25</c:f>
              <c:numCache>
                <c:formatCode>General</c:formatCode>
                <c:ptCount val="6"/>
                <c:pt idx="0">
                  <c:v>29</c:v>
                </c:pt>
                <c:pt idx="1">
                  <c:v>26</c:v>
                </c:pt>
                <c:pt idx="2">
                  <c:v>22</c:v>
                </c:pt>
                <c:pt idx="3">
                  <c:v>21</c:v>
                </c:pt>
                <c:pt idx="4">
                  <c:v>167</c:v>
                </c:pt>
                <c:pt idx="5">
                  <c:v>60</c:v>
                </c:pt>
              </c:numCache>
            </c:numRef>
          </c:val>
          <c:extLst xmlns:c16r2="http://schemas.microsoft.com/office/drawing/2015/06/chart">
            <c:ext xmlns:c16="http://schemas.microsoft.com/office/drawing/2014/chart" uri="{C3380CC4-5D6E-409C-BE32-E72D297353CC}">
              <c16:uniqueId val="{00000004-8AF0-4EC7-B75A-002AF8800389}"/>
            </c:ext>
          </c:extLst>
        </c:ser>
        <c:ser>
          <c:idx val="5"/>
          <c:order val="5"/>
          <c:tx>
            <c:strRef>
              <c:f>Shift!$H$19</c:f>
              <c:strCache>
                <c:ptCount val="1"/>
                <c:pt idx="0">
                  <c:v>CSFP/ESDP</c:v>
                </c:pt>
              </c:strCache>
            </c:strRef>
          </c:tx>
          <c:spPr>
            <a:solidFill>
              <a:schemeClr val="accent6"/>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Shift!$H$20:$H$25</c:f>
              <c:numCache>
                <c:formatCode>General</c:formatCode>
                <c:ptCount val="6"/>
                <c:pt idx="0">
                  <c:v>12</c:v>
                </c:pt>
                <c:pt idx="1">
                  <c:v>13</c:v>
                </c:pt>
                <c:pt idx="2">
                  <c:v>9</c:v>
                </c:pt>
                <c:pt idx="3">
                  <c:v>10</c:v>
                </c:pt>
                <c:pt idx="4">
                  <c:v>11</c:v>
                </c:pt>
                <c:pt idx="5">
                  <c:v>12</c:v>
                </c:pt>
              </c:numCache>
            </c:numRef>
          </c:val>
          <c:extLst xmlns:c16r2="http://schemas.microsoft.com/office/drawing/2015/06/chart">
            <c:ext xmlns:c16="http://schemas.microsoft.com/office/drawing/2014/chart" uri="{C3380CC4-5D6E-409C-BE32-E72D297353CC}">
              <c16:uniqueId val="{00000005-8AF0-4EC7-B75A-002AF8800389}"/>
            </c:ext>
          </c:extLst>
        </c:ser>
        <c:ser>
          <c:idx val="6"/>
          <c:order val="6"/>
          <c:tx>
            <c:strRef>
              <c:f>Shift!$I$19</c:f>
              <c:strCache>
                <c:ptCount val="1"/>
                <c:pt idx="0">
                  <c:v>Technical installations</c:v>
                </c:pt>
              </c:strCache>
            </c:strRef>
          </c:tx>
          <c:spPr>
            <a:solidFill>
              <a:schemeClr val="accent1">
                <a:lumMod val="60000"/>
              </a:schemeClr>
            </a:solidFill>
            <a:ln>
              <a:noFill/>
            </a:ln>
            <a:effectLst/>
          </c:spPr>
          <c:invertIfNegative val="0"/>
          <c:cat>
            <c:numRef>
              <c:f>Shift!$B$20:$B$25</c:f>
              <c:numCache>
                <c:formatCode>General</c:formatCode>
                <c:ptCount val="6"/>
                <c:pt idx="0">
                  <c:v>2013</c:v>
                </c:pt>
                <c:pt idx="1">
                  <c:v>2014</c:v>
                </c:pt>
                <c:pt idx="2">
                  <c:v>2015</c:v>
                </c:pt>
                <c:pt idx="3">
                  <c:v>2016</c:v>
                </c:pt>
                <c:pt idx="4">
                  <c:v>2017</c:v>
                </c:pt>
                <c:pt idx="5">
                  <c:v>2018</c:v>
                </c:pt>
              </c:numCache>
            </c:numRef>
          </c:cat>
          <c:val>
            <c:numRef>
              <c:f>Shift!$I$20:$I$25</c:f>
              <c:numCache>
                <c:formatCode>General</c:formatCode>
                <c:ptCount val="6"/>
                <c:pt idx="0">
                  <c:v>3</c:v>
                </c:pt>
                <c:pt idx="1">
                  <c:v>3</c:v>
                </c:pt>
                <c:pt idx="2">
                  <c:v>3</c:v>
                </c:pt>
                <c:pt idx="3">
                  <c:v>1</c:v>
                </c:pt>
                <c:pt idx="4">
                  <c:v>1</c:v>
                </c:pt>
                <c:pt idx="5">
                  <c:v>0</c:v>
                </c:pt>
              </c:numCache>
            </c:numRef>
          </c:val>
          <c:extLst xmlns:c16r2="http://schemas.microsoft.com/office/drawing/2015/06/chart">
            <c:ext xmlns:c16="http://schemas.microsoft.com/office/drawing/2014/chart" uri="{C3380CC4-5D6E-409C-BE32-E72D297353CC}">
              <c16:uniqueId val="{00000006-8AF0-4EC7-B75A-002AF8800389}"/>
            </c:ext>
          </c:extLst>
        </c:ser>
        <c:dLbls>
          <c:showLegendKey val="0"/>
          <c:showVal val="0"/>
          <c:showCatName val="0"/>
          <c:showSerName val="0"/>
          <c:showPercent val="0"/>
          <c:showBubbleSize val="0"/>
        </c:dLbls>
        <c:gapWidth val="150"/>
        <c:overlap val="100"/>
        <c:axId val="107740160"/>
        <c:axId val="46510848"/>
      </c:barChart>
      <c:catAx>
        <c:axId val="10774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0848"/>
        <c:crosses val="autoZero"/>
        <c:auto val="1"/>
        <c:lblAlgn val="ctr"/>
        <c:lblOffset val="100"/>
        <c:noMultiLvlLbl val="0"/>
      </c:catAx>
      <c:valAx>
        <c:axId val="4651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4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Meetings with staff representatives</a:t>
            </a:r>
            <a:r>
              <a:rPr lang="en-US" baseline="0"/>
              <a:t>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Sheet1!$D$4:$D$10</c:f>
              <c:numCache>
                <c:formatCode>General</c:formatCode>
                <c:ptCount val="7"/>
                <c:pt idx="0">
                  <c:v>2014</c:v>
                </c:pt>
                <c:pt idx="1">
                  <c:v>2015</c:v>
                </c:pt>
                <c:pt idx="2">
                  <c:v>2016</c:v>
                </c:pt>
                <c:pt idx="3">
                  <c:v>2017</c:v>
                </c:pt>
                <c:pt idx="4">
                  <c:v>2018</c:v>
                </c:pt>
                <c:pt idx="5">
                  <c:v>2019</c:v>
                </c:pt>
                <c:pt idx="6">
                  <c:v>2020</c:v>
                </c:pt>
              </c:numCache>
            </c:numRef>
          </c:cat>
          <c:val>
            <c:numRef>
              <c:f>Sheet1!$E$4:$E$10</c:f>
              <c:numCache>
                <c:formatCode>General</c:formatCode>
                <c:ptCount val="7"/>
                <c:pt idx="0">
                  <c:v>71</c:v>
                </c:pt>
                <c:pt idx="1">
                  <c:v>68</c:v>
                </c:pt>
                <c:pt idx="2">
                  <c:v>57</c:v>
                </c:pt>
                <c:pt idx="3">
                  <c:v>50</c:v>
                </c:pt>
                <c:pt idx="4">
                  <c:v>40</c:v>
                </c:pt>
                <c:pt idx="5">
                  <c:v>45</c:v>
                </c:pt>
                <c:pt idx="6">
                  <c:v>40</c:v>
                </c:pt>
              </c:numCache>
            </c:numRef>
          </c:val>
          <c:extLst xmlns:c16r2="http://schemas.microsoft.com/office/drawing/2015/06/chart">
            <c:ext xmlns:c16="http://schemas.microsoft.com/office/drawing/2014/chart" uri="{C3380CC4-5D6E-409C-BE32-E72D297353CC}">
              <c16:uniqueId val="{00000000-803B-4566-9CB3-E67B160560D6}"/>
            </c:ext>
          </c:extLst>
        </c:ser>
        <c:dLbls>
          <c:showLegendKey val="0"/>
          <c:showVal val="0"/>
          <c:showCatName val="0"/>
          <c:showSerName val="0"/>
          <c:showPercent val="0"/>
          <c:showBubbleSize val="0"/>
        </c:dLbls>
        <c:gapWidth val="219"/>
        <c:axId val="66215296"/>
        <c:axId val="66221184"/>
      </c:barChart>
      <c:catAx>
        <c:axId val="6621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21184"/>
        <c:crosses val="autoZero"/>
        <c:auto val="1"/>
        <c:lblAlgn val="ctr"/>
        <c:lblOffset val="100"/>
        <c:noMultiLvlLbl val="0"/>
      </c:catAx>
      <c:valAx>
        <c:axId val="66221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Meetings of the Staff Regulations Committee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12</c:v>
                </c:pt>
                <c:pt idx="1">
                  <c:v>8</c:v>
                </c:pt>
                <c:pt idx="2">
                  <c:v>4</c:v>
                </c:pt>
                <c:pt idx="3">
                  <c:v>6</c:v>
                </c:pt>
                <c:pt idx="4">
                  <c:v>3</c:v>
                </c:pt>
                <c:pt idx="5">
                  <c:v>5</c:v>
                </c:pt>
              </c:numCache>
            </c:numRef>
          </c:val>
          <c:extLst xmlns:c16r2="http://schemas.microsoft.com/office/drawing/2015/06/chart">
            <c:ext xmlns:c16="http://schemas.microsoft.com/office/drawing/2014/chart" uri="{C3380CC4-5D6E-409C-BE32-E72D297353CC}">
              <c16:uniqueId val="{00000000-DDED-4815-9C36-4C2752B369AA}"/>
            </c:ext>
          </c:extLst>
        </c:ser>
        <c:dLbls>
          <c:showLegendKey val="0"/>
          <c:showVal val="0"/>
          <c:showCatName val="0"/>
          <c:showSerName val="0"/>
          <c:showPercent val="0"/>
          <c:showBubbleSize val="0"/>
        </c:dLbls>
        <c:gapWidth val="219"/>
        <c:overlap val="-27"/>
        <c:axId val="66237568"/>
        <c:axId val="66239104"/>
      </c:barChart>
      <c:catAx>
        <c:axId val="6623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39104"/>
        <c:crosses val="autoZero"/>
        <c:auto val="1"/>
        <c:lblAlgn val="ctr"/>
        <c:lblOffset val="100"/>
        <c:noMultiLvlLbl val="0"/>
      </c:catAx>
      <c:valAx>
        <c:axId val="6623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3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5A97-043B-499E-B581-8B2D14AD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26120</Words>
  <Characters>130864</Characters>
  <Application>Microsoft Office Word</Application>
  <DocSecurity>0</DocSecurity>
  <Lines>26172</Lines>
  <Paragraphs>15698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2021-07-26T15:04:00Z</dcterms:created>
  <dcterms:modified xsi:type="dcterms:W3CDTF">2021-07-28T08:08:00Z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