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5771294-DE64-4C19-9945-8E48D919C79A" style="width:455.5pt;height:3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bookmarkStart w:id="1" w:name="_Ref66357778"/>
      <w:bookmarkEnd w:id="0"/>
    </w:p>
    <w:p>
      <w:pPr>
        <w:pStyle w:val="Heading1"/>
        <w:rPr>
          <w:noProof/>
        </w:rPr>
      </w:pPr>
      <w:bookmarkStart w:id="2" w:name="_GoBack"/>
      <w:bookmarkEnd w:id="2"/>
      <w:r>
        <w:rPr>
          <w:noProof/>
        </w:rPr>
        <w:lastRenderedPageBreak/>
        <w:t>Einleitung</w:t>
      </w:r>
      <w:bookmarkEnd w:id="1"/>
    </w:p>
    <w:p>
      <w:pPr>
        <w:pStyle w:val="Text1"/>
        <w:ind w:left="0"/>
        <w:rPr>
          <w:noProof/>
        </w:rPr>
      </w:pPr>
      <w:r>
        <w:rPr>
          <w:noProof/>
        </w:rPr>
        <w:t xml:space="preserve">Artikel 113 des Statuts der Beamten der Europäischen Union (im Folgenden „Statut“) und Artikel 142a der Beschäftigungsbedingungen für die sonstigen Bediensteten der Union (im Folgenden „BBSB“) sehen vor, dass die Kommission dem Europäischen Parlament und dem Rat einen Bericht über das Funktionieren des Statuts und der BBSB vorlegt. Mit dem vorliegenden Bericht werden die vorgenannten Bestimmungen umgesetzt. </w:t>
      </w:r>
    </w:p>
    <w:p>
      <w:pPr>
        <w:pStyle w:val="Heading1"/>
        <w:rPr>
          <w:noProof/>
        </w:rPr>
      </w:pPr>
      <w:r>
        <w:rPr>
          <w:noProof/>
        </w:rPr>
        <w:t>Gegenstand des Berichts</w:t>
      </w:r>
    </w:p>
    <w:p>
      <w:pPr>
        <w:pStyle w:val="Text1"/>
        <w:ind w:left="0"/>
        <w:rPr>
          <w:i/>
          <w:iCs/>
          <w:noProof/>
        </w:rPr>
      </w:pPr>
      <w:r>
        <w:rPr>
          <w:noProof/>
        </w:rPr>
        <w:t>Der vorliegende Bericht bezieht sich auf den Zeitraum vom 1. Januar 2014 bis zum 31. Dezember 2019. Der Beginn des Zeitraums entspricht dem Inkrafttreten der letzten Reform des Statuts (im Folgenden „Reform von 2014“). Die Kommission hat das Ende des Bezugszeitraums auf den 31. Dezember 2019 festgelegt, um sicherzustellen, dass der Bericht auf hinreichend konsolidierten und bestätigten Daten aufbaut. Wann immer möglich und relevant, wird in diesem Bericht ferner auf die Entwicklungen ab 2020 Bezug genommen.</w:t>
      </w:r>
    </w:p>
    <w:p>
      <w:pPr>
        <w:pStyle w:val="Text2"/>
        <w:ind w:left="0"/>
        <w:rPr>
          <w:noProof/>
        </w:rPr>
      </w:pPr>
      <w:r>
        <w:rPr>
          <w:noProof/>
        </w:rPr>
        <w:t xml:space="preserve">Im Einklang mit dem Grundsatz der Einheitlichkeit des Statuts umfasst dieser Bericht alle Statutsbediensteten, d. h. sowohl diejenigen, die im Rahmen des Statuts beschäftigt sind, als auch jene im Rahmen der BBSB. </w:t>
      </w:r>
    </w:p>
    <w:p>
      <w:pPr>
        <w:pStyle w:val="Text2"/>
        <w:ind w:left="0"/>
        <w:rPr>
          <w:noProof/>
        </w:rPr>
      </w:pPr>
      <w:r>
        <w:rPr>
          <w:noProof/>
        </w:rPr>
        <w:t>Die beiden gesetzgebenden Organe haben den sachlichen Geltungsbereich des vorliegenden Berichts weit gefasst, indem er sich allgemein auf die Funktionsweise des Statuts und der BBSB bezogen hat. Daher umfasst dieser Bericht sowohl Angelegenheiten, über die die Kommission den beiden gesetzgebenden Organen regelmäßig Bericht erstattet, als auch Angelegenheiten, über die die Kommission seit 2014 zum ersten Mal</w:t>
      </w:r>
      <w:r>
        <w:rPr>
          <w:rStyle w:val="FootnoteReference"/>
          <w:noProof/>
          <w:lang w:val="en-IE"/>
        </w:rPr>
        <w:footnoteReference w:id="1"/>
      </w:r>
      <w:r>
        <w:rPr>
          <w:noProof/>
        </w:rPr>
        <w:t xml:space="preserve"> berichtet. Um ein umfassenderes Bild von der Funktionsweise des Statuts/der BBSB während des Berichtszeitraums zu vermitteln, bezieht sich dieser Bericht ferner auf Rechtsakte anderer Organe der Union, die mit der allgemeinen Umsetzung des Statuts/der BBSB in Verbindung stehen.</w:t>
      </w:r>
    </w:p>
    <w:p>
      <w:pPr>
        <w:pStyle w:val="Heading1"/>
        <w:rPr>
          <w:noProof/>
        </w:rPr>
      </w:pPr>
      <w:r>
        <w:rPr>
          <w:noProof/>
        </w:rPr>
        <w:t xml:space="preserve">Berichte über die Umsetzung des Statuts und der BBSB, die zwischen 2014 und 2019 angenommen wurden </w:t>
      </w:r>
    </w:p>
    <w:p>
      <w:pPr>
        <w:pStyle w:val="Heading2"/>
        <w:rPr>
          <w:noProof/>
        </w:rPr>
      </w:pPr>
      <w:r>
        <w:rPr>
          <w:noProof/>
        </w:rPr>
        <w:t>Berichte gemäß Artikel 16 Absatz 4 des Statuts über Ethik</w:t>
      </w:r>
    </w:p>
    <w:p>
      <w:pPr>
        <w:pStyle w:val="Text2"/>
        <w:ind w:left="0"/>
        <w:rPr>
          <w:noProof/>
        </w:rPr>
      </w:pPr>
      <w:r>
        <w:rPr>
          <w:noProof/>
        </w:rPr>
        <w:t>Die Reform des Statuts von 2014 stärkte den ethischen Rechtsrahmen durch die Einführung neuer Bestimmungen, die eine Bewertung von Interessenkonflikten bei der Einstellung oder Wiedereingliederung nach einem Urlaub aus persönlichen Gründen vorschreiben. Diese Bestimmungen betreffen ausdrücklich das Thema Lobbying und Interessenvertretung während eines Urlaubs aus persönlichen Gründen.</w:t>
      </w:r>
      <w:r>
        <w:rPr>
          <w:rStyle w:val="FootnoteReference"/>
          <w:noProof/>
          <w:lang w:val="en-IE"/>
        </w:rPr>
        <w:footnoteReference w:id="2"/>
      </w:r>
      <w:r>
        <w:rPr>
          <w:noProof/>
        </w:rPr>
        <w:t xml:space="preserve"> </w:t>
      </w:r>
    </w:p>
    <w:p>
      <w:pPr>
        <w:pStyle w:val="Text2"/>
        <w:ind w:left="0"/>
        <w:rPr>
          <w:noProof/>
        </w:rPr>
      </w:pPr>
      <w:r>
        <w:rPr>
          <w:noProof/>
        </w:rPr>
        <w:t xml:space="preserve">Zusätzlich zu der bereits bestehenden Möglichkeit, gemäß Artikel 16 Absatz 2 Bedingungen, einschließlich eines Verbots der Tätigkeit, aufzuerlegen, wurde mit der Reform ferner eine spezifische und ausdrückliche Bestimmung für ehemalige höhere Führungskräfte eingeführt, denen gemäß Artikel 16 Absatz 3 des Statuts von der Anstellungsbehörde grundsätzlich untersagt wird, während eines Zeitraums von einem Jahr nach ihrem Ausscheiden aus dem Dienst Lobbyarbeit oder Interessenvertretung für Bedienstete ihrer ehemaligen Institution zu betreiben. </w:t>
      </w:r>
    </w:p>
    <w:p>
      <w:pPr>
        <w:pStyle w:val="Text2"/>
        <w:ind w:left="0"/>
        <w:rPr>
          <w:noProof/>
        </w:rPr>
      </w:pPr>
      <w:r>
        <w:rPr>
          <w:noProof/>
        </w:rPr>
        <w:t xml:space="preserve">Gemäß Artikel 16 Absatz 4 des Statuts muss jedes Organ der Union jährlich Informationen über die Umsetzung der vorstehend genannten Bestimmung in Bezug auf ehemalige höhere Führungskräfte veröffentlichen, einschließlich einer Liste der geprüften Fälle (Anhang 1). </w:t>
      </w:r>
    </w:p>
    <w:p>
      <w:pPr>
        <w:pStyle w:val="Text2"/>
        <w:ind w:left="0"/>
        <w:rPr>
          <w:noProof/>
        </w:rPr>
      </w:pPr>
      <w:r>
        <w:rPr>
          <w:noProof/>
        </w:rPr>
        <w:t>Die bei der letzten Reform geänderten Statuten bilden somit eine solide Grundlage, um das Risiko eines tatsächlichen, vermeintlichen oder möglichen Interessenkonflikts in Bezug auf EU-Bedienstete einzudämmen. Auf dieser Grundlage überarbeitet die Kommission regelmäßig ihren internen Rechtsrahmen und ihre Verfahren, um die aus den Erfahrungen gewonnenen Erkenntnisse zu integrieren und Vorschläge sowie Empfehlungen anderer Organe als bewährte Verfahren einzubinden.</w:t>
      </w:r>
      <w:r>
        <w:rPr>
          <w:rStyle w:val="FootnoteReference"/>
          <w:noProof/>
          <w:lang w:val="en-IE"/>
        </w:rPr>
        <w:footnoteReference w:id="3"/>
      </w:r>
      <w:r>
        <w:rPr>
          <w:noProof/>
        </w:rPr>
        <w:t xml:space="preserve"> </w:t>
      </w:r>
    </w:p>
    <w:p>
      <w:pPr>
        <w:pStyle w:val="Heading2"/>
        <w:rPr>
          <w:noProof/>
        </w:rPr>
      </w:pPr>
      <w:r>
        <w:rPr>
          <w:noProof/>
        </w:rPr>
        <w:t>Übermittlung von Informationen gemäß Artikel 27 des Statuts und Artikel 12 der BBSB zur geografischen Ausgewogenheit</w:t>
      </w:r>
    </w:p>
    <w:p>
      <w:pPr>
        <w:autoSpaceDE w:val="0"/>
        <w:autoSpaceDN w:val="0"/>
        <w:adjustRightInd w:val="0"/>
        <w:rPr>
          <w:noProof/>
        </w:rPr>
      </w:pPr>
      <w:r>
        <w:rPr>
          <w:noProof/>
        </w:rPr>
        <w:t>Die Kommission hat am 15. Juni 2018 einen Bericht über die geografische Ausgewogenheit</w:t>
      </w:r>
      <w:r>
        <w:rPr>
          <w:rStyle w:val="FootnoteReference"/>
          <w:noProof/>
          <w:lang w:val="en-IE"/>
        </w:rPr>
        <w:footnoteReference w:id="4"/>
      </w:r>
      <w:r>
        <w:rPr>
          <w:noProof/>
        </w:rPr>
        <w:t xml:space="preserve"> angenommen. Dieser Bericht deckt, wie in Artikel 27 des Statuts vorgesehen, einen Dreijahreszeitraum ab, der am 1. Januar 2014 beginnt.</w:t>
      </w:r>
    </w:p>
    <w:p>
      <w:pPr>
        <w:autoSpaceDE w:val="0"/>
        <w:autoSpaceDN w:val="0"/>
        <w:adjustRightInd w:val="0"/>
        <w:rPr>
          <w:noProof/>
        </w:rPr>
      </w:pPr>
      <w:r>
        <w:rPr>
          <w:noProof/>
        </w:rPr>
        <w:t>In dem Bericht wurde der Schluss gezogen, dass zehn Nationalitäten der Mitgliedstaaten aus der Zeit vor 2004</w:t>
      </w:r>
      <w:r>
        <w:rPr>
          <w:rStyle w:val="FootnoteReference"/>
          <w:noProof/>
          <w:lang w:val="en-IE"/>
        </w:rPr>
        <w:footnoteReference w:id="5"/>
      </w:r>
      <w:r>
        <w:rPr>
          <w:noProof/>
        </w:rPr>
        <w:t xml:space="preserve"> bei den Beamten der unteren Laufbahngruppe in der Kommission deutlich unterrepräsentiert sind. Diese zehn Mitgliedstaaten werden daher in den nächsten Jahren zunehmend unterrepräsentiert sein, wenn nicht rasch Maßnahmen ergriffen werden, um mehr Einstellungen aus diesen Mitgliedstaaten zu erreichen. Zwar sind in anderen Organen und Einrichtungen gewisse Ungleichgewichte zu beobachten, doch sind diese entweder nicht signifikant oder durch objektive Kriterien gerechtfertigt.</w:t>
      </w:r>
    </w:p>
    <w:p>
      <w:pPr>
        <w:autoSpaceDE w:val="0"/>
        <w:autoSpaceDN w:val="0"/>
        <w:adjustRightInd w:val="0"/>
        <w:rPr>
          <w:noProof/>
        </w:rPr>
      </w:pPr>
      <w:r>
        <w:rPr>
          <w:noProof/>
        </w:rPr>
        <w:t>Der Bericht ergab ferner, dass die Unterrepräsentation in engem Zusammenhang mit einem geringen Interesse an einer Laufbahn im öffentlichen Dienst der EU steht, was sich in der geringen Beteiligung von Staatsangehörigen dieser Länder an den allgemeinen Auswahlverfahren widerspiegelt, die vom Europäischen Amt für Personalauswahl (EPSO) durchgeführt und verwaltet werden.</w:t>
      </w:r>
    </w:p>
    <w:p>
      <w:pPr>
        <w:autoSpaceDE w:val="0"/>
        <w:autoSpaceDN w:val="0"/>
        <w:adjustRightInd w:val="0"/>
        <w:rPr>
          <w:noProof/>
        </w:rPr>
      </w:pPr>
      <w:r>
        <w:rPr>
          <w:noProof/>
        </w:rPr>
        <w:t xml:space="preserve">Nach der Annahme dieses Berichts haben die Kommission und die anderen Organe mit dem EPSO zusammengearbeitet, um Abhilfemaßnahmen zu erarbeiten. In diesem Zusammenhang wurde im April 2019 eine interinstitutionelle besondere Arbeitsgruppe eingerichtet, die eine Reihe von Empfehlungen an den EPSO-Verwaltungsrat richtete. </w:t>
      </w:r>
    </w:p>
    <w:p>
      <w:pPr>
        <w:autoSpaceDE w:val="0"/>
        <w:autoSpaceDN w:val="0"/>
        <w:adjustRightInd w:val="0"/>
        <w:rPr>
          <w:noProof/>
          <w:szCs w:val="24"/>
        </w:rPr>
      </w:pPr>
      <w:r>
        <w:rPr>
          <w:noProof/>
        </w:rPr>
        <w:t>Parallel dazu veröffentlichte der Rechnungshof am 29. Oktober 2020 einen Sonderbericht über die Angemessenheit des wettbewerbsbasierten Auswahlverfahrens des EPSO</w:t>
      </w:r>
      <w:r>
        <w:rPr>
          <w:rStyle w:val="FootnoteReference"/>
          <w:noProof/>
          <w:lang w:val="en-IE"/>
        </w:rPr>
        <w:footnoteReference w:id="6"/>
      </w:r>
      <w:r>
        <w:rPr>
          <w:noProof/>
        </w:rPr>
        <w:t>. Zunächst wurde in dem Bericht insbesondere hervorgehoben, dass die Kommunikation und die Veranstaltungen, die sich an Länder richten, deren Staatsangehörige bei Auswahlverfahren oder unter den EU-Bediensteten unterrepräsentiert sind, noch keine sichtbaren Auswirkungen auf die geografische Ausgewogenheit der Bewerber haben. Der Hof stellte ferner fest, dass ein Teil der ausgewählten Bewerber/innen bereits bei einem der Organe beschäftigt ist, und zwar als Zeit- oder Vertragsbedienstete. Nach Schätzungen der Kommission handelt es sich dabei um einen erheblichen Anteil der erfolgreichen Bewerber der EPSO-Auswahlverfahren – je nach Funktionsgruppe bis zur Mehrheit –, insbesondere bei den Auswahlverfahren für Generalisten, wo etwa zwei Drittel bereits bei den Organen arbeiten.</w:t>
      </w:r>
      <w:r>
        <w:rPr>
          <w:rStyle w:val="FootnoteReference"/>
          <w:noProof/>
          <w:szCs w:val="24"/>
          <w:lang w:val="en-IE"/>
        </w:rPr>
        <w:footnoteReference w:id="7"/>
      </w:r>
      <w:r>
        <w:rPr>
          <w:noProof/>
        </w:rPr>
        <w:t xml:space="preserve"> Dies wirkt sich auf den Grad der Vertretung von Staatsangehörigen der einzelnen Mitgliedstaaten unter den Mitarbeitern der Organe aus.</w:t>
      </w:r>
    </w:p>
    <w:p>
      <w:pPr>
        <w:autoSpaceDE w:val="0"/>
        <w:autoSpaceDN w:val="0"/>
        <w:adjustRightInd w:val="0"/>
        <w:rPr>
          <w:noProof/>
        </w:rPr>
      </w:pPr>
      <w:r>
        <w:rPr>
          <w:noProof/>
        </w:rPr>
        <w:t>Darüber hinaus wurde im Bericht des Hofs hervorgehoben, dass eine Erhebung bei einer Reihe von mittleren Führungskräften des Europäischen Parlaments, der Europäischen Kommission und des Gerichtshofs über ihre jüngsten Einstellungserfahrungen ergab, dass 22 % der kürzlich eingestellten Verwaltungsbeamten jünger als 35 Jahre waren. 62 % waren über 40 Jahre alt, was es wahrscheinlich macht, dass sie bereits mindestens zehn Jahre Berufserfahrung hatten, als sie zu den Organen kamen, mehr als das, was in der Regel für die Besoldungsgruppe erforderlich ist. Die Diskrepanz zwischen vorheriger Berufserfahrung und den Besoldungsgruppen wiederum beeinflusst möglicherweise die Attraktivität der EU-Auswahlverfahren für unterrepräsentierte Mitgliedstaaten.</w:t>
      </w:r>
    </w:p>
    <w:p>
      <w:pPr>
        <w:autoSpaceDE w:val="0"/>
        <w:autoSpaceDN w:val="0"/>
        <w:adjustRightInd w:val="0"/>
        <w:rPr>
          <w:noProof/>
        </w:rPr>
      </w:pPr>
      <w:r>
        <w:rPr>
          <w:noProof/>
        </w:rPr>
        <w:t>Der Bericht enthält eine Reihe von Empfehlungen, insbesondere zur Verbesserung der Fähigkeit des EPSO, sich an ein rasch wechselndes Einstellungsumfeld anzupassen, was die Attraktivität von EU-Laufbahnen erhöhen dürfte.</w:t>
      </w:r>
    </w:p>
    <w:p>
      <w:pPr>
        <w:pStyle w:val="Heading2"/>
        <w:rPr>
          <w:noProof/>
        </w:rPr>
      </w:pPr>
      <w:r>
        <w:rPr>
          <w:noProof/>
        </w:rPr>
        <w:t>Berichterstattung gemäß den Artikeln 56a, 56b und 56c des Statuts über Sondervergütungen für Schichtarbeit, Bereitschaftsdienst und beschwerliche Arbeit</w:t>
      </w:r>
    </w:p>
    <w:p>
      <w:pPr>
        <w:rPr>
          <w:noProof/>
        </w:rPr>
      </w:pPr>
      <w:r>
        <w:rPr>
          <w:noProof/>
        </w:rPr>
        <w:t>Während des Berichtszeitraums nahm die Kommission sechs Berichte gemäß den Artikeln 56a, 56b und 56c des Statuts über Sondervergütungen für Schichtarbeit, Bereitschaftsdienst und beschwerliche Arbeit in Bezug auf die Verwendung dieser Vergütungen für die Jahre 2014 bis 2019 an.</w:t>
      </w:r>
      <w:r>
        <w:rPr>
          <w:rStyle w:val="FootnoteReference"/>
          <w:noProof/>
          <w:lang w:val="en-IE"/>
        </w:rPr>
        <w:footnoteReference w:id="8"/>
      </w:r>
      <w:r>
        <w:rPr>
          <w:noProof/>
        </w:rPr>
        <w:t xml:space="preserve"> </w:t>
      </w:r>
    </w:p>
    <w:p>
      <w:pPr>
        <w:rPr>
          <w:noProof/>
        </w:rPr>
      </w:pPr>
      <w:r>
        <w:rPr>
          <w:noProof/>
        </w:rPr>
        <w:t>Aus diesen Berichten geht hervor, dass die Kommission von allen Organen die Vergütung für Bereitschaftsdienst am häufigsten in Anspruch nimmt</w:t>
      </w:r>
      <w:r>
        <w:rPr>
          <w:rStyle w:val="FootnoteReference"/>
          <w:noProof/>
          <w:lang w:val="en-IE"/>
        </w:rPr>
        <w:footnoteReference w:id="9"/>
      </w:r>
      <w:r>
        <w:rPr>
          <w:noProof/>
        </w:rPr>
        <w:t xml:space="preserve"> und der einzige Empfänger der Vergütung für besonders beschwerliche Arbeiten ist</w:t>
      </w:r>
      <w:r>
        <w:rPr>
          <w:rStyle w:val="FootnoteReference"/>
          <w:noProof/>
          <w:lang w:val="en-IE"/>
        </w:rPr>
        <w:footnoteReference w:id="10"/>
      </w:r>
      <w:r>
        <w:rPr>
          <w:noProof/>
        </w:rPr>
        <w:t xml:space="preserve"> (Anhänge 2-4). Gleichzeitig machen das Europäische Parlament und der Rat hauptsächlich von der Vergütung für Schichtarbeit Gebrauch. Der beobachtete vermehrte Rückgriff auf Schichtarbeit hatte eine erhebliche und direkte Auswirkung auf die Gesamthaushaltsausgaben</w:t>
      </w:r>
      <w:r>
        <w:rPr>
          <w:rStyle w:val="FootnoteReference"/>
          <w:noProof/>
          <w:lang w:val="en-IE"/>
        </w:rPr>
        <w:footnoteReference w:id="11"/>
      </w:r>
      <w:r>
        <w:rPr>
          <w:noProof/>
        </w:rPr>
        <w:t xml:space="preserve"> (Anhang 5).</w:t>
      </w:r>
    </w:p>
    <w:p>
      <w:pPr>
        <w:pStyle w:val="Heading2"/>
        <w:rPr>
          <w:noProof/>
        </w:rPr>
      </w:pPr>
      <w:r>
        <w:rPr>
          <w:noProof/>
        </w:rPr>
        <w:t>Übermittlung von Informationen gemäß Artikel 77 des Statuts zur Bewertung des gesetzlichen Renteneintrittsalters</w:t>
      </w:r>
    </w:p>
    <w:p>
      <w:pPr>
        <w:pStyle w:val="Text1"/>
        <w:ind w:left="0"/>
        <w:rPr>
          <w:noProof/>
        </w:rPr>
      </w:pPr>
      <w:r>
        <w:rPr>
          <w:noProof/>
        </w:rPr>
        <w:t>Der Bericht der Kommission zur Bewertung des gesetzlichen Renteneintrittsalters wurde im Rahmen des internen Annahmeverfahrens dieses Berichts angenommen.</w:t>
      </w:r>
      <w:r>
        <w:rPr>
          <w:rStyle w:val="FootnoteReference"/>
          <w:noProof/>
          <w:lang w:val="en-IE"/>
        </w:rPr>
        <w:footnoteReference w:id="12"/>
      </w:r>
    </w:p>
    <w:p>
      <w:pPr>
        <w:pStyle w:val="Heading2"/>
        <w:rPr>
          <w:noProof/>
        </w:rPr>
      </w:pPr>
      <w:r>
        <w:rPr>
          <w:noProof/>
        </w:rPr>
        <w:t xml:space="preserve">Berichterstattung über die Umsetzung von Anhang XI des Statuts </w:t>
      </w:r>
    </w:p>
    <w:p>
      <w:pPr>
        <w:rPr>
          <w:noProof/>
        </w:rPr>
      </w:pPr>
      <w:r>
        <w:rPr>
          <w:noProof/>
        </w:rPr>
        <w:t xml:space="preserve">Die derzeitige Methode für die jährliche Aktualisierung der Dienst- und Versorgungsbezüge des EU-Personals und der Mitglieder der Organe der Union wurde im Rahmen der Reform des Statuts von 2014 angenommen. Das Statut sieht vor, dass die Methode mindestens bis Ende 2023 in Kraft bleibt. Im Statut sind die Berichtspflichten der Kommission festgelegt (d. h. Jahresberichte, Zwischenbericht und Abschlussbericht). </w:t>
      </w:r>
    </w:p>
    <w:p>
      <w:pPr>
        <w:rPr>
          <w:noProof/>
        </w:rPr>
      </w:pPr>
      <w:r>
        <w:rPr>
          <w:noProof/>
        </w:rPr>
        <w:t>Gemäß Artikel 15 Absatz 4 des Anhangs XI des Statuts legte die Kommission im Dezember 2018 einen Zwischenbericht über die Umsetzung von Anhang XI vor. Darin kam sie zu dem Schluss, dass Anhang XI während des Berichtszeitraums im Einklang mit den geltenden Vorschriften umgesetzt wurde.</w:t>
      </w:r>
      <w:r>
        <w:rPr>
          <w:rStyle w:val="FootnoteReference"/>
          <w:noProof/>
          <w:lang w:val="en-IE"/>
        </w:rPr>
        <w:footnoteReference w:id="13"/>
      </w:r>
      <w:r>
        <w:rPr>
          <w:noProof/>
        </w:rPr>
        <w:t xml:space="preserve"> </w:t>
      </w:r>
    </w:p>
    <w:p>
      <w:pPr>
        <w:rPr>
          <w:noProof/>
        </w:rPr>
      </w:pPr>
      <w:r>
        <w:rPr>
          <w:noProof/>
        </w:rPr>
        <w:t>Zwischen 2015 und 2020 hat die Kommission ferner sechs Jahresberichte über die Auswirkungen der Aktualisierung der Dienst- und Versorgungsbezüge auf den Haushalt angenommen. Nach einem anfänglichen überdurchschnittlichen Anstieg der Aktualisierungen in den Jahren 2015 und 2016 (der sich als „Nachholeffekt“ in den Mitgliedstaaten nach der wirtschaftlichen und sozialen Krise 2008-2012 beschreiben lässt), führten die anschließenden jährlichen Aktualisierungen in den Jahren 2017, 2018 und 2019 zu gemäßigten nominellen Erhöhungen der Dienstbezüge.</w:t>
      </w:r>
    </w:p>
    <w:p>
      <w:pPr>
        <w:rPr>
          <w:noProof/>
        </w:rPr>
      </w:pPr>
      <w:r>
        <w:rPr>
          <w:noProof/>
        </w:rPr>
        <w:t>Hinsichtlich der Umsetzung des Grundsatzes der Gleichheit der Kaufkraft bei den Beamten und Bediensteten der EU an verschiedenen Orten der dienstlichen Verwendung durch das System von Berichtigungskoeffizienten wurden einige wenige Probleme festgestellt, die während des Durchführungszeitraums 2018-2022 genau verfolgt werden müssen.</w:t>
      </w:r>
    </w:p>
    <w:p>
      <w:pPr>
        <w:rPr>
          <w:noProof/>
        </w:rPr>
      </w:pPr>
      <w:r>
        <w:rPr>
          <w:noProof/>
        </w:rPr>
        <w:t xml:space="preserve">Es ist darauf hinzuweisen, dass die in Artikel 11 des Anhangs XI vorgesehene Ausnahmeklausel im Jahr 2020 aufgrund des Wirtschaftsabschwungs infolge der COVID-19-Pandemie automatisch Anwendung fand. Infolgedessen war der Kaufkraftgewinn, den die nationalen Beamten in den Zentralbehörden der Referenzmitgliedstaaten im Zeitraum von Juli 2019 bis Juli 2020 erhielten, nicht Teil der Aktualisierung für 2020 und wurde verschoben, bis das BIP des Euroraums wieder sein Vorkrisenniveau erreichen würde. </w:t>
      </w:r>
    </w:p>
    <w:p>
      <w:pPr>
        <w:rPr>
          <w:noProof/>
        </w:rPr>
      </w:pPr>
      <w:r>
        <w:rPr>
          <w:noProof/>
        </w:rPr>
        <w:t xml:space="preserve">Da die Methode eine automatische jährliche Aktualisierung und automatische Krisenklauseln enthält, hat sie die Schwierigkeiten bei der Umsetzung früherer Methoden wirkungsvoll beseitigt. Zugleich wurde die Methode anhand der von der Kommission vorgelegten Jahresberichte regelmäßig durch das Europäische Parlament und den Rat überprüft. </w:t>
      </w:r>
    </w:p>
    <w:p>
      <w:pPr>
        <w:rPr>
          <w:noProof/>
        </w:rPr>
      </w:pPr>
      <w:r>
        <w:rPr>
          <w:noProof/>
        </w:rPr>
        <w:t>Die Umsetzung von Anhang XI wird im Abschlussbericht über die Entwicklung der Kaufkraft der Beamten der Union und der nationalen Beamten, den die Kommission dem Europäischen Parlament und dem Rat bis März 2022 vorlegen muss, erneut analysiert werden; auf dieser Grundlage wird die Kommission gegebenenfalls einen Legislativvorschlag zur Änderung der Bestimmungen über die Methode im Statut vorlegen.</w:t>
      </w:r>
    </w:p>
    <w:p>
      <w:pPr>
        <w:pStyle w:val="Heading2"/>
        <w:rPr>
          <w:noProof/>
        </w:rPr>
      </w:pPr>
      <w:r>
        <w:rPr>
          <w:noProof/>
        </w:rPr>
        <w:t>Berichterstattung über die Umsetzung von Anhang XII des Statuts</w:t>
      </w:r>
    </w:p>
    <w:p>
      <w:pPr>
        <w:rPr>
          <w:noProof/>
        </w:rPr>
      </w:pPr>
      <w:r>
        <w:rPr>
          <w:noProof/>
        </w:rPr>
        <w:t>Im Dezember 2018 legte die Kommission ferner einen Zwischenbericht über die Umsetzung von Anhang XII vor.</w:t>
      </w:r>
      <w:r>
        <w:rPr>
          <w:rStyle w:val="FootnoteReference"/>
          <w:noProof/>
          <w:lang w:val="en-IE"/>
        </w:rPr>
        <w:footnoteReference w:id="14"/>
      </w:r>
      <w:r>
        <w:rPr>
          <w:noProof/>
        </w:rPr>
        <w:t xml:space="preserve"> Aus dem Bericht ging hervor, dass die Anwendung von Anhang XII des Statuts sein besonderes Ziel erfüllt, das Gleichgewicht der Versorgungsordnung der Beamten zu gewährleisten (einschließlich der Beiträge zum Versorgungssystem, die die Beamten an den Haushalt zahlen, um ein Drittel der jährlich erworbenen Pensionsansprüche zu decken). In ihm wurde außerdem bestätigt, dass die Reformen des Statuts von 2004 und 2014 zu steigenden jährlichen Einsparungen geführt haben, die sich aus geringeren Leistungen und einem höheren Rentenalter ergeben.</w:t>
      </w:r>
      <w:r>
        <w:rPr>
          <w:rStyle w:val="FootnoteReference"/>
          <w:noProof/>
          <w:lang w:val="en-IE"/>
        </w:rPr>
        <w:footnoteReference w:id="15"/>
      </w:r>
      <w:r>
        <w:rPr>
          <w:noProof/>
        </w:rPr>
        <w:t xml:space="preserve"> </w:t>
      </w:r>
    </w:p>
    <w:p>
      <w:pPr>
        <w:rPr>
          <w:noProof/>
          <w:szCs w:val="24"/>
        </w:rPr>
      </w:pPr>
      <w:r>
        <w:rPr>
          <w:noProof/>
        </w:rPr>
        <w:t xml:space="preserve">Die Umsetzung von Anhang XII wird in dem Abschlussbericht, den die Kommission dem Europäischen Parlament und dem Rat im Jahr 2022 vorlegen muss, weiter analysiert werden; auf dieser Grundlage wird die Kommission gegebenenfalls einen Legislativvorschlag zur Änderung der Bestimmungen über die Funktionsweise des Altersversorgungssystems im Statut vorlegen. </w:t>
      </w:r>
    </w:p>
    <w:p>
      <w:pPr>
        <w:pStyle w:val="Heading2"/>
        <w:rPr>
          <w:noProof/>
        </w:rPr>
      </w:pPr>
      <w:r>
        <w:rPr>
          <w:noProof/>
        </w:rPr>
        <w:t>Berichterstattung gemäß Artikel 28 Buchstabe a Absatz 11 BBSB über die Finanzlage des Arbeitslosenversicherungssystems</w:t>
      </w:r>
    </w:p>
    <w:p>
      <w:pPr>
        <w:rPr>
          <w:noProof/>
        </w:rPr>
      </w:pPr>
      <w:r>
        <w:rPr>
          <w:noProof/>
        </w:rPr>
        <w:t>Gemäß Artikel 28 Absatz 10 der BBSB legt die Kommission alle zwei Jahre einen Bericht über die Finanzlage des Arbeitslosenversicherungssystems vor. Im Berichtszeitraum nahm die Kommission zwei Berichte an.</w:t>
      </w:r>
      <w:r>
        <w:rPr>
          <w:rStyle w:val="FootnoteReference"/>
          <w:noProof/>
          <w:lang w:val="en-IE"/>
        </w:rPr>
        <w:footnoteReference w:id="16"/>
      </w:r>
      <w:r>
        <w:rPr>
          <w:noProof/>
        </w:rPr>
        <w:t xml:space="preserve"> Diese Berichte wiesen von 2013 bis 2015 aufeinanderfolgende jährliche Defizite auf, die zu einem Rückgang der Reserve der Arbeitslosenkasse führten.</w:t>
      </w:r>
      <w:r>
        <w:rPr>
          <w:rStyle w:val="FootnoteReference"/>
          <w:noProof/>
          <w:lang w:val="en-IE"/>
        </w:rPr>
        <w:footnoteReference w:id="17"/>
      </w:r>
      <w:r>
        <w:rPr>
          <w:noProof/>
        </w:rPr>
        <w:t xml:space="preserve"> Die Haushaltsjahre 2016, 2017 und 2018 brachten aufeinanderfolgende Überschüsse, die ein deutliches Anwachsen der Reserve ermöglichten.</w:t>
      </w:r>
      <w:r>
        <w:rPr>
          <w:rStyle w:val="FootnoteReference"/>
          <w:noProof/>
          <w:lang w:val="en-IE"/>
        </w:rPr>
        <w:footnoteReference w:id="18"/>
      </w:r>
    </w:p>
    <w:p>
      <w:pPr>
        <w:rPr>
          <w:noProof/>
        </w:rPr>
      </w:pPr>
      <w:r>
        <w:rPr>
          <w:noProof/>
        </w:rPr>
        <w:t xml:space="preserve">Im Einklang mit den Schlussfolgerungen des Berichts 2016 über die finanzielle Lage der Arbeitslosenversicherung und unter besonderer Berücksichtigung der ermittelten Risikofaktoren führte die Kommission eine regelmäßige Überwachung der finanziellen Lage des Systems durch. Dabei bewertete die Kommission insbesondere weiterhin, ob die Ausgewogenheit des Systems eine Anpassung der Beitragssätze erfordert, die die Grundlage für die Finanzierung des Systems bilden. Bis zum Ende des Jahres 2019 war eine solche Anpassung nicht erforderlich. </w:t>
      </w:r>
    </w:p>
    <w:p>
      <w:pPr>
        <w:pStyle w:val="Heading2"/>
        <w:rPr>
          <w:noProof/>
        </w:rPr>
      </w:pPr>
      <w:r>
        <w:rPr>
          <w:noProof/>
        </w:rPr>
        <w:t>Berichterstattung gemäß Artikel 79 BBSB über den Einsatz von Vertragsbediensteten</w:t>
      </w:r>
    </w:p>
    <w:p>
      <w:pPr>
        <w:rPr>
          <w:noProof/>
        </w:rPr>
      </w:pPr>
      <w:r>
        <w:rPr>
          <w:noProof/>
        </w:rPr>
        <w:t>Gemäß Artikel 79 Absatz 3 der BBSB berichtet die Kommission jährlich über den Einsatz von Vertragsbediensteten. Die Kommission ist ihrer Verpflichtung für die Jahre 2014 bis 2018 nachgekommen, während zum Zeitpunkt der Erstellung des vorliegenden Berichts die Berichte für 2019 und 2020 in Vorbereitung sind. Alle Daten beziehen sich auf den 31. Dezember des jeweiligen Jahres.</w:t>
      </w:r>
    </w:p>
    <w:p>
      <w:pPr>
        <w:pStyle w:val="Heading3"/>
        <w:rPr>
          <w:noProof/>
        </w:rPr>
      </w:pPr>
      <w:r>
        <w:rPr>
          <w:noProof/>
        </w:rPr>
        <w:t xml:space="preserve">Entwicklung der Anzahl der Vertragsbediensteten </w:t>
      </w:r>
    </w:p>
    <w:p>
      <w:pPr>
        <w:rPr>
          <w:noProof/>
          <w:szCs w:val="24"/>
        </w:rPr>
      </w:pPr>
      <w:r>
        <w:rPr>
          <w:noProof/>
        </w:rPr>
        <w:t xml:space="preserve">Ende 2014 waren bei der Kommission, den anderen Organen und den Agenturen 11 064 Vertragsbedienstete beschäftigt. Vier Jahre später beschäftigten sie 13 841 Vertragsbedienstete (+25,1 %) (Anhang 6). </w:t>
      </w:r>
    </w:p>
    <w:p>
      <w:pPr>
        <w:rPr>
          <w:noProof/>
          <w:szCs w:val="24"/>
        </w:rPr>
      </w:pPr>
      <w:r>
        <w:rPr>
          <w:noProof/>
        </w:rPr>
        <w:t>Dieser Anstieg fällt in den verschiedenen Gruppen von Organen/Agenturen sehr unterschiedlich aus. Während bei der Kommission in diesem Zeitraum ein Anstieg um 12,4 % zu verzeichnen ist, liegt der Anstieg bei den anderen Organen bei 27,7 % und bei den Agenturen bei 54,7 % (siehe Anhänge 6 und 7). Darüber hinaus variierte die Anstiegsrate im Zeitverlauf, insbesondere bei der Kommission und den Agenturen in den Jahren 2017 und 2018. Insbesondere die Kommission wies in den Jahren 2017 und 2018 Steigerungen von nicht mehr als 1 % auf.</w:t>
      </w:r>
    </w:p>
    <w:p>
      <w:pPr>
        <w:rPr>
          <w:noProof/>
          <w:szCs w:val="24"/>
        </w:rPr>
      </w:pPr>
      <w:r>
        <w:rPr>
          <w:noProof/>
        </w:rPr>
        <w:t>Wie bei Beamten und Bediensteten auf Zeit erfolgt die Einstellung von Vertragsbediensteten auf der Grundlage des geforderten Profils sowie der fachlichen und sprachlichen Fähigkeiten der Bewerber, ohne dass Quoten auf der Grundlage der Nationalität festgelegt würden.</w:t>
      </w:r>
    </w:p>
    <w:p>
      <w:pPr>
        <w:rPr>
          <w:noProof/>
        </w:rPr>
      </w:pPr>
      <w:r>
        <w:rPr>
          <w:noProof/>
        </w:rPr>
        <w:t xml:space="preserve">In den Anhängen 8 bis 11 ist die Verteilung der Vertragsbediensteten nach Nationalität und Funktionsgruppe in den Jahren 2014 bzw. 2018 dargestellt. Was die Nationalitäten der Vertragsbediensteten betrifft, so sind Italien, Belgien, Frankreich und Spanien die führenden vier Nationalitäten in der Gruppe der Vertragsbediensteten, die zusammen etwa 60 % der Gesamtzahl der Vertragsbediensteten ausmachen. In Bezug auf die Vertragsbediensteten in den Funktionsgruppen III und IV entfallen auf die oben genannten vier Mitgliedstaaten 55 % der Vertragsbediensteten in diesen Funktionsgruppen. Diese Zusammensetzung der geografischen Vertretung ergibt sich aus einer Kombination von Faktoren, insbesondere der geografischen Nähe zum jeweiligen Dienstort des Organs (für die Kommission hauptsächlich Brüssel, die Stadt Luxemburg und Ispra), dem Besoldungsniveau und der Dauer der angebotenen Verträge. </w:t>
      </w:r>
    </w:p>
    <w:p>
      <w:pPr>
        <w:pStyle w:val="Heading3"/>
        <w:rPr>
          <w:noProof/>
        </w:rPr>
      </w:pPr>
      <w:r>
        <w:rPr>
          <w:noProof/>
        </w:rPr>
        <w:t>Laufbahnstruktur der Vertragsbediensteten</w:t>
      </w:r>
    </w:p>
    <w:p>
      <w:pPr>
        <w:tabs>
          <w:tab w:val="left" w:pos="426"/>
        </w:tabs>
        <w:rPr>
          <w:noProof/>
        </w:rPr>
      </w:pPr>
      <w:r>
        <w:rPr>
          <w:noProof/>
        </w:rPr>
        <w:t xml:space="preserve">In Artikel 80 der BBSB wird eine Verbindung zwischen den einzelnen Funktionsgruppen und den wahrgenommenen Funktionen hergestellt (Anhang 12). </w:t>
      </w:r>
    </w:p>
    <w:p>
      <w:pPr>
        <w:rPr>
          <w:noProof/>
        </w:rPr>
      </w:pPr>
      <w:r>
        <w:rPr>
          <w:noProof/>
        </w:rPr>
        <w:t>Im November 2017 traten neue allgemeine Durchführungsbestimmungen für Vertragsbedienstete</w:t>
      </w:r>
      <w:r>
        <w:rPr>
          <w:rStyle w:val="FootnoteReference"/>
          <w:noProof/>
          <w:lang w:val="en-IE"/>
        </w:rPr>
        <w:footnoteReference w:id="19"/>
      </w:r>
      <w:r>
        <w:rPr>
          <w:noProof/>
        </w:rPr>
        <w:t xml:space="preserve"> in Kraft. Diese allgemeinen Durchführungsbestimmungen sehen die Möglichkeit vor, die Funktionsgruppe an das Niveau der ausgeführten Aufgaben anzupassen.</w:t>
      </w:r>
      <w:r>
        <w:rPr>
          <w:rStyle w:val="FootnoteReference"/>
          <w:noProof/>
          <w:lang w:val="en-IE"/>
        </w:rPr>
        <w:footnoteReference w:id="20"/>
      </w:r>
      <w:r>
        <w:rPr>
          <w:noProof/>
        </w:rPr>
        <w:t xml:space="preserve"> Dies geschah erstmals 2019 für Vertragsbedienstete mit Dienstort in Luxemburg, und es folgten weitere Überprüfungen und Änderungen der Funktionsgruppen.</w:t>
      </w:r>
      <w:r>
        <w:rPr>
          <w:rStyle w:val="FootnoteReference"/>
          <w:noProof/>
          <w:lang w:val="en-IE"/>
        </w:rPr>
        <w:footnoteReference w:id="21"/>
      </w:r>
      <w:r>
        <w:rPr>
          <w:noProof/>
        </w:rPr>
        <w:t xml:space="preserve"> Die Durchführung weiterer Überprüfungen wird derzeit untersucht und auf der Grundlage einer umfassenderen Bewertung der Übereinstimmung zwischen dem Niveau der Aufgaben und der passenden Funktionsgruppe eingeleitet.</w:t>
      </w:r>
    </w:p>
    <w:p>
      <w:pPr>
        <w:pStyle w:val="Heading3"/>
        <w:rPr>
          <w:noProof/>
        </w:rPr>
      </w:pPr>
      <w:r>
        <w:rPr>
          <w:noProof/>
        </w:rPr>
        <w:t>Interne Auswahlverfahren für Vertragsbedienstete bei der Kommission</w:t>
      </w:r>
    </w:p>
    <w:p>
      <w:pPr>
        <w:pStyle w:val="Text2"/>
        <w:spacing w:after="0"/>
        <w:ind w:left="0"/>
        <w:rPr>
          <w:noProof/>
        </w:rPr>
      </w:pPr>
      <w:r>
        <w:rPr>
          <w:noProof/>
        </w:rPr>
        <w:t>Gemäß Artikel 82 Absatz 7 BBSB können Vertragsbedienstete in Ausnahmefällen an den internen Auswahlverfahren für Beamte teilnehmen. Seitdem hat die Kommission insgesamt zwei interne Auswahlverfahren für Vertragsbedienstete durchgeführt, und zwar in den Jahren 2016 und 2018 (Anhang 13). Der Kommission liegen keine Informationen über die Nutzung dieser Bestimmung durch andere Organe vor.</w:t>
      </w:r>
    </w:p>
    <w:p>
      <w:pPr>
        <w:pStyle w:val="Heading1"/>
        <w:rPr>
          <w:noProof/>
        </w:rPr>
      </w:pPr>
      <w:r>
        <w:rPr>
          <w:noProof/>
        </w:rPr>
        <w:t xml:space="preserve">Ad-hoc-Berichte gemäß Artikel 6 des Statuts </w:t>
      </w:r>
    </w:p>
    <w:p>
      <w:pPr>
        <w:pStyle w:val="Heading2"/>
        <w:rPr>
          <w:noProof/>
        </w:rPr>
      </w:pPr>
      <w:r>
        <w:rPr>
          <w:noProof/>
        </w:rPr>
        <w:t>Übermittlung von Informationen gemäß Artikel 6 Absatz 3 über die in Anhang IB festgelegten Beförderungssätze</w:t>
      </w:r>
    </w:p>
    <w:p>
      <w:pPr>
        <w:rPr>
          <w:noProof/>
        </w:rPr>
      </w:pPr>
      <w:r>
        <w:rPr>
          <w:noProof/>
        </w:rPr>
        <w:t xml:space="preserve">Gemäß Artikel 6 Absatz 2 des Statuts in Bezug auf freie Planstellen muss die Kommission gewährleisten, dass ab dem 1. Januar 2014 die Zahl der freien Planstellen in jeder Besoldungsgruppe des Stellenplans (d. h. die Zahl der jedem Organ zugewiesenen Stellen) am 1. Januar eines jeden Jahres der Zahl der Beamten der jeweils niedrigeren Besoldungsgruppe entspricht, die sich am 1. Januar des Vorjahres im aktiven Dienst befanden, multipliziert mit den in Anhang I Abschnitt B des Statuts für diese Besoldungsgruppe festgelegten Sätzen. </w:t>
      </w:r>
    </w:p>
    <w:p>
      <w:pPr>
        <w:rPr>
          <w:noProof/>
        </w:rPr>
      </w:pPr>
      <w:r>
        <w:rPr>
          <w:noProof/>
        </w:rPr>
        <w:t xml:space="preserve">Die Haushaltsbehörde ist an die Sätze gebunden, die für die Organe eine Garantie dafür darstellen, dass ihnen in jeder Besoldungsgruppe eine bestimmte Anzahl von freien Planstellen zur Verfügung gestellt werden sollte. Es obliegt dann den einzelnen Organen, unter Berücksichtigung ihres spezifischen Kontextes und ihrer Ziele, ihre eigene Personalpolitik innerhalb der Grenzen dieser Garantie festzulegen. </w:t>
      </w:r>
    </w:p>
    <w:p>
      <w:pPr>
        <w:spacing w:after="160" w:line="259" w:lineRule="auto"/>
        <w:rPr>
          <w:rFonts w:eastAsiaTheme="minorHAnsi"/>
          <w:noProof/>
          <w:szCs w:val="24"/>
        </w:rPr>
      </w:pPr>
      <w:r>
        <w:rPr>
          <w:noProof/>
        </w:rPr>
        <w:t>Die Bereitstellung freier Planstellen in einer bestimmten Besoldungsgruppe ermöglicht es den Organen, entweder Beamte der Funktionsgruppe Assistenz (AST) zu befördern, zu zertifizieren (Ernennung von Beamten der Funktionsgruppe Assistenz, die eine Stelle als Verwaltungsrat (AD) innehaben sollten) oder innerhalb der Grenzen der Besoldungsgruppen einzustellen, die in dem Statut festgelegt sind. In Artikel 6 des Statuts wird der Stellenplan strukturiert, indem eine Verfügbarkeitsregel für freie Planstellen festgelegt und auf den Grundsatz der Beförderung auf der Grundlage vergleichbarer Verdienste gemäß Artikel 45 verwiesen wird.</w:t>
      </w:r>
    </w:p>
    <w:p>
      <w:pPr>
        <w:rPr>
          <w:noProof/>
          <w:szCs w:val="24"/>
        </w:rPr>
      </w:pPr>
      <w:r>
        <w:rPr>
          <w:noProof/>
        </w:rPr>
        <w:t xml:space="preserve">In der Kommission gibt es zwei Arten von Beförderungen. Die Beförderungen </w:t>
      </w:r>
      <w:r>
        <w:rPr>
          <w:i/>
          <w:iCs/>
          <w:noProof/>
        </w:rPr>
        <w:t>première filière</w:t>
      </w:r>
      <w:r>
        <w:rPr>
          <w:noProof/>
        </w:rPr>
        <w:t xml:space="preserve"> (d. h. im Zusammenhang mit der Ernennung zum Referatsleiter, Berater, leitenden Sachverständigen und Hauptassistenten) sind für alle Organe in Anhang 14 dargestellt, während die Beförderungen </w:t>
      </w:r>
      <w:r>
        <w:rPr>
          <w:i/>
          <w:iCs/>
          <w:noProof/>
        </w:rPr>
        <w:t>deuxième filière</w:t>
      </w:r>
      <w:r>
        <w:rPr>
          <w:noProof/>
        </w:rPr>
        <w:t xml:space="preserve"> für alle Organe in Anhang 15 dargestellt sind und alle Besoldungsgruppen umfassen, die vom regelmäßigen jährlichen Beförderungsverfahren betroffen sind.</w:t>
      </w:r>
      <w:r>
        <w:rPr>
          <w:rStyle w:val="FootnoteReference"/>
          <w:noProof/>
          <w:lang w:val="en-IE"/>
        </w:rPr>
        <w:footnoteReference w:id="22"/>
      </w:r>
      <w:r>
        <w:rPr>
          <w:noProof/>
        </w:rPr>
        <w:t xml:space="preserve">  Innerhalb der 21 Besoldungsgruppen, die von den jährlichen Beförderungen betroffen sind, lassen sich drei Hauptkategorien unterscheiden. </w:t>
      </w:r>
    </w:p>
    <w:p>
      <w:pPr>
        <w:rPr>
          <w:noProof/>
          <w:szCs w:val="24"/>
        </w:rPr>
      </w:pPr>
      <w:r>
        <w:rPr>
          <w:noProof/>
        </w:rPr>
        <w:t>Die erste Kategorie umfasst die Besoldungsgruppen, in denen die tatsächliche Zahl der Beförderungen in die höhere Besoldungsgruppe</w:t>
      </w:r>
      <w:r>
        <w:rPr>
          <w:rStyle w:val="FootnoteReference"/>
          <w:noProof/>
          <w:szCs w:val="24"/>
          <w:lang w:val="en-IE"/>
        </w:rPr>
        <w:footnoteReference w:id="23"/>
      </w:r>
      <w:r>
        <w:rPr>
          <w:noProof/>
        </w:rPr>
        <w:t xml:space="preserve"> den in Artikel 6 des Statuts festgelegten Schwellenwerten entspricht. Dazu gehören die AD-Gruppen 11, 10, 9, 8 und 7 sowie die AST-Gruppen 8, 7, 6, 5 und 4. </w:t>
      </w:r>
    </w:p>
    <w:p>
      <w:pPr>
        <w:rPr>
          <w:noProof/>
        </w:rPr>
      </w:pPr>
      <w:r>
        <w:rPr>
          <w:noProof/>
        </w:rPr>
        <w:t>Die zweite Kategorie umfasst die Besoldungsgruppen, in denen die tatsächliche Zahl der Beförderungen in die höhere Besoldungsgruppe die in Artikel 6 des Statuts festgelegten Schwellenwerte überschreitet. Dazu gehören die AD-Gruppen 6 und 5 sowie die AST-Gruppen 3, 2, 1</w:t>
      </w:r>
      <w:r>
        <w:rPr>
          <w:noProof/>
          <w:vertAlign w:val="superscript"/>
          <w:lang w:val="en-IE"/>
        </w:rPr>
        <w:footnoteReference w:id="24"/>
      </w:r>
      <w:r>
        <w:rPr>
          <w:noProof/>
        </w:rPr>
        <w:t xml:space="preserve"> und 4 D (eine mit der Reform des Statuts von 2004 eingeführte Zwischenstufe).</w:t>
      </w:r>
    </w:p>
    <w:p>
      <w:pPr>
        <w:rPr>
          <w:noProof/>
          <w:szCs w:val="24"/>
        </w:rPr>
      </w:pPr>
      <w:r>
        <w:rPr>
          <w:noProof/>
        </w:rPr>
        <w:t>Für die Besoldungsgruppe AST4 D gilt, dass die Zahl der Beamten in dieser Besoldungsgruppe im Laufe der Jahre zurückgegangen ist, da es keine Neueinstellungen gab. Infolgedessen ist der Anteil der Beamten, die aufgrund ihrer Verdienste eine Beförderung verdient haben, im Laufe der Zeit gestiegen („Effekt der sich leerenden Besoldungsgruppe“). Die gleiche Aussage gilt sinngemäß für die Besoldungsgruppe AST1 für den Zeitraum zwischen 2014 und 2017.</w:t>
      </w:r>
    </w:p>
    <w:p>
      <w:pPr>
        <w:rPr>
          <w:noProof/>
          <w:szCs w:val="24"/>
        </w:rPr>
      </w:pPr>
      <w:r>
        <w:rPr>
          <w:noProof/>
        </w:rPr>
        <w:t>Was die Besoldungsgruppen AD5-AD6 betrifft, so lassen sich die höheren Beförderungsraten in diesen beiden Basisbesoldungsgruppen durch die Bereitschaft der Leitung erklären, neu ernannte Beamte mit einer relativ schnellen ersten Beförderung entsprechend ihren Verdiensten zu belohnen.</w:t>
      </w:r>
    </w:p>
    <w:p>
      <w:pPr>
        <w:pStyle w:val="Text2"/>
        <w:ind w:left="0"/>
        <w:rPr>
          <w:noProof/>
        </w:rPr>
      </w:pPr>
      <w:r>
        <w:rPr>
          <w:noProof/>
        </w:rPr>
        <w:t xml:space="preserve">Die dritte Kategorie umfasst die Besoldungsgruppen, in denen die tatsächliche Zahl der Beförderungen in die höhere Besoldungsgruppe die in Artikel 6 des Statuts festgelegten Schwellenwerte nicht erreicht. Dazu gehören die AD-Besoldungsgruppen 13 und 12, die AST-Besoldungsgruppe 10 sowie die AST-SC-Besoldungsgruppen 2 und 1. </w:t>
      </w:r>
    </w:p>
    <w:p>
      <w:pPr>
        <w:pStyle w:val="Text2"/>
        <w:ind w:left="0"/>
        <w:rPr>
          <w:noProof/>
        </w:rPr>
      </w:pPr>
      <w:r>
        <w:rPr>
          <w:noProof/>
        </w:rPr>
        <w:t>Für die AST-SC-Besoldungsgruppen begann die Einstellung im Jahr 2015, wodurch die Beförderungsquoten in diesen Besoldungsgruppen für die ersten drei Beförderungsverfahren automatisch gesenkt wurden. Die Beförderungsrate steigt im Laufe der Zeit durch den sogenannten „Effekt der sich füllenden Besoldungsgruppe“, und die Zahlen für 2019 zeigen, dass der für die Besoldungsgruppe AST-SC2 festgelegte Schwellenwert bereits überschritten wurde. Die Rate für die Besoldungsgruppe AST-SC1 wurde im Jahr 2020 erreicht, da der „Effekt der sich füllenden Besoldungsgruppe“ verschwand.</w:t>
      </w:r>
    </w:p>
    <w:p>
      <w:pPr>
        <w:pStyle w:val="Text2"/>
        <w:ind w:left="0"/>
        <w:rPr>
          <w:noProof/>
        </w:rPr>
      </w:pPr>
      <w:r>
        <w:rPr>
          <w:noProof/>
        </w:rPr>
        <w:t>Was die Besoldungsgruppe AST10 betrifft, so werden nach der Reform des Statuts von 2014 nur noch Beamte der Besoldungsgruppe AST9, die zu Hauptassistenten ernannt werden, zu AST10 (</w:t>
      </w:r>
      <w:r>
        <w:rPr>
          <w:i/>
          <w:iCs/>
          <w:noProof/>
        </w:rPr>
        <w:t>première filière</w:t>
      </w:r>
      <w:r>
        <w:rPr>
          <w:noProof/>
        </w:rPr>
        <w:t>). Die Personalstärke in der Besoldungsgruppe AST10 steht daher in direktem Zusammenhang mit der Anzahl der Ernennungen von Hauptassistenten, was die erheblichen Schwankungen der Beförderungsquoten im Laufe der Zeit in dieser Besoldungsgruppe erklärt.</w:t>
      </w:r>
    </w:p>
    <w:p>
      <w:pPr>
        <w:pStyle w:val="Text2"/>
        <w:ind w:left="0"/>
        <w:rPr>
          <w:noProof/>
        </w:rPr>
      </w:pPr>
      <w:r>
        <w:rPr>
          <w:noProof/>
        </w:rPr>
        <w:t>Was die Besoldungsgruppen AD12 und AD13 betrifft, so sind die Beförderungsquoten, die auf der Grundlage der Beamten im aktiven Dienst (unabhängig von ihrer Berücksichtigungsfähigkeit) berechnet werden, angesichts der mit der Reform des Statuts von 2014 eingeführten Laufbahnbestimmungen niedrig. Dies resultiert insbesondere aus der Vorgabe, Beförderungen in höheren Besoldungsgruppen an den bekleideten Dienstposten zu koppeln.</w:t>
      </w:r>
    </w:p>
    <w:p>
      <w:pPr>
        <w:pStyle w:val="Heading2"/>
        <w:rPr>
          <w:noProof/>
        </w:rPr>
      </w:pPr>
      <w:r>
        <w:rPr>
          <w:noProof/>
        </w:rPr>
        <w:t>Übermittlung von Informationen gemäß Artikel 6 Absatz 4 des Statuts über die Funktionsgruppe AST/SC und die in Anhang XIII Artikel 31 festgelegten Übergangsbestimmungen in Bezug auf die Funktionsgruppe AST</w:t>
      </w:r>
    </w:p>
    <w:p>
      <w:pPr>
        <w:pStyle w:val="Heading3"/>
        <w:rPr>
          <w:noProof/>
        </w:rPr>
      </w:pPr>
      <w:r>
        <w:rPr>
          <w:noProof/>
        </w:rPr>
        <w:t>AST-Laufbahnen</w:t>
      </w:r>
    </w:p>
    <w:p>
      <w:pPr>
        <w:rPr>
          <w:noProof/>
        </w:rPr>
      </w:pPr>
      <w:r>
        <w:rPr>
          <w:noProof/>
        </w:rPr>
        <w:t>Mit der Reform von 2014 wurde versucht, einige der Auswirkungen der Änderungen anzugehen, die die Reform von 2004 für die Laufbahn der Verwaltungsinspektoren (AST) bewirkt hatte. Bei der letztgenannten Reform wurden die Kategorien der Sekretariatskräfte, der Bürokräfte und der Assistenten zu einer AST-Funktionsgruppe zusammengefasst und die lineare Laufbahnentwicklung durch Beförderung verbessert. Insbesondere wurden durch diese Änderung die Besoldung und die Besoldungsgruppe von dem jeweiligen Maß an Verantwortung abgekoppelt.</w:t>
      </w:r>
      <w:r>
        <w:rPr>
          <w:rStyle w:val="FootnoteReference"/>
          <w:noProof/>
          <w:lang w:val="en-IE"/>
        </w:rPr>
        <w:footnoteReference w:id="25"/>
      </w:r>
    </w:p>
    <w:p>
      <w:pPr>
        <w:rPr>
          <w:noProof/>
          <w:szCs w:val="24"/>
        </w:rPr>
      </w:pPr>
      <w:r>
        <w:rPr>
          <w:noProof/>
        </w:rPr>
        <w:t>In diesem Zusammenhang und im Einklang mit den an der AD-Laufbahn vorgenommenen Änderungen</w:t>
      </w:r>
      <w:r>
        <w:rPr>
          <w:rStyle w:val="FootnoteReference"/>
          <w:noProof/>
          <w:szCs w:val="24"/>
          <w:lang w:val="en-IE"/>
        </w:rPr>
        <w:footnoteReference w:id="26"/>
      </w:r>
      <w:r>
        <w:rPr>
          <w:noProof/>
        </w:rPr>
        <w:t xml:space="preserve"> wurde mit der Reform des Statuts von 2014 die Laufbahnstruktur für AST-Bedienstete überarbeitet, um die Verbindung zwischen Besoldungsgruppe und Funktion zu stärken. Der berufliche Aufstieg durch Beförderung ist auf die Besoldungsgruppe AST9 beschränkt, und der Zugang zu den Besoldungsgruppen AST10 und AST11 ist an die erfolgreiche Teilnahme an einem Auswahlverfahren für die Position eines Hauptassistenten gebunden, die das höchste Maß an Fachwissen und Verantwortung in dieser Laufbahngruppe erfordert. </w:t>
      </w:r>
    </w:p>
    <w:p>
      <w:pPr>
        <w:rPr>
          <w:noProof/>
          <w:szCs w:val="24"/>
        </w:rPr>
      </w:pPr>
      <w:r>
        <w:rPr>
          <w:noProof/>
        </w:rPr>
        <w:t>Schließlich werden seit 2014 keine Assistenten mehr für Sekretariats- und Bürotätigkeiten eingestellt, für die die Funktionsgruppe AST/SC geschaffen wurde.</w:t>
      </w:r>
    </w:p>
    <w:p>
      <w:pPr>
        <w:pStyle w:val="Heading3"/>
        <w:rPr>
          <w:noProof/>
        </w:rPr>
      </w:pPr>
      <w:r>
        <w:rPr>
          <w:noProof/>
        </w:rPr>
        <w:t>Funktionsgruppe AST/SC</w:t>
      </w:r>
    </w:p>
    <w:p>
      <w:pPr>
        <w:rPr>
          <w:noProof/>
          <w:szCs w:val="24"/>
        </w:rPr>
      </w:pPr>
      <w:r>
        <w:rPr>
          <w:noProof/>
        </w:rPr>
        <w:t>AST/SC-Beamte führen Sekretariats- und Büroarbeiten und sonstige vergleichbare Aufgaben aus, die ein gewisses Maß an Selbständigkeit erfordern. Diese Funktionsgruppe setzt sich aus sechs Besoldungsgruppen zusammen, die von der Besoldungsgruppe SC1 bis zur Besoldungsgruppe SC6 reichen.</w:t>
      </w:r>
    </w:p>
    <w:p>
      <w:pPr>
        <w:rPr>
          <w:noProof/>
          <w:szCs w:val="24"/>
        </w:rPr>
      </w:pPr>
      <w:r>
        <w:rPr>
          <w:noProof/>
        </w:rPr>
        <w:t xml:space="preserve">Mit der Einrichtung der Funktionsgruppe AST/SC durch die Reform des Statuts im Jahr 2014 wurden die Funktionen der Sekretariats- und Bürokräfte aktiv von der Funktionsgruppe AST getrennt. Dies hatte zur Folge, dass die Einstellung von Sekretariats-/Bürokräften ausschließlich in der Funktionsgruppe AST/SC erfolgte. </w:t>
      </w:r>
    </w:p>
    <w:p>
      <w:pPr>
        <w:rPr>
          <w:noProof/>
          <w:szCs w:val="24"/>
        </w:rPr>
      </w:pPr>
      <w:r>
        <w:rPr>
          <w:noProof/>
        </w:rPr>
        <w:t>Im Laufe der Jahre wurden mehrere Auswahlverfahren für AST/SC-Personal organisiert und abgeschlossen. Die ersten AST/SC-Beamten wurden im Jahr 2015 eingestellt. Darüber hinaus organisierte das Organ zwei interne Auswahlverfahren in den Jahren 2016 und 2018. Bei diesen Auswahlverfahren wurden Profile von Sekretariatskräften, Bürokräften und Personal für administrative und finanzielle Unterstützung in den Besoldungsgruppen SC1 oder SC2 ausgeschrieben.</w:t>
      </w:r>
    </w:p>
    <w:p>
      <w:pPr>
        <w:pStyle w:val="Heading3"/>
        <w:rPr>
          <w:noProof/>
        </w:rPr>
      </w:pPr>
      <w:r>
        <w:rPr>
          <w:noProof/>
        </w:rPr>
        <w:t>Assistenten in der Übergangszeit</w:t>
      </w:r>
    </w:p>
    <w:p>
      <w:pPr>
        <w:rPr>
          <w:noProof/>
        </w:rPr>
      </w:pPr>
      <w:r>
        <w:rPr>
          <w:noProof/>
        </w:rPr>
        <w:t>Gemäß Artikel 31 Absatz 2 des Anhangs XIII des Statuts wurde ab dem 1. Januar 2014 eine Reihe von Übergangsmaßnahmen für die vor diesem Datum eingestellten AST-Beamten eingeführt. Diese Übergangsregelungen waren notwendig, um die neuen Vorschriften anzuwenden und gleichzeitig die Rechte zu wahren, die die Beamten erworben hatten, die vor dem Inkrafttreten dieser Änderungen eingestellt worden waren.</w:t>
      </w:r>
    </w:p>
    <w:p>
      <w:pPr>
        <w:rPr>
          <w:noProof/>
          <w:szCs w:val="24"/>
        </w:rPr>
      </w:pPr>
      <w:r>
        <w:rPr>
          <w:noProof/>
        </w:rPr>
        <w:t>Nach der Reform von 2014 wurden die AST-Beamten, die am 31. Dezember 2013 im Dienst der Kommission standen, wie folgt eingestuft:</w:t>
      </w:r>
      <w:r>
        <w:rPr>
          <w:rStyle w:val="FootnoteReference"/>
          <w:noProof/>
          <w:szCs w:val="24"/>
          <w:lang w:val="en-IE"/>
        </w:rPr>
        <w:footnoteReference w:id="27"/>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Beamten der Besoldungsgruppen AST10 und AST11 wurden Stellen für „Hauptassistenten in der Übergangszeit“ zugewiesen.</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Beamten, die vor dem 1. Mai 2004 der ehemaligen Laufbahngruppe B oder der ehemaligen Laufbahngruppe C oder D angehörten und ohne Einschränkung Mitglied der Funktionsgruppe AST geworden sind, sowie Beamte, die nach dem 1. Mai 2004 eingestellt wurden, wurde eine Stelle als „Assistent in der Übergangszeit“ zugewiesen.</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Beamten, die vor dem 1. Mai 2004 der ehemaligen Laufbahngruppe C angehörten, wurde eine Stelle als „Verwaltungsassistent in der Übergangszeit“ zugewiesen.</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Beamten, die vor dem 1. Mai 2004 der ehemaligen Laufbahngruppe D angehörten, wurde eine Stelle als „Mitarbeiter mit Unterstützungsaufgaben in der Übergangszeit“ zugewiesen.</w:t>
      </w:r>
    </w:p>
    <w:p>
      <w:pPr>
        <w:rPr>
          <w:b/>
          <w:noProof/>
          <w:szCs w:val="24"/>
        </w:rPr>
      </w:pPr>
      <w:r>
        <w:rPr>
          <w:noProof/>
        </w:rPr>
        <w:t xml:space="preserve">In Anhang 16 sind die Daten für die einzelnen Arten von Stellen in der Übergangszeit dargestellt. Seit dem Inkrafttreten der Reform des Statuts 2014 hat sich die Zahl der Assistenten in der Übergangszeit durch die schrittweise Pensionierung von Beamten, die am 31. Dezember 2013 im Dienst waren, oder durch Mitarbeiter, die durch eine Bewerbung auf eine ausgeschriebene Stelle aus der Übergangszeit ausscheiden, erheblich verringert. </w:t>
      </w:r>
    </w:p>
    <w:p>
      <w:pPr>
        <w:pStyle w:val="Heading3"/>
        <w:rPr>
          <w:noProof/>
        </w:rPr>
      </w:pPr>
      <w:r>
        <w:rPr>
          <w:noProof/>
        </w:rPr>
        <w:t>Entwicklung des AST- und AST/SC-Personals</w:t>
      </w:r>
    </w:p>
    <w:p>
      <w:pPr>
        <w:rPr>
          <w:noProof/>
          <w:szCs w:val="24"/>
        </w:rPr>
      </w:pPr>
      <w:r>
        <w:rPr>
          <w:noProof/>
        </w:rPr>
        <w:t xml:space="preserve">Am 31. Dezember 2019 waren von den 32 847 aktiven Mitarbeitern der Kommission 7824 (24 %) AST-Beamte und Bedienstete auf Zeit. Im Vergleich zu 2014 ist die Zahl der Assistenten um 24 % gesunken. Wenn auch nicht alle im selben Ausmaß, verzeichneten andere Organe der Union ebenfalls einen Rückgang ihres AST-Personals (Anhang 17). </w:t>
      </w:r>
    </w:p>
    <w:p>
      <w:pPr>
        <w:rPr>
          <w:noProof/>
          <w:szCs w:val="24"/>
        </w:rPr>
      </w:pPr>
      <w:r>
        <w:rPr>
          <w:noProof/>
        </w:rPr>
        <w:t xml:space="preserve">Der Rückgang der Zahl der AST-Beamten ist teilweise auf die Schaffung der Funktionsgruppe AST/SC zurückzuführen, die die Einstellung von Assistenten (AST) für Büro- und Sekretariatsaufgaben beendet hat, sowie auf die Verringerung der Gesamtzahl der AST-Funktionen. Im Zusammenhang mit dem Personalabbau im Zeitraum zwischen 2013 und 2017 hatten die Dienststellen der Kommission, die von einem Personalabbau betroffen waren, die Tendenz, auf AST-Stellen zugunsten von AD-Stellen zu verzichten. </w:t>
      </w:r>
    </w:p>
    <w:p>
      <w:pPr>
        <w:rPr>
          <w:noProof/>
          <w:szCs w:val="24"/>
        </w:rPr>
      </w:pPr>
      <w:r>
        <w:rPr>
          <w:noProof/>
        </w:rPr>
        <w:t xml:space="preserve">In der Zwischenzeit wurde das AST/SC-Personal aufgestockt, das derzeit etwa 10 % des kombinierten AST- und AST/SC-Personals bzw. 2,7 % des gesamten Personals (Beamte und Bedienstete auf Zeit) ausmacht. </w:t>
      </w:r>
    </w:p>
    <w:p>
      <w:pPr>
        <w:rPr>
          <w:noProof/>
          <w:szCs w:val="24"/>
        </w:rPr>
      </w:pPr>
      <w:r>
        <w:rPr>
          <w:noProof/>
        </w:rPr>
        <w:t xml:space="preserve">In den letzten sechs Jahren hat sich ferner der Bestand an Beamten der ehemaligen Laufbahngruppen C und D um mehr als die Hälfte (55 %) verringert. Dieser Rückgang ist hauptsächlich auf Pensionierungen zurückzuführen. Nur etwa ein Sechstel der Abgänge betrifft Beamte, die gemäß Artikel 31 Absatz 3 des Anhangs XIII des Statuts ohne Einschränkung in die Funktionsgruppe AST übernommen wurden. </w:t>
      </w:r>
    </w:p>
    <w:p>
      <w:pPr>
        <w:pStyle w:val="Heading1"/>
        <w:rPr>
          <w:noProof/>
        </w:rPr>
      </w:pPr>
      <w:r>
        <w:rPr>
          <w:noProof/>
        </w:rPr>
        <w:t>Von der Kommission gemäß dem Statut angenommener delegierter Rechtsakt</w:t>
      </w:r>
    </w:p>
    <w:p>
      <w:pPr>
        <w:rPr>
          <w:noProof/>
          <w:szCs w:val="24"/>
        </w:rPr>
      </w:pPr>
      <w:r>
        <w:rPr>
          <w:noProof/>
        </w:rPr>
        <w:t xml:space="preserve">Gemäß den Artikeln 111 und 112 des Statuts ist die Kommission befugt, delegierte Rechtsakte zu bestimmten Aspekten der Arbeitsbedingungen, der Durchführung der Vorschriften über die Dienstbezüge und des Systems der sozialen Sicherheit anzunehmen. </w:t>
      </w:r>
    </w:p>
    <w:p>
      <w:pPr>
        <w:rPr>
          <w:noProof/>
        </w:rPr>
      </w:pPr>
      <w:r>
        <w:rPr>
          <w:noProof/>
        </w:rPr>
        <w:t>Zunächst hat die Kommission während des Berichtszeitraums die Sätze für Dienstreisekosten in den EU-Mitgliedstaaten</w:t>
      </w:r>
      <w:r>
        <w:rPr>
          <w:rStyle w:val="FootnoteReference"/>
          <w:noProof/>
          <w:lang w:val="en-IE"/>
        </w:rPr>
        <w:footnoteReference w:id="28"/>
      </w:r>
      <w:r>
        <w:rPr>
          <w:noProof/>
        </w:rPr>
        <w:t xml:space="preserve"> im Wege eines delegierten Rechtsakts effektiv überprüft. Die Überarbeitung erfolgte vor dem Hintergrund eines Berichts von Eurostat über die Entwicklung der Indizes für die Preise von Hotels, Gaststätten und Verpflegungsdienstleistungen. </w:t>
      </w:r>
    </w:p>
    <w:p>
      <w:pPr>
        <w:rPr>
          <w:noProof/>
          <w:szCs w:val="24"/>
        </w:rPr>
      </w:pPr>
      <w:r>
        <w:rPr>
          <w:noProof/>
        </w:rPr>
        <w:t>Die Annahme des delegierten Rechtsakts erfolgte nach dem in der Gemeinsamen Vereinbarung zwischen dem Europäischen Parlament, dem Rat und der Kommission über delegierte Rechtsakte</w:t>
      </w:r>
      <w:r>
        <w:rPr>
          <w:rStyle w:val="FootnoteReference"/>
          <w:noProof/>
          <w:szCs w:val="24"/>
          <w:lang w:val="en-IE"/>
        </w:rPr>
        <w:footnoteReference w:id="29"/>
      </w:r>
      <w:r>
        <w:rPr>
          <w:noProof/>
        </w:rPr>
        <w:t xml:space="preserve"> festgelegten Verfahren, einschließlich informeller Konsultationen von Statistik- und Haushaltssachverständigen aus den Mitgliedstaaten und der Verwaltung des Europäischen Parlaments. </w:t>
      </w:r>
    </w:p>
    <w:p>
      <w:pPr>
        <w:rPr>
          <w:noProof/>
          <w:szCs w:val="24"/>
        </w:rPr>
      </w:pPr>
      <w:r>
        <w:rPr>
          <w:noProof/>
        </w:rPr>
        <w:t>Die erfolgreiche Annahme der Delegierten Verordnung (EU) 2016/1611 der Kommission</w:t>
      </w:r>
      <w:r>
        <w:rPr>
          <w:noProof/>
          <w:szCs w:val="24"/>
          <w:vertAlign w:val="superscript"/>
          <w:lang w:val="en-IE"/>
        </w:rPr>
        <w:footnoteReference w:id="30"/>
      </w:r>
      <w:r>
        <w:rPr>
          <w:noProof/>
        </w:rPr>
        <w:t xml:space="preserve"> stellte die erste Überprüfung der Sätze für Dienstreisekosten durch eine Delegierte Verordnung der Kommission</w:t>
      </w:r>
      <w:r>
        <w:rPr>
          <w:noProof/>
          <w:szCs w:val="24"/>
          <w:vertAlign w:val="superscript"/>
          <w:lang w:val="en-IE"/>
        </w:rPr>
        <w:footnoteReference w:id="31"/>
      </w:r>
      <w:r>
        <w:rPr>
          <w:noProof/>
        </w:rPr>
        <w:t xml:space="preserve"> seit 2005</w:t>
      </w:r>
      <w:r>
        <w:rPr>
          <w:rStyle w:val="FootnoteReference"/>
          <w:noProof/>
          <w:szCs w:val="24"/>
          <w:lang w:val="en-IE"/>
        </w:rPr>
        <w:footnoteReference w:id="32"/>
      </w:r>
      <w:r>
        <w:rPr>
          <w:noProof/>
        </w:rPr>
        <w:t xml:space="preserve"> dar.</w:t>
      </w:r>
    </w:p>
    <w:p>
      <w:pPr>
        <w:rPr>
          <w:noProof/>
        </w:rPr>
      </w:pPr>
      <w:r>
        <w:rPr>
          <w:noProof/>
        </w:rPr>
        <w:t>Des Weiteren erwog die Kommission, ihre delegierten Befugnisse im Bereich der sozialen Sicherheit zu nutzen, um eine Erhöhung der Beiträge zur Arbeitslosenversicherung für die Beamten im Rahmen der BBSB zu erwägen.</w:t>
      </w:r>
      <w:r>
        <w:rPr>
          <w:rStyle w:val="FootnoteReference"/>
          <w:noProof/>
          <w:lang w:val="en-IE"/>
        </w:rPr>
        <w:footnoteReference w:id="33"/>
      </w:r>
      <w:r>
        <w:rPr>
          <w:noProof/>
        </w:rPr>
        <w:t xml:space="preserve"> Die anschließende Verbesserung der finanziellen Lage der Arbeitslosenversicherung machte eine solche Annahme nicht mehr erforderlich.</w:t>
      </w:r>
    </w:p>
    <w:p>
      <w:pPr>
        <w:pStyle w:val="Heading1"/>
        <w:rPr>
          <w:noProof/>
        </w:rPr>
      </w:pPr>
      <w:r>
        <w:rPr>
          <w:noProof/>
        </w:rPr>
        <w:t xml:space="preserve">Von der Kommission und anderen Organen erlassene Durchführungsbestimmungen </w:t>
      </w:r>
    </w:p>
    <w:p>
      <w:pPr>
        <w:pStyle w:val="Heading2"/>
        <w:rPr>
          <w:noProof/>
        </w:rPr>
      </w:pPr>
      <w:r>
        <w:rPr>
          <w:noProof/>
        </w:rPr>
        <w:t xml:space="preserve">Von der Kommission und anderen Organen erlassene Durchführungsbestimmungen </w:t>
      </w:r>
    </w:p>
    <w:p>
      <w:pPr>
        <w:rPr>
          <w:noProof/>
        </w:rPr>
      </w:pPr>
      <w:r>
        <w:rPr>
          <w:noProof/>
        </w:rPr>
        <w:t>Die Organe der Union genießen ein gewisses Maß an Autonomie bei der Anwendung des Statuts und der BBSB auf ihr Personal. Im Rahmen der Reform des Statuts im Jahr 2014 haben die beiden gesetzgebenden Organe den Rechtsrahmen harmonisiert und die Governance</w:t>
      </w:r>
      <w:r>
        <w:rPr>
          <w:rStyle w:val="FootnoteReference"/>
          <w:noProof/>
          <w:lang w:val="en-IE"/>
        </w:rPr>
        <w:footnoteReference w:id="34"/>
      </w:r>
      <w:r>
        <w:rPr>
          <w:noProof/>
        </w:rPr>
        <w:t xml:space="preserve"> gestärkt, insbesondere durch die Einführung einer Verpflichtung der Kommission zur Berichterstattung über die von der Anstellungsbehörde der einzelnen Organe erlassenen Vorschriften zur Umsetzung des Statuts und der BBSB auf der Grundlage von Artikel 110 Absatz 6 des Statuts. </w:t>
      </w:r>
    </w:p>
    <w:p>
      <w:pPr>
        <w:rPr>
          <w:noProof/>
        </w:rPr>
      </w:pPr>
      <w:r>
        <w:rPr>
          <w:noProof/>
        </w:rPr>
        <w:t>Die Kommission hat 2017 einen ersten Bericht über den Zeitraum vom 1. Januar 2014 bis zum 31. Dezember 2016 angenommen, in dem sie hervorhebt, dass die Organe den Rechtsrahmen beachtet und ihre Befugnis zur Annahme von Vorschriften genutzt haben, um das Statut und die BBSB in Kraft zu setzen.</w:t>
      </w:r>
    </w:p>
    <w:p>
      <w:pPr>
        <w:rPr>
          <w:noProof/>
        </w:rPr>
      </w:pPr>
      <w:r>
        <w:rPr>
          <w:noProof/>
        </w:rPr>
        <w:t>Die Bewertung des Zeitraums vom 1. Januar 2017 bis zum 31. Dezember 2019 ist Gegenstand eines weiteren Berichts der Kommission, der parallel zum vorliegenden Bericht angenommen wird.</w:t>
      </w:r>
      <w:r>
        <w:rPr>
          <w:rStyle w:val="FootnoteReference"/>
          <w:noProof/>
          <w:lang w:val="en-IE"/>
        </w:rPr>
        <w:footnoteReference w:id="35"/>
      </w:r>
    </w:p>
    <w:p>
      <w:pPr>
        <w:pStyle w:val="Heading2"/>
        <w:rPr>
          <w:noProof/>
        </w:rPr>
      </w:pPr>
      <w:r>
        <w:rPr>
          <w:noProof/>
        </w:rPr>
        <w:t>Von den Agenturen angenommene Durchführungsbestimmungen</w:t>
      </w:r>
    </w:p>
    <w:p>
      <w:pPr>
        <w:rPr>
          <w:noProof/>
        </w:rPr>
      </w:pPr>
      <w:r>
        <w:rPr>
          <w:noProof/>
        </w:rPr>
        <w:t>Vor der Reform des Statuts von 2014 genossen die Agenturen gemäß Artikel 110 Absatz 1 des Statuts eine gewisse Autonomie bei der Annahme von Durchführungsbestimmungen zur Umsetzung des Statuts und der BBSB. Mit der Reform des Statuts im Jahr 2014 wurde ein neuer Rahmen für die Annahme von Durchführungsbestimmungen zum Statut durch die Agenturen geschaffen, der darauf abzielt, die Kohärenz der von den Agenturen angenommenen Durchführungsbestimmungen zum Statut zu gewährleisten.</w:t>
      </w:r>
    </w:p>
    <w:p>
      <w:pPr>
        <w:rPr>
          <w:noProof/>
          <w:szCs w:val="24"/>
        </w:rPr>
      </w:pPr>
      <w:r>
        <w:rPr>
          <w:noProof/>
        </w:rPr>
        <w:t xml:space="preserve">Der durch Artikel 110 Absatz 2 des Statuts eingeführte allgemeine Grundsatz ist, dass von der Kommission angenommene Durchführungsbestimmungen sinngemäß für Agenturen gelten. In Ausnahmefällen kann eine Agentur nach Konsultation ihrer Personalvertretung und nach Zustimmung der Kommission beschließen, Einzelfallentscheidungen zu treffen und entweder bestimmte Regelungen der Kommission nicht anzuwenden (Opt-out), Regelungen zu erlassen, die sich von denen der Kommission unterscheiden, oder Regelungen zu anderen als den von der Kommission angenommenen Themen zu erlassen. </w:t>
      </w:r>
    </w:p>
    <w:p>
      <w:pPr>
        <w:rPr>
          <w:noProof/>
          <w:szCs w:val="24"/>
        </w:rPr>
      </w:pPr>
      <w:r>
        <w:rPr>
          <w:noProof/>
        </w:rPr>
        <w:t>Ferner hat die Kommission einen Mechanismus entwickelt, mit dem sie die Agenturen über ihre horizontale Vereinbarung informieren kann, ohne dass diese einen formellen Antrag stellen müssen (Ex-ante-Vereinbarung).</w:t>
      </w:r>
      <w:r>
        <w:rPr>
          <w:rStyle w:val="FootnoteReference"/>
          <w:noProof/>
          <w:szCs w:val="24"/>
          <w:lang w:val="en-IE"/>
        </w:rPr>
        <w:footnoteReference w:id="36"/>
      </w:r>
      <w:r>
        <w:rPr>
          <w:noProof/>
        </w:rPr>
        <w:t xml:space="preserve"> Solche von der Kommission vereinbarten und an alle oder eine Gruppe von Agenturen gerichteten Musterbeschlüsse werden verwendet, wenn es für eine erhebliche Anzahl von Agenturen gerechtfertigt ist, von der analogen Anwendung der Kommissionsvorschriften abzuweichen, d. h. Opt-out, Änderung der Regelungen oder Annahme von Regelungen zu anderen als den von der Kommission angenommenen Regelungen.</w:t>
      </w:r>
      <w:r>
        <w:rPr>
          <w:rStyle w:val="FootnoteReference"/>
          <w:noProof/>
          <w:szCs w:val="24"/>
          <w:lang w:val="en-IE"/>
        </w:rPr>
        <w:footnoteReference w:id="37"/>
      </w:r>
      <w:r>
        <w:rPr>
          <w:noProof/>
        </w:rPr>
        <w:t xml:space="preserve"> </w:t>
      </w:r>
    </w:p>
    <w:p>
      <w:pPr>
        <w:rPr>
          <w:noProof/>
        </w:rPr>
      </w:pPr>
      <w:r>
        <w:rPr>
          <w:noProof/>
        </w:rPr>
        <w:t>Im Zeitraum von 2014 bis 2019 war eine zunehmende Konsistenz der Durchführungsbestimmungen in den Agenturen zu beobachten. Die Anhänge 18 und 19 geben einen Überblick über die Anzahl und die Arten der in den Agenturen am 31. Dezember 2019 geltenden Durchführungsbestimmungen.</w:t>
      </w:r>
    </w:p>
    <w:p>
      <w:pPr>
        <w:pStyle w:val="Heading1"/>
        <w:rPr>
          <w:noProof/>
        </w:rPr>
      </w:pPr>
      <w:r>
        <w:rPr>
          <w:noProof/>
        </w:rPr>
        <w:t>Partner des sozialen Dialogs</w:t>
      </w:r>
    </w:p>
    <w:p>
      <w:pPr>
        <w:rPr>
          <w:noProof/>
        </w:rPr>
      </w:pPr>
      <w:r>
        <w:rPr>
          <w:noProof/>
        </w:rPr>
        <w:t>In den Artikeln 9 und 10 des Statuts wird die Beteiligung des Personals auf verschiedenen Ebenen strukturiert (d. h. Personalvertretung, paritätische Ausschüsse und Gewerkschaften), wodurch die Wirksamkeit des sozialen Dialogs gewährleistet wird. Die Personalvertretung der Kommission und die Verwaltung tauschen sich regelmäßig aus, um sicherzustellen, dass die von der Kommission festgelegten Regeln für das Personal in vollem Umfang eingehalten und dass die Erfahrungen des Personals an die Verwaltung weitergegeben werden. Darüber hinaus werden die Umsetzung des Statuts und die Annahme von Beschlüssen, die das Personal betreffen, ferner mit den Personalvertretern in den aufeinander aufbauenden Phasen des sozialen Dialogs erörtert (Anhang 20). Für allgemeine Durchführungsbestimmungen sieht das Statut die Konsultation des Statutsbeirats vor, in dem Diskussionen zwischen Personalvertretern und Mitgliedern der Verwaltungen der Organe stattfinden (Anhang 21).</w:t>
      </w:r>
    </w:p>
    <w:p>
      <w:pPr>
        <w:pStyle w:val="Heading1"/>
        <w:rPr>
          <w:noProof/>
        </w:rPr>
      </w:pPr>
      <w:r>
        <w:rPr>
          <w:noProof/>
        </w:rPr>
        <w:t xml:space="preserve">Bewertung der Umsetzung des Statuts durch andere Organe der Union </w:t>
      </w:r>
    </w:p>
    <w:p>
      <w:pPr>
        <w:pStyle w:val="Text1"/>
        <w:ind w:left="0"/>
        <w:rPr>
          <w:noProof/>
        </w:rPr>
      </w:pPr>
      <w:r>
        <w:rPr>
          <w:noProof/>
        </w:rPr>
        <w:t xml:space="preserve">Während des Berichtszeitraums haben mehrere Organe der Union verschiedene Aspekte der Umsetzung des Statuts bewertet. </w:t>
      </w:r>
    </w:p>
    <w:p>
      <w:pPr>
        <w:pStyle w:val="Heading2"/>
        <w:rPr>
          <w:noProof/>
          <w:szCs w:val="24"/>
        </w:rPr>
      </w:pPr>
      <w:r>
        <w:rPr>
          <w:noProof/>
        </w:rPr>
        <w:t xml:space="preserve">Europäischer Rechnungshof </w:t>
      </w:r>
    </w:p>
    <w:p>
      <w:pPr>
        <w:pStyle w:val="Text1"/>
        <w:ind w:left="0"/>
        <w:rPr>
          <w:noProof/>
          <w:szCs w:val="24"/>
        </w:rPr>
      </w:pPr>
      <w:r>
        <w:rPr>
          <w:noProof/>
        </w:rPr>
        <w:t>Der Europäische Rechnungshof hat zwei Sonderberichte über die Umsetzung des Statuts angenommen.</w:t>
      </w:r>
      <w:r>
        <w:rPr>
          <w:noProof/>
          <w:vertAlign w:val="superscript"/>
          <w:lang w:val="en-IE"/>
        </w:rPr>
        <w:footnoteReference w:id="38"/>
      </w:r>
    </w:p>
    <w:p>
      <w:pPr>
        <w:pStyle w:val="Heading3"/>
        <w:tabs>
          <w:tab w:val="clear" w:pos="1854"/>
          <w:tab w:val="num" w:pos="1372"/>
        </w:tabs>
        <w:ind w:left="1372"/>
        <w:rPr>
          <w:noProof/>
        </w:rPr>
      </w:pPr>
      <w:r>
        <w:rPr>
          <w:noProof/>
        </w:rPr>
        <w:t>Sonderbericht Nr. 13/2019 „Die Ethikrahmen der geprüften EU-Organe: Es besteht Verbesserungsbedarf“</w:t>
      </w:r>
    </w:p>
    <w:p>
      <w:pPr>
        <w:pStyle w:val="Text2"/>
        <w:ind w:left="0"/>
        <w:rPr>
          <w:noProof/>
        </w:rPr>
      </w:pPr>
      <w:r>
        <w:rPr>
          <w:noProof/>
        </w:rPr>
        <w:t xml:space="preserve">Der Rechnungshof hat einen Bericht über den ethischen Rahmen der Organe der Union angenommen. Die Prüfung bezog sich auf Vorschriften, die sowohl für die Mitglieder der Organe der Union als auch für das Personal gelten. Der Hof kam zu dem Schluss, dass die geprüften Organe einen angemessenen ethischen Rahmen geschaffen haben. Ferner ermittelte der Hof bestimmte Bereiche, in denen der Geltungsbereich, die Spezifität, die Klarheit und das Niveau der Leitlinien verbessert und harmonisiert werden könnten. </w:t>
      </w:r>
    </w:p>
    <w:p>
      <w:pPr>
        <w:pStyle w:val="Text2"/>
        <w:ind w:left="0"/>
        <w:rPr>
          <w:noProof/>
        </w:rPr>
      </w:pPr>
      <w:r>
        <w:rPr>
          <w:noProof/>
        </w:rPr>
        <w:t xml:space="preserve">In seinem Bericht wies der Hof ferner darauf hin, dass der Austausch bewährter Verfahren zwischen den Organen in ethischen Fragen möglich ist. Dieser findet regelmäßig im Rahmen des </w:t>
      </w:r>
      <w:r>
        <w:rPr>
          <w:i/>
          <w:noProof/>
        </w:rPr>
        <w:t>Collège des Chefs d‘Administration</w:t>
      </w:r>
      <w:r>
        <w:rPr>
          <w:noProof/>
        </w:rPr>
        <w:t xml:space="preserve"> und – in jüngerer Zeit – im Rahmen der Strategie der Kommission zur Bekämpfung des Steuerbetrugs statt. </w:t>
      </w:r>
    </w:p>
    <w:p>
      <w:pPr>
        <w:pStyle w:val="Heading3"/>
        <w:tabs>
          <w:tab w:val="clear" w:pos="1854"/>
          <w:tab w:val="num" w:pos="1372"/>
        </w:tabs>
        <w:ind w:left="1372"/>
        <w:rPr>
          <w:noProof/>
        </w:rPr>
      </w:pPr>
      <w:r>
        <w:rPr>
          <w:noProof/>
        </w:rPr>
        <w:t>Sonderbericht Nr. 15/2019 „Umsetzung des Personalreformpakets 2014 bei der Kommission – hohe Einsparungen, aber nicht ohne Folgen für die Bediensteten“</w:t>
      </w:r>
    </w:p>
    <w:p>
      <w:pPr>
        <w:pStyle w:val="Text1"/>
        <w:ind w:left="0"/>
        <w:rPr>
          <w:noProof/>
          <w:szCs w:val="24"/>
        </w:rPr>
      </w:pPr>
      <w:r>
        <w:rPr>
          <w:noProof/>
        </w:rPr>
        <w:t>In diesem Sonderbericht untersuchte der Rechnungshof die Umsetzung der Reform des Statuts von 2014 und wie die Kommission die Herausforderung bewältigt hat, die beiden Ziele Einsparungen im Haushalt und Verbesserungen im Personalbereich zu erreichen.</w:t>
      </w:r>
      <w:r>
        <w:rPr>
          <w:rStyle w:val="FootnoteReference"/>
          <w:noProof/>
          <w:lang w:val="en-IE"/>
        </w:rPr>
        <w:footnoteReference w:id="39"/>
      </w:r>
      <w:r>
        <w:rPr>
          <w:noProof/>
        </w:rPr>
        <w:t xml:space="preserve"> </w:t>
      </w:r>
    </w:p>
    <w:p>
      <w:pPr>
        <w:pStyle w:val="Text1"/>
        <w:spacing w:after="120"/>
        <w:ind w:left="0"/>
        <w:rPr>
          <w:noProof/>
        </w:rPr>
      </w:pPr>
      <w:r>
        <w:rPr>
          <w:noProof/>
        </w:rPr>
        <w:t xml:space="preserve">Der Hof bestätigte, dass die Einsparungen erzielt wurden und sogar über das hinausgingen, was vereinbart war. Ferner stellte der Hof fest, dass die negativen Folgen für die Dienststellen und das Personal hätten vermieden oder früher abgemildert werden können, wenn die Reform von 2014 besser vorbereitet und überwacht worden wäre. Darüber hinaus betonte der Hof, dass eine weitere Reform ernsthafte Probleme in den Bereichen Fachwissen und Aufrechterhaltung des Betriebs verursachen und die geografische Ausgewogenheit des Personals weiter untergraben könnte. </w:t>
      </w:r>
    </w:p>
    <w:p>
      <w:pPr>
        <w:pStyle w:val="Text1"/>
        <w:spacing w:after="120"/>
        <w:ind w:left="0"/>
        <w:rPr>
          <w:noProof/>
        </w:rPr>
      </w:pPr>
      <w:r>
        <w:rPr>
          <w:noProof/>
        </w:rPr>
        <w:t xml:space="preserve">Schließlich empfahl der Hof, vor einer weiteren Überarbeitung des Statuts einen Personalmanagementplan zu entwickeln, den Rahmen für die Überwachung und Berichterstattung in Bezug auf Personalfragen zu verbessern sowie den Bedarf und die möglichen Auswirkungen zu bewerten. Die Kommission akzeptierte die vom Rechnungshof ausgesprochenen Empfehlungen. </w:t>
      </w:r>
    </w:p>
    <w:p>
      <w:pPr>
        <w:pStyle w:val="Heading2"/>
        <w:rPr>
          <w:noProof/>
          <w:szCs w:val="24"/>
        </w:rPr>
      </w:pPr>
      <w:r>
        <w:rPr>
          <w:noProof/>
        </w:rPr>
        <w:t xml:space="preserve">Europäischer Bürgerbeauftragter </w:t>
      </w:r>
    </w:p>
    <w:p>
      <w:pPr>
        <w:pStyle w:val="Text1"/>
        <w:spacing w:after="120"/>
        <w:ind w:left="0"/>
        <w:rPr>
          <w:noProof/>
        </w:rPr>
      </w:pPr>
      <w:r>
        <w:rPr>
          <w:noProof/>
        </w:rPr>
        <w:t>Der Europäische Bürgerbeauftragte</w:t>
      </w:r>
      <w:r>
        <w:rPr>
          <w:rStyle w:val="FootnoteReference"/>
          <w:noProof/>
          <w:lang w:val="en-IE"/>
        </w:rPr>
        <w:footnoteReference w:id="40"/>
      </w:r>
      <w:r>
        <w:rPr>
          <w:noProof/>
        </w:rPr>
        <w:t xml:space="preserve"> bewertet regelmäßig die Umsetzung des Statuts durch die Organe im Hinblick auf individuelle Angelegenheiten, kann Fälle von Missständen in der Verwaltungstätigkeit aufzeigen, Empfehlungen an das betreffende Organ aussprechen oder, wenn keine Missstände in der Verwaltungstätigkeit festgestellt werden können, Lösungsvorschläge oder Verbesserungsvorschläge unterbreiten. Die Anfragen und Klärungsersuchen des Europäischen Bürgerbeauftragten beziehen sich auf verschiedene Themen wie z. B. Transparenz und Zugang zu Informationen, Behandlung von Menschen mit Behinderungen, Strategien gegen Belästigung oder die Überwachung von externen Aktivitäten ehemaliger Mitglieder des Personals.</w:t>
      </w:r>
    </w:p>
    <w:p>
      <w:pPr>
        <w:pStyle w:val="Text1"/>
        <w:spacing w:after="120"/>
        <w:ind w:left="0"/>
        <w:rPr>
          <w:noProof/>
        </w:rPr>
      </w:pPr>
      <w:r>
        <w:rPr>
          <w:noProof/>
        </w:rPr>
        <w:t>So leitete der Bürgerbeauftragte zum Beispiel in den Jahren 2013 und 2017 zwei Untersuchungen zum sogenannten „Drehtüreffekt“ ein. Beide lobten abschließend den kooperativen Ansatz der Kommission und die Fortschritte, die bei den von diesen Untersuchungen abgedeckten Aspekten erzielt wurden, und machten gleichzeitig eine Reihe von Verbesserungsvorschlägen im Anschluss an die erste Untersuchung und technische Vorschläge im Anschluss an die zweite. Die Kommission erkannte diese Vorschläge als wertvollen Beitrag zur allgemeinen Diskussion über die Vermeidung von Interessenkonflikten an und erwog, die Vorschläge zur weiteren Verbesserung ihres Systems innerhalb des einschlägigen und anwendbaren Rechtsrahmens zu übernehmen.</w:t>
      </w:r>
    </w:p>
    <w:p>
      <w:pPr>
        <w:pStyle w:val="Text1"/>
        <w:spacing w:after="120"/>
        <w:ind w:left="0"/>
        <w:rPr>
          <w:noProof/>
        </w:rPr>
      </w:pPr>
      <w:r>
        <w:rPr>
          <w:noProof/>
        </w:rPr>
        <w:t>Der Bürgerbeauftragte befasst sich ferner mit weiteren Fragen im Zusammenhang mit der Umsetzung des Statuts durch alle Organe, Einrichtungen, Ämter und Agenturen, z. B. hat der Bürgerbeauftragte eine strategische Initiative zu den Urlaubsansprüchen bestimmter Mitglieder des Personals der EU und zum Kindeswohl (SI/1/2019/AMF</w:t>
      </w:r>
      <w:r>
        <w:rPr>
          <w:rStyle w:val="FootnoteReference"/>
          <w:noProof/>
          <w:lang w:val="en-IE"/>
        </w:rPr>
        <w:footnoteReference w:id="41"/>
      </w:r>
      <w:r>
        <w:rPr>
          <w:noProof/>
        </w:rPr>
        <w:t>) abgeschlossen.</w:t>
      </w:r>
    </w:p>
    <w:p>
      <w:pPr>
        <w:pStyle w:val="Text1"/>
        <w:spacing w:after="120"/>
        <w:ind w:left="0"/>
        <w:rPr>
          <w:noProof/>
          <w:lang w:val="en-IE"/>
        </w:rPr>
      </w:pPr>
    </w:p>
    <w:p>
      <w:pPr>
        <w:pStyle w:val="Heading2"/>
        <w:rPr>
          <w:noProof/>
        </w:rPr>
      </w:pPr>
      <w:r>
        <w:rPr>
          <w:noProof/>
        </w:rPr>
        <w:t xml:space="preserve">Das Entlastungsverfahren des Europäischen Parlaments </w:t>
      </w:r>
    </w:p>
    <w:p>
      <w:pPr>
        <w:rPr>
          <w:noProof/>
          <w:szCs w:val="24"/>
        </w:rPr>
      </w:pPr>
      <w:r>
        <w:rPr>
          <w:noProof/>
        </w:rPr>
        <w:t xml:space="preserve">Im Rahmen des Entlastungsverfahrens spricht der Haushaltsausschuss des Europäischen Parlaments jedes Jahr mehrere Empfehlungen aus, die insbesondere die Funktionsweise des Statuts in allen Organen betreffen. </w:t>
      </w:r>
    </w:p>
    <w:p>
      <w:pPr>
        <w:rPr>
          <w:noProof/>
          <w:szCs w:val="24"/>
        </w:rPr>
      </w:pPr>
      <w:r>
        <w:rPr>
          <w:noProof/>
        </w:rPr>
        <w:t xml:space="preserve">Das Annahmeverfahren dieser Empfehlungen zu verschiedenen Themen durch das Europäische Parlament ermöglichte es der Kommission, jährlich die Umsetzung des Statuts und ihrer Personalpolitik zu erläutern. </w:t>
      </w:r>
    </w:p>
    <w:p>
      <w:pPr>
        <w:rPr>
          <w:noProof/>
          <w:szCs w:val="24"/>
        </w:rPr>
      </w:pPr>
      <w:r>
        <w:rPr>
          <w:noProof/>
        </w:rPr>
        <w:t>In der Vergangenheit hat die Kommission bereits die Empfehlungen umgesetzt, die der Haushaltsausschuss des Europäischen Parlaments zur Entlastung in Bezug auf Themen wie Verfahren für den Umgang mit Bediensteten mit unzureichenden Leistungen, den Umgang mit Fällen von Hinweisgebern, die interne Mobilität von Führungskräften und die mangelnde paritätische Vertretung von Männern und Frauen in Führungspositionen gegeben hat. In jüngerer Zeit hat die Kommission die in den Entlastungsbeschlüssen aufgeworfenen Fragen zu verschiedenen wichtigen Themen berücksichtigt.</w:t>
      </w:r>
      <w:r>
        <w:rPr>
          <w:rStyle w:val="FootnoteReference"/>
          <w:noProof/>
          <w:szCs w:val="24"/>
          <w:lang w:val="en-IE"/>
        </w:rPr>
        <w:footnoteReference w:id="42"/>
      </w:r>
    </w:p>
    <w:p>
      <w:pPr>
        <w:pStyle w:val="Heading2"/>
        <w:rPr>
          <w:noProof/>
        </w:rPr>
      </w:pPr>
      <w:r>
        <w:rPr>
          <w:noProof/>
        </w:rPr>
        <w:t xml:space="preserve">Schlussfolgerungen des Rates zu den in der Arbeitsgruppe für das Statut erörterten Themen </w:t>
      </w:r>
    </w:p>
    <w:p>
      <w:pPr>
        <w:pStyle w:val="Text2"/>
        <w:ind w:left="0"/>
        <w:rPr>
          <w:noProof/>
        </w:rPr>
      </w:pPr>
      <w:r>
        <w:rPr>
          <w:noProof/>
        </w:rPr>
        <w:t>Im Rahmen der Schlussfolgerungen des Rates zur Verbesserung der Prüfung der Sonderberichte des Rechnungshofs</w:t>
      </w:r>
      <w:r>
        <w:rPr>
          <w:rStyle w:val="FootnoteReference"/>
          <w:noProof/>
          <w:lang w:val="en-IE"/>
        </w:rPr>
        <w:footnoteReference w:id="43"/>
      </w:r>
      <w:r>
        <w:rPr>
          <w:noProof/>
        </w:rPr>
        <w:t xml:space="preserve"> hat sich der Rat verpflichtet, auf der Grundlage der Sonderberichte des Europäischen Rechnungshofs Schlussfolgerungen</w:t>
      </w:r>
      <w:r>
        <w:rPr>
          <w:rStyle w:val="FootnoteReference"/>
          <w:noProof/>
          <w:lang w:val="en-IE"/>
        </w:rPr>
        <w:footnoteReference w:id="44"/>
      </w:r>
      <w:r>
        <w:rPr>
          <w:noProof/>
        </w:rPr>
        <w:t xml:space="preserve"> auszuarbeiten, die gegebenenfalls Vorschläge für weitere Maßnahmen enthalten, die angemessen erscheinen. </w:t>
      </w:r>
    </w:p>
    <w:p>
      <w:pPr>
        <w:pStyle w:val="Text2"/>
        <w:ind w:left="0"/>
        <w:rPr>
          <w:noProof/>
        </w:rPr>
      </w:pPr>
      <w:r>
        <w:rPr>
          <w:noProof/>
        </w:rPr>
        <w:t>Während des Berichtszeitraums nahm der Rat drei Schlussfolgerungen an, zwei davon zu Berichten des Rechnungshofs</w:t>
      </w:r>
      <w:r>
        <w:rPr>
          <w:rStyle w:val="FootnoteReference"/>
          <w:noProof/>
          <w:lang w:val="en-IE"/>
        </w:rPr>
        <w:footnoteReference w:id="45"/>
      </w:r>
      <w:r>
        <w:rPr>
          <w:noProof/>
        </w:rPr>
        <w:t>. Die während des Berichtszeitraums angenommenen Schlussfolgerungen des Rates betrafen die Ethikstrategie der Kommission</w:t>
      </w:r>
      <w:r>
        <w:rPr>
          <w:rStyle w:val="FootnoteReference"/>
          <w:noProof/>
          <w:lang w:val="en-IE"/>
        </w:rPr>
        <w:footnoteReference w:id="46"/>
      </w:r>
      <w:r>
        <w:rPr>
          <w:noProof/>
        </w:rPr>
        <w:t>, den Bericht des Europäischen Rechnungshofs über die Umsetzung des Statuts</w:t>
      </w:r>
      <w:r>
        <w:rPr>
          <w:rStyle w:val="FootnoteReference"/>
          <w:noProof/>
          <w:lang w:val="en-IE"/>
        </w:rPr>
        <w:footnoteReference w:id="47"/>
      </w:r>
      <w:r>
        <w:rPr>
          <w:noProof/>
        </w:rPr>
        <w:t xml:space="preserve"> und die Eurostat-Studie über die langfristigen Auswirkungen der Kosten für EU-Versorgungsbezüge auf den Haushalt</w:t>
      </w:r>
      <w:r>
        <w:rPr>
          <w:rStyle w:val="FootnoteReference"/>
          <w:noProof/>
          <w:lang w:val="en-IE"/>
        </w:rPr>
        <w:footnoteReference w:id="48"/>
      </w:r>
      <w:r>
        <w:rPr>
          <w:noProof/>
        </w:rPr>
        <w:t xml:space="preserve">. </w:t>
      </w:r>
    </w:p>
    <w:p>
      <w:pPr>
        <w:pStyle w:val="Text2"/>
        <w:ind w:left="0"/>
        <w:rPr>
          <w:noProof/>
        </w:rPr>
      </w:pPr>
      <w:r>
        <w:rPr>
          <w:noProof/>
        </w:rPr>
        <w:t>Gemäß dem Grundsatz der loyalen Zusammenarbeit zwischen den Organen der Union</w:t>
      </w:r>
      <w:r>
        <w:rPr>
          <w:rStyle w:val="FootnoteReference"/>
          <w:noProof/>
          <w:lang w:val="en-IE"/>
        </w:rPr>
        <w:footnoteReference w:id="49"/>
      </w:r>
      <w:r>
        <w:rPr>
          <w:noProof/>
        </w:rPr>
        <w:t xml:space="preserve"> trägt die Kommission bei der Umsetzung des Statuts den Schlussfolgerungen des Rates Rechnung. </w:t>
      </w:r>
    </w:p>
    <w:p>
      <w:pPr>
        <w:pStyle w:val="Heading1"/>
        <w:rPr>
          <w:noProof/>
        </w:rPr>
      </w:pPr>
      <w:r>
        <w:rPr>
          <w:noProof/>
        </w:rPr>
        <w:t>Gerichtliche Prüfung</w:t>
      </w:r>
    </w:p>
    <w:p>
      <w:pPr>
        <w:pStyle w:val="Text1"/>
        <w:ind w:left="0"/>
        <w:rPr>
          <w:noProof/>
        </w:rPr>
      </w:pPr>
      <w:r>
        <w:rPr>
          <w:noProof/>
        </w:rPr>
        <w:t>Nach der Reform des Statuts durch die Verordnung (EU, Euratom) Nr. 1023/2013</w:t>
      </w:r>
      <w:r>
        <w:rPr>
          <w:rStyle w:val="FootnoteReference"/>
          <w:noProof/>
          <w:lang w:val="en-IE"/>
        </w:rPr>
        <w:footnoteReference w:id="50"/>
      </w:r>
      <w:r>
        <w:rPr>
          <w:noProof/>
        </w:rPr>
        <w:t xml:space="preserve"> wurden mehrere Klagen bei den Gerichten der Union eingelegt. In diesen verschiedenen Fällen wurde die Rechtmäßigkeit verschiedener Aspekte der Reform angefochten, entweder im Klageverfahren von Gewerkschaften vor dem Gericht erster Instanz der Europäischen Union</w:t>
      </w:r>
      <w:r>
        <w:rPr>
          <w:rStyle w:val="FootnoteReference"/>
          <w:noProof/>
          <w:lang w:val="en-IE"/>
        </w:rPr>
        <w:footnoteReference w:id="51"/>
      </w:r>
      <w:r>
        <w:rPr>
          <w:noProof/>
        </w:rPr>
        <w:t xml:space="preserve"> oder im Wege einer Einrede der Rechtswidrigkeit, die im Rahmen von Nichtigkeitsklagen von Beamten und sonstigen Bediensteten der Organe gegen einzelne Entscheidungen zur Umsetzung der mit der Reform des Statuts von 2014 eingeführten neuen Bestimmungen des Statuts erhoben wurde. </w:t>
      </w:r>
    </w:p>
    <w:p>
      <w:pPr>
        <w:pStyle w:val="Text1"/>
        <w:ind w:left="0"/>
        <w:rPr>
          <w:noProof/>
        </w:rPr>
      </w:pPr>
      <w:r>
        <w:rPr>
          <w:noProof/>
        </w:rPr>
        <w:t xml:space="preserve">Alle Klagen gegen Aspekte der Reform des Statuts von 2014 wurden abgewiesen, wodurch die Rechtmäßigkeit der von den beiden gesetzgebenden Organen eingeführten Änderungen bestätigt wurde (Anhang 22). </w:t>
      </w:r>
    </w:p>
    <w:p>
      <w:pPr>
        <w:pStyle w:val="Heading1"/>
        <w:rPr>
          <w:noProof/>
        </w:rPr>
      </w:pPr>
      <w:r>
        <w:rPr>
          <w:noProof/>
        </w:rPr>
        <w:t>Schlussfolgerung</w:t>
      </w:r>
    </w:p>
    <w:p>
      <w:pPr>
        <w:rPr>
          <w:iCs/>
          <w:noProof/>
        </w:rPr>
      </w:pPr>
      <w:r>
        <w:rPr>
          <w:noProof/>
        </w:rPr>
        <w:t>Seit der Reform des Statuts im Jahr 2014 haben die Organe, Einrichtungen, Ämter und Agenturen der Union, für die das Statut gilt, das Statut umgesetzt und die neuen Bestimmungen in ihre tägliche Arbeit integriert. Nach Auffassung der Kommission haben die von den beiden gesetzgebenden Organen angenommenen Bestimmungen ihren zusätzlichen Nutzen und ihre Eignung für die von den beiden gesetzgebenden Organen im Jahr 2013 angestrebten Zwecke unter Beweis gestellt.</w:t>
      </w:r>
    </w:p>
    <w:p>
      <w:pPr>
        <w:rPr>
          <w:iCs/>
          <w:noProof/>
        </w:rPr>
      </w:pPr>
      <w:r>
        <w:rPr>
          <w:noProof/>
        </w:rPr>
        <w:t xml:space="preserve">Die Kommission ist ihren im Statut verankerten Berichterstattungspflichten nachgekommen und hat damit den beiden gesetzgebenden Organen die Möglichkeit gegeben, verschiedene Aspekte der Umsetzung des Statuts kontinuierlich zu überwachen. </w:t>
      </w:r>
    </w:p>
    <w:p>
      <w:pPr>
        <w:rPr>
          <w:iCs/>
          <w:noProof/>
        </w:rPr>
      </w:pPr>
      <w:r>
        <w:rPr>
          <w:noProof/>
        </w:rPr>
        <w:t xml:space="preserve">Die Gesamtbewertung durch den vorliegenden Bericht hat veranschaulicht, wie das Statut seit 2014 umgesetzt wurde, wobei ferner der Beitrag der anderen Organe der Union berücksichtigt wurde. So wurden die einschlägigen Urteile, Empfehlungen, Entschließungen und Schlussfolgerungen in die Vorgehensweise der Kommission und der anderen Organe eingebunden. </w:t>
      </w:r>
    </w:p>
    <w:p>
      <w:pPr>
        <w:rPr>
          <w:iCs/>
          <w:noProof/>
        </w:rPr>
      </w:pPr>
      <w:r>
        <w:rPr>
          <w:noProof/>
        </w:rPr>
        <w:t xml:space="preserve">Schließlich hat dieser Bericht spezifische Berichterstattungspflichten der Kommission erfüllt, indem er Einzelheiten zur Umsetzung von Anhang IB und zur Entwicklung der AST- und AST/SC-Funktionsgruppen in allen Organen zur Verfügung stellt. </w:t>
      </w:r>
    </w:p>
    <w:p>
      <w:pPr>
        <w:rPr>
          <w:noProof/>
          <w:lang w:val="en-IE"/>
        </w:rPr>
      </w:pPr>
    </w:p>
    <w:p>
      <w:pPr>
        <w:spacing w:after="0"/>
        <w:textAlignment w:val="baseline"/>
        <w:rPr>
          <w:b/>
          <w:bCs/>
          <w:noProof/>
          <w:szCs w:val="24"/>
          <w:lang w:val="en-IE"/>
        </w:rPr>
      </w:pPr>
    </w:p>
    <w:p>
      <w:pPr>
        <w:spacing w:after="160" w:line="259" w:lineRule="auto"/>
        <w:jc w:val="left"/>
        <w:rPr>
          <w:b/>
          <w:bCs/>
          <w:noProof/>
          <w:szCs w:val="24"/>
          <w:lang w:val="en-IE"/>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docGrid w:linePitch="326"/>
        </w:sectPr>
      </w:pPr>
    </w:p>
    <w:p>
      <w:pPr>
        <w:spacing w:after="160" w:line="259" w:lineRule="auto"/>
        <w:jc w:val="left"/>
        <w:rPr>
          <w:b/>
          <w:bCs/>
          <w:noProof/>
          <w:szCs w:val="24"/>
          <w:lang w:val="en-IE"/>
        </w:rPr>
      </w:pPr>
    </w:p>
    <w:p>
      <w:pPr>
        <w:spacing w:after="0"/>
        <w:textAlignment w:val="baseline"/>
        <w:rPr>
          <w:b/>
          <w:noProof/>
          <w:szCs w:val="24"/>
        </w:rPr>
      </w:pPr>
      <w:r>
        <w:rPr>
          <w:b/>
          <w:noProof/>
          <w:szCs w:val="24"/>
        </w:rPr>
        <w:t>Anhang 1: Nach Artikel 16 Absatz 4 des Statuts angenommene Berichte</w:t>
      </w:r>
    </w:p>
    <w:p>
      <w:pPr>
        <w:spacing w:after="0"/>
        <w:textAlignment w:val="baseline"/>
        <w:rPr>
          <w:b/>
          <w:bCs/>
          <w:noProof/>
          <w:szCs w:val="24"/>
          <w:lang w:val="en-IE"/>
        </w:rPr>
      </w:pPr>
    </w:p>
    <w:tbl>
      <w:tblPr>
        <w:tblW w:w="0" w:type="auto"/>
        <w:tblInd w:w="108" w:type="dxa"/>
        <w:tblLayout w:type="fixed"/>
        <w:tblCellMar>
          <w:left w:w="0" w:type="dxa"/>
          <w:right w:w="0" w:type="dxa"/>
        </w:tblCellMar>
        <w:tblLook w:val="04A0" w:firstRow="1" w:lastRow="0" w:firstColumn="1" w:lastColumn="0" w:noHBand="0" w:noVBand="1"/>
      </w:tblPr>
      <w:tblGrid>
        <w:gridCol w:w="1558"/>
        <w:gridCol w:w="994"/>
        <w:gridCol w:w="1701"/>
        <w:gridCol w:w="1134"/>
        <w:gridCol w:w="1417"/>
        <w:gridCol w:w="1276"/>
        <w:gridCol w:w="1404"/>
        <w:gridCol w:w="1006"/>
        <w:gridCol w:w="1417"/>
        <w:gridCol w:w="1256"/>
        <w:gridCol w:w="1579"/>
      </w:tblGrid>
      <w:tr>
        <w:trPr>
          <w:trHeight w:val="987"/>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b/>
                <w:bCs/>
                <w:noProof/>
                <w:color w:val="000000"/>
                <w:sz w:val="20"/>
              </w:rPr>
            </w:pPr>
            <w:r>
              <w:rPr>
                <w:b/>
                <w:bCs/>
                <w:noProof/>
                <w:color w:val="000000"/>
                <w:sz w:val="20"/>
              </w:rPr>
              <w:t>Berichtsjahr</w:t>
            </w:r>
          </w:p>
        </w:tc>
        <w:tc>
          <w:tcPr>
            <w:tcW w:w="1318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b/>
                <w:bCs/>
                <w:noProof/>
                <w:color w:val="000000"/>
                <w:sz w:val="20"/>
              </w:rPr>
            </w:pPr>
            <w:r>
              <w:rPr>
                <w:b/>
                <w:bCs/>
                <w:noProof/>
                <w:color w:val="000000"/>
                <w:sz w:val="20"/>
              </w:rPr>
              <w:t>Anzahl der im Jahresbericht nach Artikel 16 Absatz 4 des Statuts genannten ehemaligen leitenden Beamten nach Organen</w:t>
            </w:r>
          </w:p>
        </w:tc>
      </w:tr>
      <w:tr>
        <w:trPr>
          <w:trHeight w:val="1025"/>
        </w:trPr>
        <w:tc>
          <w:tcPr>
            <w:tcW w:w="1558" w:type="dxa"/>
            <w:vMerge/>
            <w:tcBorders>
              <w:top w:val="single" w:sz="4" w:space="0" w:color="auto"/>
              <w:left w:val="single" w:sz="4" w:space="0" w:color="auto"/>
              <w:bottom w:val="single" w:sz="4" w:space="0" w:color="auto"/>
              <w:right w:val="single" w:sz="4" w:space="0" w:color="auto"/>
            </w:tcBorders>
            <w:vAlign w:val="center"/>
            <w:hideMark/>
          </w:tcPr>
          <w:p>
            <w:pPr>
              <w:rPr>
                <w:rFonts w:eastAsiaTheme="minorHAnsi"/>
                <w:b/>
                <w:bCs/>
                <w:noProof/>
                <w:color w:val="000000"/>
                <w:sz w:val="20"/>
                <w:szCs w:val="22"/>
                <w:lang w:val="en-IE"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Rat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Europäischer Wirtschafts- und Sozialausschuss</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Ausschuss der Regionen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Europäisches Parlament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Gerichtshof</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Europäische Zentralbank</w:t>
            </w:r>
          </w:p>
        </w:tc>
        <w:tc>
          <w:tcPr>
            <w:tcW w:w="1006" w:type="dxa"/>
            <w:tcBorders>
              <w:top w:val="nil"/>
              <w:left w:val="nil"/>
              <w:bottom w:val="single" w:sz="8" w:space="0" w:color="auto"/>
              <w:right w:val="single" w:sz="8" w:space="0" w:color="auto"/>
            </w:tcBorders>
          </w:tcPr>
          <w:p>
            <w:pPr>
              <w:jc w:val="center"/>
              <w:rPr>
                <w:b/>
                <w:bCs/>
                <w:noProof/>
                <w:color w:val="000000"/>
                <w:sz w:val="20"/>
              </w:rPr>
            </w:pPr>
            <w:r>
              <w:rPr>
                <w:b/>
                <w:bCs/>
                <w:noProof/>
                <w:color w:val="000000"/>
                <w:sz w:val="20"/>
              </w:rPr>
              <w:t>EAD</w:t>
            </w:r>
          </w:p>
        </w:tc>
        <w:tc>
          <w:tcPr>
            <w:tcW w:w="1417" w:type="dxa"/>
            <w:tcBorders>
              <w:top w:val="nil"/>
              <w:left w:val="nil"/>
              <w:bottom w:val="single" w:sz="8" w:space="0" w:color="auto"/>
              <w:right w:val="single" w:sz="8" w:space="0" w:color="auto"/>
            </w:tcBorders>
          </w:tcPr>
          <w:p>
            <w:pPr>
              <w:jc w:val="center"/>
              <w:rPr>
                <w:b/>
                <w:bCs/>
                <w:noProof/>
                <w:color w:val="000000"/>
                <w:sz w:val="20"/>
              </w:rPr>
            </w:pPr>
            <w:r>
              <w:rPr>
                <w:b/>
                <w:bCs/>
                <w:noProof/>
                <w:color w:val="000000"/>
                <w:sz w:val="20"/>
              </w:rPr>
              <w:t>Europäischer Rechnungshof</w:t>
            </w:r>
          </w:p>
        </w:tc>
        <w:tc>
          <w:tcPr>
            <w:tcW w:w="1256" w:type="dxa"/>
            <w:tcBorders>
              <w:top w:val="nil"/>
              <w:left w:val="nil"/>
              <w:bottom w:val="single" w:sz="8" w:space="0" w:color="auto"/>
              <w:right w:val="single" w:sz="8" w:space="0" w:color="auto"/>
            </w:tcBorders>
          </w:tcPr>
          <w:p>
            <w:pPr>
              <w:jc w:val="center"/>
              <w:rPr>
                <w:b/>
                <w:bCs/>
                <w:noProof/>
                <w:color w:val="000000"/>
                <w:sz w:val="20"/>
              </w:rPr>
            </w:pPr>
            <w:r>
              <w:rPr>
                <w:b/>
                <w:bCs/>
                <w:noProof/>
                <w:color w:val="000000"/>
                <w:sz w:val="20"/>
              </w:rPr>
              <w:t>Europäischer Bürger-beauftragter</w:t>
            </w:r>
          </w:p>
        </w:tc>
        <w:tc>
          <w:tcPr>
            <w:tcW w:w="1579" w:type="dxa"/>
            <w:tcBorders>
              <w:top w:val="nil"/>
              <w:left w:val="nil"/>
              <w:bottom w:val="single" w:sz="8" w:space="0" w:color="auto"/>
              <w:right w:val="single" w:sz="8" w:space="0" w:color="auto"/>
            </w:tcBorders>
          </w:tcPr>
          <w:p>
            <w:pPr>
              <w:jc w:val="center"/>
              <w:rPr>
                <w:b/>
                <w:bCs/>
                <w:noProof/>
                <w:color w:val="000000"/>
                <w:sz w:val="20"/>
              </w:rPr>
            </w:pPr>
            <w:r>
              <w:rPr>
                <w:b/>
                <w:bCs/>
                <w:noProof/>
                <w:color w:val="000000"/>
                <w:sz w:val="20"/>
              </w:rPr>
              <w:t>EDSB</w:t>
            </w:r>
          </w:p>
        </w:tc>
      </w:tr>
      <w:tr>
        <w:trPr>
          <w:trHeight w:val="595"/>
        </w:trPr>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2015</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k.A.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k.A.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006"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5</w:t>
            </w:r>
          </w:p>
        </w:tc>
        <w:tc>
          <w:tcPr>
            <w:tcW w:w="1417"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0</w:t>
            </w:r>
          </w:p>
        </w:tc>
        <w:tc>
          <w:tcPr>
            <w:tcW w:w="1256" w:type="dxa"/>
            <w:tcBorders>
              <w:top w:val="nil"/>
              <w:left w:val="nil"/>
              <w:bottom w:val="single" w:sz="8" w:space="0" w:color="auto"/>
              <w:right w:val="single" w:sz="8" w:space="0" w:color="auto"/>
            </w:tcBorders>
          </w:tcPr>
          <w:p>
            <w:pPr>
              <w:jc w:val="center"/>
              <w:rPr>
                <w:noProof/>
                <w:color w:val="000000"/>
                <w:sz w:val="20"/>
              </w:rPr>
            </w:pPr>
            <w:r>
              <w:rPr>
                <w:noProof/>
                <w:color w:val="000000"/>
                <w:sz w:val="20"/>
              </w:rPr>
              <w:t>0</w:t>
            </w:r>
          </w:p>
        </w:tc>
        <w:tc>
          <w:tcPr>
            <w:tcW w:w="1579" w:type="dxa"/>
            <w:tcBorders>
              <w:top w:val="nil"/>
              <w:left w:val="nil"/>
              <w:bottom w:val="single" w:sz="8" w:space="0" w:color="auto"/>
              <w:right w:val="single" w:sz="8" w:space="0" w:color="auto"/>
            </w:tcBorders>
          </w:tcPr>
          <w:p>
            <w:pPr>
              <w:rPr>
                <w:noProof/>
              </w:rPr>
            </w:pPr>
            <w:r>
              <w:rPr>
                <w:noProof/>
                <w:color w:val="000000"/>
                <w:sz w:val="20"/>
              </w:rPr>
              <w:t>k.A.</w:t>
            </w:r>
          </w:p>
        </w:tc>
      </w:tr>
      <w:tr>
        <w:trPr>
          <w:trHeight w:val="602"/>
        </w:trPr>
        <w:tc>
          <w:tcPr>
            <w:tcW w:w="15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2016</w:t>
            </w:r>
          </w:p>
        </w:tc>
        <w:tc>
          <w:tcPr>
            <w:tcW w:w="9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r>
              <w:rPr>
                <w:rStyle w:val="FootnoteReference"/>
                <w:noProof/>
                <w:color w:val="000000"/>
                <w:sz w:val="20"/>
                <w:lang w:val="en-IE"/>
              </w:rPr>
              <w:footnoteReference w:id="52"/>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k.A.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006"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0</w:t>
            </w:r>
          </w:p>
        </w:tc>
        <w:tc>
          <w:tcPr>
            <w:tcW w:w="1417"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0</w:t>
            </w:r>
          </w:p>
        </w:tc>
        <w:tc>
          <w:tcPr>
            <w:tcW w:w="1256" w:type="dxa"/>
            <w:tcBorders>
              <w:top w:val="nil"/>
              <w:left w:val="nil"/>
              <w:bottom w:val="single" w:sz="8" w:space="0" w:color="auto"/>
              <w:right w:val="single" w:sz="8" w:space="0" w:color="auto"/>
            </w:tcBorders>
          </w:tcPr>
          <w:p>
            <w:pPr>
              <w:jc w:val="center"/>
              <w:rPr>
                <w:noProof/>
                <w:color w:val="000000"/>
                <w:sz w:val="20"/>
              </w:rPr>
            </w:pPr>
            <w:r>
              <w:rPr>
                <w:noProof/>
                <w:color w:val="000000"/>
                <w:sz w:val="20"/>
              </w:rPr>
              <w:t>0</w:t>
            </w:r>
            <w:r>
              <w:rPr>
                <w:rStyle w:val="FootnoteReference"/>
                <w:noProof/>
                <w:color w:val="000000"/>
                <w:sz w:val="20"/>
                <w:lang w:val="en-IE"/>
              </w:rPr>
              <w:footnoteReference w:id="53"/>
            </w:r>
          </w:p>
        </w:tc>
        <w:tc>
          <w:tcPr>
            <w:tcW w:w="1579" w:type="dxa"/>
            <w:tcBorders>
              <w:top w:val="nil"/>
              <w:left w:val="nil"/>
              <w:bottom w:val="single" w:sz="8" w:space="0" w:color="auto"/>
              <w:right w:val="single" w:sz="8" w:space="0" w:color="auto"/>
            </w:tcBorders>
          </w:tcPr>
          <w:p>
            <w:pPr>
              <w:rPr>
                <w:noProof/>
              </w:rPr>
            </w:pPr>
            <w:r>
              <w:rPr>
                <w:noProof/>
                <w:color w:val="000000"/>
                <w:sz w:val="20"/>
              </w:rPr>
              <w:t>k.A.</w:t>
            </w:r>
          </w:p>
        </w:tc>
      </w:tr>
      <w:tr>
        <w:trPr>
          <w:trHeight w:val="383"/>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2017</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006"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2</w:t>
            </w:r>
          </w:p>
        </w:tc>
        <w:tc>
          <w:tcPr>
            <w:tcW w:w="1417"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0</w:t>
            </w:r>
            <w:r>
              <w:rPr>
                <w:rStyle w:val="FootnoteReference"/>
                <w:noProof/>
                <w:color w:val="000000"/>
                <w:sz w:val="20"/>
                <w:lang w:val="en-IE"/>
              </w:rPr>
              <w:footnoteReference w:id="54"/>
            </w:r>
          </w:p>
        </w:tc>
        <w:tc>
          <w:tcPr>
            <w:tcW w:w="1256" w:type="dxa"/>
            <w:tcBorders>
              <w:top w:val="nil"/>
              <w:left w:val="nil"/>
              <w:bottom w:val="single" w:sz="8" w:space="0" w:color="auto"/>
              <w:right w:val="single" w:sz="8" w:space="0" w:color="auto"/>
            </w:tcBorders>
          </w:tcPr>
          <w:p>
            <w:pPr>
              <w:jc w:val="center"/>
              <w:rPr>
                <w:noProof/>
                <w:color w:val="000000"/>
                <w:sz w:val="20"/>
              </w:rPr>
            </w:pPr>
            <w:r>
              <w:rPr>
                <w:noProof/>
                <w:color w:val="000000"/>
                <w:sz w:val="20"/>
              </w:rPr>
              <w:t>0</w:t>
            </w:r>
          </w:p>
        </w:tc>
        <w:tc>
          <w:tcPr>
            <w:tcW w:w="1579" w:type="dxa"/>
            <w:tcBorders>
              <w:top w:val="nil"/>
              <w:left w:val="nil"/>
              <w:bottom w:val="single" w:sz="8" w:space="0" w:color="auto"/>
              <w:right w:val="single" w:sz="8" w:space="0" w:color="auto"/>
            </w:tcBorders>
          </w:tcPr>
          <w:p>
            <w:pPr>
              <w:rPr>
                <w:noProof/>
              </w:rPr>
            </w:pPr>
            <w:r>
              <w:rPr>
                <w:noProof/>
                <w:color w:val="000000"/>
                <w:sz w:val="20"/>
              </w:rPr>
              <w:t>k.A.</w:t>
            </w:r>
          </w:p>
        </w:tc>
      </w:tr>
      <w:tr>
        <w:trPr>
          <w:trHeight w:val="392"/>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2018</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006"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5</w:t>
            </w:r>
          </w:p>
        </w:tc>
        <w:tc>
          <w:tcPr>
            <w:tcW w:w="1417"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0</w:t>
            </w:r>
            <w:r>
              <w:rPr>
                <w:rStyle w:val="FootnoteReference"/>
                <w:noProof/>
                <w:color w:val="000000"/>
                <w:sz w:val="20"/>
                <w:lang w:val="en-IE"/>
              </w:rPr>
              <w:footnoteReference w:id="55"/>
            </w:r>
          </w:p>
        </w:tc>
        <w:tc>
          <w:tcPr>
            <w:tcW w:w="1256" w:type="dxa"/>
            <w:tcBorders>
              <w:top w:val="nil"/>
              <w:left w:val="nil"/>
              <w:bottom w:val="single" w:sz="8" w:space="0" w:color="auto"/>
              <w:right w:val="single" w:sz="8" w:space="0" w:color="auto"/>
            </w:tcBorders>
          </w:tcPr>
          <w:p>
            <w:pPr>
              <w:jc w:val="center"/>
              <w:rPr>
                <w:noProof/>
                <w:color w:val="000000"/>
                <w:sz w:val="20"/>
              </w:rPr>
            </w:pPr>
            <w:r>
              <w:rPr>
                <w:noProof/>
                <w:color w:val="000000"/>
                <w:sz w:val="20"/>
              </w:rPr>
              <w:t>0</w:t>
            </w:r>
          </w:p>
        </w:tc>
        <w:tc>
          <w:tcPr>
            <w:tcW w:w="1579" w:type="dxa"/>
            <w:tcBorders>
              <w:top w:val="nil"/>
              <w:left w:val="nil"/>
              <w:bottom w:val="single" w:sz="8" w:space="0" w:color="auto"/>
              <w:right w:val="single" w:sz="8" w:space="0" w:color="auto"/>
            </w:tcBorders>
          </w:tcPr>
          <w:p>
            <w:pPr>
              <w:rPr>
                <w:noProof/>
              </w:rPr>
            </w:pPr>
            <w:r>
              <w:rPr>
                <w:noProof/>
                <w:color w:val="000000"/>
                <w:sz w:val="20"/>
              </w:rPr>
              <w:t>k.A.</w:t>
            </w:r>
          </w:p>
        </w:tc>
      </w:tr>
      <w:tr>
        <w:trPr>
          <w:trHeight w:val="383"/>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rPr>
            </w:pPr>
            <w:r>
              <w:rPr>
                <w:b/>
                <w:bCs/>
                <w:noProof/>
                <w:color w:val="000000"/>
                <w:sz w:val="20"/>
              </w:rPr>
              <w:t>2019</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r>
              <w:rPr>
                <w:rStyle w:val="FootnoteReference"/>
                <w:noProof/>
                <w:color w:val="000000"/>
                <w:sz w:val="20"/>
                <w:lang w:val="en-IE"/>
              </w:rPr>
              <w:footnoteReference w:id="56"/>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rPr>
            </w:pPr>
            <w:r>
              <w:rPr>
                <w:noProof/>
                <w:color w:val="000000"/>
                <w:sz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pPr>
              <w:rPr>
                <w:noProof/>
              </w:rPr>
            </w:pPr>
            <w:r>
              <w:rPr>
                <w:noProof/>
                <w:color w:val="000000"/>
                <w:sz w:val="20"/>
              </w:rPr>
              <w:t>k.A.</w:t>
            </w:r>
          </w:p>
        </w:tc>
        <w:tc>
          <w:tcPr>
            <w:tcW w:w="1006"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4</w:t>
            </w:r>
          </w:p>
        </w:tc>
        <w:tc>
          <w:tcPr>
            <w:tcW w:w="1417" w:type="dxa"/>
            <w:tcBorders>
              <w:top w:val="nil"/>
              <w:left w:val="nil"/>
              <w:bottom w:val="single" w:sz="8" w:space="0" w:color="auto"/>
              <w:right w:val="single" w:sz="8" w:space="0" w:color="auto"/>
            </w:tcBorders>
            <w:vAlign w:val="center"/>
          </w:tcPr>
          <w:p>
            <w:pPr>
              <w:jc w:val="center"/>
              <w:rPr>
                <w:noProof/>
                <w:color w:val="000000"/>
                <w:sz w:val="20"/>
              </w:rPr>
            </w:pPr>
            <w:r>
              <w:rPr>
                <w:noProof/>
                <w:color w:val="000000"/>
                <w:sz w:val="20"/>
              </w:rPr>
              <w:t>0</w:t>
            </w:r>
            <w:r>
              <w:rPr>
                <w:rStyle w:val="FootnoteReference"/>
                <w:noProof/>
                <w:color w:val="000000"/>
                <w:sz w:val="20"/>
                <w:lang w:val="en-IE"/>
              </w:rPr>
              <w:footnoteReference w:id="57"/>
            </w:r>
          </w:p>
        </w:tc>
        <w:tc>
          <w:tcPr>
            <w:tcW w:w="1256" w:type="dxa"/>
            <w:tcBorders>
              <w:top w:val="nil"/>
              <w:left w:val="nil"/>
              <w:bottom w:val="single" w:sz="8" w:space="0" w:color="auto"/>
              <w:right w:val="single" w:sz="8" w:space="0" w:color="auto"/>
            </w:tcBorders>
          </w:tcPr>
          <w:p>
            <w:pPr>
              <w:jc w:val="center"/>
              <w:rPr>
                <w:noProof/>
                <w:color w:val="000000"/>
                <w:sz w:val="20"/>
              </w:rPr>
            </w:pPr>
            <w:r>
              <w:rPr>
                <w:noProof/>
                <w:color w:val="000000"/>
                <w:sz w:val="20"/>
              </w:rPr>
              <w:t>k.A.</w:t>
            </w:r>
          </w:p>
        </w:tc>
        <w:tc>
          <w:tcPr>
            <w:tcW w:w="1579" w:type="dxa"/>
            <w:tcBorders>
              <w:top w:val="nil"/>
              <w:left w:val="nil"/>
              <w:bottom w:val="single" w:sz="8" w:space="0" w:color="auto"/>
              <w:right w:val="single" w:sz="8" w:space="0" w:color="auto"/>
            </w:tcBorders>
          </w:tcPr>
          <w:p>
            <w:pPr>
              <w:rPr>
                <w:noProof/>
              </w:rPr>
            </w:pPr>
            <w:r>
              <w:rPr>
                <w:noProof/>
                <w:color w:val="000000"/>
                <w:sz w:val="20"/>
              </w:rPr>
              <w:t>k.A.</w:t>
            </w:r>
          </w:p>
        </w:tc>
      </w:tr>
    </w:tbl>
    <w:p>
      <w:pPr>
        <w:spacing w:after="0"/>
        <w:textAlignment w:val="baseline"/>
        <w:rPr>
          <w:b/>
          <w:bCs/>
          <w:noProof/>
          <w:szCs w:val="24"/>
          <w:lang w:val="en-IE"/>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587" w:right="1020" w:bottom="1701" w:left="1020" w:header="601" w:footer="1077" w:gutter="0"/>
          <w:cols w:space="720"/>
          <w:titlePg/>
          <w:docGrid w:linePitch="326"/>
        </w:sectPr>
      </w:pPr>
    </w:p>
    <w:p>
      <w:pPr>
        <w:rPr>
          <w:b/>
          <w:noProof/>
          <w:szCs w:val="24"/>
          <w:lang w:val="en-IE"/>
        </w:rPr>
      </w:pPr>
    </w:p>
    <w:p>
      <w:pPr>
        <w:jc w:val="left"/>
        <w:rPr>
          <w:b/>
          <w:noProof/>
        </w:rPr>
      </w:pPr>
      <w:r>
        <w:rPr>
          <w:b/>
          <w:bCs/>
          <w:noProof/>
        </w:rPr>
        <w:t>Anhang 2: Vergütung für Bereitschaftsdienst</w:t>
      </w:r>
      <w:r>
        <w:rPr>
          <w:noProof/>
          <w:lang w:val="en-GB" w:eastAsia="en-GB"/>
        </w:rPr>
        <w:drawing>
          <wp:inline distT="0" distB="0" distL="0" distR="0">
            <wp:extent cx="5472430" cy="308128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2430" cy="3081286"/>
                    </a:xfrm>
                    <a:prstGeom prst="rect">
                      <a:avLst/>
                    </a:prstGeom>
                    <a:noFill/>
                    <a:ln>
                      <a:noFill/>
                    </a:ln>
                  </pic:spPr>
                </pic:pic>
              </a:graphicData>
            </a:graphic>
          </wp:inline>
        </w:drawing>
      </w:r>
    </w:p>
    <w:p>
      <w:pPr>
        <w:rPr>
          <w:b/>
          <w:noProof/>
        </w:rPr>
      </w:pPr>
      <w:r>
        <w:rPr>
          <w:b/>
          <w:noProof/>
        </w:rPr>
        <w:t xml:space="preserve">Anhang 3: Besonders beschwerliche Arbeit </w:t>
      </w:r>
    </w:p>
    <w:p>
      <w:pPr>
        <w:rPr>
          <w:b/>
          <w:noProof/>
        </w:rPr>
      </w:pPr>
      <w:r>
        <w:rPr>
          <w:noProof/>
          <w:lang w:val="en-GB" w:eastAsia="en-GB"/>
        </w:rPr>
        <w:drawing>
          <wp:inline distT="0" distB="0" distL="0" distR="0">
            <wp:extent cx="5528482" cy="2650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32616" cy="2652584"/>
                    </a:xfrm>
                    <a:prstGeom prst="rect">
                      <a:avLst/>
                    </a:prstGeom>
                    <a:noFill/>
                    <a:ln>
                      <a:noFill/>
                    </a:ln>
                  </pic:spPr>
                </pic:pic>
              </a:graphicData>
            </a:graphic>
          </wp:inline>
        </w:drawing>
      </w:r>
    </w:p>
    <w:p>
      <w:pPr>
        <w:rPr>
          <w:b/>
          <w:noProof/>
          <w:lang w:val="en-IE"/>
        </w:rPr>
      </w:pPr>
    </w:p>
    <w:p>
      <w:pPr>
        <w:spacing w:after="160" w:line="259" w:lineRule="auto"/>
        <w:jc w:val="left"/>
        <w:rPr>
          <w:b/>
          <w:noProof/>
        </w:rPr>
      </w:pPr>
      <w:r>
        <w:rPr>
          <w:noProof/>
        </w:rPr>
        <w:br w:type="page"/>
      </w:r>
    </w:p>
    <w:p>
      <w:pPr>
        <w:rPr>
          <w:b/>
          <w:noProof/>
        </w:rPr>
      </w:pPr>
      <w:r>
        <w:rPr>
          <w:b/>
          <w:noProof/>
        </w:rPr>
        <w:t>Anhang 4: Vergütung für Schichtdienst</w:t>
      </w:r>
    </w:p>
    <w:p>
      <w:pPr>
        <w:jc w:val="center"/>
        <w:rPr>
          <w:b/>
          <w:noProof/>
        </w:rPr>
      </w:pPr>
      <w:r>
        <w:rPr>
          <w:b/>
          <w:noProof/>
          <w:lang w:val="en-GB" w:eastAsia="en-GB"/>
        </w:rPr>
        <w:drawing>
          <wp:inline distT="0" distB="0" distL="0" distR="0">
            <wp:extent cx="5212715" cy="373126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2715" cy="3731260"/>
                    </a:xfrm>
                    <a:prstGeom prst="rect">
                      <a:avLst/>
                    </a:prstGeom>
                    <a:noFill/>
                  </pic:spPr>
                </pic:pic>
              </a:graphicData>
            </a:graphic>
          </wp:inline>
        </w:drawing>
      </w:r>
    </w:p>
    <w:p>
      <w:pPr>
        <w:rPr>
          <w:b/>
          <w:noProof/>
        </w:rPr>
      </w:pPr>
      <w:r>
        <w:rPr>
          <w:b/>
          <w:noProof/>
        </w:rPr>
        <w:t>Anhang 5: Auswirkung auf Haushaltsebene nach Vergütung</w:t>
      </w:r>
    </w:p>
    <w:p>
      <w:pPr>
        <w:rPr>
          <w:b/>
          <w:noProof/>
          <w:szCs w:val="24"/>
        </w:rPr>
      </w:pPr>
      <w:r>
        <w:rPr>
          <w:noProof/>
          <w:lang w:val="en-GB" w:eastAsia="en-GB"/>
        </w:rPr>
        <w:drawing>
          <wp:inline distT="0" distB="0" distL="0" distR="0">
            <wp:extent cx="5399405" cy="37096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9405" cy="3709670"/>
                    </a:xfrm>
                    <a:prstGeom prst="rect">
                      <a:avLst/>
                    </a:prstGeom>
                    <a:noFill/>
                    <a:ln>
                      <a:noFill/>
                    </a:ln>
                  </pic:spPr>
                </pic:pic>
              </a:graphicData>
            </a:graphic>
          </wp:inline>
        </w:drawing>
      </w:r>
    </w:p>
    <w:p>
      <w:pPr>
        <w:rPr>
          <w:noProof/>
        </w:rPr>
      </w:pPr>
      <w:r>
        <w:rPr>
          <w:noProof/>
        </w:rPr>
        <w:br w:type="page"/>
      </w:r>
    </w:p>
    <w:p>
      <w:pPr>
        <w:rPr>
          <w:b/>
          <w:noProof/>
          <w:szCs w:val="24"/>
        </w:rPr>
      </w:pPr>
      <w:r>
        <w:rPr>
          <w:b/>
          <w:noProof/>
          <w:szCs w:val="24"/>
        </w:rPr>
        <w:t>Anhang 6: Anzahl der Vertragsbediensteten 2014-2018</w:t>
      </w:r>
    </w:p>
    <w:tbl>
      <w:tblPr>
        <w:tblW w:w="6500" w:type="dxa"/>
        <w:tblInd w:w="118" w:type="dxa"/>
        <w:tblLook w:val="04A0" w:firstRow="1" w:lastRow="0" w:firstColumn="1" w:lastColumn="0" w:noHBand="0" w:noVBand="1"/>
      </w:tblPr>
      <w:tblGrid>
        <w:gridCol w:w="2117"/>
        <w:gridCol w:w="816"/>
        <w:gridCol w:w="960"/>
        <w:gridCol w:w="960"/>
        <w:gridCol w:w="960"/>
        <w:gridCol w:w="960"/>
      </w:tblGrid>
      <w:tr>
        <w:trPr>
          <w:trHeight w:val="330"/>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 xml:space="preserve"> </w:t>
            </w:r>
          </w:p>
        </w:tc>
        <w:tc>
          <w:tcPr>
            <w:tcW w:w="54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rPr>
            </w:pPr>
            <w:r>
              <w:rPr>
                <w:b/>
                <w:bCs/>
                <w:noProof/>
                <w:color w:val="000000"/>
                <w:szCs w:val="24"/>
              </w:rPr>
              <w:t>2014</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rPr>
            </w:pPr>
            <w:r>
              <w:rPr>
                <w:b/>
                <w:bCs/>
                <w:noProof/>
                <w:color w:val="000000"/>
                <w:szCs w:val="24"/>
              </w:rPr>
              <w:t>2015</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rPr>
            </w:pPr>
            <w:r>
              <w:rPr>
                <w:b/>
                <w:bCs/>
                <w:noProof/>
                <w:color w:val="000000"/>
                <w:szCs w:val="24"/>
              </w:rPr>
              <w:t>2016</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rPr>
            </w:pPr>
            <w:r>
              <w:rPr>
                <w:b/>
                <w:bCs/>
                <w:noProof/>
                <w:color w:val="000000"/>
                <w:szCs w:val="24"/>
              </w:rPr>
              <w:t>2017</w:t>
            </w:r>
          </w:p>
        </w:tc>
        <w:tc>
          <w:tcPr>
            <w:tcW w:w="960"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jc w:val="center"/>
              <w:rPr>
                <w:b/>
                <w:bCs/>
                <w:noProof/>
                <w:color w:val="000000"/>
                <w:szCs w:val="24"/>
              </w:rPr>
            </w:pPr>
            <w:r>
              <w:rPr>
                <w:b/>
                <w:bCs/>
                <w:noProof/>
                <w:color w:val="000000"/>
                <w:szCs w:val="24"/>
              </w:rPr>
              <w:t>2018</w:t>
            </w:r>
          </w:p>
        </w:tc>
      </w:tr>
      <w:tr>
        <w:trPr>
          <w:trHeight w:val="33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rPr>
            </w:pPr>
            <w:r>
              <w:rPr>
                <w:noProof/>
                <w:color w:val="000000"/>
                <w:szCs w:val="24"/>
              </w:rPr>
              <w:t>Kommission</w:t>
            </w:r>
          </w:p>
        </w:tc>
        <w:tc>
          <w:tcPr>
            <w:tcW w:w="543"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6440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6652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7131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7165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color w:val="000000"/>
                <w:szCs w:val="24"/>
              </w:rPr>
            </w:pPr>
            <w:r>
              <w:rPr>
                <w:noProof/>
                <w:color w:val="000000"/>
                <w:szCs w:val="24"/>
              </w:rPr>
              <w:t>7238</w:t>
            </w:r>
          </w:p>
        </w:tc>
      </w:tr>
      <w:tr>
        <w:trPr>
          <w:trHeight w:val="33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rPr>
            </w:pPr>
            <w:r>
              <w:rPr>
                <w:noProof/>
                <w:color w:val="000000"/>
                <w:szCs w:val="24"/>
              </w:rPr>
              <w:t>Übrige Organe</w:t>
            </w:r>
          </w:p>
        </w:tc>
        <w:tc>
          <w:tcPr>
            <w:tcW w:w="543"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2042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2086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2254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2425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color w:val="000000"/>
                <w:szCs w:val="24"/>
              </w:rPr>
            </w:pPr>
            <w:r>
              <w:rPr>
                <w:noProof/>
                <w:color w:val="000000"/>
                <w:szCs w:val="24"/>
              </w:rPr>
              <w:t>2608</w:t>
            </w:r>
          </w:p>
        </w:tc>
      </w:tr>
      <w:tr>
        <w:trPr>
          <w:trHeight w:val="330"/>
        </w:trPr>
        <w:tc>
          <w:tcPr>
            <w:tcW w:w="2117" w:type="dxa"/>
            <w:tcBorders>
              <w:top w:val="nil"/>
              <w:left w:val="single" w:sz="8" w:space="0" w:color="auto"/>
              <w:bottom w:val="nil"/>
              <w:right w:val="single" w:sz="4" w:space="0" w:color="auto"/>
            </w:tcBorders>
            <w:shd w:val="clear" w:color="auto" w:fill="auto"/>
            <w:noWrap/>
            <w:vAlign w:val="bottom"/>
            <w:hideMark/>
          </w:tcPr>
          <w:p>
            <w:pPr>
              <w:spacing w:after="0"/>
              <w:rPr>
                <w:noProof/>
                <w:color w:val="000000"/>
                <w:szCs w:val="24"/>
              </w:rPr>
            </w:pPr>
            <w:r>
              <w:rPr>
                <w:noProof/>
                <w:color w:val="000000"/>
                <w:szCs w:val="24"/>
              </w:rPr>
              <w:t xml:space="preserve">Agenturen </w:t>
            </w:r>
          </w:p>
        </w:tc>
        <w:tc>
          <w:tcPr>
            <w:tcW w:w="543"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2582</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2945</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3490</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3749</w:t>
            </w:r>
          </w:p>
        </w:tc>
        <w:tc>
          <w:tcPr>
            <w:tcW w:w="960" w:type="dxa"/>
            <w:tcBorders>
              <w:top w:val="nil"/>
              <w:left w:val="nil"/>
              <w:bottom w:val="nil"/>
              <w:right w:val="single" w:sz="8" w:space="0" w:color="auto"/>
            </w:tcBorders>
            <w:shd w:val="clear" w:color="auto" w:fill="auto"/>
            <w:noWrap/>
            <w:vAlign w:val="bottom"/>
            <w:hideMark/>
          </w:tcPr>
          <w:p>
            <w:pPr>
              <w:spacing w:after="0"/>
              <w:jc w:val="center"/>
              <w:rPr>
                <w:noProof/>
                <w:color w:val="000000"/>
                <w:szCs w:val="24"/>
              </w:rPr>
            </w:pPr>
            <w:r>
              <w:rPr>
                <w:noProof/>
                <w:color w:val="000000"/>
                <w:szCs w:val="24"/>
              </w:rPr>
              <w:t>3995</w:t>
            </w:r>
          </w:p>
        </w:tc>
      </w:tr>
      <w:tr>
        <w:trPr>
          <w:trHeight w:val="340"/>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rPr>
                <w:b/>
                <w:bCs/>
                <w:noProof/>
                <w:color w:val="000000"/>
                <w:szCs w:val="24"/>
              </w:rPr>
            </w:pPr>
            <w:r>
              <w:rPr>
                <w:b/>
                <w:bCs/>
                <w:noProof/>
                <w:color w:val="000000"/>
                <w:szCs w:val="24"/>
              </w:rPr>
              <w:t>Alle</w:t>
            </w:r>
          </w:p>
        </w:tc>
        <w:tc>
          <w:tcPr>
            <w:tcW w:w="543"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11064</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11683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12875</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13339</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color w:val="000000"/>
                <w:szCs w:val="24"/>
              </w:rPr>
            </w:pPr>
            <w:r>
              <w:rPr>
                <w:b/>
                <w:bCs/>
                <w:noProof/>
                <w:color w:val="000000"/>
                <w:szCs w:val="24"/>
              </w:rPr>
              <w:t>13841</w:t>
            </w:r>
          </w:p>
        </w:tc>
      </w:tr>
    </w:tbl>
    <w:p>
      <w:pPr>
        <w:rPr>
          <w:noProof/>
          <w:szCs w:val="24"/>
          <w:lang w:val="en-IE"/>
        </w:rPr>
      </w:pPr>
    </w:p>
    <w:p>
      <w:pPr>
        <w:keepNext/>
        <w:keepLines/>
        <w:rPr>
          <w:b/>
          <w:noProof/>
          <w:szCs w:val="24"/>
        </w:rPr>
      </w:pPr>
      <w:r>
        <w:rPr>
          <w:b/>
          <w:noProof/>
          <w:szCs w:val="24"/>
        </w:rPr>
        <w:t>Anhang 7: Jährlicher Anstieg der Anzahl von Vertragsbediensteten 2014-2018</w:t>
      </w:r>
    </w:p>
    <w:tbl>
      <w:tblPr>
        <w:tblW w:w="7720" w:type="dxa"/>
        <w:tblInd w:w="118" w:type="dxa"/>
        <w:tblLook w:val="04A0" w:firstRow="1" w:lastRow="0" w:firstColumn="1" w:lastColumn="0" w:noHBand="0" w:noVBand="1"/>
      </w:tblPr>
      <w:tblGrid>
        <w:gridCol w:w="1975"/>
        <w:gridCol w:w="696"/>
        <w:gridCol w:w="960"/>
        <w:gridCol w:w="960"/>
        <w:gridCol w:w="960"/>
        <w:gridCol w:w="960"/>
        <w:gridCol w:w="1220"/>
      </w:tblGrid>
      <w:tr>
        <w:trPr>
          <w:trHeight w:val="330"/>
        </w:trPr>
        <w:tc>
          <w:tcPr>
            <w:tcW w:w="19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keepNext/>
              <w:keepLines/>
              <w:spacing w:after="0"/>
              <w:rPr>
                <w:noProof/>
                <w:color w:val="000000"/>
                <w:szCs w:val="24"/>
              </w:rPr>
            </w:pPr>
            <w:r>
              <w:rPr>
                <w:noProof/>
                <w:color w:val="000000"/>
                <w:szCs w:val="24"/>
              </w:rPr>
              <w:t xml:space="preserve"> </w:t>
            </w:r>
          </w:p>
        </w:tc>
        <w:tc>
          <w:tcPr>
            <w:tcW w:w="685"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rPr>
            </w:pPr>
            <w:r>
              <w:rPr>
                <w:b/>
                <w:bCs/>
                <w:noProof/>
                <w:color w:val="000000"/>
                <w:szCs w:val="24"/>
              </w:rPr>
              <w:t>2014</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rPr>
            </w:pPr>
            <w:r>
              <w:rPr>
                <w:b/>
                <w:bCs/>
                <w:noProof/>
                <w:color w:val="000000"/>
                <w:szCs w:val="24"/>
              </w:rPr>
              <w:t>2015</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rPr>
            </w:pPr>
            <w:r>
              <w:rPr>
                <w:b/>
                <w:bCs/>
                <w:noProof/>
                <w:color w:val="000000"/>
                <w:szCs w:val="24"/>
              </w:rPr>
              <w:t>2016</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rPr>
            </w:pPr>
            <w:r>
              <w:rPr>
                <w:b/>
                <w:bCs/>
                <w:noProof/>
                <w:color w:val="000000"/>
                <w:szCs w:val="24"/>
              </w:rPr>
              <w:t>2017</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rPr>
            </w:pPr>
            <w:r>
              <w:rPr>
                <w:b/>
                <w:bCs/>
                <w:noProof/>
                <w:color w:val="000000"/>
                <w:szCs w:val="24"/>
              </w:rPr>
              <w:t>2018</w:t>
            </w:r>
          </w:p>
        </w:tc>
        <w:tc>
          <w:tcPr>
            <w:tcW w:w="1220" w:type="dxa"/>
            <w:tcBorders>
              <w:top w:val="single" w:sz="8" w:space="0" w:color="auto"/>
              <w:left w:val="nil"/>
              <w:bottom w:val="single" w:sz="8" w:space="0" w:color="auto"/>
              <w:right w:val="single" w:sz="8" w:space="0" w:color="auto"/>
            </w:tcBorders>
            <w:shd w:val="clear" w:color="000000" w:fill="D9D9D9"/>
            <w:noWrap/>
            <w:vAlign w:val="bottom"/>
            <w:hideMark/>
          </w:tcPr>
          <w:p>
            <w:pPr>
              <w:keepNext/>
              <w:keepLines/>
              <w:spacing w:after="0"/>
              <w:jc w:val="center"/>
              <w:rPr>
                <w:b/>
                <w:bCs/>
                <w:i/>
                <w:iCs/>
                <w:noProof/>
                <w:color w:val="000000"/>
                <w:szCs w:val="24"/>
              </w:rPr>
            </w:pPr>
            <w:r>
              <w:rPr>
                <w:b/>
                <w:bCs/>
                <w:i/>
                <w:iCs/>
                <w:noProof/>
                <w:color w:val="000000"/>
                <w:szCs w:val="24"/>
              </w:rPr>
              <w:t>2014-2018</w:t>
            </w:r>
          </w:p>
        </w:tc>
      </w:tr>
      <w:tr>
        <w:trPr>
          <w:trHeight w:val="33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rPr>
            </w:pPr>
            <w:r>
              <w:rPr>
                <w:noProof/>
                <w:color w:val="000000"/>
                <w:szCs w:val="24"/>
              </w:rPr>
              <w:t>Kommission</w:t>
            </w:r>
          </w:p>
        </w:tc>
        <w:tc>
          <w:tcPr>
            <w:tcW w:w="685"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7,2 %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0,5 %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1,0 %</w:t>
            </w:r>
          </w:p>
        </w:tc>
        <w:tc>
          <w:tcPr>
            <w:tcW w:w="1220" w:type="dxa"/>
            <w:tcBorders>
              <w:top w:val="nil"/>
              <w:left w:val="nil"/>
              <w:bottom w:val="single" w:sz="4" w:space="0" w:color="auto"/>
              <w:right w:val="single" w:sz="8" w:space="0" w:color="auto"/>
            </w:tcBorders>
            <w:shd w:val="clear" w:color="auto" w:fill="auto"/>
            <w:noWrap/>
            <w:vAlign w:val="bottom"/>
            <w:hideMark/>
          </w:tcPr>
          <w:p>
            <w:pPr>
              <w:spacing w:after="0"/>
              <w:jc w:val="center"/>
              <w:rPr>
                <w:i/>
                <w:iCs/>
                <w:noProof/>
                <w:color w:val="000000"/>
                <w:szCs w:val="24"/>
              </w:rPr>
            </w:pPr>
            <w:r>
              <w:rPr>
                <w:i/>
                <w:iCs/>
                <w:noProof/>
                <w:color w:val="000000"/>
                <w:szCs w:val="24"/>
              </w:rPr>
              <w:t>12,4 %</w:t>
            </w:r>
          </w:p>
        </w:tc>
      </w:tr>
      <w:tr>
        <w:trPr>
          <w:trHeight w:val="33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rPr>
            </w:pPr>
            <w:r>
              <w:rPr>
                <w:noProof/>
                <w:color w:val="000000"/>
                <w:szCs w:val="24"/>
              </w:rPr>
              <w:t>Übrige Organe</w:t>
            </w:r>
          </w:p>
        </w:tc>
        <w:tc>
          <w:tcPr>
            <w:tcW w:w="685"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2,2 %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8,1 %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7,6 %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7,5 %</w:t>
            </w:r>
          </w:p>
        </w:tc>
        <w:tc>
          <w:tcPr>
            <w:tcW w:w="1220" w:type="dxa"/>
            <w:tcBorders>
              <w:top w:val="nil"/>
              <w:left w:val="nil"/>
              <w:bottom w:val="single" w:sz="4" w:space="0" w:color="auto"/>
              <w:right w:val="single" w:sz="8" w:space="0" w:color="auto"/>
            </w:tcBorders>
            <w:shd w:val="clear" w:color="auto" w:fill="auto"/>
            <w:noWrap/>
            <w:vAlign w:val="bottom"/>
            <w:hideMark/>
          </w:tcPr>
          <w:p>
            <w:pPr>
              <w:spacing w:after="0"/>
              <w:jc w:val="center"/>
              <w:rPr>
                <w:i/>
                <w:iCs/>
                <w:noProof/>
                <w:color w:val="000000"/>
                <w:szCs w:val="24"/>
              </w:rPr>
            </w:pPr>
            <w:r>
              <w:rPr>
                <w:i/>
                <w:iCs/>
                <w:noProof/>
                <w:color w:val="000000"/>
                <w:szCs w:val="24"/>
              </w:rPr>
              <w:t>27,7 %</w:t>
            </w:r>
          </w:p>
        </w:tc>
      </w:tr>
      <w:tr>
        <w:trPr>
          <w:trHeight w:val="330"/>
        </w:trPr>
        <w:tc>
          <w:tcPr>
            <w:tcW w:w="1975" w:type="dxa"/>
            <w:tcBorders>
              <w:top w:val="nil"/>
              <w:left w:val="single" w:sz="8" w:space="0" w:color="auto"/>
              <w:bottom w:val="nil"/>
              <w:right w:val="single" w:sz="4" w:space="0" w:color="auto"/>
            </w:tcBorders>
            <w:shd w:val="clear" w:color="auto" w:fill="auto"/>
            <w:noWrap/>
            <w:vAlign w:val="bottom"/>
            <w:hideMark/>
          </w:tcPr>
          <w:p>
            <w:pPr>
              <w:spacing w:after="0"/>
              <w:rPr>
                <w:noProof/>
                <w:color w:val="000000"/>
                <w:szCs w:val="24"/>
              </w:rPr>
            </w:pPr>
            <w:r>
              <w:rPr>
                <w:noProof/>
                <w:color w:val="000000"/>
                <w:szCs w:val="24"/>
              </w:rPr>
              <w:t xml:space="preserve">Agenturen </w:t>
            </w:r>
          </w:p>
        </w:tc>
        <w:tc>
          <w:tcPr>
            <w:tcW w:w="685"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14,1 %</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18,5 %</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7,4 %</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6,6 %</w:t>
            </w:r>
          </w:p>
        </w:tc>
        <w:tc>
          <w:tcPr>
            <w:tcW w:w="1220" w:type="dxa"/>
            <w:tcBorders>
              <w:top w:val="nil"/>
              <w:left w:val="nil"/>
              <w:bottom w:val="nil"/>
              <w:right w:val="single" w:sz="8" w:space="0" w:color="auto"/>
            </w:tcBorders>
            <w:shd w:val="clear" w:color="auto" w:fill="auto"/>
            <w:noWrap/>
            <w:vAlign w:val="bottom"/>
            <w:hideMark/>
          </w:tcPr>
          <w:p>
            <w:pPr>
              <w:spacing w:after="0"/>
              <w:jc w:val="center"/>
              <w:rPr>
                <w:i/>
                <w:iCs/>
                <w:noProof/>
                <w:color w:val="000000"/>
                <w:szCs w:val="24"/>
              </w:rPr>
            </w:pPr>
            <w:r>
              <w:rPr>
                <w:i/>
                <w:iCs/>
                <w:noProof/>
                <w:color w:val="000000"/>
                <w:szCs w:val="24"/>
              </w:rPr>
              <w:t>54,7 %</w:t>
            </w:r>
          </w:p>
        </w:tc>
      </w:tr>
      <w:tr>
        <w:trPr>
          <w:trHeight w:val="340"/>
        </w:trPr>
        <w:tc>
          <w:tcPr>
            <w:tcW w:w="19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rPr>
                <w:b/>
                <w:bCs/>
                <w:noProof/>
                <w:color w:val="000000"/>
                <w:szCs w:val="24"/>
              </w:rPr>
            </w:pPr>
            <w:r>
              <w:rPr>
                <w:b/>
                <w:bCs/>
                <w:noProof/>
                <w:color w:val="000000"/>
                <w:szCs w:val="24"/>
              </w:rPr>
              <w:t>Alle</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5,6 %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10,2 %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3,6 %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rPr>
            </w:pPr>
            <w:r>
              <w:rPr>
                <w:b/>
                <w:bCs/>
                <w:noProof/>
                <w:color w:val="000000"/>
                <w:szCs w:val="24"/>
              </w:rPr>
              <w:t>3,8 %</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i/>
                <w:iCs/>
                <w:noProof/>
                <w:color w:val="000000"/>
                <w:szCs w:val="24"/>
              </w:rPr>
            </w:pPr>
            <w:r>
              <w:rPr>
                <w:b/>
                <w:bCs/>
                <w:i/>
                <w:iCs/>
                <w:noProof/>
                <w:color w:val="000000"/>
                <w:szCs w:val="24"/>
              </w:rPr>
              <w:t>25,1 %</w:t>
            </w:r>
          </w:p>
        </w:tc>
      </w:tr>
    </w:tbl>
    <w:p>
      <w:pPr>
        <w:rPr>
          <w:b/>
          <w:noProof/>
          <w:szCs w:val="24"/>
          <w:lang w:val="en-IE"/>
        </w:rPr>
      </w:pPr>
    </w:p>
    <w:p>
      <w:pPr>
        <w:rPr>
          <w:b/>
          <w:noProof/>
          <w:szCs w:val="24"/>
        </w:rPr>
      </w:pPr>
      <w:r>
        <w:rPr>
          <w:b/>
          <w:noProof/>
          <w:szCs w:val="24"/>
        </w:rPr>
        <w:t>Anhang 8: Verteilung nach Nationalität in den Jahren 2014 und 2018, FG IV</w:t>
      </w:r>
    </w:p>
    <w:tbl>
      <w:tblPr>
        <w:tblW w:w="6722" w:type="dxa"/>
        <w:tblInd w:w="118" w:type="dxa"/>
        <w:tblLook w:val="04A0" w:firstRow="1" w:lastRow="0" w:firstColumn="1" w:lastColumn="0" w:noHBand="0" w:noVBand="1"/>
      </w:tblPr>
      <w:tblGrid>
        <w:gridCol w:w="1310"/>
        <w:gridCol w:w="1405"/>
        <w:gridCol w:w="1093"/>
        <w:gridCol w:w="960"/>
        <w:gridCol w:w="1310"/>
        <w:gridCol w:w="1405"/>
        <w:gridCol w:w="1093"/>
      </w:tblGrid>
      <w:tr>
        <w:trPr>
          <w:trHeight w:val="300"/>
        </w:trPr>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2018</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IV</w:t>
            </w:r>
          </w:p>
        </w:tc>
        <w:tc>
          <w:tcPr>
            <w:tcW w:w="944"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IV</w:t>
            </w:r>
          </w:p>
        </w:tc>
        <w:tc>
          <w:tcPr>
            <w:tcW w:w="944"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377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19,70 %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680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23,20 %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326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17,10 %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405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13,80 %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10,60 %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346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11,80 %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6,40 %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3,70 %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5,50 %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3,50 %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RP</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3,40 %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3,20 %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1,80 %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Sonstige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Sonstige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944"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w:t>
            </w:r>
          </w:p>
        </w:tc>
        <w:tc>
          <w:tcPr>
            <w:tcW w:w="1093"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1909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944"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2937</w:t>
            </w:r>
          </w:p>
        </w:tc>
        <w:tc>
          <w:tcPr>
            <w:tcW w:w="1093"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100,00 %</w:t>
            </w:r>
          </w:p>
        </w:tc>
      </w:tr>
    </w:tbl>
    <w:p>
      <w:pPr>
        <w:rPr>
          <w:b/>
          <w:noProof/>
          <w:szCs w:val="24"/>
          <w:lang w:val="en-IE"/>
        </w:rPr>
      </w:pPr>
    </w:p>
    <w:p>
      <w:pPr>
        <w:rPr>
          <w:b/>
          <w:noProof/>
          <w:szCs w:val="24"/>
        </w:rPr>
      </w:pPr>
      <w:r>
        <w:rPr>
          <w:b/>
          <w:noProof/>
          <w:szCs w:val="24"/>
        </w:rPr>
        <w:t>Anhang 9: Verteilung nach Nationalität in den Jahren 2014 und 2018, FG III</w:t>
      </w:r>
    </w:p>
    <w:tbl>
      <w:tblPr>
        <w:tblW w:w="8576" w:type="dxa"/>
        <w:tblInd w:w="118" w:type="dxa"/>
        <w:tblLook w:val="04A0" w:firstRow="1" w:lastRow="0" w:firstColumn="1" w:lastColumn="0" w:noHBand="0" w:noVBand="1"/>
      </w:tblPr>
      <w:tblGrid>
        <w:gridCol w:w="1310"/>
        <w:gridCol w:w="1405"/>
        <w:gridCol w:w="1093"/>
        <w:gridCol w:w="960"/>
        <w:gridCol w:w="1310"/>
        <w:gridCol w:w="1405"/>
        <w:gridCol w:w="1093"/>
      </w:tblGrid>
      <w:tr>
        <w:trPr>
          <w:trHeight w:val="300"/>
        </w:trPr>
        <w:tc>
          <w:tcPr>
            <w:tcW w:w="380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noProof/>
              </w:rPr>
              <w:t xml:space="preserve"> </w:t>
            </w:r>
            <w:r>
              <w:rPr>
                <w:rFonts w:ascii="Calibri" w:hAnsi="Calibri"/>
                <w:noProof/>
                <w:color w:val="000000"/>
                <w:sz w:val="22"/>
                <w:szCs w:val="22"/>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380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2018</w:t>
            </w:r>
          </w:p>
        </w:tc>
      </w:tr>
      <w:tr>
        <w:trPr>
          <w:trHeight w:val="300"/>
        </w:trPr>
        <w:tc>
          <w:tcPr>
            <w:tcW w:w="131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405"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405"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00"/>
        </w:trPr>
        <w:tc>
          <w:tcPr>
            <w:tcW w:w="131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III</w:t>
            </w:r>
          </w:p>
        </w:tc>
        <w:tc>
          <w:tcPr>
            <w:tcW w:w="1405"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III</w:t>
            </w:r>
          </w:p>
        </w:tc>
        <w:tc>
          <w:tcPr>
            <w:tcW w:w="1405"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19,58 %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262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18,80 %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13,43 %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11,90 %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11,27 %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11,40 %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9,97 %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9,80 %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RO</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8,75 %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8,50 %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6,85 %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RO</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6,30 %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4,16 %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4,60 %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4,50 %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3,20 %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2,69 %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1,82 %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1,80 %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1,65 %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1,80 %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1,13 %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0,87 %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0,78 %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0,43 %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0,43 %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0,35 %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Sonstige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Sonstige</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1154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310"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1405"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1391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100,00 %</w:t>
            </w:r>
          </w:p>
        </w:tc>
      </w:tr>
    </w:tbl>
    <w:p>
      <w:pPr>
        <w:rPr>
          <w:b/>
          <w:noProof/>
          <w:szCs w:val="24"/>
        </w:rPr>
      </w:pPr>
      <w:r>
        <w:rPr>
          <w:b/>
          <w:noProof/>
          <w:szCs w:val="24"/>
        </w:rPr>
        <w:t>Anhang 10: Verteilung nach Nationalität in den Jahren 2014 und 2018, FG II</w:t>
      </w:r>
    </w:p>
    <w:tbl>
      <w:tblPr>
        <w:tblW w:w="6721" w:type="dxa"/>
        <w:tblInd w:w="118" w:type="dxa"/>
        <w:tblLook w:val="04A0" w:firstRow="1" w:lastRow="0" w:firstColumn="1" w:lastColumn="0" w:noHBand="0" w:noVBand="1"/>
      </w:tblPr>
      <w:tblGrid>
        <w:gridCol w:w="1310"/>
        <w:gridCol w:w="1405"/>
        <w:gridCol w:w="1093"/>
        <w:gridCol w:w="960"/>
        <w:gridCol w:w="1310"/>
        <w:gridCol w:w="1405"/>
        <w:gridCol w:w="988"/>
      </w:tblGrid>
      <w:tr>
        <w:trPr>
          <w:trHeight w:val="300"/>
        </w:trPr>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2018</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99"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88"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II</w:t>
            </w:r>
          </w:p>
        </w:tc>
        <w:tc>
          <w:tcPr>
            <w:tcW w:w="944"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nil"/>
              <w:bottom w:val="nil"/>
              <w:right w:val="nil"/>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II</w:t>
            </w:r>
          </w:p>
        </w:tc>
        <w:tc>
          <w:tcPr>
            <w:tcW w:w="999"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988"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r>
      <w:tr>
        <w:trPr>
          <w:trHeight w:val="300"/>
        </w:trPr>
        <w:tc>
          <w:tcPr>
            <w:tcW w:w="8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677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26,73 %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579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27,40 %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15,36 %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308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275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10,86 %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8,76 %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192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8,41 %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RO</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136</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5,21 %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4,80 %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4,26 %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96</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4,50 %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3,04 %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2,05 %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1,22 %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0,87 %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0,83 %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0,80 %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0,55 %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0,51 %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0,70 %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0,43 %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Sonstige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844"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Sonstige</w:t>
            </w:r>
          </w:p>
        </w:tc>
        <w:tc>
          <w:tcPr>
            <w:tcW w:w="999"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988"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300"/>
        </w:trPr>
        <w:tc>
          <w:tcPr>
            <w:tcW w:w="844" w:type="dxa"/>
            <w:tcBorders>
              <w:top w:val="single" w:sz="8" w:space="0" w:color="auto"/>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2533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single" w:sz="8" w:space="0" w:color="auto"/>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999"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2112</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100 %</w:t>
            </w:r>
          </w:p>
        </w:tc>
      </w:tr>
    </w:tbl>
    <w:p>
      <w:pPr>
        <w:rPr>
          <w:noProof/>
          <w:szCs w:val="24"/>
          <w:lang w:val="en-IE"/>
        </w:rPr>
      </w:pPr>
    </w:p>
    <w:p>
      <w:pPr>
        <w:spacing w:after="0"/>
        <w:jc w:val="left"/>
        <w:rPr>
          <w:noProof/>
          <w:szCs w:val="24"/>
        </w:rPr>
      </w:pPr>
      <w:r>
        <w:rPr>
          <w:noProof/>
        </w:rPr>
        <w:br w:type="page"/>
      </w:r>
    </w:p>
    <w:p>
      <w:pPr>
        <w:rPr>
          <w:b/>
          <w:noProof/>
          <w:szCs w:val="24"/>
        </w:rPr>
      </w:pPr>
      <w:r>
        <w:rPr>
          <w:b/>
          <w:noProof/>
          <w:szCs w:val="24"/>
        </w:rPr>
        <w:t>Anhang 11: Verteilung nach Nationalität in den Jahren 2014 und 2018, FG I</w:t>
      </w:r>
    </w:p>
    <w:tbl>
      <w:tblPr>
        <w:tblW w:w="6721" w:type="dxa"/>
        <w:tblInd w:w="118" w:type="dxa"/>
        <w:tblLook w:val="04A0" w:firstRow="1" w:lastRow="0" w:firstColumn="1" w:lastColumn="0" w:noHBand="0" w:noVBand="1"/>
      </w:tblPr>
      <w:tblGrid>
        <w:gridCol w:w="1310"/>
        <w:gridCol w:w="1405"/>
        <w:gridCol w:w="1093"/>
        <w:gridCol w:w="960"/>
        <w:gridCol w:w="1310"/>
        <w:gridCol w:w="1405"/>
        <w:gridCol w:w="988"/>
      </w:tblGrid>
      <w:tr>
        <w:trPr>
          <w:trHeight w:val="300"/>
        </w:trPr>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2018</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99"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88"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2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w:t>
            </w:r>
          </w:p>
        </w:tc>
        <w:tc>
          <w:tcPr>
            <w:tcW w:w="9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FG I</w:t>
            </w:r>
          </w:p>
        </w:tc>
        <w:tc>
          <w:tcPr>
            <w:tcW w:w="999"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INSGESAMT</w:t>
            </w:r>
          </w:p>
        </w:tc>
        <w:tc>
          <w:tcPr>
            <w:tcW w:w="988"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rPr>
            </w:pPr>
            <w:r>
              <w:rPr>
                <w:rFonts w:ascii="Arial" w:hAnsi="Arial"/>
                <w:b/>
                <w:bCs/>
                <w:noProof/>
                <w:color w:val="FFFFFF"/>
                <w:sz w:val="20"/>
              </w:rPr>
              <w:t>%</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36,85 %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37,20 %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25,70 %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9,24 %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8,50 %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8,77 %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4,86 %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4,50 %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2,96 %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PL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3,00 %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RO</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1,18 %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UK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0,90 %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0,59 %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0,60 %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0,50 %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0,47 %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NL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0,40 %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BG</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CZ</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DK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EE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LV</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0,24 %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0,30 %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CY</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MT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0,10 %</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0,12 %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300"/>
        </w:trPr>
        <w:tc>
          <w:tcPr>
            <w:tcW w:w="844"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SE</w:t>
            </w:r>
          </w:p>
        </w:tc>
        <w:tc>
          <w:tcPr>
            <w:tcW w:w="999"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w:t>
            </w:r>
          </w:p>
        </w:tc>
        <w:tc>
          <w:tcPr>
            <w:tcW w:w="988"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300"/>
        </w:trPr>
        <w:tc>
          <w:tcPr>
            <w:tcW w:w="844" w:type="dxa"/>
            <w:tcBorders>
              <w:top w:val="single" w:sz="8" w:space="0" w:color="auto"/>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Sonstige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999"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798</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100 %</w:t>
            </w:r>
          </w:p>
        </w:tc>
      </w:tr>
      <w:tr>
        <w:trPr>
          <w:trHeight w:val="300"/>
        </w:trPr>
        <w:tc>
          <w:tcPr>
            <w:tcW w:w="8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INSGESAMT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844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rPr>
            </w:pPr>
            <w:r>
              <w:rPr>
                <w:rFonts w:ascii="Calibri" w:hAnsi="Calibri"/>
                <w:b/>
                <w:bCs/>
                <w:noProof/>
                <w:color w:val="000000"/>
                <w:sz w:val="22"/>
                <w:szCs w:val="22"/>
              </w:rPr>
              <w:t>100,00 %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99"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988"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rPr>
          <w:noProof/>
          <w:szCs w:val="24"/>
          <w:lang w:val="en-IE"/>
        </w:rPr>
      </w:pPr>
    </w:p>
    <w:p>
      <w:pPr>
        <w:rPr>
          <w:noProof/>
          <w:lang w:val="en-IE"/>
        </w:rPr>
      </w:pPr>
    </w:p>
    <w:p>
      <w:pPr>
        <w:rPr>
          <w:noProof/>
          <w:lang w:val="en-IE"/>
        </w:rPr>
        <w:sectPr>
          <w:headerReference w:type="even" r:id="rId32"/>
          <w:headerReference w:type="default" r:id="rId33"/>
          <w:footerReference w:type="even" r:id="rId34"/>
          <w:footerReference w:type="default" r:id="rId35"/>
          <w:headerReference w:type="first" r:id="rId36"/>
          <w:footerReference w:type="first" r:id="rId37"/>
          <w:pgSz w:w="11906" w:h="16838"/>
          <w:pgMar w:top="1020" w:right="1701" w:bottom="1020" w:left="1587" w:header="601" w:footer="1077" w:gutter="0"/>
          <w:cols w:space="720"/>
          <w:titlePg/>
          <w:docGrid w:linePitch="326"/>
        </w:sectPr>
      </w:pPr>
    </w:p>
    <w:p>
      <w:pPr>
        <w:rPr>
          <w:b/>
          <w:noProof/>
          <w:szCs w:val="24"/>
        </w:rPr>
      </w:pPr>
      <w:r>
        <w:rPr>
          <w:b/>
          <w:noProof/>
          <w:szCs w:val="24"/>
        </w:rPr>
        <w:t>Anhang 12: Funktions- und Besoldungsgruppen der Vertragsbediensteten</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804"/>
        <w:gridCol w:w="1924"/>
        <w:gridCol w:w="5080"/>
      </w:tblGrid>
      <w:tr>
        <w:tc>
          <w:tcPr>
            <w:tcW w:w="1291" w:type="dxa"/>
            <w:vAlign w:val="center"/>
            <w:hideMark/>
          </w:tcPr>
          <w:p>
            <w:pPr>
              <w:spacing w:before="100" w:after="100"/>
              <w:jc w:val="center"/>
              <w:rPr>
                <w:noProof/>
                <w:color w:val="000000"/>
                <w:szCs w:val="24"/>
              </w:rPr>
            </w:pPr>
            <w:r>
              <w:rPr>
                <w:b/>
                <w:noProof/>
                <w:color w:val="000000"/>
                <w:szCs w:val="24"/>
              </w:rPr>
              <w:t>Funktionsgruppe</w:t>
            </w:r>
          </w:p>
        </w:tc>
        <w:tc>
          <w:tcPr>
            <w:tcW w:w="1058" w:type="dxa"/>
            <w:vAlign w:val="center"/>
            <w:hideMark/>
          </w:tcPr>
          <w:p>
            <w:pPr>
              <w:spacing w:before="100" w:after="100"/>
              <w:jc w:val="center"/>
              <w:rPr>
                <w:noProof/>
                <w:color w:val="000000"/>
                <w:szCs w:val="24"/>
              </w:rPr>
            </w:pPr>
            <w:r>
              <w:rPr>
                <w:b/>
                <w:noProof/>
                <w:color w:val="000000"/>
                <w:szCs w:val="24"/>
              </w:rPr>
              <w:t>Besoldungsgruppe</w:t>
            </w:r>
          </w:p>
        </w:tc>
        <w:tc>
          <w:tcPr>
            <w:tcW w:w="0" w:type="auto"/>
            <w:vAlign w:val="center"/>
            <w:hideMark/>
          </w:tcPr>
          <w:p>
            <w:pPr>
              <w:spacing w:before="100" w:after="100"/>
              <w:jc w:val="center"/>
              <w:rPr>
                <w:noProof/>
                <w:color w:val="000000"/>
                <w:szCs w:val="24"/>
              </w:rPr>
            </w:pPr>
            <w:r>
              <w:rPr>
                <w:b/>
                <w:noProof/>
                <w:color w:val="000000"/>
                <w:szCs w:val="24"/>
              </w:rPr>
              <w:t>Aufgaben</w:t>
            </w:r>
          </w:p>
        </w:tc>
      </w:tr>
      <w:tr>
        <w:tc>
          <w:tcPr>
            <w:tcW w:w="1291" w:type="dxa"/>
            <w:vAlign w:val="center"/>
            <w:hideMark/>
          </w:tcPr>
          <w:p>
            <w:pPr>
              <w:spacing w:before="100" w:after="100"/>
              <w:ind w:left="180"/>
              <w:jc w:val="center"/>
              <w:rPr>
                <w:noProof/>
                <w:color w:val="000000"/>
                <w:szCs w:val="24"/>
              </w:rPr>
            </w:pPr>
            <w:r>
              <w:rPr>
                <w:b/>
                <w:noProof/>
                <w:color w:val="000000"/>
                <w:szCs w:val="24"/>
              </w:rPr>
              <w:t>IV</w:t>
            </w:r>
          </w:p>
        </w:tc>
        <w:tc>
          <w:tcPr>
            <w:tcW w:w="1058" w:type="dxa"/>
            <w:vAlign w:val="center"/>
            <w:hideMark/>
          </w:tcPr>
          <w:p>
            <w:pPr>
              <w:spacing w:before="100" w:after="100"/>
              <w:jc w:val="center"/>
              <w:rPr>
                <w:noProof/>
                <w:color w:val="000000"/>
                <w:szCs w:val="24"/>
              </w:rPr>
            </w:pPr>
            <w:r>
              <w:rPr>
                <w:noProof/>
                <w:color w:val="000000"/>
                <w:szCs w:val="24"/>
              </w:rPr>
              <w:t>13 bis 18</w:t>
            </w:r>
          </w:p>
        </w:tc>
        <w:tc>
          <w:tcPr>
            <w:tcW w:w="6650" w:type="dxa"/>
            <w:vAlign w:val="center"/>
            <w:hideMark/>
          </w:tcPr>
          <w:p>
            <w:pPr>
              <w:spacing w:before="100" w:after="100"/>
              <w:rPr>
                <w:noProof/>
                <w:color w:val="000000"/>
                <w:szCs w:val="24"/>
              </w:rPr>
            </w:pPr>
            <w:r>
              <w:rPr>
                <w:noProof/>
                <w:color w:val="000000"/>
                <w:szCs w:val="24"/>
              </w:rPr>
              <w:t>Verwaltungs- oder Beratungstätigkeiten, Tätigkeiten im sprachlichen Bereich und gleichwertige technische Aufgaben unter der Aufsicht von Beamten oder Bediensteten auf Zeit</w:t>
            </w:r>
          </w:p>
        </w:tc>
      </w:tr>
      <w:tr>
        <w:tc>
          <w:tcPr>
            <w:tcW w:w="1291" w:type="dxa"/>
            <w:vAlign w:val="center"/>
            <w:hideMark/>
          </w:tcPr>
          <w:p>
            <w:pPr>
              <w:spacing w:before="100" w:after="100"/>
              <w:ind w:left="180"/>
              <w:jc w:val="center"/>
              <w:rPr>
                <w:noProof/>
                <w:color w:val="000000"/>
                <w:szCs w:val="24"/>
              </w:rPr>
            </w:pPr>
            <w:r>
              <w:rPr>
                <w:b/>
                <w:noProof/>
                <w:color w:val="000000"/>
                <w:szCs w:val="24"/>
              </w:rPr>
              <w:t>III</w:t>
            </w:r>
          </w:p>
        </w:tc>
        <w:tc>
          <w:tcPr>
            <w:tcW w:w="1058" w:type="dxa"/>
            <w:vAlign w:val="center"/>
            <w:hideMark/>
          </w:tcPr>
          <w:p>
            <w:pPr>
              <w:spacing w:before="100" w:after="100"/>
              <w:jc w:val="center"/>
              <w:rPr>
                <w:noProof/>
                <w:color w:val="000000"/>
                <w:szCs w:val="24"/>
              </w:rPr>
            </w:pPr>
            <w:r>
              <w:rPr>
                <w:noProof/>
                <w:color w:val="000000"/>
                <w:szCs w:val="24"/>
              </w:rPr>
              <w:t>8 bis 12</w:t>
            </w:r>
          </w:p>
        </w:tc>
        <w:tc>
          <w:tcPr>
            <w:tcW w:w="6650" w:type="dxa"/>
            <w:vAlign w:val="center"/>
            <w:hideMark/>
          </w:tcPr>
          <w:p>
            <w:pPr>
              <w:spacing w:before="100" w:after="100"/>
              <w:rPr>
                <w:noProof/>
                <w:color w:val="000000"/>
                <w:szCs w:val="24"/>
              </w:rPr>
            </w:pPr>
            <w:r>
              <w:rPr>
                <w:noProof/>
                <w:color w:val="000000"/>
                <w:szCs w:val="24"/>
              </w:rPr>
              <w:t>Ausführende Tätigkeiten, Abfassung von Texten, Buchhaltung und sonstige gleichwertige technische Aufgaben unter der Aufsicht von Beamten oder Bediensteten auf Zeit</w:t>
            </w:r>
          </w:p>
        </w:tc>
      </w:tr>
      <w:tr>
        <w:tc>
          <w:tcPr>
            <w:tcW w:w="1291" w:type="dxa"/>
            <w:vAlign w:val="center"/>
            <w:hideMark/>
          </w:tcPr>
          <w:p>
            <w:pPr>
              <w:spacing w:before="100" w:after="100"/>
              <w:ind w:left="180"/>
              <w:jc w:val="center"/>
              <w:rPr>
                <w:noProof/>
                <w:color w:val="000000"/>
                <w:szCs w:val="24"/>
              </w:rPr>
            </w:pPr>
            <w:r>
              <w:rPr>
                <w:b/>
                <w:noProof/>
                <w:color w:val="000000"/>
                <w:szCs w:val="24"/>
              </w:rPr>
              <w:t>II</w:t>
            </w:r>
          </w:p>
        </w:tc>
        <w:tc>
          <w:tcPr>
            <w:tcW w:w="1058" w:type="dxa"/>
            <w:vAlign w:val="center"/>
            <w:hideMark/>
          </w:tcPr>
          <w:p>
            <w:pPr>
              <w:spacing w:before="100" w:after="100"/>
              <w:jc w:val="center"/>
              <w:rPr>
                <w:noProof/>
                <w:color w:val="000000"/>
                <w:szCs w:val="24"/>
              </w:rPr>
            </w:pPr>
            <w:r>
              <w:rPr>
                <w:noProof/>
                <w:color w:val="000000"/>
                <w:szCs w:val="24"/>
              </w:rPr>
              <w:t>4 bis 7</w:t>
            </w:r>
          </w:p>
        </w:tc>
        <w:tc>
          <w:tcPr>
            <w:tcW w:w="6650" w:type="dxa"/>
            <w:vAlign w:val="center"/>
            <w:hideMark/>
          </w:tcPr>
          <w:p>
            <w:pPr>
              <w:spacing w:before="100" w:after="100"/>
              <w:rPr>
                <w:noProof/>
                <w:color w:val="000000"/>
                <w:szCs w:val="24"/>
              </w:rPr>
            </w:pPr>
            <w:r>
              <w:rPr>
                <w:noProof/>
                <w:color w:val="000000"/>
                <w:szCs w:val="24"/>
              </w:rPr>
              <w:t>Sekretariats- und Bürotätigkeiten und sonstige gleichwertige Aufgaben unter der Aufsicht von Beamten oder Bediensteten auf Zeit</w:t>
            </w:r>
          </w:p>
        </w:tc>
      </w:tr>
      <w:tr>
        <w:tc>
          <w:tcPr>
            <w:tcW w:w="1291" w:type="dxa"/>
            <w:vAlign w:val="center"/>
            <w:hideMark/>
          </w:tcPr>
          <w:p>
            <w:pPr>
              <w:spacing w:before="100" w:after="100"/>
              <w:ind w:left="180"/>
              <w:jc w:val="center"/>
              <w:rPr>
                <w:noProof/>
                <w:color w:val="000000"/>
                <w:szCs w:val="24"/>
              </w:rPr>
            </w:pPr>
            <w:r>
              <w:rPr>
                <w:b/>
                <w:noProof/>
                <w:color w:val="000000"/>
                <w:szCs w:val="24"/>
              </w:rPr>
              <w:t>I</w:t>
            </w:r>
          </w:p>
        </w:tc>
        <w:tc>
          <w:tcPr>
            <w:tcW w:w="1058" w:type="dxa"/>
            <w:vAlign w:val="center"/>
            <w:hideMark/>
          </w:tcPr>
          <w:p>
            <w:pPr>
              <w:spacing w:before="100" w:after="100"/>
              <w:jc w:val="center"/>
              <w:rPr>
                <w:noProof/>
                <w:color w:val="000000"/>
                <w:szCs w:val="24"/>
              </w:rPr>
            </w:pPr>
            <w:r>
              <w:rPr>
                <w:noProof/>
                <w:color w:val="000000"/>
                <w:szCs w:val="24"/>
              </w:rPr>
              <w:t>1 bis 3</w:t>
            </w:r>
          </w:p>
        </w:tc>
        <w:tc>
          <w:tcPr>
            <w:tcW w:w="6650" w:type="dxa"/>
            <w:vAlign w:val="center"/>
            <w:hideMark/>
          </w:tcPr>
          <w:p>
            <w:pPr>
              <w:spacing w:before="100" w:after="100"/>
              <w:rPr>
                <w:noProof/>
                <w:color w:val="000000"/>
                <w:szCs w:val="24"/>
              </w:rPr>
            </w:pPr>
            <w:r>
              <w:rPr>
                <w:noProof/>
                <w:color w:val="000000"/>
                <w:szCs w:val="24"/>
              </w:rPr>
              <w:t>Manuelle Tätigkeiten und unterstützende verwaltungstechnische Tätigkeiten unter der Aufsicht von Beamten oder Bediensteten auf Zeit</w:t>
            </w:r>
          </w:p>
        </w:tc>
      </w:tr>
    </w:tbl>
    <w:p>
      <w:pPr>
        <w:rPr>
          <w:b/>
          <w:noProof/>
          <w:szCs w:val="24"/>
          <w:lang w:val="en-IE"/>
        </w:rPr>
      </w:pPr>
    </w:p>
    <w:p>
      <w:pPr>
        <w:spacing w:after="0"/>
        <w:rPr>
          <w:b/>
          <w:noProof/>
        </w:rPr>
      </w:pPr>
      <w:r>
        <w:rPr>
          <w:b/>
          <w:noProof/>
        </w:rPr>
        <w:t>Anhang 13: Für Vertragsbedienstete offene Besoldungsgruppen und Profile bei den Auswahlverfahren 2016 und 2018</w:t>
      </w:r>
    </w:p>
    <w:p>
      <w:pPr>
        <w:spacing w:after="0"/>
        <w:jc w:val="left"/>
        <w:rPr>
          <w:noProof/>
          <w:lang w:val="en-IE"/>
        </w:rPr>
      </w:pPr>
    </w:p>
    <w:tbl>
      <w:tblPr>
        <w:tblW w:w="9180" w:type="dxa"/>
        <w:tblLayout w:type="fixed"/>
        <w:tblLook w:val="04A0" w:firstRow="1" w:lastRow="0" w:firstColumn="1" w:lastColumn="0" w:noHBand="0" w:noVBand="1"/>
      </w:tblPr>
      <w:tblGrid>
        <w:gridCol w:w="1389"/>
        <w:gridCol w:w="4820"/>
        <w:gridCol w:w="1554"/>
        <w:gridCol w:w="1417"/>
      </w:tblGrid>
      <w:tr>
        <w:trPr>
          <w:trHeight w:val="590"/>
        </w:trPr>
        <w:tc>
          <w:tcPr>
            <w:tcW w:w="9180" w:type="dxa"/>
            <w:gridSpan w:val="4"/>
            <w:tcBorders>
              <w:top w:val="single" w:sz="8" w:space="0" w:color="auto"/>
              <w:left w:val="single" w:sz="8" w:space="0" w:color="auto"/>
              <w:bottom w:val="single" w:sz="8" w:space="0" w:color="auto"/>
              <w:right w:val="single" w:sz="8" w:space="0" w:color="auto"/>
            </w:tcBorders>
            <w:shd w:val="clear" w:color="auto" w:fill="E7E6E6" w:themeFill="background2"/>
            <w:vAlign w:val="center"/>
          </w:tcPr>
          <w:p>
            <w:pPr>
              <w:spacing w:after="0"/>
              <w:jc w:val="center"/>
              <w:rPr>
                <w:b/>
                <w:bCs/>
                <w:noProof/>
                <w:color w:val="000000"/>
                <w:szCs w:val="24"/>
              </w:rPr>
            </w:pPr>
            <w:r>
              <w:rPr>
                <w:b/>
                <w:bCs/>
                <w:noProof/>
                <w:color w:val="000000"/>
                <w:szCs w:val="24"/>
              </w:rPr>
              <w:t>2016</w:t>
            </w:r>
          </w:p>
        </w:tc>
      </w:tr>
      <w:tr>
        <w:trPr>
          <w:trHeight w:val="590"/>
        </w:trPr>
        <w:tc>
          <w:tcPr>
            <w:tcW w:w="1389"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jc w:val="center"/>
              <w:rPr>
                <w:b/>
                <w:bCs/>
                <w:noProof/>
                <w:color w:val="000000"/>
                <w:szCs w:val="24"/>
              </w:rPr>
            </w:pPr>
            <w:r>
              <w:rPr>
                <w:b/>
                <w:bCs/>
                <w:noProof/>
                <w:color w:val="000000"/>
                <w:szCs w:val="24"/>
              </w:rPr>
              <w:t>Besoldungsgruppe</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pPr>
              <w:spacing w:after="0"/>
              <w:jc w:val="center"/>
              <w:rPr>
                <w:b/>
                <w:bCs/>
                <w:noProof/>
                <w:color w:val="000000"/>
                <w:szCs w:val="24"/>
              </w:rPr>
            </w:pPr>
            <w:r>
              <w:rPr>
                <w:b/>
                <w:bCs/>
                <w:noProof/>
                <w:color w:val="000000"/>
                <w:szCs w:val="24"/>
              </w:rPr>
              <w:t>Bereich</w:t>
            </w:r>
          </w:p>
        </w:tc>
        <w:tc>
          <w:tcPr>
            <w:tcW w:w="1554" w:type="dxa"/>
            <w:tcBorders>
              <w:top w:val="single" w:sz="8" w:space="0" w:color="auto"/>
              <w:left w:val="nil"/>
              <w:bottom w:val="single" w:sz="8" w:space="0" w:color="auto"/>
              <w:right w:val="single" w:sz="8" w:space="0" w:color="auto"/>
            </w:tcBorders>
            <w:shd w:val="clear" w:color="auto" w:fill="auto"/>
            <w:vAlign w:val="center"/>
            <w:hideMark/>
          </w:tcPr>
          <w:p>
            <w:pPr>
              <w:spacing w:after="0"/>
              <w:jc w:val="center"/>
              <w:rPr>
                <w:b/>
                <w:bCs/>
                <w:noProof/>
                <w:color w:val="000000"/>
                <w:szCs w:val="24"/>
              </w:rPr>
            </w:pPr>
            <w:r>
              <w:rPr>
                <w:b/>
                <w:bCs/>
                <w:noProof/>
                <w:color w:val="000000"/>
                <w:szCs w:val="24"/>
              </w:rPr>
              <w:t>Vertragsbe-dienstete – erfolgreiche Bewerber</w:t>
            </w:r>
          </w:p>
        </w:tc>
        <w:tc>
          <w:tcPr>
            <w:tcW w:w="1417" w:type="dxa"/>
            <w:tcBorders>
              <w:top w:val="single" w:sz="8" w:space="0" w:color="auto"/>
              <w:left w:val="nil"/>
              <w:bottom w:val="single" w:sz="8" w:space="0" w:color="auto"/>
              <w:right w:val="single" w:sz="8" w:space="0" w:color="auto"/>
            </w:tcBorders>
          </w:tcPr>
          <w:p>
            <w:pPr>
              <w:spacing w:after="0"/>
              <w:jc w:val="center"/>
              <w:rPr>
                <w:b/>
                <w:bCs/>
                <w:noProof/>
                <w:color w:val="000000"/>
                <w:szCs w:val="24"/>
              </w:rPr>
            </w:pPr>
            <w:r>
              <w:rPr>
                <w:b/>
                <w:bCs/>
                <w:noProof/>
                <w:color w:val="000000"/>
                <w:szCs w:val="24"/>
              </w:rPr>
              <w:t>Summe der erfolg-reichen Bewerber</w:t>
            </w:r>
          </w:p>
        </w:tc>
      </w:tr>
      <w:tr>
        <w:trPr>
          <w:trHeight w:val="300"/>
        </w:trPr>
        <w:tc>
          <w:tcPr>
            <w:tcW w:w="1389" w:type="dxa"/>
            <w:tcBorders>
              <w:top w:val="nil"/>
              <w:left w:val="single" w:sz="8" w:space="0" w:color="auto"/>
              <w:bottom w:val="single" w:sz="8" w:space="0" w:color="auto"/>
              <w:right w:val="single" w:sz="8" w:space="0" w:color="auto"/>
            </w:tcBorders>
            <w:shd w:val="clear" w:color="auto" w:fill="auto"/>
            <w:noWrap/>
            <w:vAlign w:val="center"/>
          </w:tcPr>
          <w:p>
            <w:pPr>
              <w:spacing w:after="0"/>
              <w:jc w:val="center"/>
              <w:rPr>
                <w:b/>
                <w:bCs/>
                <w:noProof/>
                <w:color w:val="000000"/>
                <w:szCs w:val="24"/>
              </w:rPr>
            </w:pPr>
            <w:r>
              <w:rPr>
                <w:b/>
                <w:bCs/>
                <w:noProof/>
                <w:color w:val="000000"/>
                <w:szCs w:val="24"/>
              </w:rPr>
              <w:t>AD6</w:t>
            </w:r>
          </w:p>
        </w:tc>
        <w:tc>
          <w:tcPr>
            <w:tcW w:w="4820" w:type="dxa"/>
            <w:tcBorders>
              <w:top w:val="single" w:sz="8" w:space="0" w:color="auto"/>
              <w:left w:val="nil"/>
              <w:bottom w:val="single" w:sz="8" w:space="0" w:color="auto"/>
              <w:right w:val="single" w:sz="4" w:space="0" w:color="auto"/>
            </w:tcBorders>
            <w:shd w:val="clear" w:color="auto" w:fill="auto"/>
            <w:noWrap/>
            <w:vAlign w:val="bottom"/>
          </w:tcPr>
          <w:p>
            <w:pPr>
              <w:spacing w:after="0"/>
              <w:jc w:val="center"/>
              <w:rPr>
                <w:noProof/>
                <w:color w:val="000000"/>
                <w:szCs w:val="24"/>
              </w:rPr>
            </w:pPr>
            <w:r>
              <w:rPr>
                <w:noProof/>
                <w:color w:val="000000"/>
                <w:szCs w:val="24"/>
              </w:rPr>
              <w:t>Europäische öffentliche Verwaltung</w:t>
            </w:r>
          </w:p>
        </w:tc>
        <w:tc>
          <w:tcPr>
            <w:tcW w:w="1554" w:type="dxa"/>
            <w:tcBorders>
              <w:top w:val="nil"/>
              <w:left w:val="nil"/>
              <w:bottom w:val="single" w:sz="8" w:space="0" w:color="auto"/>
              <w:right w:val="single" w:sz="8" w:space="0" w:color="auto"/>
            </w:tcBorders>
            <w:shd w:val="clear" w:color="auto" w:fill="auto"/>
            <w:noWrap/>
            <w:vAlign w:val="center"/>
          </w:tcPr>
          <w:p>
            <w:pPr>
              <w:spacing w:after="0"/>
              <w:jc w:val="center"/>
              <w:rPr>
                <w:noProof/>
                <w:color w:val="000000"/>
                <w:szCs w:val="24"/>
              </w:rPr>
            </w:pPr>
            <w:r>
              <w:rPr>
                <w:noProof/>
                <w:color w:val="000000"/>
                <w:szCs w:val="24"/>
              </w:rPr>
              <w:t>28</w:t>
            </w:r>
          </w:p>
        </w:tc>
        <w:tc>
          <w:tcPr>
            <w:tcW w:w="1417" w:type="dxa"/>
            <w:tcBorders>
              <w:top w:val="nil"/>
              <w:left w:val="nil"/>
              <w:bottom w:val="single" w:sz="8" w:space="0" w:color="auto"/>
              <w:right w:val="single" w:sz="8" w:space="0" w:color="auto"/>
            </w:tcBorders>
          </w:tcPr>
          <w:p>
            <w:pPr>
              <w:spacing w:after="0"/>
              <w:jc w:val="center"/>
              <w:rPr>
                <w:noProof/>
                <w:color w:val="000000"/>
                <w:szCs w:val="24"/>
              </w:rPr>
            </w:pPr>
            <w:r>
              <w:rPr>
                <w:noProof/>
                <w:color w:val="000000"/>
                <w:szCs w:val="24"/>
              </w:rPr>
              <w:t>35</w:t>
            </w:r>
          </w:p>
        </w:tc>
      </w:tr>
      <w:tr>
        <w:trPr>
          <w:trHeight w:val="300"/>
        </w:trPr>
        <w:tc>
          <w:tcPr>
            <w:tcW w:w="1389"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rPr>
            </w:pPr>
            <w:r>
              <w:rPr>
                <w:b/>
                <w:bCs/>
                <w:noProof/>
                <w:color w:val="000000"/>
                <w:szCs w:val="24"/>
              </w:rPr>
              <w:t xml:space="preserve">AST2 </w:t>
            </w:r>
          </w:p>
        </w:tc>
        <w:tc>
          <w:tcPr>
            <w:tcW w:w="482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Administrative und technische Unterstützung</w:t>
            </w:r>
          </w:p>
        </w:tc>
        <w:tc>
          <w:tcPr>
            <w:tcW w:w="1554"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rPr>
            </w:pPr>
            <w:r>
              <w:rPr>
                <w:noProof/>
                <w:color w:val="000000"/>
                <w:szCs w:val="24"/>
              </w:rPr>
              <w:t>19</w:t>
            </w:r>
          </w:p>
        </w:tc>
        <w:tc>
          <w:tcPr>
            <w:tcW w:w="1417" w:type="dxa"/>
            <w:tcBorders>
              <w:top w:val="nil"/>
              <w:left w:val="nil"/>
              <w:bottom w:val="single" w:sz="8" w:space="0" w:color="auto"/>
              <w:right w:val="single" w:sz="8" w:space="0" w:color="auto"/>
            </w:tcBorders>
          </w:tcPr>
          <w:p>
            <w:pPr>
              <w:spacing w:after="0"/>
              <w:jc w:val="center"/>
              <w:rPr>
                <w:noProof/>
                <w:color w:val="000000"/>
                <w:szCs w:val="24"/>
              </w:rPr>
            </w:pPr>
            <w:r>
              <w:rPr>
                <w:noProof/>
                <w:color w:val="000000"/>
                <w:szCs w:val="24"/>
              </w:rPr>
              <w:t>20</w:t>
            </w:r>
          </w:p>
        </w:tc>
      </w:tr>
      <w:tr>
        <w:trPr>
          <w:trHeight w:val="300"/>
        </w:trPr>
        <w:tc>
          <w:tcPr>
            <w:tcW w:w="1389"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rPr>
            </w:pPr>
            <w:r>
              <w:rPr>
                <w:b/>
                <w:bCs/>
                <w:noProof/>
                <w:color w:val="000000"/>
                <w:szCs w:val="24"/>
              </w:rPr>
              <w:t xml:space="preserve">AST/SC2 </w:t>
            </w:r>
          </w:p>
        </w:tc>
        <w:tc>
          <w:tcPr>
            <w:tcW w:w="4820" w:type="dxa"/>
            <w:tcBorders>
              <w:top w:val="nil"/>
              <w:left w:val="nil"/>
              <w:bottom w:val="single" w:sz="8"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Administrative Unterstützung</w:t>
            </w:r>
          </w:p>
        </w:tc>
        <w:tc>
          <w:tcPr>
            <w:tcW w:w="1554"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rPr>
            </w:pPr>
            <w:r>
              <w:rPr>
                <w:noProof/>
                <w:color w:val="000000"/>
                <w:szCs w:val="24"/>
              </w:rPr>
              <w:t>32</w:t>
            </w:r>
          </w:p>
        </w:tc>
        <w:tc>
          <w:tcPr>
            <w:tcW w:w="1417" w:type="dxa"/>
            <w:tcBorders>
              <w:top w:val="nil"/>
              <w:left w:val="nil"/>
              <w:bottom w:val="single" w:sz="8" w:space="0" w:color="auto"/>
              <w:right w:val="single" w:sz="8" w:space="0" w:color="auto"/>
            </w:tcBorders>
          </w:tcPr>
          <w:p>
            <w:pPr>
              <w:spacing w:after="0"/>
              <w:jc w:val="center"/>
              <w:rPr>
                <w:noProof/>
                <w:color w:val="000000"/>
                <w:szCs w:val="24"/>
              </w:rPr>
            </w:pPr>
            <w:r>
              <w:rPr>
                <w:noProof/>
                <w:color w:val="000000"/>
                <w:szCs w:val="24"/>
              </w:rPr>
              <w:t>38</w:t>
            </w:r>
          </w:p>
        </w:tc>
      </w:tr>
    </w:tbl>
    <w:p>
      <w:pPr>
        <w:spacing w:after="0"/>
        <w:jc w:val="left"/>
        <w:rPr>
          <w:noProof/>
          <w:lang w:val="en-IE"/>
        </w:rPr>
      </w:pPr>
    </w:p>
    <w:tbl>
      <w:tblPr>
        <w:tblW w:w="9062" w:type="dxa"/>
        <w:tblInd w:w="118" w:type="dxa"/>
        <w:tblLayout w:type="fixed"/>
        <w:tblLook w:val="04A0" w:firstRow="1" w:lastRow="0" w:firstColumn="1" w:lastColumn="0" w:noHBand="0" w:noVBand="1"/>
      </w:tblPr>
      <w:tblGrid>
        <w:gridCol w:w="1550"/>
        <w:gridCol w:w="3969"/>
        <w:gridCol w:w="1701"/>
        <w:gridCol w:w="1842"/>
      </w:tblGrid>
      <w:tr>
        <w:trPr>
          <w:trHeight w:val="590"/>
        </w:trPr>
        <w:tc>
          <w:tcPr>
            <w:tcW w:w="9062" w:type="dxa"/>
            <w:gridSpan w:val="4"/>
            <w:tcBorders>
              <w:top w:val="single" w:sz="8" w:space="0" w:color="auto"/>
              <w:left w:val="single" w:sz="8" w:space="0" w:color="auto"/>
              <w:bottom w:val="single" w:sz="8" w:space="0" w:color="auto"/>
              <w:right w:val="single" w:sz="8" w:space="0" w:color="auto"/>
            </w:tcBorders>
            <w:shd w:val="clear" w:color="auto" w:fill="E7E6E6" w:themeFill="background2"/>
            <w:vAlign w:val="center"/>
          </w:tcPr>
          <w:p>
            <w:pPr>
              <w:spacing w:after="0"/>
              <w:jc w:val="center"/>
              <w:rPr>
                <w:b/>
                <w:bCs/>
                <w:noProof/>
                <w:color w:val="000000"/>
                <w:szCs w:val="24"/>
              </w:rPr>
            </w:pPr>
            <w:r>
              <w:rPr>
                <w:b/>
                <w:bCs/>
                <w:noProof/>
                <w:color w:val="000000"/>
                <w:szCs w:val="24"/>
              </w:rPr>
              <w:t>2018</w:t>
            </w:r>
          </w:p>
        </w:tc>
      </w:tr>
      <w:tr>
        <w:trPr>
          <w:trHeight w:val="59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jc w:val="center"/>
              <w:rPr>
                <w:b/>
                <w:bCs/>
                <w:noProof/>
                <w:color w:val="000000"/>
                <w:szCs w:val="24"/>
              </w:rPr>
            </w:pPr>
            <w:r>
              <w:rPr>
                <w:b/>
                <w:bCs/>
                <w:noProof/>
                <w:color w:val="000000"/>
                <w:szCs w:val="24"/>
              </w:rPr>
              <w:t>Besoldungs-gruppe</w:t>
            </w:r>
          </w:p>
        </w:tc>
        <w:tc>
          <w:tcPr>
            <w:tcW w:w="3969" w:type="dxa"/>
            <w:tcBorders>
              <w:top w:val="single" w:sz="8" w:space="0" w:color="auto"/>
              <w:left w:val="nil"/>
              <w:bottom w:val="single" w:sz="8" w:space="0" w:color="auto"/>
              <w:right w:val="single" w:sz="4" w:space="0" w:color="auto"/>
            </w:tcBorders>
            <w:shd w:val="clear" w:color="auto" w:fill="auto"/>
            <w:vAlign w:val="center"/>
            <w:hideMark/>
          </w:tcPr>
          <w:p>
            <w:pPr>
              <w:spacing w:after="0"/>
              <w:jc w:val="center"/>
              <w:rPr>
                <w:b/>
                <w:bCs/>
                <w:noProof/>
                <w:color w:val="000000"/>
                <w:szCs w:val="24"/>
              </w:rPr>
            </w:pPr>
            <w:r>
              <w:rPr>
                <w:b/>
                <w:bCs/>
                <w:noProof/>
                <w:color w:val="000000"/>
                <w:szCs w:val="24"/>
              </w:rPr>
              <w:t>Bereich</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pPr>
              <w:spacing w:after="0"/>
              <w:jc w:val="center"/>
              <w:rPr>
                <w:b/>
                <w:bCs/>
                <w:noProof/>
                <w:color w:val="000000"/>
                <w:szCs w:val="24"/>
              </w:rPr>
            </w:pPr>
            <w:r>
              <w:rPr>
                <w:b/>
                <w:bCs/>
                <w:noProof/>
                <w:color w:val="000000"/>
                <w:szCs w:val="24"/>
              </w:rPr>
              <w:t>Vertragsbe-dienstete – erfolgreiche Bewerber</w:t>
            </w:r>
          </w:p>
        </w:tc>
        <w:tc>
          <w:tcPr>
            <w:tcW w:w="1842" w:type="dxa"/>
            <w:tcBorders>
              <w:top w:val="single" w:sz="8" w:space="0" w:color="auto"/>
              <w:left w:val="nil"/>
              <w:bottom w:val="single" w:sz="8" w:space="0" w:color="auto"/>
              <w:right w:val="single" w:sz="8" w:space="0" w:color="auto"/>
            </w:tcBorders>
          </w:tcPr>
          <w:p>
            <w:pPr>
              <w:spacing w:after="0"/>
              <w:jc w:val="center"/>
              <w:rPr>
                <w:b/>
                <w:bCs/>
                <w:noProof/>
                <w:color w:val="000000"/>
                <w:szCs w:val="24"/>
              </w:rPr>
            </w:pPr>
            <w:r>
              <w:rPr>
                <w:b/>
                <w:bCs/>
                <w:noProof/>
                <w:color w:val="000000"/>
                <w:szCs w:val="24"/>
              </w:rPr>
              <w:t>Summe der erfolgreichen Bewerber</w:t>
            </w:r>
          </w:p>
        </w:tc>
      </w:tr>
      <w:tr>
        <w:trPr>
          <w:trHeight w:val="290"/>
        </w:trPr>
        <w:tc>
          <w:tcPr>
            <w:tcW w:w="1550" w:type="dxa"/>
            <w:vMerge w:val="restart"/>
            <w:tcBorders>
              <w:top w:val="nil"/>
              <w:left w:val="single" w:sz="8" w:space="0" w:color="auto"/>
              <w:bottom w:val="single" w:sz="8" w:space="0" w:color="000000"/>
              <w:right w:val="single" w:sz="8" w:space="0" w:color="auto"/>
            </w:tcBorders>
            <w:shd w:val="clear" w:color="auto" w:fill="auto"/>
            <w:noWrap/>
            <w:vAlign w:val="center"/>
            <w:hideMark/>
          </w:tcPr>
          <w:p>
            <w:pPr>
              <w:spacing w:after="0"/>
              <w:jc w:val="center"/>
              <w:rPr>
                <w:b/>
                <w:bCs/>
                <w:noProof/>
                <w:color w:val="000000"/>
                <w:szCs w:val="24"/>
              </w:rPr>
            </w:pPr>
            <w:r>
              <w:rPr>
                <w:b/>
                <w:bCs/>
                <w:noProof/>
                <w:color w:val="000000"/>
                <w:szCs w:val="24"/>
              </w:rPr>
              <w:t xml:space="preserve">AD6 </w:t>
            </w:r>
          </w:p>
        </w:tc>
        <w:tc>
          <w:tcPr>
            <w:tcW w:w="3969" w:type="dxa"/>
            <w:tcBorders>
              <w:top w:val="single" w:sz="8" w:space="0" w:color="auto"/>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Europäische öffentliche Verwaltung</w:t>
            </w:r>
          </w:p>
        </w:tc>
        <w:tc>
          <w:tcPr>
            <w:tcW w:w="1701" w:type="dxa"/>
            <w:tcBorders>
              <w:top w:val="nil"/>
              <w:left w:val="nil"/>
              <w:bottom w:val="single" w:sz="4" w:space="0" w:color="auto"/>
              <w:right w:val="single" w:sz="8" w:space="0" w:color="auto"/>
            </w:tcBorders>
            <w:shd w:val="clear" w:color="auto" w:fill="auto"/>
            <w:noWrap/>
            <w:vAlign w:val="center"/>
            <w:hideMark/>
          </w:tcPr>
          <w:p>
            <w:pPr>
              <w:spacing w:after="0"/>
              <w:jc w:val="center"/>
              <w:rPr>
                <w:noProof/>
                <w:color w:val="000000"/>
                <w:szCs w:val="24"/>
              </w:rPr>
            </w:pPr>
            <w:r>
              <w:rPr>
                <w:noProof/>
                <w:color w:val="000000"/>
                <w:szCs w:val="24"/>
              </w:rPr>
              <w:t>14</w:t>
            </w:r>
          </w:p>
        </w:tc>
        <w:tc>
          <w:tcPr>
            <w:tcW w:w="1842" w:type="dxa"/>
            <w:tcBorders>
              <w:top w:val="nil"/>
              <w:left w:val="nil"/>
              <w:bottom w:val="single" w:sz="4" w:space="0" w:color="auto"/>
              <w:right w:val="single" w:sz="8" w:space="0" w:color="auto"/>
            </w:tcBorders>
          </w:tcPr>
          <w:p>
            <w:pPr>
              <w:spacing w:after="0"/>
              <w:jc w:val="center"/>
              <w:rPr>
                <w:noProof/>
                <w:color w:val="000000"/>
                <w:szCs w:val="24"/>
              </w:rPr>
            </w:pPr>
            <w:r>
              <w:rPr>
                <w:noProof/>
                <w:color w:val="000000"/>
                <w:szCs w:val="24"/>
              </w:rPr>
              <w:t>34</w:t>
            </w:r>
          </w:p>
        </w:tc>
      </w:tr>
      <w:tr>
        <w:trPr>
          <w:trHeight w:val="290"/>
        </w:trPr>
        <w:tc>
          <w:tcPr>
            <w:tcW w:w="1550" w:type="dxa"/>
            <w:vMerge/>
            <w:tcBorders>
              <w:top w:val="nil"/>
              <w:left w:val="single" w:sz="8" w:space="0" w:color="auto"/>
              <w:bottom w:val="single" w:sz="8" w:space="0" w:color="000000"/>
              <w:right w:val="single" w:sz="8" w:space="0" w:color="auto"/>
            </w:tcBorders>
            <w:shd w:val="clear" w:color="auto" w:fill="auto"/>
            <w:vAlign w:val="center"/>
            <w:hideMark/>
          </w:tcPr>
          <w:p>
            <w:pPr>
              <w:spacing w:after="0"/>
              <w:jc w:val="left"/>
              <w:rPr>
                <w:b/>
                <w:bCs/>
                <w:noProof/>
                <w:color w:val="000000"/>
                <w:szCs w:val="24"/>
                <w:lang w:val="en-IE" w:eastAsia="en-IE"/>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Entwicklung und Zusammenarbeit</w:t>
            </w:r>
          </w:p>
        </w:tc>
        <w:tc>
          <w:tcPr>
            <w:tcW w:w="1701" w:type="dxa"/>
            <w:tcBorders>
              <w:top w:val="nil"/>
              <w:left w:val="nil"/>
              <w:bottom w:val="single" w:sz="4" w:space="0" w:color="auto"/>
              <w:right w:val="single" w:sz="8" w:space="0" w:color="auto"/>
            </w:tcBorders>
            <w:shd w:val="clear" w:color="auto" w:fill="auto"/>
            <w:noWrap/>
            <w:vAlign w:val="center"/>
            <w:hideMark/>
          </w:tcPr>
          <w:p>
            <w:pPr>
              <w:spacing w:after="0"/>
              <w:jc w:val="center"/>
              <w:rPr>
                <w:noProof/>
                <w:color w:val="000000"/>
                <w:szCs w:val="24"/>
              </w:rPr>
            </w:pPr>
            <w:r>
              <w:rPr>
                <w:noProof/>
                <w:color w:val="000000"/>
                <w:szCs w:val="24"/>
              </w:rPr>
              <w:t>16</w:t>
            </w:r>
          </w:p>
        </w:tc>
        <w:tc>
          <w:tcPr>
            <w:tcW w:w="1842" w:type="dxa"/>
            <w:tcBorders>
              <w:top w:val="nil"/>
              <w:left w:val="nil"/>
              <w:bottom w:val="single" w:sz="4" w:space="0" w:color="auto"/>
              <w:right w:val="single" w:sz="8" w:space="0" w:color="auto"/>
            </w:tcBorders>
          </w:tcPr>
          <w:p>
            <w:pPr>
              <w:spacing w:after="0"/>
              <w:jc w:val="center"/>
              <w:rPr>
                <w:noProof/>
                <w:color w:val="000000"/>
                <w:szCs w:val="24"/>
              </w:rPr>
            </w:pPr>
            <w:r>
              <w:rPr>
                <w:noProof/>
                <w:color w:val="000000"/>
                <w:szCs w:val="24"/>
              </w:rPr>
              <w:t>23</w:t>
            </w:r>
          </w:p>
        </w:tc>
      </w:tr>
      <w:tr>
        <w:trPr>
          <w:trHeight w:val="300"/>
        </w:trPr>
        <w:tc>
          <w:tcPr>
            <w:tcW w:w="1550" w:type="dxa"/>
            <w:vMerge/>
            <w:tcBorders>
              <w:top w:val="nil"/>
              <w:left w:val="single" w:sz="8" w:space="0" w:color="auto"/>
              <w:bottom w:val="single" w:sz="8" w:space="0" w:color="000000"/>
              <w:right w:val="single" w:sz="8" w:space="0" w:color="auto"/>
            </w:tcBorders>
            <w:shd w:val="clear" w:color="auto" w:fill="auto"/>
            <w:vAlign w:val="center"/>
            <w:hideMark/>
          </w:tcPr>
          <w:p>
            <w:pPr>
              <w:spacing w:after="0"/>
              <w:jc w:val="left"/>
              <w:rPr>
                <w:b/>
                <w:bCs/>
                <w:noProof/>
                <w:color w:val="000000"/>
                <w:szCs w:val="24"/>
                <w:lang w:val="en-IE" w:eastAsia="en-IE"/>
              </w:rPr>
            </w:pPr>
          </w:p>
        </w:tc>
        <w:tc>
          <w:tcPr>
            <w:tcW w:w="3969" w:type="dxa"/>
            <w:tcBorders>
              <w:top w:val="single" w:sz="4" w:space="0" w:color="auto"/>
              <w:left w:val="nil"/>
              <w:bottom w:val="single" w:sz="8"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Forschung</w:t>
            </w:r>
          </w:p>
        </w:tc>
        <w:tc>
          <w:tcPr>
            <w:tcW w:w="1701"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rPr>
            </w:pPr>
            <w:r>
              <w:rPr>
                <w:noProof/>
                <w:color w:val="000000"/>
                <w:szCs w:val="24"/>
              </w:rPr>
              <w:t>14</w:t>
            </w:r>
          </w:p>
        </w:tc>
        <w:tc>
          <w:tcPr>
            <w:tcW w:w="1842" w:type="dxa"/>
            <w:tcBorders>
              <w:top w:val="nil"/>
              <w:left w:val="nil"/>
              <w:bottom w:val="single" w:sz="8" w:space="0" w:color="auto"/>
              <w:right w:val="single" w:sz="8" w:space="0" w:color="auto"/>
            </w:tcBorders>
          </w:tcPr>
          <w:p>
            <w:pPr>
              <w:spacing w:after="0"/>
              <w:jc w:val="center"/>
              <w:rPr>
                <w:noProof/>
                <w:color w:val="000000"/>
                <w:szCs w:val="24"/>
              </w:rPr>
            </w:pPr>
            <w:r>
              <w:rPr>
                <w:noProof/>
                <w:color w:val="000000"/>
                <w:szCs w:val="24"/>
              </w:rPr>
              <w:t>23</w:t>
            </w:r>
          </w:p>
        </w:tc>
      </w:tr>
      <w:tr>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rPr>
            </w:pPr>
            <w:r>
              <w:rPr>
                <w:b/>
                <w:bCs/>
                <w:noProof/>
                <w:color w:val="000000"/>
                <w:szCs w:val="24"/>
              </w:rPr>
              <w:t xml:space="preserve">AST2 </w:t>
            </w:r>
          </w:p>
        </w:tc>
        <w:tc>
          <w:tcPr>
            <w:tcW w:w="3969"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Administrative und technische Unterstützung</w:t>
            </w:r>
          </w:p>
        </w:tc>
        <w:tc>
          <w:tcPr>
            <w:tcW w:w="1701"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rPr>
            </w:pPr>
            <w:r>
              <w:rPr>
                <w:noProof/>
                <w:color w:val="000000"/>
                <w:szCs w:val="24"/>
              </w:rPr>
              <w:t>15</w:t>
            </w:r>
          </w:p>
        </w:tc>
        <w:tc>
          <w:tcPr>
            <w:tcW w:w="1842" w:type="dxa"/>
            <w:tcBorders>
              <w:top w:val="nil"/>
              <w:left w:val="nil"/>
              <w:bottom w:val="single" w:sz="8" w:space="0" w:color="auto"/>
              <w:right w:val="single" w:sz="8" w:space="0" w:color="auto"/>
            </w:tcBorders>
          </w:tcPr>
          <w:p>
            <w:pPr>
              <w:spacing w:after="0"/>
              <w:jc w:val="center"/>
              <w:rPr>
                <w:noProof/>
                <w:color w:val="000000"/>
                <w:szCs w:val="24"/>
              </w:rPr>
            </w:pPr>
            <w:r>
              <w:rPr>
                <w:noProof/>
                <w:color w:val="000000"/>
                <w:szCs w:val="24"/>
              </w:rPr>
              <w:t>23</w:t>
            </w:r>
          </w:p>
        </w:tc>
      </w:tr>
      <w:tr>
        <w:trPr>
          <w:trHeight w:val="30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rPr>
            </w:pPr>
            <w:r>
              <w:rPr>
                <w:b/>
                <w:bCs/>
                <w:noProof/>
                <w:color w:val="000000"/>
                <w:szCs w:val="24"/>
              </w:rPr>
              <w:t xml:space="preserve">AST/SC2 </w:t>
            </w:r>
          </w:p>
        </w:tc>
        <w:tc>
          <w:tcPr>
            <w:tcW w:w="3969" w:type="dxa"/>
            <w:tcBorders>
              <w:top w:val="nil"/>
              <w:left w:val="nil"/>
              <w:bottom w:val="single" w:sz="8" w:space="0" w:color="auto"/>
              <w:right w:val="single" w:sz="4" w:space="0" w:color="auto"/>
            </w:tcBorders>
            <w:shd w:val="clear" w:color="auto" w:fill="auto"/>
            <w:noWrap/>
            <w:vAlign w:val="bottom"/>
            <w:hideMark/>
          </w:tcPr>
          <w:p>
            <w:pPr>
              <w:spacing w:after="0"/>
              <w:jc w:val="center"/>
              <w:rPr>
                <w:noProof/>
                <w:color w:val="000000"/>
                <w:szCs w:val="24"/>
              </w:rPr>
            </w:pPr>
            <w:r>
              <w:rPr>
                <w:noProof/>
                <w:color w:val="000000"/>
                <w:szCs w:val="24"/>
              </w:rPr>
              <w:t>Administrative Unterstützung</w:t>
            </w:r>
          </w:p>
        </w:tc>
        <w:tc>
          <w:tcPr>
            <w:tcW w:w="1701"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rPr>
            </w:pPr>
            <w:r>
              <w:rPr>
                <w:noProof/>
                <w:color w:val="000000"/>
                <w:szCs w:val="24"/>
              </w:rPr>
              <w:t>14</w:t>
            </w:r>
          </w:p>
        </w:tc>
        <w:tc>
          <w:tcPr>
            <w:tcW w:w="1842" w:type="dxa"/>
            <w:tcBorders>
              <w:top w:val="nil"/>
              <w:left w:val="nil"/>
              <w:bottom w:val="single" w:sz="8" w:space="0" w:color="auto"/>
              <w:right w:val="single" w:sz="8" w:space="0" w:color="auto"/>
            </w:tcBorders>
          </w:tcPr>
          <w:p>
            <w:pPr>
              <w:spacing w:after="0"/>
              <w:jc w:val="center"/>
              <w:rPr>
                <w:noProof/>
                <w:color w:val="000000"/>
                <w:szCs w:val="24"/>
              </w:rPr>
            </w:pPr>
            <w:r>
              <w:rPr>
                <w:noProof/>
                <w:color w:val="000000"/>
                <w:szCs w:val="24"/>
              </w:rPr>
              <w:t>30</w:t>
            </w:r>
          </w:p>
        </w:tc>
      </w:tr>
    </w:tbl>
    <w:p>
      <w:pPr>
        <w:pStyle w:val="Text2"/>
        <w:ind w:left="0"/>
        <w:rPr>
          <w:b/>
          <w:bCs/>
          <w:noProof/>
        </w:rPr>
      </w:pPr>
      <w:r>
        <w:rPr>
          <w:b/>
          <w:bCs/>
          <w:noProof/>
        </w:rPr>
        <w:t xml:space="preserve">Anhang 14: Beförderungen 2014-2019 „première filière“ </w:t>
      </w:r>
    </w:p>
    <w:p>
      <w:pPr>
        <w:spacing w:after="0"/>
        <w:textAlignment w:val="baseline"/>
        <w:rPr>
          <w:b/>
          <w:noProof/>
          <w:szCs w:val="24"/>
        </w:rPr>
      </w:pPr>
      <w:r>
        <w:rPr>
          <w:b/>
          <w:bCs/>
          <w:noProof/>
          <w:szCs w:val="24"/>
        </w:rPr>
        <w:t>Anhang 14.1: Beförderungen „première filière“</w:t>
      </w:r>
      <w:r>
        <w:rPr>
          <w:b/>
          <w:noProof/>
          <w:szCs w:val="24"/>
        </w:rPr>
        <w:t> – Europäische Kommission</w:t>
      </w:r>
    </w:p>
    <w:p>
      <w:pPr>
        <w:spacing w:after="0"/>
        <w:textAlignment w:val="baseline"/>
        <w:rPr>
          <w:b/>
          <w:noProof/>
          <w:szCs w:val="24"/>
          <w:lang w:val="fr-BE"/>
        </w:rPr>
      </w:pPr>
    </w:p>
    <w:tbl>
      <w:tblPr>
        <w:tblW w:w="5000" w:type="pct"/>
        <w:tblLook w:val="04A0" w:firstRow="1" w:lastRow="0" w:firstColumn="1" w:lastColumn="0" w:noHBand="0" w:noVBand="1"/>
      </w:tblPr>
      <w:tblGrid>
        <w:gridCol w:w="769"/>
        <w:gridCol w:w="2213"/>
        <w:gridCol w:w="987"/>
        <w:gridCol w:w="878"/>
        <w:gridCol w:w="879"/>
        <w:gridCol w:w="879"/>
        <w:gridCol w:w="879"/>
        <w:gridCol w:w="879"/>
        <w:gridCol w:w="879"/>
      </w:tblGrid>
      <w:tr>
        <w:trPr>
          <w:trHeight w:val="310"/>
        </w:trPr>
        <w:tc>
          <w:tcPr>
            <w:tcW w:w="4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104"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4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87"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87"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87"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87"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87"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8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90"/>
        </w:trPr>
        <w:tc>
          <w:tcPr>
            <w:tcW w:w="428"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10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4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7,43 %</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7,91 %</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3,83 %</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3,37 %</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3,05 %</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2,41 %</w:t>
            </w:r>
          </w:p>
        </w:tc>
      </w:tr>
      <w:tr>
        <w:trPr>
          <w:trHeight w:val="290"/>
        </w:trPr>
        <w:tc>
          <w:tcPr>
            <w:tcW w:w="428"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10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4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7,55 %</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7,30 %</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7,84 %</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7,16 %</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7,56 %</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5,75 %</w:t>
            </w:r>
          </w:p>
        </w:tc>
      </w:tr>
      <w:tr>
        <w:trPr>
          <w:trHeight w:val="290"/>
        </w:trPr>
        <w:tc>
          <w:tcPr>
            <w:tcW w:w="428"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1104"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546"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 xml:space="preserve"> </w:t>
            </w:r>
          </w:p>
        </w:tc>
      </w:tr>
    </w:tbl>
    <w:p>
      <w:pPr>
        <w:spacing w:after="0"/>
        <w:textAlignment w:val="baseline"/>
        <w:rPr>
          <w:noProof/>
          <w:szCs w:val="24"/>
          <w:lang w:val="en-IE"/>
        </w:rPr>
      </w:pPr>
    </w:p>
    <w:p>
      <w:pPr>
        <w:spacing w:after="0"/>
        <w:textAlignment w:val="baseline"/>
        <w:rPr>
          <w:b/>
          <w:bCs/>
          <w:noProof/>
          <w:szCs w:val="24"/>
        </w:rPr>
      </w:pPr>
      <w:r>
        <w:rPr>
          <w:b/>
          <w:bCs/>
          <w:noProof/>
          <w:szCs w:val="24"/>
        </w:rPr>
        <w:t xml:space="preserve">Anhang 14.2: Beförderungen „première filière“ – Europäisches Parlament </w:t>
      </w:r>
    </w:p>
    <w:p>
      <w:pPr>
        <w:spacing w:after="0"/>
        <w:textAlignment w:val="baseline"/>
        <w:rPr>
          <w:b/>
          <w:bCs/>
          <w:noProof/>
          <w:szCs w:val="24"/>
          <w:lang w:val="fr-BE"/>
        </w:rPr>
      </w:pPr>
    </w:p>
    <w:p>
      <w:pPr>
        <w:spacing w:after="0"/>
        <w:textAlignment w:val="baseline"/>
        <w:rPr>
          <w:noProof/>
          <w:szCs w:val="24"/>
        </w:rPr>
      </w:pPr>
      <w:r>
        <w:rPr>
          <w:noProof/>
        </w:rPr>
        <w:t>k.A.</w:t>
      </w:r>
    </w:p>
    <w:p>
      <w:pPr>
        <w:spacing w:after="0"/>
        <w:textAlignment w:val="baseline"/>
        <w:rPr>
          <w:b/>
          <w:noProof/>
          <w:szCs w:val="24"/>
          <w:lang w:val="fr-BE"/>
        </w:rPr>
      </w:pPr>
    </w:p>
    <w:p>
      <w:pPr>
        <w:spacing w:after="0"/>
        <w:textAlignment w:val="baseline"/>
        <w:rPr>
          <w:b/>
          <w:bCs/>
          <w:noProof/>
          <w:szCs w:val="24"/>
        </w:rPr>
      </w:pPr>
      <w:r>
        <w:rPr>
          <w:b/>
          <w:bCs/>
          <w:noProof/>
          <w:szCs w:val="24"/>
        </w:rPr>
        <w:t xml:space="preserve">Anhang 14.3: Beförderungen „première filière“ – Rat der Europäischen Union </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842"/>
        <w:gridCol w:w="2221"/>
        <w:gridCol w:w="1075"/>
        <w:gridCol w:w="926"/>
        <w:gridCol w:w="813"/>
        <w:gridCol w:w="813"/>
        <w:gridCol w:w="926"/>
        <w:gridCol w:w="813"/>
        <w:gridCol w:w="813"/>
      </w:tblGrid>
      <w:tr>
        <w:trPr>
          <w:trHeight w:val="300"/>
        </w:trPr>
        <w:tc>
          <w:tcPr>
            <w:tcW w:w="46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1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510"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2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28"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10"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28"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28"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1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9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510"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15,43 %</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2,16 %</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1,84 %</w:t>
            </w:r>
          </w:p>
        </w:tc>
        <w:tc>
          <w:tcPr>
            <w:tcW w:w="510"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10,05 %</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6,35 %</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8,51 %</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1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9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510"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8,70 %</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8,93 %</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8,96 %</w:t>
            </w:r>
          </w:p>
        </w:tc>
        <w:tc>
          <w:tcPr>
            <w:tcW w:w="510"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9,76 %</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7,92 %</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8,13 %</w:t>
            </w:r>
          </w:p>
        </w:tc>
      </w:tr>
      <w:tr>
        <w:trPr>
          <w:trHeight w:val="285"/>
        </w:trPr>
        <w:tc>
          <w:tcPr>
            <w:tcW w:w="465" w:type="pct"/>
            <w:tcBorders>
              <w:top w:val="single" w:sz="4" w:space="0" w:color="DDEBF7"/>
              <w:left w:val="nil"/>
              <w:bottom w:val="nil"/>
              <w:right w:val="nil"/>
            </w:tcBorders>
            <w:shd w:val="clear" w:color="1F4E78" w:fill="1F4E78"/>
            <w:noWrap/>
            <w:vAlign w:val="bottom"/>
            <w:hideMark/>
          </w:tcPr>
          <w:p>
            <w:pPr>
              <w:spacing w:after="0"/>
              <w:jc w:val="center"/>
              <w:rPr>
                <w:rFonts w:ascii="Calibri" w:hAnsi="Calibri" w:cs="Calibri"/>
                <w:noProof/>
                <w:sz w:val="22"/>
                <w:szCs w:val="22"/>
                <w:lang w:val="en-IE" w:eastAsia="en-IE"/>
              </w:rPr>
            </w:pPr>
          </w:p>
        </w:tc>
        <w:tc>
          <w:tcPr>
            <w:tcW w:w="121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9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rPr>
      </w:pPr>
      <w:r>
        <w:rPr>
          <w:b/>
          <w:bCs/>
          <w:noProof/>
          <w:szCs w:val="24"/>
        </w:rPr>
        <w:t xml:space="preserve">Anhang 14.4: Beförderungen „première filière“ – Gerichtshof </w:t>
      </w:r>
    </w:p>
    <w:p>
      <w:pPr>
        <w:spacing w:after="0"/>
        <w:textAlignment w:val="baseline"/>
        <w:rPr>
          <w:b/>
          <w:bCs/>
          <w:noProof/>
          <w:szCs w:val="24"/>
          <w:lang w:val="en-IE"/>
        </w:rPr>
      </w:pPr>
    </w:p>
    <w:p>
      <w:pPr>
        <w:spacing w:after="0"/>
        <w:textAlignment w:val="baseline"/>
        <w:rPr>
          <w:bCs/>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14.5: Beförderungen „première filière“ – Europäischer Rechnungshof</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42"/>
        <w:gridCol w:w="2221"/>
        <w:gridCol w:w="1075"/>
        <w:gridCol w:w="813"/>
        <w:gridCol w:w="813"/>
        <w:gridCol w:w="926"/>
        <w:gridCol w:w="813"/>
        <w:gridCol w:w="813"/>
        <w:gridCol w:w="926"/>
      </w:tblGrid>
      <w:tr>
        <w:trPr>
          <w:trHeight w:val="300"/>
        </w:trPr>
        <w:tc>
          <w:tcPr>
            <w:tcW w:w="46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1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28"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2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1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28"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28"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10"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1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9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10"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9,62 %</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10"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10,71 %</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1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9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10"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18,18 %</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10"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15,79 %</w:t>
            </w:r>
          </w:p>
        </w:tc>
      </w:tr>
      <w:tr>
        <w:trPr>
          <w:trHeight w:val="285"/>
        </w:trPr>
        <w:tc>
          <w:tcPr>
            <w:tcW w:w="465" w:type="pct"/>
            <w:tcBorders>
              <w:top w:val="single" w:sz="4" w:space="0" w:color="DDEBF7"/>
              <w:left w:val="nil"/>
              <w:bottom w:val="nil"/>
              <w:right w:val="nil"/>
            </w:tcBorders>
            <w:shd w:val="clear" w:color="1F4E78" w:fill="1F4E78"/>
            <w:noWrap/>
            <w:vAlign w:val="bottom"/>
            <w:hideMark/>
          </w:tcPr>
          <w:p>
            <w:pPr>
              <w:spacing w:after="0"/>
              <w:jc w:val="right"/>
              <w:rPr>
                <w:rFonts w:ascii="Calibri" w:hAnsi="Calibri" w:cs="Calibri"/>
                <w:noProof/>
                <w:sz w:val="22"/>
                <w:szCs w:val="22"/>
                <w:lang w:val="en-IE" w:eastAsia="en-IE"/>
              </w:rPr>
            </w:pPr>
          </w:p>
        </w:tc>
        <w:tc>
          <w:tcPr>
            <w:tcW w:w="121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9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rPr>
      </w:pPr>
      <w:r>
        <w:rPr>
          <w:b/>
          <w:bCs/>
          <w:noProof/>
          <w:szCs w:val="24"/>
        </w:rPr>
        <w:t>Anhang 14.6: Beförderungen „première filière“ – Europäischer Auswärtiger Dienst</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665"/>
        <w:gridCol w:w="2213"/>
        <w:gridCol w:w="886"/>
        <w:gridCol w:w="600"/>
        <w:gridCol w:w="813"/>
        <w:gridCol w:w="813"/>
        <w:gridCol w:w="813"/>
        <w:gridCol w:w="813"/>
        <w:gridCol w:w="813"/>
        <w:gridCol w:w="813"/>
      </w:tblGrid>
      <w:tr>
        <w:trPr>
          <w:trHeight w:val="300"/>
        </w:trPr>
        <w:tc>
          <w:tcPr>
            <w:tcW w:w="43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142"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5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396" w:type="pct"/>
            <w:tcBorders>
              <w:top w:val="nil"/>
              <w:left w:val="nil"/>
              <w:bottom w:val="nil"/>
              <w:right w:val="nil"/>
            </w:tcBorders>
            <w:shd w:val="clear" w:color="000000" w:fill="4BACC6"/>
          </w:tcPr>
          <w:p>
            <w:pPr>
              <w:spacing w:after="0"/>
              <w:jc w:val="center"/>
              <w:rPr>
                <w:rFonts w:ascii="Calibri" w:hAnsi="Calibri" w:cs="Calibri"/>
                <w:b/>
                <w:bCs/>
                <w:noProof/>
                <w:color w:val="FFFFFF"/>
                <w:szCs w:val="24"/>
                <w:lang w:val="en-IE" w:eastAsia="en-IE"/>
              </w:rPr>
            </w:pPr>
          </w:p>
        </w:tc>
        <w:tc>
          <w:tcPr>
            <w:tcW w:w="413"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13"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13"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1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13"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1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31"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14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5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396" w:type="pct"/>
            <w:tcBorders>
              <w:top w:val="nil"/>
              <w:left w:val="nil"/>
              <w:bottom w:val="single" w:sz="4" w:space="0" w:color="DDEBF7"/>
              <w:right w:val="nil"/>
            </w:tcBorders>
            <w:shd w:val="clear" w:color="BDD7EE" w:fill="BDD7EE"/>
          </w:tcPr>
          <w:p>
            <w:pPr>
              <w:spacing w:after="0"/>
              <w:jc w:val="left"/>
              <w:rPr>
                <w:rFonts w:ascii="Calibri" w:hAnsi="Calibri" w:cs="Calibri"/>
                <w:noProof/>
                <w:color w:val="000000"/>
                <w:sz w:val="22"/>
                <w:szCs w:val="22"/>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r>
      <w:tr>
        <w:trPr>
          <w:trHeight w:val="285"/>
        </w:trPr>
        <w:tc>
          <w:tcPr>
            <w:tcW w:w="431"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142"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5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396" w:type="pct"/>
            <w:tcBorders>
              <w:top w:val="nil"/>
              <w:left w:val="nil"/>
              <w:bottom w:val="single" w:sz="4" w:space="0" w:color="DDEBF7"/>
              <w:right w:val="nil"/>
            </w:tcBorders>
            <w:shd w:val="clear" w:color="BDD7EE" w:fill="BDD7EE"/>
          </w:tcPr>
          <w:p>
            <w:pPr>
              <w:spacing w:after="0"/>
              <w:jc w:val="right"/>
              <w:rPr>
                <w:rFonts w:ascii="Calibri" w:hAnsi="Calibri" w:cs="Calibri"/>
                <w:noProof/>
                <w:color w:val="000000"/>
                <w:sz w:val="22"/>
                <w:szCs w:val="22"/>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2,38 %</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7,81 %</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6,15 %</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7,46 %</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r>
      <w:tr>
        <w:trPr>
          <w:trHeight w:val="285"/>
        </w:trPr>
        <w:tc>
          <w:tcPr>
            <w:tcW w:w="431" w:type="pct"/>
            <w:tcBorders>
              <w:top w:val="single" w:sz="4" w:space="0" w:color="DDEBF7"/>
              <w:left w:val="nil"/>
              <w:bottom w:val="nil"/>
              <w:right w:val="nil"/>
            </w:tcBorders>
            <w:shd w:val="clear" w:color="1F4E78" w:fill="1F4E78"/>
            <w:noWrap/>
            <w:vAlign w:val="bottom"/>
            <w:hideMark/>
          </w:tcPr>
          <w:p>
            <w:pPr>
              <w:spacing w:after="0"/>
              <w:jc w:val="right"/>
              <w:rPr>
                <w:rFonts w:ascii="Calibri" w:hAnsi="Calibri" w:cs="Calibri"/>
                <w:noProof/>
                <w:color w:val="000000"/>
                <w:sz w:val="22"/>
                <w:szCs w:val="22"/>
                <w:lang w:val="en-IE" w:eastAsia="en-IE"/>
              </w:rPr>
            </w:pPr>
          </w:p>
        </w:tc>
        <w:tc>
          <w:tcPr>
            <w:tcW w:w="1142"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5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396" w:type="pct"/>
            <w:tcBorders>
              <w:top w:val="single" w:sz="4" w:space="0" w:color="DDEBF7"/>
              <w:left w:val="nil"/>
              <w:bottom w:val="nil"/>
              <w:right w:val="nil"/>
            </w:tcBorders>
            <w:shd w:val="clear" w:color="1F4E78" w:fill="1F4E78"/>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rPr>
      </w:pPr>
      <w:r>
        <w:rPr>
          <w:b/>
          <w:bCs/>
          <w:noProof/>
          <w:szCs w:val="24"/>
        </w:rPr>
        <w:t>Anhang 14.7: Beförderungen „première filière“ – Europäischer Wirtschafts- und Sozialausschuss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63"/>
        <w:gridCol w:w="2266"/>
        <w:gridCol w:w="1101"/>
        <w:gridCol w:w="813"/>
        <w:gridCol w:w="947"/>
        <w:gridCol w:w="813"/>
        <w:gridCol w:w="813"/>
        <w:gridCol w:w="813"/>
        <w:gridCol w:w="813"/>
      </w:tblGrid>
      <w:tr>
        <w:trPr>
          <w:trHeight w:val="300"/>
        </w:trPr>
        <w:tc>
          <w:tcPr>
            <w:tcW w:w="47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32"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0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3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1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3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3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3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3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3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0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1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32"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0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1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16,67 %</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8,33 %</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73" w:type="pct"/>
            <w:tcBorders>
              <w:top w:val="single" w:sz="4" w:space="0" w:color="DDEBF7"/>
              <w:left w:val="nil"/>
              <w:bottom w:val="nil"/>
              <w:right w:val="nil"/>
            </w:tcBorders>
            <w:shd w:val="clear" w:color="1F4E78" w:fill="1F4E78"/>
            <w:noWrap/>
            <w:vAlign w:val="bottom"/>
            <w:hideMark/>
          </w:tcPr>
          <w:p>
            <w:pPr>
              <w:spacing w:after="0"/>
              <w:jc w:val="right"/>
              <w:rPr>
                <w:rFonts w:ascii="Calibri" w:hAnsi="Calibri" w:cs="Calibri"/>
                <w:noProof/>
                <w:sz w:val="22"/>
                <w:szCs w:val="22"/>
                <w:lang w:val="en-IE" w:eastAsia="en-IE"/>
              </w:rPr>
            </w:pPr>
          </w:p>
        </w:tc>
        <w:tc>
          <w:tcPr>
            <w:tcW w:w="1232"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60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160" w:line="259" w:lineRule="auto"/>
        <w:jc w:val="left"/>
        <w:rPr>
          <w:b/>
          <w:bCs/>
          <w:noProof/>
          <w:szCs w:val="24"/>
        </w:rPr>
      </w:pPr>
      <w:r>
        <w:rPr>
          <w:noProof/>
        </w:rPr>
        <w:br w:type="page"/>
      </w:r>
    </w:p>
    <w:p>
      <w:pPr>
        <w:spacing w:after="0"/>
        <w:textAlignment w:val="baseline"/>
        <w:rPr>
          <w:b/>
          <w:bCs/>
          <w:noProof/>
          <w:szCs w:val="24"/>
        </w:rPr>
      </w:pPr>
      <w:r>
        <w:rPr>
          <w:b/>
          <w:bCs/>
          <w:noProof/>
          <w:szCs w:val="24"/>
        </w:rPr>
        <w:t>Anhang 14.8: Beförderungen „première filière“ – Ausschuss der Regionen</w:t>
      </w:r>
    </w:p>
    <w:p>
      <w:pPr>
        <w:spacing w:after="0"/>
        <w:textAlignment w:val="baseline"/>
        <w:rPr>
          <w:b/>
          <w:bCs/>
          <w:noProof/>
          <w:szCs w:val="24"/>
          <w:lang w:val="en-IE"/>
        </w:rPr>
      </w:pPr>
    </w:p>
    <w:p>
      <w:pPr>
        <w:spacing w:after="0"/>
        <w:textAlignment w:val="baseline"/>
        <w:rPr>
          <w:bCs/>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14.9: Beförderungen „première filière“ – Europäischer Bürgerbeauftragter</w:t>
      </w:r>
    </w:p>
    <w:p>
      <w:pPr>
        <w:spacing w:after="0"/>
        <w:textAlignment w:val="baseline"/>
        <w:rPr>
          <w:b/>
          <w:bCs/>
          <w:noProof/>
          <w:szCs w:val="24"/>
          <w:lang w:val="fr-BE"/>
        </w:rPr>
      </w:pPr>
    </w:p>
    <w:p>
      <w:pPr>
        <w:spacing w:after="0"/>
        <w:textAlignment w:val="baseline"/>
        <w:rPr>
          <w:bCs/>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 xml:space="preserve">Anhang 14.10: Beförderungen „première filière“ – Europäischer Datenschutzbeauftragter </w:t>
      </w:r>
    </w:p>
    <w:p>
      <w:pPr>
        <w:spacing w:after="0"/>
        <w:textAlignment w:val="baseline"/>
        <w:rPr>
          <w:b/>
          <w:bCs/>
          <w:noProof/>
          <w:szCs w:val="24"/>
          <w:lang w:val="fr-BE"/>
        </w:rPr>
      </w:pPr>
    </w:p>
    <w:p>
      <w:pPr>
        <w:spacing w:after="0"/>
        <w:textAlignment w:val="baseline"/>
        <w:rPr>
          <w:b/>
          <w:bCs/>
          <w:noProof/>
          <w:szCs w:val="24"/>
        </w:rPr>
      </w:pPr>
      <w:r>
        <w:rPr>
          <w:b/>
          <w:bCs/>
          <w:noProof/>
          <w:szCs w:val="24"/>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14.11: Beförderungen „première filière“ – Einheitlicher Abwicklungsausschuss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9"/>
        <w:gridCol w:w="2394"/>
        <w:gridCol w:w="1176"/>
        <w:gridCol w:w="752"/>
        <w:gridCol w:w="752"/>
        <w:gridCol w:w="752"/>
        <w:gridCol w:w="839"/>
        <w:gridCol w:w="839"/>
        <w:gridCol w:w="839"/>
      </w:tblGrid>
      <w:tr>
        <w:trPr>
          <w:trHeight w:val="300"/>
        </w:trPr>
        <w:tc>
          <w:tcPr>
            <w:tcW w:w="486"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9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3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07"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07"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07"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5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5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5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9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3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0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p>
        </w:tc>
        <w:tc>
          <w:tcPr>
            <w:tcW w:w="407"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407"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95"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36"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07"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p>
        </w:tc>
        <w:tc>
          <w:tcPr>
            <w:tcW w:w="407"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07"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54"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54"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6"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95"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36"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07"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07"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07"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54"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54"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54"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14.12: Beförderungen „première filière“ – Gemeinsames Unternehmen SESAR</w:t>
      </w:r>
    </w:p>
    <w:p>
      <w:pPr>
        <w:spacing w:after="0"/>
        <w:textAlignment w:val="baseline"/>
        <w:rPr>
          <w:b/>
          <w:bCs/>
          <w:noProof/>
          <w:szCs w:val="24"/>
          <w:lang w:val="fr-BE"/>
        </w:rPr>
      </w:pPr>
    </w:p>
    <w:p>
      <w:pPr>
        <w:spacing w:after="0"/>
        <w:textAlignment w:val="baseline"/>
        <w:rPr>
          <w:bCs/>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14.13: Beförderungen „première filière“ – Gemeinsames Unternehmen Shift2Rail</w:t>
      </w:r>
    </w:p>
    <w:p>
      <w:pPr>
        <w:spacing w:after="0"/>
        <w:textAlignment w:val="baseline"/>
        <w:rPr>
          <w:b/>
          <w:bCs/>
          <w:noProof/>
          <w:szCs w:val="24"/>
          <w:lang w:val="en-IE"/>
        </w:rPr>
      </w:pPr>
    </w:p>
    <w:p>
      <w:pPr>
        <w:spacing w:after="0"/>
        <w:textAlignment w:val="baseline"/>
        <w:rPr>
          <w:bCs/>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14.14: Beförderungen „première filière“ – Gemeinsames Unternehmen IMI</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14.15: Beförderungen „première filière“ – Agentur für das Europäische GNSS</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740"/>
        <w:gridCol w:w="2213"/>
        <w:gridCol w:w="966"/>
        <w:gridCol w:w="663"/>
        <w:gridCol w:w="703"/>
        <w:gridCol w:w="703"/>
        <w:gridCol w:w="703"/>
        <w:gridCol w:w="924"/>
        <w:gridCol w:w="703"/>
        <w:gridCol w:w="924"/>
      </w:tblGrid>
      <w:tr>
        <w:trPr>
          <w:trHeight w:val="300"/>
        </w:trPr>
        <w:tc>
          <w:tcPr>
            <w:tcW w:w="45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17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7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341"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370"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370"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37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9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370"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9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17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7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34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p>
        </w:tc>
        <w:tc>
          <w:tcPr>
            <w:tcW w:w="370"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370"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370"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4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3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p>
        </w:tc>
        <w:tc>
          <w:tcPr>
            <w:tcW w:w="4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85"/>
        </w:trPr>
        <w:tc>
          <w:tcPr>
            <w:tcW w:w="4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17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72"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34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93"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93"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r>
      <w:tr>
        <w:trPr>
          <w:trHeight w:val="285"/>
        </w:trPr>
        <w:tc>
          <w:tcPr>
            <w:tcW w:w="45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117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7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4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9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9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14.16: Beförderungen „première filière“ – Frontex</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14.17: Beförderungen „première filière“ – Agentur der Europäischen Union für Grundrechte</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14.18: Beförderungen „première filière“ – Gemeinsames Unternehmen FCH</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14.19: Beförderungen „première filière“ – Internationale ITER-Fusionsenergieorganisation</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14.20: Beförderungen „première filière“ – Europol</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14.21: Beförderungen „première filière“ – Eurojust</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14.22: Beförderungen „première filière“ – Eurofund – (Bedienstete auf Zeit)</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14.23: Beförderungen „première filière“ – Eurofund – (Beamte)</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14.24: Beförderungen „première filière“ – Europäische Agentur für Sicherheit und Gesundheitsschutz am Arbeitsplatz</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14.25: Beförderungen „première filière“ – Agentur der Europäischen Union für das Betriebsmanagement von IT-Großsystemen im Raum der Freiheit, der Sicherheit und des Rechts (eu-LISA)</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160" w:line="259" w:lineRule="auto"/>
        <w:jc w:val="left"/>
        <w:rPr>
          <w:b/>
          <w:bCs/>
          <w:noProof/>
          <w:szCs w:val="24"/>
        </w:rPr>
      </w:pPr>
      <w:r>
        <w:rPr>
          <w:noProof/>
        </w:rPr>
        <w:br w:type="page"/>
      </w:r>
    </w:p>
    <w:p>
      <w:pPr>
        <w:spacing w:after="0"/>
        <w:textAlignment w:val="baseline"/>
        <w:rPr>
          <w:b/>
          <w:bCs/>
          <w:noProof/>
          <w:szCs w:val="24"/>
        </w:rPr>
      </w:pPr>
      <w:r>
        <w:rPr>
          <w:b/>
          <w:bCs/>
          <w:noProof/>
          <w:szCs w:val="24"/>
        </w:rPr>
        <w:t>Anhang 14.26: Beförderungen „première filière“ – Amt der Europäischen Union für geistiges Eigentum – Bedienstete auf Zeit</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765"/>
        <w:gridCol w:w="2213"/>
        <w:gridCol w:w="974"/>
        <w:gridCol w:w="883"/>
        <w:gridCol w:w="883"/>
        <w:gridCol w:w="883"/>
        <w:gridCol w:w="883"/>
        <w:gridCol w:w="883"/>
        <w:gridCol w:w="875"/>
      </w:tblGrid>
      <w:tr>
        <w:trPr>
          <w:trHeight w:val="300"/>
        </w:trPr>
        <w:tc>
          <w:tcPr>
            <w:tcW w:w="426"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10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39"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8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8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8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8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8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8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2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10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3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2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105"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39"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86"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26"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105"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3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6"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 xml:space="preserve">Anhang 14.27: Beförderungen „première filière“ – Amt der Europäischen Union für geistiges Eigentum – Beamte </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750"/>
        <w:gridCol w:w="2213"/>
        <w:gridCol w:w="961"/>
        <w:gridCol w:w="869"/>
        <w:gridCol w:w="924"/>
        <w:gridCol w:w="869"/>
        <w:gridCol w:w="924"/>
        <w:gridCol w:w="869"/>
        <w:gridCol w:w="863"/>
      </w:tblGrid>
      <w:tr>
        <w:trPr>
          <w:trHeight w:val="300"/>
        </w:trPr>
        <w:tc>
          <w:tcPr>
            <w:tcW w:w="42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10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39"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8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8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8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8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8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8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2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10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3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2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105"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39"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11,76 %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7,69 %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11,76 %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3,77 %</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5,17 %</w:t>
            </w:r>
          </w:p>
        </w:tc>
      </w:tr>
      <w:tr>
        <w:trPr>
          <w:trHeight w:val="285"/>
        </w:trPr>
        <w:tc>
          <w:tcPr>
            <w:tcW w:w="425"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105"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3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14.28: Beförderungen „première filière“ – Europäische Stiftung für Berufsbildung</w:t>
      </w:r>
    </w:p>
    <w:p>
      <w:pPr>
        <w:spacing w:after="0"/>
        <w:textAlignment w:val="baseline"/>
        <w:rPr>
          <w:b/>
          <w:bCs/>
          <w:noProof/>
          <w:szCs w:val="24"/>
          <w:lang w:val="en-IE"/>
        </w:rPr>
      </w:pPr>
    </w:p>
    <w:p>
      <w:pPr>
        <w:spacing w:after="0"/>
        <w:textAlignment w:val="baseline"/>
        <w:rPr>
          <w:noProof/>
        </w:rPr>
      </w:pPr>
      <w:r>
        <w:rPr>
          <w:noProof/>
        </w:rPr>
        <w:t>k.A.</w:t>
      </w:r>
    </w:p>
    <w:p>
      <w:pPr>
        <w:spacing w:after="0"/>
        <w:textAlignment w:val="baseline"/>
        <w:rPr>
          <w:b/>
          <w:bCs/>
          <w:noProof/>
          <w:szCs w:val="24"/>
        </w:rPr>
      </w:pPr>
    </w:p>
    <w:p>
      <w:pPr>
        <w:spacing w:after="0"/>
        <w:textAlignment w:val="baseline"/>
        <w:rPr>
          <w:b/>
          <w:bCs/>
          <w:noProof/>
          <w:szCs w:val="24"/>
        </w:rPr>
      </w:pPr>
      <w:r>
        <w:rPr>
          <w:b/>
          <w:bCs/>
          <w:noProof/>
          <w:szCs w:val="24"/>
        </w:rPr>
        <w:t>Anhang 14.29: Beförderungen „première filière“ – Europäische Wertpapier- und Marktaufsichtsbehörde</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14.30: Beförderungen „première filière“ – Eisenbahnagentur der Europäischen Union</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14.31: Beförderungen „première filière“ – Agentur der Europäischen Union für Cybersicherheit (ENISA)</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14.32: Beförderungen „première filière“ – Europäische Agentur für die Sicherheit des Seeverkehrs (EMSA) – Bedienstete auf Zeit</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160" w:line="259" w:lineRule="auto"/>
        <w:jc w:val="left"/>
        <w:rPr>
          <w:b/>
          <w:bCs/>
          <w:noProof/>
          <w:szCs w:val="24"/>
        </w:rPr>
      </w:pPr>
      <w:r>
        <w:rPr>
          <w:noProof/>
        </w:rPr>
        <w:br w:type="page"/>
      </w:r>
    </w:p>
    <w:p>
      <w:pPr>
        <w:spacing w:after="0"/>
        <w:textAlignment w:val="baseline"/>
        <w:rPr>
          <w:b/>
          <w:bCs/>
          <w:noProof/>
          <w:szCs w:val="24"/>
        </w:rPr>
      </w:pPr>
      <w:r>
        <w:rPr>
          <w:b/>
          <w:bCs/>
          <w:noProof/>
          <w:szCs w:val="24"/>
        </w:rPr>
        <w:t>Anhang 14.33: Beförderungen „première filière“ – Europäische Agentur für die Sicherheit des Seeverkehrs (EMSA) – Beamte</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14.34: Beförderungen „première filière“ – Europäische Beobachtungsstelle für Drogen und Drogensucht – Bedienstete auf Zeit</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rPr>
      </w:pPr>
      <w:r>
        <w:rPr>
          <w:b/>
          <w:bCs/>
          <w:noProof/>
          <w:szCs w:val="24"/>
        </w:rPr>
        <w:t xml:space="preserve">Anhang 14.35: Beförderungen „première filière“ – Europäische Beobachtungsstelle für Drogen und Drogensucht – Beamte </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rPr>
      </w:pPr>
      <w:r>
        <w:rPr>
          <w:b/>
          <w:bCs/>
          <w:noProof/>
          <w:szCs w:val="24"/>
        </w:rPr>
        <w:t>Anhang 14.36: Beförderungen „première filière“ – Europäische Arzneimittel-Agentur</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14.37: Beförderungen „première filière“ – Europäisches Innovations- und Technologieinstitut</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14.38: Beförderungen „première filière“ – Europäische Aufsichtsbehörde für das Versicherungswesen und die betriebliche Altersversorgung</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14.39: Beförderungen „première filière“ – Europäisches Institut für Gleichstellungsfragen</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HF</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HA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14.40: Beförderungen „première filière“ – Europäische Behörde für Lebensmittelsicherheit – Bedienstete auf Zeit</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14.41: Beförderungen „première filière“ – Europäische Behörde für Lebensmittelsicherheit – Beamte</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14.42: Beförderungen „première filière“ – Europäische Fischereiaufsichtsagentur</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14.43: Beförderungen „première filière“ – Europäische Umweltagentur – Bedienstete auf Zeit</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944"/>
        <w:gridCol w:w="2456"/>
        <w:gridCol w:w="1198"/>
        <w:gridCol w:w="774"/>
        <w:gridCol w:w="774"/>
        <w:gridCol w:w="774"/>
        <w:gridCol w:w="774"/>
        <w:gridCol w:w="774"/>
        <w:gridCol w:w="774"/>
      </w:tblGrid>
      <w:tr>
        <w:trPr>
          <w:trHeight w:val="300"/>
        </w:trPr>
        <w:tc>
          <w:tcPr>
            <w:tcW w:w="51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3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4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1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1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1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1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1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1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32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4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HF</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32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4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HA</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r>
      <w:tr>
        <w:trPr>
          <w:trHeight w:val="285"/>
        </w:trPr>
        <w:tc>
          <w:tcPr>
            <w:tcW w:w="510"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32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4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14.44: Beförderungen „première filière“ – Europäische Umweltagentur – Beamte</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944"/>
        <w:gridCol w:w="2456"/>
        <w:gridCol w:w="1198"/>
        <w:gridCol w:w="774"/>
        <w:gridCol w:w="774"/>
        <w:gridCol w:w="774"/>
        <w:gridCol w:w="774"/>
        <w:gridCol w:w="774"/>
        <w:gridCol w:w="774"/>
      </w:tblGrid>
      <w:tr>
        <w:trPr>
          <w:trHeight w:val="300"/>
        </w:trPr>
        <w:tc>
          <w:tcPr>
            <w:tcW w:w="51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3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4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1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1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1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1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1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1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32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4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HF</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32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4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HA</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r>
      <w:tr>
        <w:trPr>
          <w:trHeight w:val="285"/>
        </w:trPr>
        <w:tc>
          <w:tcPr>
            <w:tcW w:w="510"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32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4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rPr>
      </w:pPr>
      <w:r>
        <w:rPr>
          <w:b/>
          <w:bCs/>
          <w:noProof/>
          <w:szCs w:val="24"/>
        </w:rPr>
        <w:t xml:space="preserve">Anhang 14.45: Beförderungen „première filière“ – Gemeinsames Unternehmen „Elektronikkomponenten und </w:t>
      </w:r>
      <w:r>
        <w:rPr>
          <w:b/>
          <w:bCs/>
          <w:noProof/>
          <w:szCs w:val="24"/>
        </w:rPr>
        <w:noBreakHyphen/>
        <w:t xml:space="preserve">systeme für eine Führungsrolle Europas“ </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14.46: Beförderungen „première filière“ – Europäische Chemikalienagentur</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14.47: Beförderungen „première filière“ – Europäisches Zentrum für die Prävention und die Kontrolle von Krankheiten</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14.48: Beförderungen „première filière“ – Europäische Bankenaufsichtsbehörde</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160" w:line="259" w:lineRule="auto"/>
        <w:jc w:val="left"/>
        <w:rPr>
          <w:b/>
          <w:bCs/>
          <w:noProof/>
          <w:szCs w:val="24"/>
        </w:rPr>
      </w:pPr>
      <w:r>
        <w:rPr>
          <w:b/>
          <w:bCs/>
          <w:noProof/>
          <w:szCs w:val="24"/>
        </w:rPr>
        <w:br w:type="page"/>
      </w:r>
    </w:p>
    <w:p>
      <w:pPr>
        <w:spacing w:after="0"/>
        <w:textAlignment w:val="baseline"/>
        <w:rPr>
          <w:b/>
          <w:bCs/>
          <w:noProof/>
          <w:szCs w:val="24"/>
        </w:rPr>
      </w:pPr>
      <w:r>
        <w:rPr>
          <w:b/>
          <w:bCs/>
          <w:noProof/>
          <w:szCs w:val="24"/>
        </w:rPr>
        <w:t>Anhang 14.49: Beförderungen „première filière“ – Europäisches Unterstützungsbüro für Asylfragen</w:t>
      </w:r>
    </w:p>
    <w:p>
      <w:pPr>
        <w:spacing w:after="0"/>
        <w:textAlignment w:val="baseline"/>
        <w:rPr>
          <w:noProof/>
          <w:szCs w:val="24"/>
          <w:lang w:val="fr-BE"/>
        </w:rPr>
      </w:pPr>
    </w:p>
    <w:p>
      <w:pPr>
        <w:spacing w:after="0"/>
        <w:textAlignment w:val="baseline"/>
        <w:rPr>
          <w:noProof/>
          <w:szCs w:val="24"/>
        </w:rPr>
      </w:pPr>
      <w:r>
        <w:rPr>
          <w:noProof/>
        </w:rPr>
        <w:t>k.A.</w:t>
      </w:r>
    </w:p>
    <w:p>
      <w:pPr>
        <w:spacing w:after="0"/>
        <w:textAlignment w:val="baseline"/>
        <w:rPr>
          <w:b/>
          <w:bCs/>
          <w:noProof/>
          <w:szCs w:val="24"/>
          <w:lang w:val="fr-BE"/>
        </w:rPr>
      </w:pPr>
    </w:p>
    <w:p>
      <w:pPr>
        <w:spacing w:after="0"/>
        <w:textAlignment w:val="baseline"/>
        <w:rPr>
          <w:b/>
          <w:bCs/>
          <w:noProof/>
          <w:szCs w:val="24"/>
        </w:rPr>
      </w:pPr>
      <w:r>
        <w:rPr>
          <w:b/>
          <w:bCs/>
          <w:noProof/>
          <w:szCs w:val="24"/>
        </w:rPr>
        <w:t>Anhang 14.50: Beförderungen „première filière“ – Agentur der Europäischen Union für Flugsicherheit</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14.51: Beförderungen „première filière“ – Gemeinsames Unternehmen Clean Sky</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14.52: Beförderungen „première filière“ – Gemeinschaftliches Sortenamt – Bedienstete auf Zeit</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794"/>
        <w:gridCol w:w="2213"/>
        <w:gridCol w:w="1024"/>
        <w:gridCol w:w="813"/>
        <w:gridCol w:w="813"/>
        <w:gridCol w:w="813"/>
        <w:gridCol w:w="924"/>
        <w:gridCol w:w="924"/>
        <w:gridCol w:w="924"/>
      </w:tblGrid>
      <w:tr>
        <w:trPr>
          <w:trHeight w:val="300"/>
        </w:trPr>
        <w:tc>
          <w:tcPr>
            <w:tcW w:w="45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192"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58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21"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21"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21"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0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0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0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5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19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5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2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2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2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5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192"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582"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21"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21"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21"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r>
      <w:tr>
        <w:trPr>
          <w:trHeight w:val="285"/>
        </w:trPr>
        <w:tc>
          <w:tcPr>
            <w:tcW w:w="458"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19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8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2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2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2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0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0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0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14.53: Beförderungen „première filière“ – Gemeinschaftliches Sortenamt – Beamte</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944"/>
        <w:gridCol w:w="2456"/>
        <w:gridCol w:w="1198"/>
        <w:gridCol w:w="774"/>
        <w:gridCol w:w="774"/>
        <w:gridCol w:w="774"/>
        <w:gridCol w:w="774"/>
        <w:gridCol w:w="774"/>
        <w:gridCol w:w="774"/>
      </w:tblGrid>
      <w:tr>
        <w:trPr>
          <w:trHeight w:val="300"/>
        </w:trPr>
        <w:tc>
          <w:tcPr>
            <w:tcW w:w="51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3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4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1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1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1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1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1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1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32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4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32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4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w:t>
            </w:r>
          </w:p>
        </w:tc>
      </w:tr>
      <w:tr>
        <w:trPr>
          <w:trHeight w:val="285"/>
        </w:trPr>
        <w:tc>
          <w:tcPr>
            <w:tcW w:w="510"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32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4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14.54: Beförderungen „première filière“ – Europäisches Zentrum für die Förderung der Berufsbildung – Bedienstete auf Zeit</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14.55: Beförderungen „première filière“ – Europäisches Zentrum für die Förderung der Berufsbildung – Beamte</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fr-BE"/>
        </w:rPr>
      </w:pPr>
    </w:p>
    <w:p>
      <w:pPr>
        <w:spacing w:after="160" w:line="259" w:lineRule="auto"/>
        <w:jc w:val="left"/>
        <w:rPr>
          <w:b/>
          <w:bCs/>
          <w:noProof/>
          <w:szCs w:val="24"/>
        </w:rPr>
      </w:pPr>
      <w:r>
        <w:rPr>
          <w:b/>
          <w:bCs/>
          <w:noProof/>
          <w:szCs w:val="24"/>
        </w:rPr>
        <w:br w:type="page"/>
      </w:r>
    </w:p>
    <w:p>
      <w:pPr>
        <w:spacing w:after="0"/>
        <w:textAlignment w:val="baseline"/>
        <w:rPr>
          <w:b/>
          <w:bCs/>
          <w:noProof/>
          <w:szCs w:val="24"/>
        </w:rPr>
      </w:pPr>
      <w:r>
        <w:rPr>
          <w:b/>
          <w:bCs/>
          <w:noProof/>
          <w:szCs w:val="24"/>
        </w:rPr>
        <w:t>Anhang 14.56: Beförderungen „première filière“ – Übersetzungszentrum – Bedienstete auf Zeit</w:t>
      </w: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14.57: Beförderungen „première filière“ – Übersetzungszentrum – Beamte</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14.58: Beförderungen „première filière“ – Gremium europäischer Regulierungsstellen für elektronische Kommunikation</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14.59: Beförderungen „première filière“ – Gemeinsames Unternehmen für biobasierte Industriezweige</w:t>
      </w:r>
    </w:p>
    <w:p>
      <w:pPr>
        <w:spacing w:after="0"/>
        <w:textAlignment w:val="baseline"/>
        <w:rPr>
          <w:noProof/>
          <w:szCs w:val="24"/>
          <w:lang w:val="en-IE"/>
        </w:rPr>
      </w:pPr>
    </w:p>
    <w:p>
      <w:pPr>
        <w:spacing w:after="0"/>
        <w:textAlignment w:val="baseline"/>
        <w:rPr>
          <w:noProof/>
          <w:szCs w:val="24"/>
        </w:rPr>
      </w:pPr>
      <w:r>
        <w:rPr>
          <w:noProof/>
        </w:rPr>
        <w:t>k.A.</w:t>
      </w:r>
    </w:p>
    <w:p>
      <w:pPr>
        <w:spacing w:after="0"/>
        <w:textAlignment w:val="baseline"/>
        <w:rPr>
          <w:b/>
          <w:bCs/>
          <w:noProof/>
          <w:szCs w:val="24"/>
          <w:lang w:val="en-IE"/>
        </w:rPr>
      </w:pPr>
    </w:p>
    <w:p>
      <w:pPr>
        <w:spacing w:after="0"/>
        <w:textAlignment w:val="baseline"/>
        <w:rPr>
          <w:b/>
          <w:bCs/>
          <w:noProof/>
          <w:szCs w:val="24"/>
        </w:rPr>
      </w:pPr>
      <w:r>
        <w:rPr>
          <w:b/>
          <w:bCs/>
          <w:noProof/>
          <w:szCs w:val="24"/>
        </w:rPr>
        <w:t>Anhang 14.60: Beförderungen „première filière“ – Agentur für die Zusammenarbeit der Energieregulierungsbehörden</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FG</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TYP</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rPr>
          <w:b/>
          <w:noProof/>
        </w:rPr>
      </w:pPr>
      <w:r>
        <w:rPr>
          <w:b/>
          <w:noProof/>
        </w:rPr>
        <w:t>Anhang 15: Beförderungen „deuxième filière“</w:t>
      </w:r>
    </w:p>
    <w:p>
      <w:pPr>
        <w:rPr>
          <w:b/>
          <w:noProof/>
          <w:lang w:val="en-IE"/>
        </w:rPr>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pPr>
    </w:p>
    <w:p>
      <w:pPr>
        <w:spacing w:after="0"/>
        <w:textAlignment w:val="baseline"/>
        <w:rPr>
          <w:noProof/>
          <w:szCs w:val="24"/>
        </w:rPr>
      </w:pPr>
      <w:r>
        <w:rPr>
          <w:b/>
          <w:bCs/>
          <w:noProof/>
          <w:szCs w:val="24"/>
        </w:rPr>
        <w:t>Anhang 15.1: Beförderungen „deuxième filière“ </w:t>
      </w:r>
      <w:r>
        <w:rPr>
          <w:b/>
          <w:noProof/>
          <w:szCs w:val="24"/>
        </w:rPr>
        <w:t>– Europäische Kommission</w:t>
      </w:r>
      <w:r>
        <w:rPr>
          <w:noProof/>
        </w:rPr>
        <w:t xml:space="preserve"> </w:t>
      </w: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252"/>
        <w:gridCol w:w="1279"/>
        <w:gridCol w:w="1279"/>
        <w:gridCol w:w="1279"/>
        <w:gridCol w:w="1279"/>
        <w:gridCol w:w="1279"/>
        <w:gridCol w:w="1279"/>
      </w:tblGrid>
      <w:tr>
        <w:trPr>
          <w:trHeight w:val="310"/>
        </w:trPr>
        <w:tc>
          <w:tcPr>
            <w:tcW w:w="311" w:type="pct"/>
            <w:tcBorders>
              <w:top w:val="nil"/>
              <w:left w:val="nil"/>
              <w:bottom w:val="nil"/>
              <w:right w:val="nil"/>
            </w:tcBorders>
            <w:shd w:val="clear" w:color="auto" w:fill="auto"/>
            <w:noWrap/>
            <w:vAlign w:val="bottom"/>
            <w:hideMark/>
          </w:tcPr>
          <w:p>
            <w:pPr>
              <w:spacing w:after="160" w:line="259" w:lineRule="auto"/>
              <w:jc w:val="left"/>
              <w:rPr>
                <w:noProof/>
                <w:sz w:val="20"/>
              </w:rPr>
            </w:pPr>
            <w:r>
              <w:rPr>
                <w:rFonts w:asciiTheme="minorHAnsi" w:hAnsiTheme="minorHAnsi"/>
                <w:noProof/>
                <w:sz w:val="22"/>
                <w:szCs w:val="22"/>
              </w:rPr>
              <w:t xml:space="preserve"> </w:t>
            </w:r>
          </w:p>
        </w:tc>
        <w:tc>
          <w:tcPr>
            <w:tcW w:w="21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1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9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6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3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3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3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3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3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3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3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21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31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9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6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4,11 %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2,12 %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4,68 %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5,08 %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5,29 %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25,54 %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3,15 %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2,56 %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34,63 %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23,35 %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22,50 %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23,72 %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23,93 %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24,23 %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26,25 %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25,49 %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25,35 %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27,37 %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27,31 %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27,67 %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25,57 %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25,13 %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28,01 %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23,32 %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24,31 %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24,96 %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24,74 %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24,80 %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25,22 %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32,61 %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31,37 %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31,42 %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32,60 %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33,29 %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32,28 %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32,91 %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30,30 %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33,28 %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35,83 %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34,79 %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35,92 %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35,83 %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37,89 %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33,50 %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34,04 %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36,45 %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37,30 %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39,66 %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41,47 %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39,25 %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41,49 %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38,95 %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44,76 %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43,75 %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41,78 %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47,82 %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46,99 %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8,92 %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12,41 %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9,55 %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13,00 %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13,06 %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19,39 %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11,27 %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17,66 %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22,74 %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22,92 %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21,50 %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22,09 %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20,16 %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20,59 %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22,91 %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26,17 %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26,64 %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25,70 %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24,09 %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23,44 %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22,70 %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25,57 %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25,28 %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25,07 %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24,96 %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24,66 %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24,12 %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25,18 %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25,96 %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26,45 %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25,84 %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25,22 %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24,63 %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24,40 %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25,81 %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36,21 %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32,22 %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33,60 %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31,98 %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33,91 %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34,07 %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33,12 %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33,78 %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30,23 %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34,02 %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32,78 %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36,13 %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36,88 %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40,19 %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34,29 %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32,72 %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34,88 %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34,73 %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39,82 %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46,86 %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54,17 %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41,85 %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32,86 %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41,10 %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53,85 %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73,49 %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12,18 %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17,24 %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18,89 %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27,14 %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37,14 %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54,55 %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6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6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6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6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11,63 %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16,24 %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10"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6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8,93 %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9,27 %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22,02 %</w:t>
            </w:r>
          </w:p>
        </w:tc>
      </w:tr>
    </w:tbl>
    <w:p>
      <w:pPr>
        <w:spacing w:after="0"/>
        <w:textAlignment w:val="baseline"/>
        <w:rPr>
          <w:b/>
          <w:bCs/>
          <w:noProof/>
          <w:szCs w:val="24"/>
        </w:rPr>
      </w:pPr>
      <w:r>
        <w:rPr>
          <w:b/>
          <w:bCs/>
          <w:noProof/>
          <w:szCs w:val="24"/>
        </w:rPr>
        <w:t xml:space="preserve">Anhang 15.2: Beförderungen „deuxième filière“ – Europäisches Parlament </w:t>
      </w:r>
    </w:p>
    <w:p>
      <w:pPr>
        <w:spacing w:after="0"/>
        <w:textAlignment w:val="baseline"/>
        <w:rPr>
          <w:b/>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7"/>
        <w:gridCol w:w="1303"/>
        <w:gridCol w:w="1303"/>
        <w:gridCol w:w="1303"/>
        <w:gridCol w:w="1303"/>
        <w:gridCol w:w="1303"/>
        <w:gridCol w:w="1304"/>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7,80 %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5,74 %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34,48 %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0,58 %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4,81 %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22,64 %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19,11 %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32,75 %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36,16 %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32,28 %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20,88 %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40,49 %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25,32 %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26,73 %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18,56 %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17,84 %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21,02 %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18,85 %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30,27 %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20,81 %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29,23 %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35,85 %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35,43 %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36,59 %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35,63 %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27,49 %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38,59 %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41,06 %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35,94 %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26,82 %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52,07 %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37,72 %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38,34 %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45,77 %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47,02 %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28,95 %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22,94 %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35,48 %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32,45 %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34,71 %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40,50 %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18,35 %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10,20 %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7,94 %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6,15 %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22,62 %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5,62 %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11,83 %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22,66 %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24,21 %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41,19 %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23,10 %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24,19 %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20,97 %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24,23 %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25,14 %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29,37 %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27,05 %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39,07 %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31,19 %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24,13 %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24,25 %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25,59 %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25,25 %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24,55 %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30,80 %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31,63 %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22,13 %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18,27 %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37,64 %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18,36 %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27,61 %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36,46 %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41,46 %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36,72 %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30,73 %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41,62 %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37,06 %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33,53 %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41,44 %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60,99 %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34,31 %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43,26 %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52,07 %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36,52 %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60,34 %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37,91 %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68,62 %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46,58 %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72,73 %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14,48 %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8,82 %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4,92 %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13,51 %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27,84 %</w:t>
            </w:r>
          </w:p>
        </w:tc>
      </w:tr>
    </w:tbl>
    <w:p>
      <w:pPr>
        <w:spacing w:after="0"/>
        <w:textAlignment w:val="baseline"/>
        <w:rPr>
          <w:b/>
          <w:bCs/>
          <w:noProof/>
          <w:szCs w:val="24"/>
        </w:rPr>
      </w:pPr>
      <w:r>
        <w:rPr>
          <w:b/>
          <w:bCs/>
          <w:noProof/>
          <w:szCs w:val="24"/>
        </w:rPr>
        <w:t xml:space="preserve">Anhang 15.3: Beförderungen „deuxième filière“ – Rat der Europäischen Union </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275"/>
        <w:gridCol w:w="1275"/>
        <w:gridCol w:w="1275"/>
        <w:gridCol w:w="1275"/>
        <w:gridCol w:w="1275"/>
        <w:gridCol w:w="1275"/>
        <w:gridCol w:w="1276"/>
      </w:tblGrid>
      <w:tr>
        <w:trPr>
          <w:trHeight w:val="310"/>
        </w:trPr>
        <w:tc>
          <w:tcPr>
            <w:tcW w:w="221"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1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16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0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4"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61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61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61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61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61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61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2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1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16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0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20,41 %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15,15 %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3,40 %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4,58 %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5,00 %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5,79 %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25,40 %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15,43 %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2,16 %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1,84 %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1,67 %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2,65 %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3,19 %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22,07 %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25,64 %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26,04 %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27,50 %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27,63 %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28,38 %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26,03 %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25,37 %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25,30 %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28,05 %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25,58 %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25,24 %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25,58 %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25,56 %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27,55 %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25,56 %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25,49 %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25,28 %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33,72 %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33,67 %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36,84 %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38,85 %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33,53 %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33,51 %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36,18 %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33,10 %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36,05 %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38,42 %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38,55 %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36,05 %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38,97 %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33,12 %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36,64 %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38,79 %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41,88 %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40,17 %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36,67 %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40,16 %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36,44 %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29,41 %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35,14 %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37,41 %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34,43 %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36,59 %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26,09 %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22,22 %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22,22 %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23,53 %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22,22 %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22,73 %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20,83 %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20,93 %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25,29 %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25,77 %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25,16 %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25,15 %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25,52 %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20,51 %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25,10 %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25,31 %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25,74 %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13,57 %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14,50 %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21,71 %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25,23 %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25,27 %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25,48 %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25,34 %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25,53 %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25,34 %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20,41 %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25,31 %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24,84 %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25,43 %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23,56 %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28,97 %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33,55 %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33,14 %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33,52 %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33,00 %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33,33 %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33,64 %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32,37 %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33,18 %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33,04 %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33,04 %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33,04 %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33,97 %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33,52 %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33,55 %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33,62 %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35,14 %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33,33 %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33,57 %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32,95 %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33,33 %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26,67 %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rPr>
            </w:pPr>
            <w:r>
              <w:rPr>
                <w:rFonts w:ascii="Calibri" w:hAnsi="Calibri"/>
                <w:noProof/>
                <w:sz w:val="22"/>
                <w:szCs w:val="22"/>
              </w:rPr>
              <w:t>50,00 %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12,50 %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11,76 %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14,29 %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20,00 %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000000"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22,73 %</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10"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614" w:type="pct"/>
            <w:tcBorders>
              <w:top w:val="nil"/>
              <w:left w:val="nil"/>
              <w:bottom w:val="single" w:sz="4" w:space="0" w:color="DDEBF7"/>
              <w:right w:val="nil"/>
            </w:tcBorders>
            <w:shd w:val="clear" w:color="000000"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13,48 %</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25,29 %</w:t>
            </w:r>
          </w:p>
        </w:tc>
      </w:tr>
    </w:tbl>
    <w:p>
      <w:pPr>
        <w:spacing w:after="0"/>
        <w:textAlignment w:val="baseline"/>
        <w:rPr>
          <w:b/>
          <w:bCs/>
          <w:noProof/>
          <w:szCs w:val="24"/>
        </w:rPr>
      </w:pPr>
      <w:r>
        <w:rPr>
          <w:b/>
          <w:bCs/>
          <w:noProof/>
          <w:szCs w:val="24"/>
        </w:rPr>
        <w:t xml:space="preserve">Anhang 15.4: Beförderungen „deuxième filière“ – Gerichtshof </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7"/>
        <w:gridCol w:w="1303"/>
        <w:gridCol w:w="1303"/>
        <w:gridCol w:w="1303"/>
        <w:gridCol w:w="1303"/>
        <w:gridCol w:w="1303"/>
        <w:gridCol w:w="1304"/>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17,58 %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9,35 %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10,68 %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11,90 %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6,85 %</w:t>
            </w:r>
          </w:p>
        </w:tc>
        <w:tc>
          <w:tcPr>
            <w:tcW w:w="565" w:type="pct"/>
            <w:tcBorders>
              <w:top w:val="nil"/>
              <w:left w:val="nil"/>
              <w:bottom w:val="nil"/>
              <w:right w:val="nil"/>
            </w:tcBorders>
            <w:shd w:val="clear" w:color="000000"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23,21 %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4,39 %</w:t>
            </w:r>
          </w:p>
        </w:tc>
        <w:tc>
          <w:tcPr>
            <w:tcW w:w="565" w:type="pct"/>
            <w:tcBorders>
              <w:top w:val="nil"/>
              <w:left w:val="nil"/>
              <w:bottom w:val="nil"/>
              <w:right w:val="nil"/>
            </w:tcBorders>
            <w:shd w:val="clear" w:color="000000"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31,82 %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16,22 %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21,74 %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15,00 %</w:t>
            </w:r>
          </w:p>
        </w:tc>
        <w:tc>
          <w:tcPr>
            <w:tcW w:w="565" w:type="pct"/>
            <w:tcBorders>
              <w:top w:val="single" w:sz="4" w:space="0" w:color="DDEBF7"/>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21,21 %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25,93 %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12,28 %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30,26 %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26,71 %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15,63 %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32,08 %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13,86 %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34,94 %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20,38 %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19,90 %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26,71 %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36,43 %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32,23 %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35,20 %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41,38 %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32,20 %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34,78 %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43,36 %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28,93 %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38,30 %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9,52 %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65,22 %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54,84 %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65,22 %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55,17 %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32,14 %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13,51 %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14,81 %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22,86 %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18,42 %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39,39 %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26,98 %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18,46 %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25,45 %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17,31 %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30,65 %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17,78 %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22,41 %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34,15 %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13,73 %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29,90 %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25,97 %</w:t>
            </w:r>
          </w:p>
        </w:tc>
      </w:tr>
      <w:tr>
        <w:trPr>
          <w:trHeight w:val="323"/>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29,55 %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22,34 %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18,37 %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24,74 %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29,84 %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38,75 %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27,38 %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23,16 %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17,91 %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26,42 %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35,79 %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26,96 %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40,48 %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32,56 %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32,14 %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35,94 %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21,15 %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24,24 %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12,20 %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20,83 %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26,19 %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bl>
    <w:p>
      <w:pPr>
        <w:spacing w:after="0"/>
        <w:textAlignment w:val="baseline"/>
        <w:rPr>
          <w:b/>
          <w:bCs/>
          <w:noProof/>
          <w:szCs w:val="24"/>
        </w:rPr>
      </w:pPr>
      <w:r>
        <w:rPr>
          <w:b/>
          <w:bCs/>
          <w:noProof/>
          <w:szCs w:val="24"/>
        </w:rPr>
        <w:t>Anhang 15.5: Beförderungen „deuxième filière“ – Europäischer Rechnungshof</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7"/>
        <w:gridCol w:w="1303"/>
        <w:gridCol w:w="1303"/>
        <w:gridCol w:w="1303"/>
        <w:gridCol w:w="1303"/>
        <w:gridCol w:w="1303"/>
        <w:gridCol w:w="1304"/>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13,89 %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20,69 %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9,52 %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30,30 %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7,27 %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11,54 %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16,13 %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20,45 %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18,60 %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8,93 %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18,46 %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21,82 %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21,31 %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27,94 %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36,11 %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45,24 %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26,47 %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38,71 %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17,24 %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9,30 %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31,58 %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22,45 %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46,94 %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28,72 %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32,69 %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25,35 %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30,21 %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30,91 %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40,91 %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50,68 %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31,75 %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47,13 %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41,27 %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30,36 %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39,66 %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39,13 %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34,88 %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44,64 %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46,51 %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47,83 %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46,43 %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37,04 %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72,00 %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9,52 %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15,79 %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15,79 %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15,79 %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21,05 %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23,53 %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41,18 %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19,23 %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36,84 %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24,14 %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34,62 %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34,78 %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21,74 %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21,74 %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34,78 %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22,58 %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13,16 %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26,32 %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31,25 %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31,03 %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28,95 %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30,61 %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31,82 %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43,59 %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52,38 %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45,45 %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30,77 %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58,33 %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bl>
    <w:p>
      <w:pPr>
        <w:spacing w:after="0"/>
        <w:textAlignment w:val="baseline"/>
        <w:rPr>
          <w:b/>
          <w:bCs/>
          <w:noProof/>
          <w:szCs w:val="24"/>
        </w:rPr>
      </w:pPr>
      <w:r>
        <w:rPr>
          <w:b/>
          <w:bCs/>
          <w:noProof/>
          <w:szCs w:val="24"/>
        </w:rPr>
        <w:t>Anhang 15.6: Beförderungen „deuxième filière“ – Europäischer Auswärtiger Dienst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7,86 %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9,89 %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14,37 %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17,65 %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15,09 %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12,70 %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27,37 %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5,63 %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4,42 %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10,17 %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23,08 %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14,81 %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36,17 %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26,53 %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36,36 %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29,63 %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37,70 %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30,77 %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36,36 %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32,50 %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28,89 %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35,14 %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34,38 %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28,95 %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29,09 %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53,33 %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30,30 %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38,71 %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36,36 %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36,84 %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34,15 %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45,00 %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37,04 %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53,85 %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41,67 %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38,46 %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32,36 %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54,29 %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35,90 %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21,05 %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55,56 %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46,67 %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11,76 %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66,67 %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63,63 %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36,36 %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23,81 %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11,54 %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17,65 %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16,95 %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20,45 %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19,61 %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28,85 %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22,45 %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15,58 %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15,66 %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22,62 %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23,33 %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24,18 %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31,03 %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25,61 %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27,63 %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28,21 %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23,08 %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26,88 %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25,53 %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28,40 %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24,72 %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26,44 %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29,76 %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24,71 %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27,54 %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48,15 %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36,11 %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30,99 %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32,98 %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34,74 %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42,62 %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29,58 %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42,47 %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34,52 %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29,76 %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35,71 %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31,25 %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41,07 %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27,69 %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38,89 %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36,73 %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35,71 %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60,53 %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20,83 %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32,61 %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34,29 %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27,78 %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14,29 %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37,50 %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30,77 %</w:t>
            </w:r>
          </w:p>
        </w:tc>
      </w:tr>
    </w:tbl>
    <w:p>
      <w:pPr>
        <w:spacing w:after="0"/>
        <w:textAlignment w:val="baseline"/>
        <w:rPr>
          <w:b/>
          <w:bCs/>
          <w:noProof/>
          <w:szCs w:val="24"/>
        </w:rPr>
      </w:pPr>
      <w:r>
        <w:rPr>
          <w:b/>
          <w:bCs/>
          <w:noProof/>
          <w:szCs w:val="24"/>
        </w:rPr>
        <w:t>Anhang 15.7: Beförderungen „deuxième filière“ – Europäischer Wirtschafts- und Sozialausschuss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7"/>
        <w:gridCol w:w="1303"/>
        <w:gridCol w:w="1303"/>
        <w:gridCol w:w="1303"/>
        <w:gridCol w:w="1303"/>
        <w:gridCol w:w="1303"/>
        <w:gridCol w:w="1304"/>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13,89 %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14,81 %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13,04 %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7,89 %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5,13 %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22,73 %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31,58 %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29,41 %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35,71 %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14,81 %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19,57 %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27,45 %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26,92 %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30,30 %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25,53 %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39,22 %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26,53 %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25,45 %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34,69 %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36,84 %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38,18 %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36,96 %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47,50 %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54,55 %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36,07 %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43,18 %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36,84 %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30,43 %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46,88 %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43,75 %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36,84 %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64,71 %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17,39 %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24,14 %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24,24 %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25,81 %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21,21 %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24,32 %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19,35 %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26,83 %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20,51 %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27,50 %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22,73 %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11,36 %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13,21 %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23,91 %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25,53 %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22,45 %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21,82 %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29,31 %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29,55 %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29,17 %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29,79 %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32,08 %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31,37 %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34,62 %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33,96 %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32,69 %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47,92 %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38,24 %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44,12 %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32,43 %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36,67 %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61,71 %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r>
    </w:tbl>
    <w:p>
      <w:pPr>
        <w:spacing w:after="0"/>
        <w:textAlignment w:val="baseline"/>
        <w:rPr>
          <w:b/>
          <w:bCs/>
          <w:noProof/>
          <w:szCs w:val="24"/>
        </w:rPr>
      </w:pPr>
      <w:r>
        <w:rPr>
          <w:b/>
          <w:bCs/>
          <w:noProof/>
          <w:szCs w:val="24"/>
        </w:rPr>
        <w:t>Anhang 15.8: Beförderungen „deuxième filière“ – Ausschuss der Regionen</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184"/>
        <w:gridCol w:w="198"/>
        <w:gridCol w:w="815"/>
        <w:gridCol w:w="660"/>
        <w:gridCol w:w="1475"/>
        <w:gridCol w:w="662"/>
        <w:gridCol w:w="386"/>
        <w:gridCol w:w="826"/>
        <w:gridCol w:w="360"/>
        <w:gridCol w:w="943"/>
        <w:gridCol w:w="371"/>
        <w:gridCol w:w="932"/>
        <w:gridCol w:w="408"/>
        <w:gridCol w:w="895"/>
        <w:gridCol w:w="419"/>
        <w:gridCol w:w="884"/>
        <w:gridCol w:w="408"/>
        <w:gridCol w:w="895"/>
        <w:gridCol w:w="295"/>
        <w:gridCol w:w="1009"/>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gridSpan w:val="2"/>
            <w:tcBorders>
              <w:top w:val="nil"/>
              <w:left w:val="nil"/>
              <w:bottom w:val="nil"/>
              <w:right w:val="nil"/>
            </w:tcBorders>
            <w:shd w:val="clear" w:color="auto" w:fill="auto"/>
            <w:noWrap/>
            <w:vAlign w:val="bottom"/>
            <w:hideMark/>
          </w:tcPr>
          <w:p>
            <w:pPr>
              <w:spacing w:after="0"/>
              <w:jc w:val="left"/>
              <w:rPr>
                <w:noProof/>
                <w:sz w:val="20"/>
                <w:lang w:val="en-IE"/>
              </w:rPr>
            </w:pPr>
          </w:p>
        </w:tc>
        <w:tc>
          <w:tcPr>
            <w:tcW w:w="257" w:type="pct"/>
            <w:gridSpan w:val="2"/>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gridSpan w:val="2"/>
            <w:tcBorders>
              <w:top w:val="nil"/>
              <w:left w:val="nil"/>
              <w:bottom w:val="nil"/>
              <w:right w:val="nil"/>
            </w:tcBorders>
            <w:shd w:val="clear" w:color="auto" w:fill="auto"/>
            <w:noWrap/>
            <w:vAlign w:val="bottom"/>
            <w:hideMark/>
          </w:tcPr>
          <w:p>
            <w:pPr>
              <w:spacing w:after="0"/>
              <w:jc w:val="left"/>
              <w:rPr>
                <w:noProof/>
                <w:sz w:val="20"/>
                <w:lang w:val="en-IE"/>
              </w:rPr>
            </w:pPr>
          </w:p>
        </w:tc>
        <w:tc>
          <w:tcPr>
            <w:tcW w:w="598" w:type="pct"/>
            <w:gridSpan w:val="2"/>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gridSpan w:val="2"/>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gridSpan w:val="2"/>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gridSpan w:val="2"/>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gridSpan w:val="2"/>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gridSpan w:val="2"/>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gridSpan w:val="2"/>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7"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8,33 %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12,50 %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5,56 %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26,67 %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14,29 %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31,58 %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11,11 %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8,70 %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3,57 %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11,11 %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7,69 %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21,05 %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27,78 %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23,53 %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38,89 %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9,09 %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36,36 %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52"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23,08 %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27,27 %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21,43 %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29,41 %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22,22 %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23,81 %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23,08 %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23,53 %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31,58 %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21,95 %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52"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17,65 %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44,83 %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32,26 %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27,66 %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39,53 %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32,65 %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25,86 %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36,76 %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37,04 %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30,00 %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34,38 %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34,48 %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40,58 %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35,48 %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36,36 %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36,67 %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32,00 %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37,50 %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42,86 %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38,46 %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46,43 %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47,62 %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63,64 %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7,69 %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12,50 %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14,29 %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27,27 %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44,44 %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18,18 %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12,50 %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18,75 %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26,32 %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19,05 %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22,73 %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18,18 %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26,09 %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28,00 %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28,00 %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28,00 %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23,08 %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27,27 %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28,13 %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31,43 %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37,93 %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34,48 %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43,75 %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31,43 %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35,48 %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35,48 %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35,00 %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31,58 %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35,14 %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37,84 %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30,00 %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39,29 %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32,00 %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35,71 %</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41,67 %</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64,29 %</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30,77 %</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75,00 %</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23,08 %</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62,50 %</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78"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1"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25"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409" w:type="pct"/>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78"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1"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25"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409" w:type="pct"/>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32" w:type="pct"/>
            <w:gridSpan w:val="2"/>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78"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61"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bl>
    <w:p>
      <w:pPr>
        <w:spacing w:after="0"/>
        <w:textAlignment w:val="baseline"/>
        <w:rPr>
          <w:b/>
          <w:bCs/>
          <w:noProof/>
          <w:szCs w:val="24"/>
        </w:rPr>
      </w:pPr>
      <w:r>
        <w:rPr>
          <w:b/>
          <w:bCs/>
          <w:noProof/>
          <w:szCs w:val="24"/>
        </w:rPr>
        <w:t>Anhang 15.9: Beförderungen „deuxième filière“ – Europäischer Bürgerbeauftragter</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7"/>
        <w:gridCol w:w="1303"/>
        <w:gridCol w:w="1303"/>
        <w:gridCol w:w="1303"/>
        <w:gridCol w:w="1303"/>
        <w:gridCol w:w="1303"/>
        <w:gridCol w:w="1304"/>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66,66 %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16,66 %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80,00 %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 xml:space="preserve">Anhang 15.10: Beförderungen „deuxième filière“ – Europäischer Datenschutzbeauftragter </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75"/>
        <w:gridCol w:w="1308"/>
        <w:gridCol w:w="1308"/>
        <w:gridCol w:w="1308"/>
        <w:gridCol w:w="1309"/>
        <w:gridCol w:w="1309"/>
        <w:gridCol w:w="1309"/>
      </w:tblGrid>
      <w:tr>
        <w:trPr>
          <w:trHeight w:val="310"/>
        </w:trPr>
        <w:tc>
          <w:tcPr>
            <w:tcW w:w="211" w:type="pct"/>
            <w:tcBorders>
              <w:top w:val="nil"/>
              <w:left w:val="nil"/>
              <w:bottom w:val="nil"/>
              <w:right w:val="nil"/>
            </w:tcBorders>
            <w:shd w:val="clear" w:color="auto" w:fill="auto"/>
            <w:noWrap/>
            <w:vAlign w:val="bottom"/>
            <w:hideMark/>
          </w:tcPr>
          <w:p>
            <w:pPr>
              <w:spacing w:after="0"/>
              <w:jc w:val="left"/>
              <w:rPr>
                <w:noProof/>
                <w:sz w:val="20"/>
                <w:szCs w:val="24"/>
                <w:lang w:val="fr-BE"/>
              </w:rPr>
            </w:pPr>
          </w:p>
        </w:tc>
        <w:tc>
          <w:tcPr>
            <w:tcW w:w="194"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7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0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2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98"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9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98"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98"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98"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98"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17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2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98" w:type="pct"/>
            <w:tcBorders>
              <w:top w:val="single" w:sz="4" w:space="0" w:color="auto"/>
              <w:left w:val="single" w:sz="4" w:space="0" w:color="auto"/>
              <w:bottom w:val="single" w:sz="4" w:space="0" w:color="auto"/>
              <w:right w:val="single" w:sz="4" w:space="0" w:color="auto"/>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2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66,67 %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75,00 %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11,11 %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77,78 %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18,18 %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66,67 %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66,67 %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66,67 %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4"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w:t>
            </w:r>
          </w:p>
        </w:tc>
      </w:tr>
    </w:tbl>
    <w:p>
      <w:pPr>
        <w:spacing w:after="0"/>
        <w:textAlignment w:val="baseline"/>
        <w:rPr>
          <w:b/>
          <w:bCs/>
          <w:noProof/>
          <w:szCs w:val="24"/>
        </w:rPr>
      </w:pPr>
      <w:r>
        <w:rPr>
          <w:b/>
          <w:bCs/>
          <w:noProof/>
          <w:szCs w:val="24"/>
        </w:rPr>
        <w:t>Anhang 15.11: Beförderungen „deuxième filière“ – Einheitlicher Abwicklungsausschuss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681"/>
        <w:gridCol w:w="1475"/>
        <w:gridCol w:w="2137"/>
        <w:gridCol w:w="2800"/>
        <w:gridCol w:w="2969"/>
        <w:gridCol w:w="2963"/>
      </w:tblGrid>
      <w:tr>
        <w:trPr>
          <w:trHeight w:val="310"/>
        </w:trPr>
        <w:tc>
          <w:tcPr>
            <w:tcW w:w="394"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35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2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7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116"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111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111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394"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3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52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11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11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11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355"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18,00 %</w:t>
            </w:r>
          </w:p>
        </w:tc>
      </w:tr>
    </w:tbl>
    <w:p>
      <w:pPr>
        <w:spacing w:after="0"/>
        <w:textAlignment w:val="baseline"/>
        <w:rPr>
          <w:b/>
          <w:bCs/>
          <w:noProof/>
          <w:szCs w:val="24"/>
          <w:lang w:val="en-IE"/>
        </w:rPr>
      </w:pPr>
    </w:p>
    <w:p>
      <w:pPr>
        <w:spacing w:after="0"/>
        <w:textAlignment w:val="baseline"/>
        <w:rPr>
          <w:b/>
          <w:bCs/>
          <w:noProof/>
          <w:szCs w:val="24"/>
        </w:rPr>
      </w:pPr>
      <w:r>
        <w:rPr>
          <w:b/>
          <w:bCs/>
          <w:noProof/>
          <w:szCs w:val="24"/>
        </w:rPr>
        <w:t>Anhang 15.12: Beförderungen „deuxième filière“ – Gemeinsames Unternehmen SESAR</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7"/>
        <w:gridCol w:w="1303"/>
        <w:gridCol w:w="1303"/>
        <w:gridCol w:w="1304"/>
        <w:gridCol w:w="1304"/>
        <w:gridCol w:w="1304"/>
        <w:gridCol w:w="1301"/>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8" w:type="pct"/>
            <w:tcBorders>
              <w:top w:val="single" w:sz="4" w:space="0" w:color="D9E1F2"/>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16,66 %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16,16 %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bl>
    <w:p>
      <w:pPr>
        <w:spacing w:after="160" w:line="259" w:lineRule="auto"/>
        <w:jc w:val="left"/>
        <w:rPr>
          <w:b/>
          <w:bCs/>
          <w:noProof/>
          <w:szCs w:val="24"/>
        </w:rPr>
      </w:pPr>
      <w:r>
        <w:rPr>
          <w:b/>
          <w:bCs/>
          <w:noProof/>
          <w:szCs w:val="24"/>
        </w:rPr>
        <w:t>Anhang 15.13: Beförderungen „deuxième filière“ – Gemeinsames Unternehmen Shift2Rail</w:t>
      </w: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15.14: Beförderungen „deuxième filière“ – Gemeinsames Unternehmen IMI</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15.15: Beförderungen „deuxième filière“ – Agentur für das Europäische GNSS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18,52 %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8,11 %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18,42 %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21,62 %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15.16: Beförderungen „deuxième filière“ – Frontex</w:t>
      </w:r>
    </w:p>
    <w:tbl>
      <w:tblPr>
        <w:tblW w:w="5000" w:type="pct"/>
        <w:tblCellMar>
          <w:left w:w="70" w:type="dxa"/>
          <w:right w:w="70" w:type="dxa"/>
        </w:tblCellMar>
        <w:tblLook w:val="04A0" w:firstRow="1" w:lastRow="0" w:firstColumn="1" w:lastColumn="0" w:noHBand="0" w:noVBand="1"/>
      </w:tblPr>
      <w:tblGrid>
        <w:gridCol w:w="1073"/>
        <w:gridCol w:w="1512"/>
        <w:gridCol w:w="2137"/>
        <w:gridCol w:w="1433"/>
        <w:gridCol w:w="1433"/>
        <w:gridCol w:w="1434"/>
        <w:gridCol w:w="1434"/>
        <w:gridCol w:w="1434"/>
        <w:gridCol w:w="1104"/>
        <w:gridCol w:w="1104"/>
      </w:tblGrid>
      <w:tr>
        <w:trPr>
          <w:trHeight w:val="33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57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5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50"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50"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50"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5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50"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433"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43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107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5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43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43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67,00 %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578"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15.17: Beförderungen „deuxième filière“ – Agentur der Europäischen Union für Grundrechte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5"/>
        <w:gridCol w:w="1304"/>
        <w:gridCol w:w="1304"/>
        <w:gridCol w:w="1304"/>
        <w:gridCol w:w="1304"/>
        <w:gridCol w:w="1304"/>
        <w:gridCol w:w="1301"/>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91"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199"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7"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19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16,67 %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60,00 %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57,14 %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40,00 %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12,50 %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22,22 %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22,22 %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18,75 %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12,50 %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13,33 %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46,67 %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7,14 %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14,29 %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42,86 %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14,29 %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14,29 %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75,00 %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12,50 %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12,50 %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28,57 %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22,22 %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42,86 %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14,29 %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27,27 %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37,50 %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28,57 %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r>
    </w:tbl>
    <w:p>
      <w:pPr>
        <w:spacing w:after="0"/>
        <w:textAlignment w:val="baseline"/>
        <w:rPr>
          <w:b/>
          <w:bCs/>
          <w:noProof/>
          <w:szCs w:val="24"/>
        </w:rPr>
      </w:pPr>
      <w:r>
        <w:rPr>
          <w:b/>
          <w:bCs/>
          <w:noProof/>
          <w:szCs w:val="24"/>
        </w:rPr>
        <w:t>Anhang 15.18: Beförderungen „deuxième filière“ – Gemeinsames Unternehmen FCH</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15.19: Beförderungen „deuxième filière“ – Internationale ITER-Fusionsenergieorganisation</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252"/>
        <w:gridCol w:w="1278"/>
        <w:gridCol w:w="1278"/>
        <w:gridCol w:w="1263"/>
        <w:gridCol w:w="1278"/>
        <w:gridCol w:w="1328"/>
        <w:gridCol w:w="1249"/>
      </w:tblGrid>
      <w:tr>
        <w:trPr>
          <w:trHeight w:val="310"/>
        </w:trPr>
        <w:tc>
          <w:tcPr>
            <w:tcW w:w="164"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3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7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20"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62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62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62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62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647"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620"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164"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3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1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1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2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62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62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62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62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64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62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3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100,00 %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19,05 %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23,81 %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16,00 %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30,77 %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18,18 %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29,41 %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30,00 %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13,51 %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21,43 %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27,78 %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11,76 %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3,45 %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17,65 %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18,37 %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22,22 %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8,33 %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31,58 %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15,38 %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40,38 %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39,02 %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39,53 %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34,00 %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41,03 %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44,44 %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41,67 %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38,89 %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18,75 %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48,21 %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28,21 %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36,36 %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17,65 %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10,81 %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22,86 %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3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0,00 %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11,11 %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30,77 %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14,29 %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28,57 %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50,00 %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44,44 %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20,00 %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20,00 %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20,00 %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27,27 %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rPr>
      </w:pPr>
      <w:r>
        <w:rPr>
          <w:b/>
          <w:bCs/>
          <w:noProof/>
          <w:szCs w:val="24"/>
        </w:rPr>
        <w:t>Anhang 15.20: Beförderungen „deuxième filière“ – Europol</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7"/>
        <w:gridCol w:w="1303"/>
        <w:gridCol w:w="1303"/>
        <w:gridCol w:w="1303"/>
        <w:gridCol w:w="1303"/>
        <w:gridCol w:w="1303"/>
        <w:gridCol w:w="1304"/>
      </w:tblGrid>
      <w:tr>
        <w:trPr>
          <w:trHeight w:val="310"/>
        </w:trPr>
        <w:tc>
          <w:tcPr>
            <w:tcW w:w="212"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91"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1"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99"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16"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83"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83"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83"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8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83"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8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1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8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19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single" w:sz="4" w:space="0" w:color="D9E1F2"/>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 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 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 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1"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bl>
    <w:p>
      <w:pPr>
        <w:spacing w:after="0"/>
        <w:textAlignment w:val="baseline"/>
        <w:rPr>
          <w:b/>
          <w:bCs/>
          <w:noProof/>
          <w:szCs w:val="24"/>
        </w:rPr>
      </w:pPr>
      <w:r>
        <w:rPr>
          <w:b/>
          <w:bCs/>
          <w:noProof/>
          <w:szCs w:val="24"/>
        </w:rPr>
        <w:t>Anhang 15.21: Beförderungen „deuxième filière“ – Eurojust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6,25 %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41,67 %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9,68 %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38,10 %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32,26 %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22,03 %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18,97 %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20,41 %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13,16 %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9,76 %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30,23 %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bl>
    <w:p>
      <w:pPr>
        <w:spacing w:after="0"/>
        <w:textAlignment w:val="baseline"/>
        <w:rPr>
          <w:b/>
          <w:bCs/>
          <w:noProof/>
          <w:szCs w:val="24"/>
        </w:rPr>
      </w:pPr>
      <w:r>
        <w:rPr>
          <w:b/>
          <w:bCs/>
          <w:noProof/>
          <w:szCs w:val="24"/>
        </w:rPr>
        <w:t xml:space="preserve">Anhang 15.22: </w:t>
      </w:r>
      <w:r>
        <w:rPr>
          <w:b/>
          <w:bCs/>
          <w:noProof/>
        </w:rPr>
        <w:t xml:space="preserve">Beförderungen „deuxième filière“ – </w:t>
      </w:r>
      <w:r>
        <w:rPr>
          <w:b/>
          <w:bCs/>
          <w:noProof/>
          <w:szCs w:val="24"/>
        </w:rPr>
        <w:t>Eurofund – (Bedienstete auf Zeit)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87"/>
        <w:gridCol w:w="1306"/>
        <w:gridCol w:w="1306"/>
        <w:gridCol w:w="1306"/>
        <w:gridCol w:w="1306"/>
        <w:gridCol w:w="1306"/>
        <w:gridCol w:w="1309"/>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1"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6"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6"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6"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6"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15.23: Beförderungen „deuxième filière“ – Eurofund – (Beamte)</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87"/>
        <w:gridCol w:w="1306"/>
        <w:gridCol w:w="1306"/>
        <w:gridCol w:w="1306"/>
        <w:gridCol w:w="1306"/>
        <w:gridCol w:w="1306"/>
        <w:gridCol w:w="1309"/>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1"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6"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6"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6"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6"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15.24: Beförderungen „deuxième filière“ – Europäische Agentur für Sicherheit und Gesundheitsschutz am Arbeitsplatz</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15.25: Beförderungen „deuxième filière“ – Agentur der Europäischen Union für das Betriebsmanagement von IT-Großsystemen im Raum der Freiheit, der Sicherheit und des Rechts (eu-LISA)</w:t>
      </w: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20,83 %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38,89 %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31,25 %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29,17 %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34,78 %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10,53 %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15.26: Beförderungen „deuxième filière“ – Amt der Europäischen Union für geistiges Eigentum – Bedienstete auf Zeit</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30,77 %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57,14 %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19,44 %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53,57 %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13,04 %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31,82 %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25,81 %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38,10 %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17,86 %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19,23 %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13,21 %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28,26 %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36,23 %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22,73 %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21,88 %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bl>
    <w:p>
      <w:pPr>
        <w:spacing w:after="0"/>
        <w:textAlignment w:val="baseline"/>
        <w:rPr>
          <w:b/>
          <w:bCs/>
          <w:noProof/>
          <w:szCs w:val="24"/>
        </w:rPr>
      </w:pPr>
      <w:r>
        <w:rPr>
          <w:b/>
          <w:bCs/>
          <w:noProof/>
          <w:szCs w:val="24"/>
        </w:rPr>
        <w:t xml:space="preserve">Anhang 15.27: Beförderungen „deuxième filière“ – Amt der Europäischen Union für geistiges Eigentum – Beamte </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10,71 %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18,52 %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17,24 %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30,77 %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38,46 %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78,26 %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12,90 %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65,63 %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8,82 %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47,06 %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9,68 %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15,79 %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7,84 %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11,54 %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3,92 %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5,66 %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13,79 %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38,24 %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18,42 %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24,32 %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17,07 %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16,98 %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21,54 %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17,31 %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25,86 %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23,94 %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20,73 %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18,52 %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35,21 %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23,66 %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19,35 %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30,59 %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28,85 %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38,10 %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34,09 %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14,71 %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38,46 %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12,20 %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46,15 %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53,13 %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38,46 %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38,10 %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w:t>
            </w:r>
          </w:p>
        </w:tc>
      </w:tr>
    </w:tbl>
    <w:p>
      <w:pPr>
        <w:spacing w:after="0"/>
        <w:textAlignment w:val="baseline"/>
        <w:rPr>
          <w:b/>
          <w:bCs/>
          <w:noProof/>
          <w:szCs w:val="24"/>
        </w:rPr>
      </w:pPr>
      <w:r>
        <w:rPr>
          <w:b/>
          <w:bCs/>
          <w:noProof/>
          <w:szCs w:val="24"/>
        </w:rPr>
        <w:t>Anhang 15.28: Beförderungen „deuxième filière“ – Europäische Stiftung für Berufsbildung</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45,45 %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15.29: Beförderungen „deuxième filière“ – Europäische Wertpapier- und Marktaufsichtsbehörde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67,0 %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7,1 %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8,7 %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23,5 %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9,1 %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15,6 %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38,5 %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23,1 %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75,0 %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31,3 %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26,3 %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14,3 %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40,0 %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37,5 %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31,6 %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23,8 %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11,8 %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38,5 %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36,4 %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bl>
    <w:p>
      <w:pPr>
        <w:spacing w:after="0"/>
        <w:textAlignment w:val="baseline"/>
        <w:rPr>
          <w:b/>
          <w:bCs/>
          <w:noProof/>
          <w:szCs w:val="24"/>
        </w:rPr>
      </w:pPr>
      <w:r>
        <w:rPr>
          <w:b/>
          <w:bCs/>
          <w:noProof/>
          <w:szCs w:val="24"/>
        </w:rPr>
        <w:t>Anhang 15.30: Beförderungen „deuxième filière“ – Eisenbahnagentur der Europäischen Union</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109"/>
        <w:gridCol w:w="1304"/>
        <w:gridCol w:w="1304"/>
        <w:gridCol w:w="1305"/>
        <w:gridCol w:w="1305"/>
        <w:gridCol w:w="1305"/>
        <w:gridCol w:w="1294"/>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1"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8"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1,07 %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6,45 %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3,25 %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8,7 %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5,4 %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1,07 %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2,86 %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7,5 %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14,3 %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8,6 %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15.31: Beförderungen „deuxième filière“ – Agentur der Europäischen Union für Cybersicherheit (ENISA)</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326"/>
        <w:gridCol w:w="1263"/>
        <w:gridCol w:w="1117"/>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16,60 %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7,70 %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16,60 %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14,30 %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9,00 %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1158" w:type="pct"/>
            <w:gridSpan w:val="2"/>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Keine AST/SC bei der ENISA</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15.32: Beförderungen „deuxième filière“ – Europäische Agentur für die Sicherheit des Seeverkehrs (EMSA) – Bedienstete auf Zeit</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31,25 %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10,53 %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14,81 %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12,82 %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26,47 %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19,23 %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17,24 %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25,81 %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9,52 %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40,91 %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25,93 %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16,00 %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36,84 %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31,25 %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15,79 %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54,55 %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8,33 %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29,41 %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29,41 %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26,32 %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31,25 %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35,71 %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rPr>
            </w:pPr>
            <w:r>
              <w:rPr>
                <w:rFonts w:ascii="Calibri" w:hAnsi="Calibri"/>
                <w:noProof/>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15.33: Beförderungen „deuxième filière“ – Europäische Agentur für die Sicherheit des Seeverkehrs (EMSA) – Beamte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15.34: Beförderungen „deuxième filière“ – Europäische Beobachtungsstelle für Drogen und Drogensucht – Bedienstete auf Zeit</w:t>
      </w: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74"/>
        <w:gridCol w:w="1308"/>
        <w:gridCol w:w="1308"/>
        <w:gridCol w:w="1309"/>
        <w:gridCol w:w="1309"/>
        <w:gridCol w:w="1309"/>
        <w:gridCol w:w="1309"/>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87"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7"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7"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7"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7"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7"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8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5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1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14,28 %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3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16,66 %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7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45,45 %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34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8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4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38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0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3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16,66 %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8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 xml:space="preserve">Anhang 15.35: Beförderungen „deuxième filière“ – Europäische Beobachtungsstelle für Drogen und Drogensucht – Beamte </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15.36: Beförderungen „deuxième filière“ – Europäische Arzneimittel-Agentur</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13,64 %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6,45 %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22,58 %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11,54 %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17,86 %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3,45 %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12,12 %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5,88 %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21,05 %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26,83 %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7,89 %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13,95 %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13,73 %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11,54 %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6,35 %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13,64 %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15,56 %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13,46 %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24,56 %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25,93 %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22,41 %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12,86 %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19,40 %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25,35 %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12,12 %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23,53 %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41,38 %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21,05 %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15,15 %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15,79 %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15,63 %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5,26 %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7,94 %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21,88 %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28,81 %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18,60 %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29,41 %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22,58 %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20,34 %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7,41 %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10,34 %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21,15 %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15.37: Beförderungen „deuxième filière“ – Europäisches Innovations- und Technologieinstitut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675"/>
        <w:gridCol w:w="1814"/>
        <w:gridCol w:w="1814"/>
        <w:gridCol w:w="1814"/>
        <w:gridCol w:w="1809"/>
      </w:tblGrid>
      <w:tr>
        <w:trPr>
          <w:trHeight w:val="310"/>
        </w:trPr>
        <w:tc>
          <w:tcPr>
            <w:tcW w:w="272"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25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69"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1"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770"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77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770"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770"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770"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7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2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36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6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22,00 %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29,00 %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18,00 %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67,00 %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250"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lang w:val="en-IE"/>
        </w:rPr>
      </w:pPr>
    </w:p>
    <w:p>
      <w:pPr>
        <w:spacing w:after="0"/>
        <w:textAlignment w:val="baseline"/>
        <w:rPr>
          <w:b/>
          <w:bCs/>
          <w:noProof/>
          <w:szCs w:val="24"/>
        </w:rPr>
      </w:pPr>
      <w:r>
        <w:rPr>
          <w:b/>
          <w:bCs/>
          <w:noProof/>
          <w:szCs w:val="24"/>
        </w:rPr>
        <w:t>Anhang 15.38: Beförderungen „deuxième filière“ – Europäische Aufsichtsbehörde für das Versicherungswesen und die betriebliche Altersversorgung</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24"/>
        <w:gridCol w:w="1190"/>
        <w:gridCol w:w="1232"/>
        <w:gridCol w:w="1232"/>
        <w:gridCol w:w="1416"/>
        <w:gridCol w:w="1416"/>
        <w:gridCol w:w="141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84"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37" w:type="pct"/>
            <w:tcBorders>
              <w:top w:val="nil"/>
              <w:left w:val="nil"/>
              <w:bottom w:val="nil"/>
              <w:right w:val="nil"/>
            </w:tcBorders>
            <w:shd w:val="clear" w:color="000000" w:fill="4472C4"/>
            <w:noWrap/>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37" w:type="pct"/>
            <w:tcBorders>
              <w:top w:val="nil"/>
              <w:left w:val="nil"/>
              <w:bottom w:val="nil"/>
              <w:right w:val="nil"/>
            </w:tcBorders>
            <w:shd w:val="clear" w:color="000000" w:fill="4BACC6"/>
            <w:noWrap/>
            <w:vAlign w:val="center"/>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37" w:type="pct"/>
            <w:tcBorders>
              <w:top w:val="nil"/>
              <w:left w:val="nil"/>
              <w:bottom w:val="nil"/>
              <w:right w:val="nil"/>
            </w:tcBorders>
            <w:shd w:val="clear" w:color="000000" w:fill="92CDDC"/>
            <w:noWrap/>
            <w:vAlign w:val="center"/>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37" w:type="pct"/>
            <w:tcBorders>
              <w:top w:val="nil"/>
              <w:left w:val="nil"/>
              <w:bottom w:val="nil"/>
              <w:right w:val="nil"/>
            </w:tcBorders>
            <w:shd w:val="clear" w:color="000000" w:fill="C05046"/>
            <w:noWrap/>
            <w:vAlign w:val="center"/>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602" w:type="pct"/>
            <w:tcBorders>
              <w:top w:val="nil"/>
              <w:left w:val="nil"/>
              <w:bottom w:val="nil"/>
              <w:right w:val="nil"/>
            </w:tcBorders>
            <w:shd w:val="clear" w:color="000000" w:fill="DA9694"/>
            <w:noWrap/>
            <w:vAlign w:val="center"/>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602" w:type="pct"/>
            <w:tcBorders>
              <w:top w:val="nil"/>
              <w:left w:val="nil"/>
              <w:bottom w:val="nil"/>
              <w:right w:val="nil"/>
            </w:tcBorders>
            <w:shd w:val="clear" w:color="000000" w:fill="9BBB59"/>
            <w:noWrap/>
            <w:vAlign w:val="center"/>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602" w:type="pct"/>
            <w:tcBorders>
              <w:top w:val="nil"/>
              <w:left w:val="nil"/>
              <w:bottom w:val="nil"/>
              <w:right w:val="nil"/>
            </w:tcBorders>
            <w:shd w:val="clear" w:color="000000" w:fill="C4D79B"/>
            <w:noWrap/>
            <w:vAlign w:val="center"/>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8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6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6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6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8EA9DB"/>
            <w:noWrap/>
            <w:vAlign w:val="center"/>
            <w:hideMark/>
          </w:tcPr>
          <w:p>
            <w:pPr>
              <w:spacing w:after="0"/>
              <w:jc w:val="center"/>
              <w:rPr>
                <w:rFonts w:ascii="Calibri" w:hAnsi="Calibri" w:cs="Calibri"/>
                <w:noProof/>
                <w:sz w:val="22"/>
                <w:szCs w:val="22"/>
              </w:rPr>
            </w:pPr>
            <w:r>
              <w:rPr>
                <w:rFonts w:ascii="Calibri" w:hAnsi="Calibri"/>
                <w:noProof/>
                <w:sz w:val="22"/>
                <w:szCs w:val="22"/>
              </w:rPr>
              <w:t>12,50 %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14,29 %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11,11 %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11,11 %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16,67 %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16,67 %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10,00 %</w:t>
            </w:r>
          </w:p>
        </w:tc>
        <w:tc>
          <w:tcPr>
            <w:tcW w:w="537" w:type="pct"/>
            <w:tcBorders>
              <w:top w:val="nil"/>
              <w:left w:val="nil"/>
              <w:bottom w:val="single" w:sz="4" w:space="0" w:color="D9E1F2"/>
              <w:right w:val="nil"/>
            </w:tcBorders>
            <w:shd w:val="clear" w:color="B4C6E7" w:fill="8EA9DB"/>
            <w:noWrap/>
            <w:vAlign w:val="center"/>
            <w:hideMark/>
          </w:tcPr>
          <w:p>
            <w:pPr>
              <w:spacing w:after="0"/>
              <w:jc w:val="center"/>
              <w:rPr>
                <w:rFonts w:ascii="Calibri" w:hAnsi="Calibri" w:cs="Calibri"/>
                <w:noProof/>
                <w:sz w:val="22"/>
                <w:szCs w:val="22"/>
              </w:rPr>
            </w:pPr>
            <w:r>
              <w:rPr>
                <w:rFonts w:ascii="Calibri" w:hAnsi="Calibri"/>
                <w:noProof/>
                <w:sz w:val="22"/>
                <w:szCs w:val="22"/>
              </w:rPr>
              <w:t>18,18 %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9,09 %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537" w:type="pct"/>
            <w:tcBorders>
              <w:top w:val="nil"/>
              <w:left w:val="nil"/>
              <w:bottom w:val="single" w:sz="4" w:space="0" w:color="D9E1F2"/>
              <w:right w:val="nil"/>
            </w:tcBorders>
            <w:shd w:val="clear" w:color="8EA9DB" w:fill="B4C6E7"/>
            <w:noWrap/>
            <w:vAlign w:val="center"/>
            <w:hideMark/>
          </w:tcPr>
          <w:p>
            <w:pPr>
              <w:spacing w:after="0"/>
              <w:jc w:val="center"/>
              <w:rPr>
                <w:rFonts w:ascii="Calibri" w:hAnsi="Calibri" w:cs="Calibri"/>
                <w:noProof/>
                <w:sz w:val="22"/>
                <w:szCs w:val="22"/>
              </w:rPr>
            </w:pPr>
            <w:r>
              <w:rPr>
                <w:rFonts w:ascii="Calibri" w:hAnsi="Calibri"/>
                <w:noProof/>
                <w:sz w:val="22"/>
                <w:szCs w:val="22"/>
              </w:rPr>
              <w:t>10,00 %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8,33 %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8,33 %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8,33 %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8,33 %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18,18 %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14,29 %</w:t>
            </w:r>
          </w:p>
        </w:tc>
        <w:tc>
          <w:tcPr>
            <w:tcW w:w="537" w:type="pct"/>
            <w:tcBorders>
              <w:top w:val="nil"/>
              <w:left w:val="nil"/>
              <w:bottom w:val="single" w:sz="4" w:space="0" w:color="D9E1F2"/>
              <w:right w:val="nil"/>
            </w:tcBorders>
            <w:shd w:val="clear" w:color="B4C6E7" w:fill="8EA9DB"/>
            <w:noWrap/>
            <w:vAlign w:val="center"/>
            <w:hideMark/>
          </w:tcPr>
          <w:p>
            <w:pPr>
              <w:spacing w:after="0"/>
              <w:jc w:val="center"/>
              <w:rPr>
                <w:rFonts w:ascii="Calibri" w:hAnsi="Calibri" w:cs="Calibri"/>
                <w:noProof/>
                <w:sz w:val="22"/>
                <w:szCs w:val="22"/>
              </w:rPr>
            </w:pPr>
            <w:r>
              <w:rPr>
                <w:rFonts w:ascii="Calibri" w:hAnsi="Calibri"/>
                <w:noProof/>
                <w:sz w:val="22"/>
                <w:szCs w:val="22"/>
              </w:rPr>
              <w:t>25,00 %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11,11 %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30,00 %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28,57 %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37,50 %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12,50 %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10,00 %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60,00 %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150,00 %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100,00 %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33,33 %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33,33 %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100,00 %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rPr>
            </w:pPr>
            <w:r>
              <w:rPr>
                <w:rFonts w:ascii="Calibri" w:hAnsi="Calibri"/>
                <w:noProof/>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84"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15.39: Beförderungen „deuxième filière“ – Europäisches Institut für Gleichstellungsfragen</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0,50 %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0,50 %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0,25 %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0,50 %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0,20 %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0,14 %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0,14 %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0,38 %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0,13 %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0,13 %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0,13 %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0,20 %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0,50 %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0,25 %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0,40 %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0,40 %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0,25 %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rPr>
            </w:pPr>
            <w:r>
              <w:rPr>
                <w:rFonts w:ascii="Calibri" w:hAnsi="Calibri"/>
                <w:noProof/>
                <w:color w:val="C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15.40: Beförderungen „deuxième filière“ – Europäische Behörde für Lebensmittelsicherheit – Bedienstete auf Zeit</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16,7 %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18,2 %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12,5 %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4,8 %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10,2 %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5,2 %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7,4 %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7,1 %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13,5 %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9,8 %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8,9 %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15,9 %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11,6 %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22,2 %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18,2 %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4,7 %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12,8 %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5,9 %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5,3 %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5,7 %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13,9 %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27,8 %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17,6 %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2,1 %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7,1 %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7,7 %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13,8 %</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18,2 %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28,6 %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bl>
    <w:p>
      <w:pPr>
        <w:spacing w:after="0"/>
        <w:textAlignment w:val="baseline"/>
        <w:rPr>
          <w:b/>
          <w:bCs/>
          <w:noProof/>
          <w:szCs w:val="24"/>
        </w:rPr>
      </w:pPr>
      <w:r>
        <w:rPr>
          <w:b/>
          <w:bCs/>
          <w:noProof/>
          <w:szCs w:val="24"/>
        </w:rPr>
        <w:t>Anhang 15.41: Beförderungen „deuxième filière“ – Europäische Behörde für Lebensmittelsicherheit – Beamte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bl>
    <w:p>
      <w:pPr>
        <w:spacing w:after="0"/>
        <w:textAlignment w:val="baseline"/>
        <w:rPr>
          <w:b/>
          <w:bCs/>
          <w:noProof/>
          <w:szCs w:val="24"/>
        </w:rPr>
      </w:pPr>
      <w:r>
        <w:rPr>
          <w:b/>
          <w:bCs/>
          <w:noProof/>
          <w:szCs w:val="24"/>
        </w:rPr>
        <w:t>Anhang 15.42: Beförderungen „deuxième filière“ – Europäische Fischereiaufsichtsagentur</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 xml:space="preserve">Anhang 15.43: </w:t>
      </w:r>
      <w:r>
        <w:rPr>
          <w:b/>
          <w:bCs/>
          <w:noProof/>
        </w:rPr>
        <w:t>Beförderungen „</w:t>
      </w:r>
      <w:r>
        <w:rPr>
          <w:b/>
          <w:bCs/>
          <w:noProof/>
          <w:szCs w:val="24"/>
        </w:rPr>
        <w:t xml:space="preserve">deuxième filière“ – </w:t>
      </w:r>
      <w:r>
        <w:rPr>
          <w:b/>
          <w:bCs/>
          <w:noProof/>
        </w:rPr>
        <w:t>Europäische Umweltagentur</w:t>
      </w:r>
      <w:r>
        <w:rPr>
          <w:b/>
          <w:bCs/>
          <w:noProof/>
          <w:szCs w:val="24"/>
        </w:rPr>
        <w:t> –</w:t>
      </w:r>
      <w:r>
        <w:rPr>
          <w:b/>
          <w:bCs/>
          <w:noProof/>
        </w:rPr>
        <w:t xml:space="preserve"> Bedienstete auf Zeit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23,08 %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57,14 %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15.44: Beförderungen „deuxième filière“ – Europäische Umweltagentur – Beamte</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lang w:val="en-IE"/>
        </w:rPr>
      </w:pPr>
    </w:p>
    <w:p>
      <w:pPr>
        <w:spacing w:after="0"/>
        <w:textAlignment w:val="baseline"/>
        <w:rPr>
          <w:b/>
          <w:bCs/>
          <w:noProof/>
          <w:szCs w:val="24"/>
        </w:rPr>
      </w:pPr>
      <w:r>
        <w:rPr>
          <w:b/>
          <w:bCs/>
          <w:noProof/>
          <w:szCs w:val="24"/>
        </w:rPr>
        <w:t xml:space="preserve">Anhang 15.45: Beförderungen „deuxième filière“ – Gemeinsames Unternehmen „Elektronikkomponenten und </w:t>
      </w:r>
      <w:r>
        <w:rPr>
          <w:b/>
          <w:bCs/>
          <w:noProof/>
          <w:szCs w:val="24"/>
        </w:rPr>
        <w:noBreakHyphen/>
        <w:t xml:space="preserve">systeme für eine Führungsrolle Europas“ </w:t>
      </w: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15.46: Beförderungen „deuxième filière“ – Europäische Chemikalienagentur</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6 %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24 %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11 %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28 %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42 %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15 %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21 %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16 %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26 %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12 %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23 %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31 %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18 %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29 %</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k.A.</w:t>
            </w:r>
          </w:p>
        </w:tc>
      </w:tr>
    </w:tbl>
    <w:p>
      <w:pPr>
        <w:spacing w:after="0"/>
        <w:textAlignment w:val="baseline"/>
        <w:rPr>
          <w:b/>
          <w:bCs/>
          <w:noProof/>
          <w:szCs w:val="24"/>
        </w:rPr>
      </w:pPr>
      <w:r>
        <w:rPr>
          <w:b/>
          <w:bCs/>
          <w:noProof/>
          <w:szCs w:val="24"/>
        </w:rPr>
        <w:t>Anhang 15.47: Beförderungen „deuxième filière“ – Europäisches Zentrum für die Prävention und die Kontrolle von Krankheiten</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7,89 %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5,88 %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14,81 %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29,17 %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10,87 %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11,63 %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8,89 %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14,71 %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17,86 %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9,52 %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44,44 %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k.A.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bl>
    <w:p>
      <w:pPr>
        <w:spacing w:after="0"/>
        <w:textAlignment w:val="baseline"/>
        <w:rPr>
          <w:b/>
          <w:bCs/>
          <w:noProof/>
          <w:szCs w:val="24"/>
        </w:rPr>
      </w:pPr>
      <w:r>
        <w:rPr>
          <w:b/>
          <w:bCs/>
          <w:noProof/>
          <w:szCs w:val="24"/>
        </w:rPr>
        <w:t>Anhang 15.48: Beförderungen „deuxième filière“ – Europäische Bankenaufsichtsbehörde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35,71 %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57,14 %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11,76 %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25,93 %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35,00 %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20,83 %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67,00 %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15.49: Beförderungen „deuxième filière“ – Europäisches Unterstützungsbüro für Asylfragen</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9,10 %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33,20 %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7,10 %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4,80 %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6,80 %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31,30 %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14,30 %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15,80 %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r>
    </w:tbl>
    <w:p>
      <w:pPr>
        <w:spacing w:after="0"/>
        <w:textAlignment w:val="baseline"/>
        <w:rPr>
          <w:b/>
          <w:bCs/>
          <w:noProof/>
          <w:szCs w:val="24"/>
        </w:rPr>
      </w:pPr>
      <w:r>
        <w:rPr>
          <w:b/>
          <w:bCs/>
          <w:noProof/>
          <w:szCs w:val="24"/>
        </w:rPr>
        <w:t>Anhang 15.50: Beförderungen „deuxième filière“ – Agentur der Europäischen Union für Flugsicherheit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55,56 %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4,76 %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5,88 %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17,91 %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17,39 %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18,06 %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12,86 %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22,37 %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13,89 %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10,64 %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8,25 %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9,35 %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12,40 %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15,48 %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24,42 %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13,59 %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12,78 %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19,15 %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22,63 %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16,98 %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14,15 %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25,20 %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24,56 %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32,94 %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18,67 %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5,13 %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13,41 %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23,53 %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9,52 %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21,74 %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rPr>
            </w:pPr>
            <w:r>
              <w:rPr>
                <w:rFonts w:ascii="Calibri" w:hAnsi="Calibri"/>
                <w:noProof/>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5,56 %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4,55 %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13,89 %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43,48 %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26,09 %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27,78 %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29,41 %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19,23 %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23,40 %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30,77 %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15,15 %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15,38 %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13,64 %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20,83 %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23,53 %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38,46 %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18,75 %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bl>
    <w:p>
      <w:pPr>
        <w:spacing w:after="0"/>
        <w:textAlignment w:val="baseline"/>
        <w:rPr>
          <w:b/>
          <w:bCs/>
          <w:noProof/>
          <w:szCs w:val="24"/>
        </w:rPr>
      </w:pPr>
      <w:r>
        <w:rPr>
          <w:b/>
          <w:bCs/>
          <w:noProof/>
          <w:szCs w:val="24"/>
        </w:rPr>
        <w:t>Anhang 15.51: Beförderungen „deuxième filière“ – Gemeinsames Unternehmen Clean Sky</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15.52: Beförderungen „deuxième filière“ – Gemeinschaftliches Sortenamt – Bedienstete auf Zeit</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38,00 %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bl>
    <w:p>
      <w:pPr>
        <w:spacing w:after="0"/>
        <w:textAlignment w:val="baseline"/>
        <w:rPr>
          <w:b/>
          <w:bCs/>
          <w:noProof/>
          <w:szCs w:val="24"/>
        </w:rPr>
      </w:pPr>
      <w:r>
        <w:rPr>
          <w:b/>
          <w:bCs/>
          <w:noProof/>
          <w:szCs w:val="24"/>
        </w:rPr>
        <w:t>Anhang 15.53: Beförderungen „deuxième filière“ – Gemeinschaftliches Sortenamt – Beamte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16,00 %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15.54: Beförderungen „deuxième filière“ – Europäisches Zentrum für die Förderung der Berufsbildung – Bedienstete auf Zeit</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67 %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57 %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38 %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8 %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43 %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56 %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14 %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13 %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75 %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67 %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15.55: Beförderungen „deuxième filière“ – Europäisches Zentrum für die Förderung der Berufsbildung – Beamte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20 %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60 %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25 %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67 %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100 %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15.56: Beförderungen „deuxième filière“ – Übersetzungszentrum – Bedienstete auf Zeit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4"/>
        <w:gridCol w:w="1304"/>
        <w:gridCol w:w="1304"/>
        <w:gridCol w:w="1304"/>
        <w:gridCol w:w="1307"/>
        <w:gridCol w:w="130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11,11 %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5,56 %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13,33 %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7,69 %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17,65 %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26,32 %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6,25 %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21,43 %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13,64 %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23,08 %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24,14 %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29,17 %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83,33 %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23,81 %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36,36 %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27,27 %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9,09 %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23,81 %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12,50 %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30,77 %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14,29 %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42,86 %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15.57: Beförderungen „deuxième filière“ – Übersetzungszentrum – Beamte</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18,18 %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28,57 %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16,67 %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22,22 %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8,33 %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22,22 %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rPr>
            </w:pPr>
            <w:r>
              <w:rPr>
                <w:rFonts w:ascii="Calibri" w:hAnsi="Calibri"/>
                <w:noProof/>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40,00 %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rPr>
            </w:pPr>
            <w:r>
              <w:rPr>
                <w:rFonts w:ascii="Calibri" w:hAnsi="Calibri"/>
                <w:noProof/>
                <w:color w:val="000000"/>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33,33 %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15.58: Beförderungen „deuxième filière“ – Gremium europäischer Regulierungsstellen für elektronische Kommunikation</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66,67 %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15.59: Beförderungen „deuxième filière“ – Gemeinsames Unternehmen für biobasierte Industriezweige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24"/>
        <w:gridCol w:w="1230"/>
        <w:gridCol w:w="1251"/>
        <w:gridCol w:w="1252"/>
        <w:gridCol w:w="1252"/>
        <w:gridCol w:w="1670"/>
        <w:gridCol w:w="124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7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7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53"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53"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53"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5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701"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5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5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70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40,00 %</w:t>
            </w:r>
          </w:p>
        </w:tc>
        <w:tc>
          <w:tcPr>
            <w:tcW w:w="55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852" w:type="pct"/>
            <w:gridSpan w:val="2"/>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rPr>
      </w:pPr>
      <w:r>
        <w:rPr>
          <w:b/>
          <w:bCs/>
          <w:noProof/>
          <w:szCs w:val="24"/>
        </w:rPr>
        <w:t>Anhang 15.60: Beförderungen „deuxième filière“ – Agentur für die Zusammenarbeit der Energieregulierungsbehörden</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1073"/>
        <w:gridCol w:w="487"/>
        <w:gridCol w:w="1475"/>
        <w:gridCol w:w="2137"/>
        <w:gridCol w:w="1096"/>
        <w:gridCol w:w="1305"/>
        <w:gridCol w:w="1305"/>
        <w:gridCol w:w="1305"/>
        <w:gridCol w:w="1305"/>
        <w:gridCol w:w="1305"/>
        <w:gridCol w:w="1305"/>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rPr>
            </w:pPr>
            <w:r>
              <w:rPr>
                <w:rFonts w:ascii="Calibri" w:hAnsi="Calibri"/>
                <w:b/>
                <w:bCs/>
                <w:noProof/>
                <w:color w:val="FFFFFF"/>
                <w:szCs w:val="24"/>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Anhang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FG</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LAUFBAHNGR.</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BESOLDUNGSGRUPPE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Befördert aus Personal im aktiven Dienst am 1.1.2018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AD13</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AD12</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AD11</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AD10</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AD09</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AD08</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60,00 %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14,30 %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AD07</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33,30 %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16,70 %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28,60 %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AD06</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50,00 %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28,60 %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10,00 %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36 %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AD05</w:t>
            </w:r>
          </w:p>
        </w:tc>
        <w:tc>
          <w:tcPr>
            <w:tcW w:w="61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37,50 %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18,20 %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20,20 %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9,10 %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9,10 %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54,50 %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14,30 %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AST10</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8 %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AST09</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rPr>
            </w:pPr>
            <w:r>
              <w:rPr>
                <w:rFonts w:ascii="Calibri" w:hAnsi="Calibri"/>
                <w:noProof/>
                <w:color w:val="FF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AST08</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AST07</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AST06</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AST05</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20,00 %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AST03</w:t>
            </w:r>
          </w:p>
        </w:tc>
        <w:tc>
          <w:tcPr>
            <w:tcW w:w="61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9,10 %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16,70 %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16,70 %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25,00 %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11,10 %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rPr>
            </w:pPr>
            <w:r>
              <w:rPr>
                <w:rFonts w:ascii="Calibri" w:hAnsi="Calibri"/>
                <w:noProof/>
                <w:color w:val="000000"/>
                <w:sz w:val="22"/>
                <w:szCs w:val="22"/>
              </w:rPr>
              <w:t>14,30 %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AST02</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33 %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AST01</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AST04/D</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12 %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SC05</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15 %</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SC04</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17 %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SC03</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20 %</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SC02</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rPr>
            </w:pPr>
            <w:r>
              <w:rPr>
                <w:rFonts w:ascii="Calibri" w:hAnsi="Calibri"/>
                <w:b/>
                <w:bCs/>
                <w:noProof/>
                <w:color w:val="FFFFFF"/>
                <w:sz w:val="22"/>
                <w:szCs w:val="22"/>
              </w:rPr>
              <w:t>25 %</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rPr>
            </w:pPr>
            <w:r>
              <w:rPr>
                <w:rFonts w:ascii="Calibri" w:hAnsi="Calibri"/>
                <w:b/>
                <w:bCs/>
                <w:noProof/>
                <w:color w:val="000000"/>
                <w:sz w:val="22"/>
                <w:szCs w:val="22"/>
              </w:rPr>
              <w:t xml:space="preserve">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SC01</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rPr>
            </w:pPr>
            <w:r>
              <w:rPr>
                <w:rFonts w:ascii="Calibri" w:hAnsi="Calibri"/>
                <w:noProof/>
                <w:color w:val="000000"/>
                <w:sz w:val="22"/>
                <w:szCs w:val="22"/>
              </w:rPr>
              <w:t xml:space="preserve"> </w:t>
            </w:r>
          </w:p>
        </w:tc>
      </w:tr>
    </w:tbl>
    <w:p>
      <w:pPr>
        <w:spacing w:after="0"/>
        <w:textAlignment w:val="baseline"/>
        <w:rPr>
          <w:b/>
          <w:bCs/>
          <w:noProof/>
          <w:szCs w:val="24"/>
          <w:lang w:val="en-IE"/>
        </w:rPr>
      </w:pPr>
    </w:p>
    <w:p>
      <w:pPr>
        <w:rPr>
          <w:b/>
          <w:noProof/>
        </w:rPr>
      </w:pPr>
      <w:r>
        <w:rPr>
          <w:b/>
          <w:noProof/>
        </w:rPr>
        <w:t>Anhang 16: Arten von Stellen in der Übergangszeit</w:t>
      </w:r>
    </w:p>
    <w:tbl>
      <w:tblPr>
        <w:tblStyle w:val="GridTable4Accent5"/>
        <w:tblW w:w="0" w:type="auto"/>
        <w:jc w:val="center"/>
        <w:tblLook w:val="04A0" w:firstRow="1" w:lastRow="0" w:firstColumn="1" w:lastColumn="0" w:noHBand="0" w:noVBand="1"/>
      </w:tblPr>
      <w:tblGrid>
        <w:gridCol w:w="2003"/>
        <w:gridCol w:w="2552"/>
        <w:gridCol w:w="1603"/>
        <w:gridCol w:w="2835"/>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b w:val="0"/>
                <w:noProof/>
              </w:rPr>
            </w:pPr>
            <w:r>
              <w:rPr>
                <w:b w:val="0"/>
                <w:noProof/>
              </w:rPr>
              <w:t>Besoldungsgruppe</w:t>
            </w:r>
          </w:p>
        </w:tc>
        <w:tc>
          <w:tcPr>
            <w:tcW w:w="2552" w:type="dxa"/>
          </w:tcPr>
          <w:p>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AST (ex-B, attestiert, eingestellt nach dem 1.5.2004)</w:t>
            </w:r>
          </w:p>
        </w:tc>
        <w:tc>
          <w:tcPr>
            <w:tcW w:w="1276" w:type="dxa"/>
          </w:tcPr>
          <w:p>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AST ex-C</w:t>
            </w:r>
          </w:p>
        </w:tc>
        <w:tc>
          <w:tcPr>
            <w:tcW w:w="2835" w:type="dxa"/>
          </w:tcPr>
          <w:p>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AST ex-D</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11</w:t>
            </w:r>
          </w:p>
        </w:tc>
        <w:tc>
          <w:tcPr>
            <w:tcW w:w="2552" w:type="dxa"/>
            <w:vMerge w:val="restart"/>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Hauptassistent in der Übergangszeit</w:t>
            </w:r>
          </w:p>
        </w:tc>
        <w:tc>
          <w:tcPr>
            <w:tcW w:w="1276" w:type="dxa"/>
            <w:vMerge w:val="restart"/>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val="restart"/>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10</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9</w:t>
            </w:r>
          </w:p>
        </w:tc>
        <w:tc>
          <w:tcPr>
            <w:tcW w:w="2552" w:type="dxa"/>
            <w:vMerge w:val="restart"/>
            <w:vAlign w:val="center"/>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Assistent</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in der Übergangszeit</w:t>
            </w:r>
          </w:p>
        </w:tc>
        <w:tc>
          <w:tcPr>
            <w:tcW w:w="1276" w:type="dxa"/>
            <w:vMerge/>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8</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7</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val="restart"/>
            <w:vAlign w:val="center"/>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Verwaltungs-</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assistent</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in der Übergangszeit</w:t>
            </w:r>
          </w:p>
        </w:tc>
        <w:tc>
          <w:tcPr>
            <w:tcW w:w="2835" w:type="dxa"/>
            <w:vMerge/>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6</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5</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val="restart"/>
            <w:vAlign w:val="center"/>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Mitarbeiter mit</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Unterstützungsaufgaben</w:t>
            </w:r>
          </w:p>
          <w:p>
            <w:pPr>
              <w:jc w:val="center"/>
              <w:cnfStyle w:val="000000100000" w:firstRow="0" w:lastRow="0" w:firstColumn="0" w:lastColumn="0" w:oddVBand="0" w:evenVBand="0" w:oddHBand="1" w:evenHBand="0" w:firstRowFirstColumn="0" w:firstRowLastColumn="0" w:lastRowFirstColumn="0" w:lastRowLastColumn="0"/>
              <w:rPr>
                <w:noProof/>
              </w:rPr>
            </w:pPr>
            <w:r>
              <w:rPr>
                <w:noProof/>
              </w:rPr>
              <w:t>in der Übergangszeit</w:t>
            </w: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4</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3</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2</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rPr>
            </w:pPr>
            <w:r>
              <w:rPr>
                <w:noProof/>
              </w:rPr>
              <w:t>1</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r>
    </w:tbl>
    <w:p>
      <w:pPr>
        <w:rPr>
          <w:noProof/>
          <w:lang w:val="en-IE"/>
        </w:rPr>
      </w:pPr>
    </w:p>
    <w:p>
      <w:pPr>
        <w:spacing w:after="160" w:line="259" w:lineRule="auto"/>
        <w:jc w:val="left"/>
        <w:rPr>
          <w:b/>
          <w:noProof/>
        </w:rPr>
      </w:pPr>
      <w:r>
        <w:rPr>
          <w:noProof/>
        </w:rPr>
        <w:br w:type="page"/>
      </w:r>
    </w:p>
    <w:p>
      <w:pPr>
        <w:rPr>
          <w:b/>
          <w:noProof/>
          <w:lang w:val="en-IE"/>
        </w:rPr>
        <w:sectPr>
          <w:headerReference w:type="even" r:id="rId44"/>
          <w:headerReference w:type="default" r:id="rId45"/>
          <w:footerReference w:type="even" r:id="rId46"/>
          <w:footerReference w:type="default" r:id="rId47"/>
          <w:headerReference w:type="first" r:id="rId48"/>
          <w:footerReference w:type="first" r:id="rId49"/>
          <w:pgSz w:w="16838" w:h="11906" w:orient="landscape"/>
          <w:pgMar w:top="709" w:right="1440" w:bottom="1440" w:left="1440" w:header="708" w:footer="708" w:gutter="0"/>
          <w:cols w:space="708"/>
          <w:docGrid w:linePitch="360"/>
        </w:sectPr>
      </w:pPr>
    </w:p>
    <w:p>
      <w:pPr>
        <w:rPr>
          <w:b/>
          <w:noProof/>
        </w:rPr>
      </w:pPr>
      <w:r>
        <w:rPr>
          <w:b/>
          <w:noProof/>
        </w:rPr>
        <w:t>Anhang 17: Entwicklung des AST- und AST/SC-Personals</w:t>
      </w:r>
    </w:p>
    <w:tbl>
      <w:tblPr>
        <w:tblStyle w:val="GridTable4-Accent51"/>
        <w:tblW w:w="0" w:type="auto"/>
        <w:tblLook w:val="04A0" w:firstRow="1" w:lastRow="0" w:firstColumn="1" w:lastColumn="0" w:noHBand="0" w:noVBand="1"/>
      </w:tblPr>
      <w:tblGrid>
        <w:gridCol w:w="2297"/>
        <w:gridCol w:w="1484"/>
        <w:gridCol w:w="1484"/>
        <w:gridCol w:w="1484"/>
        <w:gridCol w:w="1485"/>
        <w:gridCol w:w="1485"/>
        <w:gridCol w:w="1485"/>
        <w:gridCol w:w="1485"/>
        <w:gridCol w:w="1485"/>
      </w:tblGrid>
      <w:tr>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05" w:type="dxa"/>
          </w:tcPr>
          <w:p>
            <w:pPr>
              <w:jc w:val="center"/>
              <w:rPr>
                <w:noProof/>
              </w:rPr>
            </w:pPr>
            <w:r>
              <w:rPr>
                <w:noProof/>
              </w:rPr>
              <w:t>Art der Stelle</w:t>
            </w:r>
          </w:p>
        </w:tc>
        <w:tc>
          <w:tcPr>
            <w:tcW w:w="2995" w:type="dxa"/>
            <w:gridSpan w:val="2"/>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Hauptassistent in der Übergangszeit</w:t>
            </w:r>
          </w:p>
          <w:p>
            <w:pPr>
              <w:jc w:val="center"/>
              <w:cnfStyle w:val="100000000000" w:firstRow="1" w:lastRow="0" w:firstColumn="0" w:lastColumn="0" w:oddVBand="0" w:evenVBand="0" w:oddHBand="0" w:evenHBand="0" w:firstRowFirstColumn="0" w:firstRowLastColumn="0" w:lastRowFirstColumn="0" w:lastRowLastColumn="0"/>
              <w:rPr>
                <w:noProof/>
              </w:rPr>
            </w:pPr>
            <w:r>
              <w:rPr>
                <w:noProof/>
              </w:rPr>
              <w:t>(AST10 – AST11)</w:t>
            </w:r>
          </w:p>
        </w:tc>
        <w:tc>
          <w:tcPr>
            <w:tcW w:w="3038" w:type="dxa"/>
            <w:gridSpan w:val="2"/>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Assistent in der Übergangszeit</w:t>
            </w:r>
          </w:p>
          <w:p>
            <w:pPr>
              <w:jc w:val="center"/>
              <w:cnfStyle w:val="100000000000" w:firstRow="1" w:lastRow="0" w:firstColumn="0" w:lastColumn="0" w:oddVBand="0" w:evenVBand="0" w:oddHBand="0" w:evenHBand="0" w:firstRowFirstColumn="0" w:firstRowLastColumn="0" w:lastRowFirstColumn="0" w:lastRowLastColumn="0"/>
              <w:rPr>
                <w:noProof/>
              </w:rPr>
            </w:pPr>
            <w:r>
              <w:rPr>
                <w:noProof/>
              </w:rPr>
              <w:t>(AST1 – AST9)</w:t>
            </w:r>
          </w:p>
        </w:tc>
        <w:tc>
          <w:tcPr>
            <w:tcW w:w="3038" w:type="dxa"/>
            <w:gridSpan w:val="2"/>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Verwaltungsassistent in der Übergangszeit</w:t>
            </w:r>
          </w:p>
          <w:p>
            <w:pPr>
              <w:jc w:val="center"/>
              <w:cnfStyle w:val="100000000000" w:firstRow="1" w:lastRow="0" w:firstColumn="0" w:lastColumn="0" w:oddVBand="0" w:evenVBand="0" w:oddHBand="0" w:evenHBand="0" w:firstRowFirstColumn="0" w:firstRowLastColumn="0" w:lastRowFirstColumn="0" w:lastRowLastColumn="0"/>
              <w:rPr>
                <w:noProof/>
              </w:rPr>
            </w:pPr>
            <w:r>
              <w:rPr>
                <w:noProof/>
              </w:rPr>
              <w:t>(AST1 – AST7)</w:t>
            </w:r>
          </w:p>
        </w:tc>
        <w:tc>
          <w:tcPr>
            <w:tcW w:w="3038" w:type="dxa"/>
            <w:gridSpan w:val="2"/>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Mitarbeiter mit Unterstützungsaufgaben in der Übergangszeit</w:t>
            </w:r>
          </w:p>
          <w:p>
            <w:pPr>
              <w:jc w:val="center"/>
              <w:cnfStyle w:val="100000000000" w:firstRow="1" w:lastRow="0" w:firstColumn="0" w:lastColumn="0" w:oddVBand="0" w:evenVBand="0" w:oddHBand="0" w:evenHBand="0" w:firstRowFirstColumn="0" w:firstRowLastColumn="0" w:lastRowFirstColumn="0" w:lastRowLastColumn="0"/>
              <w:rPr>
                <w:noProof/>
              </w:rPr>
            </w:pPr>
            <w:r>
              <w:rPr>
                <w:noProof/>
              </w:rPr>
              <w:t>(AST1 – AST5)</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Pr>
          <w:p>
            <w:pPr>
              <w:spacing w:line="259" w:lineRule="auto"/>
              <w:rPr>
                <w:noProof/>
                <w:lang w:val="en-IE"/>
              </w:rPr>
            </w:pPr>
          </w:p>
        </w:tc>
        <w:tc>
          <w:tcPr>
            <w:tcW w:w="1476" w:type="dxa"/>
          </w:tcPr>
          <w:p>
            <w:pPr>
              <w:spacing w:line="259"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1.1.2020</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1.1.2020</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1.1.2020</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Personalbestand am 1.1.2020</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hideMark/>
          </w:tcPr>
          <w:p>
            <w:pPr>
              <w:spacing w:line="259" w:lineRule="auto"/>
              <w:rPr>
                <w:noProof/>
              </w:rPr>
            </w:pPr>
            <w:r>
              <w:rPr>
                <w:noProof/>
              </w:rPr>
              <w:t>Kommission</w:t>
            </w:r>
          </w:p>
        </w:tc>
        <w:tc>
          <w:tcPr>
            <w:tcW w:w="1476" w:type="dxa"/>
          </w:tcPr>
          <w:p>
            <w:pPr>
              <w:spacing w:line="259"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529</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124</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8217</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4626</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1320</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559</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257</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146</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hideMark/>
          </w:tcPr>
          <w:p>
            <w:pPr>
              <w:spacing w:line="259" w:lineRule="auto"/>
              <w:rPr>
                <w:noProof/>
              </w:rPr>
            </w:pPr>
            <w:r>
              <w:rPr>
                <w:noProof/>
              </w:rPr>
              <w:t>Europäisches Parlament</w:t>
            </w:r>
          </w:p>
        </w:tc>
        <w:tc>
          <w:tcPr>
            <w:tcW w:w="1476" w:type="dxa"/>
          </w:tcPr>
          <w:p>
            <w:pPr>
              <w:spacing w:line="259"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108</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41</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2629</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1431</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63</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13</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6</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hideMark/>
          </w:tcPr>
          <w:p>
            <w:pPr>
              <w:spacing w:line="259" w:lineRule="auto"/>
              <w:rPr>
                <w:noProof/>
              </w:rPr>
            </w:pPr>
            <w:r>
              <w:rPr>
                <w:noProof/>
              </w:rPr>
              <w:t>Rat</w:t>
            </w:r>
          </w:p>
        </w:tc>
        <w:tc>
          <w:tcPr>
            <w:tcW w:w="1476" w:type="dxa"/>
          </w:tcPr>
          <w:p>
            <w:pPr>
              <w:spacing w:line="259"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34</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12</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1181</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664</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238</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100</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26</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10</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Pr>
          <w:p>
            <w:pPr>
              <w:spacing w:line="259" w:lineRule="auto"/>
              <w:rPr>
                <w:noProof/>
              </w:rPr>
            </w:pPr>
            <w:r>
              <w:rPr>
                <w:noProof/>
              </w:rPr>
              <w:t>Gerichtshof</w:t>
            </w:r>
          </w:p>
        </w:tc>
        <w:tc>
          <w:tcPr>
            <w:tcW w:w="1476" w:type="dxa"/>
          </w:tcPr>
          <w:p>
            <w:pPr>
              <w:spacing w:line="259"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9</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11</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504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463</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26</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38</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12</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tcBorders>
              <w:bottom w:val="single" w:sz="4" w:space="0" w:color="8EAADB"/>
            </w:tcBorders>
          </w:tcPr>
          <w:p>
            <w:pPr>
              <w:jc w:val="left"/>
              <w:rPr>
                <w:noProof/>
              </w:rPr>
            </w:pPr>
            <w:r>
              <w:rPr>
                <w:noProof/>
              </w:rPr>
              <w:t>Rechnungshof</w:t>
            </w:r>
          </w:p>
        </w:tc>
        <w:tc>
          <w:tcPr>
            <w:tcW w:w="1476"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11</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5</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229</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134</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11</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8EAADB"/>
          </w:tcPr>
          <w:p>
            <w:pPr>
              <w:jc w:val="left"/>
              <w:rPr>
                <w:noProof/>
              </w:rPr>
            </w:pPr>
            <w:r>
              <w:rPr>
                <w:noProof/>
              </w:rPr>
              <w:t>Ausschuss der Regionen</w:t>
            </w:r>
          </w:p>
        </w:tc>
        <w:tc>
          <w:tcPr>
            <w:tcW w:w="1476"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161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113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7</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auto"/>
          </w:tcPr>
          <w:p>
            <w:pPr>
              <w:jc w:val="left"/>
              <w:rPr>
                <w:noProof/>
              </w:rPr>
            </w:pPr>
            <w:r>
              <w:rPr>
                <w:noProof/>
              </w:rPr>
              <w:t>Europäischer Wirtschafts- und Sozialausschuss</w:t>
            </w:r>
          </w:p>
        </w:tc>
        <w:tc>
          <w:tcPr>
            <w:tcW w:w="1476"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8</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286</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180</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8EAADB"/>
          </w:tcPr>
          <w:p>
            <w:pPr>
              <w:jc w:val="left"/>
              <w:rPr>
                <w:noProof/>
              </w:rPr>
            </w:pPr>
            <w:r>
              <w:rPr>
                <w:noProof/>
              </w:rPr>
              <w:t>EAD</w:t>
            </w:r>
          </w:p>
        </w:tc>
        <w:tc>
          <w:tcPr>
            <w:tcW w:w="1476"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42</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5</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501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156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108</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4</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auto"/>
          </w:tcPr>
          <w:p>
            <w:pPr>
              <w:jc w:val="left"/>
              <w:rPr>
                <w:noProof/>
              </w:rPr>
            </w:pPr>
            <w:r>
              <w:rPr>
                <w:noProof/>
              </w:rPr>
              <w:t>Europäischer Datenschutzbeauftragter</w:t>
            </w:r>
          </w:p>
        </w:tc>
        <w:tc>
          <w:tcPr>
            <w:tcW w:w="1476"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12</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8EAADB"/>
          </w:tcPr>
          <w:p>
            <w:pPr>
              <w:jc w:val="left"/>
              <w:rPr>
                <w:noProof/>
              </w:rPr>
            </w:pPr>
            <w:r>
              <w:rPr>
                <w:noProof/>
              </w:rPr>
              <w:t>Agenturen*</w:t>
            </w:r>
          </w:p>
        </w:tc>
        <w:tc>
          <w:tcPr>
            <w:tcW w:w="1476"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19</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10</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1206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821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195</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106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15</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10</w:t>
            </w:r>
          </w:p>
        </w:tc>
      </w:tr>
    </w:tbl>
    <w:p>
      <w:pPr>
        <w:rPr>
          <w:b/>
          <w:noProof/>
          <w:lang w:val="en-IE"/>
        </w:rPr>
        <w:sectPr>
          <w:headerReference w:type="even" r:id="rId50"/>
          <w:headerReference w:type="default" r:id="rId51"/>
          <w:footerReference w:type="even" r:id="rId52"/>
          <w:footerReference w:type="default" r:id="rId53"/>
          <w:headerReference w:type="first" r:id="rId54"/>
          <w:footerReference w:type="first" r:id="rId55"/>
          <w:pgSz w:w="16838" w:h="11906" w:orient="landscape"/>
          <w:pgMar w:top="1440" w:right="1440" w:bottom="1440" w:left="1440" w:header="708" w:footer="708" w:gutter="0"/>
          <w:cols w:space="708"/>
          <w:docGrid w:linePitch="360"/>
        </w:sectPr>
      </w:pPr>
    </w:p>
    <w:p>
      <w:pPr>
        <w:rPr>
          <w:b/>
          <w:noProof/>
        </w:rPr>
      </w:pPr>
      <w:r>
        <w:rPr>
          <w:b/>
          <w:noProof/>
        </w:rPr>
        <w:t>Anhang 18: Analog angewandte Beschlüsse der Kommission und solche, bei denen die Kommission ex-ante zugestimmt hat, sie nicht analog anzuwenden (Opt-out) oder Regelungen anzunehmen, die von denen der Kommission abweichen</w:t>
      </w:r>
    </w:p>
    <w:tbl>
      <w:tblPr>
        <w:tblW w:w="6380" w:type="dxa"/>
        <w:tblInd w:w="810" w:type="dxa"/>
        <w:tblLook w:val="04A0" w:firstRow="1" w:lastRow="0" w:firstColumn="1" w:lastColumn="0" w:noHBand="0" w:noVBand="1"/>
      </w:tblPr>
      <w:tblGrid>
        <w:gridCol w:w="4360"/>
        <w:gridCol w:w="2020"/>
      </w:tblGrid>
      <w:tr>
        <w:trPr>
          <w:trHeight w:val="315"/>
        </w:trPr>
        <w:tc>
          <w:tcPr>
            <w:tcW w:w="436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pPr>
              <w:spacing w:after="0"/>
              <w:rPr>
                <w:rFonts w:ascii="Calibri" w:hAnsi="Calibri" w:cs="Calibri"/>
                <w:b/>
                <w:bCs/>
                <w:noProof/>
                <w:color w:val="FFFFFF"/>
                <w:szCs w:val="24"/>
              </w:rPr>
            </w:pPr>
            <w:r>
              <w:rPr>
                <w:rFonts w:ascii="Calibri" w:hAnsi="Calibri"/>
                <w:b/>
                <w:bCs/>
                <w:noProof/>
                <w:color w:val="FFFFFF"/>
                <w:szCs w:val="24"/>
              </w:rPr>
              <w:t>Gemeldete Beschlüsse der Kommission</w:t>
            </w:r>
          </w:p>
        </w:tc>
        <w:tc>
          <w:tcPr>
            <w:tcW w:w="202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pPr>
              <w:spacing w:after="0"/>
              <w:rPr>
                <w:rFonts w:ascii="Calibri" w:hAnsi="Calibri" w:cs="Calibri"/>
                <w:b/>
                <w:bCs/>
                <w:noProof/>
                <w:color w:val="FFFFFF"/>
                <w:szCs w:val="24"/>
              </w:rPr>
            </w:pPr>
            <w:r>
              <w:rPr>
                <w:rFonts w:ascii="Calibri" w:hAnsi="Calibri"/>
                <w:b/>
                <w:bCs/>
                <w:noProof/>
                <w:color w:val="FFFFFF"/>
                <w:szCs w:val="24"/>
              </w:rPr>
              <w:t>Anzahl der gemeldeten Beschlüsse der Kommission</w:t>
            </w:r>
          </w:p>
        </w:tc>
      </w:tr>
      <w:tr>
        <w:trPr>
          <w:trHeight w:val="630"/>
        </w:trPr>
        <w:tc>
          <w:tcPr>
            <w:tcW w:w="436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rPr>
                <w:rFonts w:ascii="Calibri" w:hAnsi="Calibri" w:cs="Calibri"/>
                <w:noProof/>
                <w:color w:val="000000"/>
                <w:szCs w:val="24"/>
              </w:rPr>
            </w:pPr>
            <w:r>
              <w:rPr>
                <w:rFonts w:ascii="Calibri" w:hAnsi="Calibri"/>
                <w:noProof/>
                <w:color w:val="000000"/>
                <w:szCs w:val="24"/>
              </w:rPr>
              <w:t>Den Agenturen gemeldete Beschlüsse der Kommission gemäß Artikel 110 Absatz 2 des Statuts</w:t>
            </w:r>
          </w:p>
        </w:tc>
        <w:tc>
          <w:tcPr>
            <w:tcW w:w="202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jc w:val="right"/>
              <w:rPr>
                <w:rFonts w:ascii="Calibri" w:hAnsi="Calibri" w:cs="Calibri"/>
                <w:noProof/>
                <w:color w:val="000000"/>
                <w:szCs w:val="24"/>
              </w:rPr>
            </w:pPr>
            <w:r>
              <w:rPr>
                <w:rFonts w:ascii="Calibri" w:hAnsi="Calibri"/>
                <w:noProof/>
                <w:color w:val="000000"/>
              </w:rPr>
              <w:t>44</w:t>
            </w:r>
            <w:r>
              <w:rPr>
                <w:rStyle w:val="FootnoteReference"/>
                <w:rFonts w:ascii="Calibri" w:hAnsi="Calibri" w:cs="Calibri"/>
                <w:noProof/>
                <w:color w:val="000000"/>
                <w:lang w:val="en-IE" w:eastAsia="en-GB"/>
              </w:rPr>
              <w:footnoteReference w:id="58"/>
            </w:r>
          </w:p>
        </w:tc>
      </w:tr>
      <w:tr>
        <w:trPr>
          <w:trHeight w:val="63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rPr>
                <w:rFonts w:ascii="Calibri" w:hAnsi="Calibri" w:cs="Calibri"/>
                <w:noProof/>
                <w:color w:val="000000"/>
                <w:szCs w:val="24"/>
              </w:rPr>
            </w:pPr>
            <w:r>
              <w:rPr>
                <w:rFonts w:ascii="Calibri" w:hAnsi="Calibri"/>
                <w:noProof/>
                <w:color w:val="000000"/>
                <w:szCs w:val="24"/>
              </w:rPr>
              <w:t>Analog angewandte Beschlüsse der Kommission (kein Muster verfügbar)</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right"/>
              <w:rPr>
                <w:rFonts w:ascii="Calibri" w:hAnsi="Calibri" w:cs="Calibri"/>
                <w:noProof/>
                <w:color w:val="000000"/>
                <w:szCs w:val="24"/>
              </w:rPr>
            </w:pPr>
            <w:r>
              <w:rPr>
                <w:rFonts w:ascii="Calibri" w:hAnsi="Calibri"/>
                <w:noProof/>
                <w:color w:val="000000"/>
              </w:rPr>
              <w:t>21</w:t>
            </w:r>
          </w:p>
        </w:tc>
      </w:tr>
      <w:tr>
        <w:trPr>
          <w:trHeight w:val="945"/>
        </w:trPr>
        <w:tc>
          <w:tcPr>
            <w:tcW w:w="436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rPr>
                <w:rFonts w:ascii="Calibri" w:hAnsi="Calibri" w:cs="Calibri"/>
                <w:noProof/>
                <w:color w:val="000000"/>
                <w:szCs w:val="24"/>
              </w:rPr>
            </w:pPr>
            <w:r>
              <w:rPr>
                <w:rFonts w:ascii="Calibri" w:hAnsi="Calibri"/>
                <w:noProof/>
                <w:color w:val="000000"/>
                <w:szCs w:val="24"/>
              </w:rPr>
              <w:t>Beschlüsse der Kommission, für die die Kommission einer Abweichung zugestimmt hat:</w:t>
            </w:r>
          </w:p>
          <w:p>
            <w:pPr>
              <w:pStyle w:val="ListParagraph"/>
              <w:numPr>
                <w:ilvl w:val="0"/>
                <w:numId w:val="10"/>
              </w:numPr>
              <w:spacing w:after="0" w:line="240" w:lineRule="auto"/>
              <w:rPr>
                <w:rFonts w:ascii="Calibri" w:eastAsia="Times New Roman" w:hAnsi="Calibri" w:cs="Calibri"/>
                <w:noProof/>
                <w:color w:val="000000"/>
                <w:sz w:val="24"/>
                <w:szCs w:val="24"/>
              </w:rPr>
            </w:pPr>
            <w:r>
              <w:rPr>
                <w:rFonts w:ascii="Calibri" w:hAnsi="Calibri"/>
                <w:noProof/>
                <w:color w:val="000000"/>
              </w:rPr>
              <w:t>durch Ex-ante-Vereinbarung zu einem Musterbeschluss</w:t>
            </w:r>
            <w:r>
              <w:rPr>
                <w:rStyle w:val="FootnoteReference"/>
                <w:rFonts w:ascii="Calibri" w:hAnsi="Calibri" w:cs="Calibri"/>
                <w:noProof/>
                <w:color w:val="000000"/>
                <w:lang w:val="en-IE" w:eastAsia="en-GB"/>
              </w:rPr>
              <w:footnoteReference w:id="59"/>
            </w:r>
          </w:p>
          <w:p>
            <w:pPr>
              <w:pStyle w:val="ListParagraph"/>
              <w:numPr>
                <w:ilvl w:val="0"/>
                <w:numId w:val="11"/>
              </w:numPr>
              <w:spacing w:after="0" w:line="240" w:lineRule="auto"/>
              <w:ind w:left="1357"/>
              <w:rPr>
                <w:rFonts w:ascii="Calibri" w:eastAsia="Times New Roman" w:hAnsi="Calibri" w:cs="Calibri"/>
                <w:noProof/>
                <w:color w:val="000000"/>
                <w:sz w:val="24"/>
                <w:szCs w:val="24"/>
              </w:rPr>
            </w:pPr>
            <w:r>
              <w:rPr>
                <w:rFonts w:ascii="Calibri" w:hAnsi="Calibri"/>
                <w:noProof/>
                <w:color w:val="000000"/>
                <w:sz w:val="24"/>
                <w:szCs w:val="24"/>
              </w:rPr>
              <w:t>Opt-out-Klausel</w:t>
            </w:r>
          </w:p>
          <w:p>
            <w:pPr>
              <w:pStyle w:val="ListParagraph"/>
              <w:numPr>
                <w:ilvl w:val="0"/>
                <w:numId w:val="11"/>
              </w:numPr>
              <w:spacing w:after="0" w:line="240" w:lineRule="auto"/>
              <w:ind w:left="1357"/>
              <w:rPr>
                <w:rFonts w:ascii="Calibri" w:eastAsia="Times New Roman" w:hAnsi="Calibri" w:cs="Calibri"/>
                <w:noProof/>
                <w:color w:val="000000"/>
                <w:sz w:val="24"/>
                <w:szCs w:val="24"/>
              </w:rPr>
            </w:pPr>
            <w:r>
              <w:rPr>
                <w:rFonts w:ascii="Calibri" w:hAnsi="Calibri"/>
                <w:noProof/>
                <w:color w:val="000000"/>
                <w:sz w:val="24"/>
                <w:szCs w:val="24"/>
              </w:rPr>
              <w:t>Unterschiedliche Regelungen</w:t>
            </w:r>
          </w:p>
          <w:p>
            <w:pPr>
              <w:pStyle w:val="ListParagraph"/>
              <w:numPr>
                <w:ilvl w:val="0"/>
                <w:numId w:val="10"/>
              </w:numPr>
              <w:spacing w:after="0" w:line="240" w:lineRule="auto"/>
              <w:rPr>
                <w:rFonts w:ascii="Calibri" w:eastAsia="Times New Roman" w:hAnsi="Calibri" w:cs="Calibri"/>
                <w:noProof/>
                <w:color w:val="000000"/>
                <w:sz w:val="24"/>
                <w:szCs w:val="24"/>
              </w:rPr>
            </w:pPr>
            <w:r>
              <w:rPr>
                <w:rFonts w:ascii="Calibri" w:hAnsi="Calibri"/>
                <w:noProof/>
                <w:color w:val="000000"/>
                <w:sz w:val="24"/>
                <w:szCs w:val="24"/>
              </w:rPr>
              <w:t>Nach individueller Vereinbarung</w:t>
            </w:r>
          </w:p>
        </w:tc>
        <w:tc>
          <w:tcPr>
            <w:tcW w:w="202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rPr>
                <w:rFonts w:ascii="Calibri" w:hAnsi="Calibri" w:cs="Calibri"/>
                <w:noProof/>
                <w:color w:val="000000"/>
                <w:szCs w:val="24"/>
                <w:lang w:val="en-IE" w:eastAsia="en-GB"/>
              </w:rPr>
            </w:pPr>
          </w:p>
          <w:p>
            <w:pPr>
              <w:spacing w:after="0"/>
              <w:jc w:val="right"/>
              <w:rPr>
                <w:rFonts w:ascii="Calibri" w:hAnsi="Calibri" w:cs="Calibri"/>
                <w:noProof/>
                <w:color w:val="000000"/>
                <w:szCs w:val="24"/>
              </w:rPr>
            </w:pPr>
            <w:r>
              <w:rPr>
                <w:rFonts w:ascii="Calibri" w:hAnsi="Calibri"/>
                <w:noProof/>
                <w:color w:val="000000"/>
                <w:szCs w:val="24"/>
              </w:rPr>
              <w:t>16</w:t>
            </w:r>
          </w:p>
          <w:p>
            <w:pPr>
              <w:spacing w:after="0"/>
              <w:jc w:val="right"/>
              <w:rPr>
                <w:rFonts w:ascii="Calibri" w:hAnsi="Calibri" w:cs="Calibri"/>
                <w:noProof/>
                <w:color w:val="000000"/>
                <w:szCs w:val="24"/>
                <w:lang w:val="en-IE" w:eastAsia="en-GB"/>
              </w:rPr>
            </w:pPr>
          </w:p>
          <w:p>
            <w:pPr>
              <w:spacing w:after="0"/>
              <w:jc w:val="right"/>
              <w:rPr>
                <w:rFonts w:ascii="Calibri" w:hAnsi="Calibri" w:cs="Calibri"/>
                <w:noProof/>
                <w:color w:val="000000"/>
                <w:szCs w:val="24"/>
                <w:lang w:val="en-IE" w:eastAsia="en-GB"/>
              </w:rPr>
            </w:pPr>
          </w:p>
          <w:p>
            <w:pPr>
              <w:spacing w:after="0"/>
              <w:jc w:val="right"/>
              <w:rPr>
                <w:rFonts w:ascii="Calibri" w:hAnsi="Calibri" w:cs="Calibri"/>
                <w:noProof/>
                <w:color w:val="000000"/>
                <w:szCs w:val="24"/>
              </w:rPr>
            </w:pPr>
            <w:r>
              <w:rPr>
                <w:rFonts w:ascii="Calibri" w:hAnsi="Calibri"/>
                <w:noProof/>
                <w:color w:val="000000"/>
                <w:szCs w:val="24"/>
              </w:rPr>
              <w:t>6</w:t>
            </w:r>
          </w:p>
        </w:tc>
      </w:tr>
    </w:tbl>
    <w:p>
      <w:pPr>
        <w:rPr>
          <w:noProof/>
          <w:lang w:val="en-IE"/>
        </w:rPr>
      </w:pPr>
    </w:p>
    <w:p>
      <w:pPr>
        <w:rPr>
          <w:b/>
          <w:noProof/>
        </w:rPr>
      </w:pPr>
      <w:r>
        <w:rPr>
          <w:b/>
          <w:noProof/>
        </w:rPr>
        <w:t>Anhang 19: Vereinbarungen der Kommission zur Annahme von Regelungen zu anderen Themen als denjenigen, die unter die von der Kommission mitgeteilten Regelungen fallen</w:t>
      </w:r>
    </w:p>
    <w:tbl>
      <w:tblPr>
        <w:tblW w:w="6380" w:type="dxa"/>
        <w:tblInd w:w="780" w:type="dxa"/>
        <w:tblLook w:val="04A0" w:firstRow="1" w:lastRow="0" w:firstColumn="1" w:lastColumn="0" w:noHBand="0" w:noVBand="1"/>
      </w:tblPr>
      <w:tblGrid>
        <w:gridCol w:w="4360"/>
        <w:gridCol w:w="2020"/>
      </w:tblGrid>
      <w:tr>
        <w:trPr>
          <w:trHeight w:val="315"/>
        </w:trPr>
        <w:tc>
          <w:tcPr>
            <w:tcW w:w="4360" w:type="dxa"/>
            <w:tcBorders>
              <w:top w:val="single" w:sz="4" w:space="0" w:color="70AD47" w:themeColor="accent6"/>
              <w:left w:val="single" w:sz="4" w:space="0" w:color="70AD47" w:themeColor="accent6"/>
              <w:bottom w:val="nil"/>
              <w:right w:val="nil"/>
            </w:tcBorders>
            <w:shd w:val="clear" w:color="auto" w:fill="70AD47" w:themeFill="accent6"/>
            <w:vAlign w:val="bottom"/>
            <w:hideMark/>
          </w:tcPr>
          <w:p>
            <w:pPr>
              <w:spacing w:after="0"/>
              <w:rPr>
                <w:rFonts w:ascii="Calibri" w:hAnsi="Calibri" w:cs="Calibri"/>
                <w:b/>
                <w:bCs/>
                <w:noProof/>
                <w:color w:val="FFFFFF"/>
                <w:szCs w:val="24"/>
              </w:rPr>
            </w:pPr>
            <w:r>
              <w:rPr>
                <w:rFonts w:ascii="Calibri" w:hAnsi="Calibri"/>
                <w:b/>
                <w:bCs/>
                <w:noProof/>
                <w:color w:val="FFFFFF"/>
                <w:szCs w:val="24"/>
              </w:rPr>
              <w:t xml:space="preserve">Regelungen zu anderen Themen </w:t>
            </w:r>
          </w:p>
        </w:tc>
        <w:tc>
          <w:tcPr>
            <w:tcW w:w="2020" w:type="dxa"/>
            <w:tcBorders>
              <w:top w:val="single" w:sz="4" w:space="0" w:color="70AD47" w:themeColor="accent6"/>
              <w:left w:val="nil"/>
              <w:bottom w:val="nil"/>
              <w:right w:val="single" w:sz="4" w:space="0" w:color="auto"/>
            </w:tcBorders>
            <w:shd w:val="clear" w:color="auto" w:fill="70AD47" w:themeFill="accent6"/>
            <w:vAlign w:val="bottom"/>
            <w:hideMark/>
          </w:tcPr>
          <w:p>
            <w:pPr>
              <w:spacing w:after="0"/>
              <w:rPr>
                <w:rFonts w:ascii="Calibri" w:hAnsi="Calibri" w:cs="Calibri"/>
                <w:b/>
                <w:bCs/>
                <w:noProof/>
                <w:color w:val="FFFFFF"/>
                <w:szCs w:val="24"/>
              </w:rPr>
            </w:pPr>
            <w:r>
              <w:rPr>
                <w:rFonts w:ascii="Calibri" w:hAnsi="Calibri"/>
                <w:b/>
                <w:bCs/>
                <w:noProof/>
                <w:color w:val="FFFFFF"/>
                <w:szCs w:val="24"/>
              </w:rPr>
              <w:t>Anzahl</w:t>
            </w:r>
          </w:p>
        </w:tc>
      </w:tr>
      <w:tr>
        <w:trPr>
          <w:trHeight w:val="945"/>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rPr>
                <w:rFonts w:ascii="Calibri" w:hAnsi="Calibri" w:cs="Calibri"/>
                <w:noProof/>
                <w:color w:val="000000"/>
                <w:szCs w:val="24"/>
              </w:rPr>
            </w:pPr>
            <w:r>
              <w:rPr>
                <w:rFonts w:ascii="Calibri" w:hAnsi="Calibri"/>
                <w:noProof/>
                <w:color w:val="000000"/>
                <w:szCs w:val="24"/>
              </w:rPr>
              <w:t>Ex-ante-Vereinbarungen zu Musterbeschlüssen zu anderen Themen als denjenigen, die unter die von der Kommission mitgeteilten Regelungen fallen</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right"/>
              <w:rPr>
                <w:rFonts w:ascii="Calibri" w:hAnsi="Calibri" w:cs="Calibri"/>
                <w:noProof/>
                <w:color w:val="000000"/>
                <w:szCs w:val="24"/>
              </w:rPr>
            </w:pPr>
            <w:r>
              <w:rPr>
                <w:rFonts w:ascii="Calibri" w:hAnsi="Calibri"/>
                <w:noProof/>
                <w:color w:val="000000"/>
                <w:szCs w:val="24"/>
              </w:rPr>
              <w:t>9</w:t>
            </w:r>
          </w:p>
        </w:tc>
      </w:tr>
      <w:tr>
        <w:trPr>
          <w:trHeight w:val="63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rPr>
                <w:rFonts w:ascii="Calibri" w:hAnsi="Calibri" w:cs="Calibri"/>
                <w:noProof/>
                <w:color w:val="000000"/>
                <w:szCs w:val="24"/>
              </w:rPr>
            </w:pPr>
            <w:r>
              <w:rPr>
                <w:rFonts w:ascii="Calibri" w:hAnsi="Calibri"/>
                <w:noProof/>
                <w:color w:val="000000"/>
                <w:szCs w:val="24"/>
              </w:rPr>
              <w:t xml:space="preserve">Individuelle Vereinbarungen zu individuellen Anträgen von Agenturen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right"/>
              <w:rPr>
                <w:rFonts w:ascii="Calibri" w:hAnsi="Calibri" w:cs="Calibri"/>
                <w:noProof/>
                <w:color w:val="000000"/>
                <w:szCs w:val="24"/>
              </w:rPr>
            </w:pPr>
            <w:r>
              <w:rPr>
                <w:rFonts w:ascii="Calibri" w:hAnsi="Calibri"/>
                <w:noProof/>
                <w:color w:val="000000"/>
              </w:rPr>
              <w:t>48</w:t>
            </w:r>
            <w:r>
              <w:rPr>
                <w:rStyle w:val="FootnoteReference"/>
                <w:rFonts w:ascii="Calibri" w:hAnsi="Calibri" w:cs="Calibri"/>
                <w:noProof/>
                <w:color w:val="000000"/>
                <w:lang w:val="en-IE" w:eastAsia="en-GB"/>
              </w:rPr>
              <w:footnoteReference w:id="60"/>
            </w:r>
          </w:p>
        </w:tc>
      </w:tr>
    </w:tbl>
    <w:p>
      <w:pPr>
        <w:rPr>
          <w:b/>
          <w:noProof/>
          <w:lang w:val="en-IE"/>
        </w:rPr>
      </w:pPr>
    </w:p>
    <w:p>
      <w:pPr>
        <w:rPr>
          <w:b/>
          <w:noProof/>
        </w:rPr>
      </w:pPr>
      <w:r>
        <w:rPr>
          <w:b/>
          <w:noProof/>
        </w:rPr>
        <w:t xml:space="preserve">Anhang 20: Treffen mit der Personalvertretung </w:t>
      </w:r>
    </w:p>
    <w:p>
      <w:pPr>
        <w:rPr>
          <w:b/>
          <w:noProof/>
        </w:rPr>
      </w:pPr>
      <w:r>
        <w:rPr>
          <w:noProof/>
          <w:lang w:val="en-GB" w:eastAsia="en-GB"/>
        </w:rPr>
        <w:drawing>
          <wp:inline distT="0" distB="0" distL="0" distR="0">
            <wp:extent cx="4832350"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32350" cy="2743200"/>
                    </a:xfrm>
                    <a:prstGeom prst="rect">
                      <a:avLst/>
                    </a:prstGeom>
                    <a:noFill/>
                    <a:ln>
                      <a:noFill/>
                    </a:ln>
                  </pic:spPr>
                </pic:pic>
              </a:graphicData>
            </a:graphic>
          </wp:inline>
        </w:drawing>
      </w:r>
    </w:p>
    <w:p>
      <w:pPr>
        <w:rPr>
          <w:b/>
          <w:noProof/>
          <w:lang w:val="en-IE"/>
        </w:rPr>
      </w:pPr>
    </w:p>
    <w:p>
      <w:pPr>
        <w:rPr>
          <w:b/>
          <w:noProof/>
        </w:rPr>
      </w:pPr>
      <w:r>
        <w:rPr>
          <w:b/>
          <w:noProof/>
        </w:rPr>
        <w:t>Anhang 21: Sitzungen des Statutsbeirats</w:t>
      </w:r>
    </w:p>
    <w:p>
      <w:pPr>
        <w:rPr>
          <w:b/>
          <w:noProof/>
        </w:rPr>
      </w:pPr>
      <w:r>
        <w:rPr>
          <w:noProof/>
          <w:lang w:val="en-GB" w:eastAsia="en-GB"/>
        </w:rPr>
        <w:drawing>
          <wp:inline distT="0" distB="0" distL="0" distR="0">
            <wp:extent cx="4832350" cy="27432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32350" cy="2743200"/>
                    </a:xfrm>
                    <a:prstGeom prst="rect">
                      <a:avLst/>
                    </a:prstGeom>
                    <a:noFill/>
                    <a:ln>
                      <a:noFill/>
                    </a:ln>
                  </pic:spPr>
                </pic:pic>
              </a:graphicData>
            </a:graphic>
          </wp:inline>
        </w:drawing>
      </w:r>
    </w:p>
    <w:p>
      <w:pPr>
        <w:spacing w:after="160" w:line="259" w:lineRule="auto"/>
        <w:jc w:val="left"/>
        <w:rPr>
          <w:b/>
          <w:noProof/>
        </w:rPr>
      </w:pPr>
      <w:r>
        <w:rPr>
          <w:noProof/>
        </w:rPr>
        <w:br w:type="page"/>
      </w:r>
    </w:p>
    <w:p>
      <w:pPr>
        <w:rPr>
          <w:b/>
          <w:noProof/>
          <w:lang w:val="en-IE"/>
        </w:rPr>
        <w:sectPr>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pPr>
    </w:p>
    <w:p>
      <w:pPr>
        <w:rPr>
          <w:b/>
          <w:noProof/>
          <w:lang w:val="en-IE"/>
        </w:rPr>
      </w:pPr>
    </w:p>
    <w:p>
      <w:pPr>
        <w:rPr>
          <w:b/>
          <w:noProof/>
        </w:rPr>
      </w:pPr>
      <w:r>
        <w:rPr>
          <w:b/>
          <w:noProof/>
        </w:rPr>
        <w:t>Anhang 22: Gerichtliche Prüfung</w:t>
      </w:r>
    </w:p>
    <w:p>
      <w:pPr>
        <w:spacing w:after="0"/>
        <w:textAlignment w:val="baseline"/>
        <w:rPr>
          <w:b/>
          <w:bCs/>
          <w:noProof/>
          <w:szCs w:val="24"/>
          <w:lang w:val="en-IE"/>
        </w:rPr>
      </w:pPr>
    </w:p>
    <w:tbl>
      <w:tblPr>
        <w:tblStyle w:val="TableGrid"/>
        <w:tblW w:w="14935" w:type="dxa"/>
        <w:jc w:val="center"/>
        <w:tblLook w:val="04A0" w:firstRow="1" w:lastRow="0" w:firstColumn="1" w:lastColumn="0" w:noHBand="0" w:noVBand="1"/>
      </w:tblPr>
      <w:tblGrid>
        <w:gridCol w:w="3258"/>
        <w:gridCol w:w="1434"/>
        <w:gridCol w:w="1994"/>
        <w:gridCol w:w="1902"/>
        <w:gridCol w:w="1720"/>
        <w:gridCol w:w="4627"/>
      </w:tblGrid>
      <w:tr>
        <w:trPr>
          <w:trHeight w:val="906"/>
          <w:jc w:val="center"/>
        </w:trPr>
        <w:tc>
          <w:tcPr>
            <w:tcW w:w="1777"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rPr>
            </w:pPr>
            <w:r>
              <w:rPr>
                <w:b/>
                <w:bCs/>
                <w:noProof/>
                <w:szCs w:val="24"/>
              </w:rPr>
              <w:t>Gegenstand</w:t>
            </w:r>
          </w:p>
        </w:tc>
        <w:tc>
          <w:tcPr>
            <w:tcW w:w="1544"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rPr>
            </w:pPr>
            <w:r>
              <w:rPr>
                <w:b/>
                <w:bCs/>
                <w:noProof/>
                <w:szCs w:val="24"/>
              </w:rPr>
              <w:t>Datum</w:t>
            </w:r>
          </w:p>
        </w:tc>
        <w:tc>
          <w:tcPr>
            <w:tcW w:w="3517" w:type="dxa"/>
            <w:gridSpan w:val="2"/>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rPr>
            </w:pPr>
            <w:r>
              <w:rPr>
                <w:b/>
                <w:bCs/>
                <w:noProof/>
                <w:szCs w:val="24"/>
              </w:rPr>
              <w:t>Quelle</w:t>
            </w:r>
          </w:p>
        </w:tc>
        <w:tc>
          <w:tcPr>
            <w:tcW w:w="2037"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rPr>
            </w:pPr>
            <w:r>
              <w:rPr>
                <w:b/>
                <w:bCs/>
                <w:noProof/>
                <w:szCs w:val="24"/>
              </w:rPr>
              <w:t>Ergebnis</w:t>
            </w:r>
          </w:p>
        </w:tc>
        <w:tc>
          <w:tcPr>
            <w:tcW w:w="6060"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rPr>
            </w:pPr>
            <w:r>
              <w:rPr>
                <w:b/>
                <w:bCs/>
                <w:noProof/>
                <w:szCs w:val="24"/>
              </w:rPr>
              <w:t>Anmerkung</w:t>
            </w:r>
          </w:p>
        </w:tc>
      </w:tr>
      <w:tr>
        <w:trPr>
          <w:trHeight w:val="1448"/>
          <w:jc w:val="center"/>
        </w:trPr>
        <w:tc>
          <w:tcPr>
            <w:tcW w:w="1777" w:type="dxa"/>
            <w:vMerge w:val="restart"/>
            <w:tcBorders>
              <w:top w:val="single" w:sz="12" w:space="0" w:color="auto"/>
            </w:tcBorders>
            <w:vAlign w:val="center"/>
          </w:tcPr>
          <w:p>
            <w:pPr>
              <w:jc w:val="center"/>
              <w:textAlignment w:val="baseline"/>
              <w:rPr>
                <w:b/>
                <w:bCs/>
                <w:noProof/>
                <w:szCs w:val="24"/>
              </w:rPr>
            </w:pPr>
            <w:r>
              <w:rPr>
                <w:b/>
                <w:bCs/>
                <w:noProof/>
                <w:szCs w:val="24"/>
              </w:rPr>
              <w:t>Konsultation der Personalvertretung</w:t>
            </w:r>
          </w:p>
        </w:tc>
        <w:tc>
          <w:tcPr>
            <w:tcW w:w="1544" w:type="dxa"/>
            <w:tcBorders>
              <w:top w:val="single" w:sz="12" w:space="0" w:color="auto"/>
            </w:tcBorders>
            <w:vAlign w:val="center"/>
          </w:tcPr>
          <w:p>
            <w:pPr>
              <w:jc w:val="center"/>
              <w:textAlignment w:val="baseline"/>
              <w:rPr>
                <w:bCs/>
                <w:noProof/>
                <w:szCs w:val="24"/>
              </w:rPr>
            </w:pPr>
            <w:r>
              <w:rPr>
                <w:noProof/>
              </w:rPr>
              <w:t>15.9.2016</w:t>
            </w:r>
          </w:p>
        </w:tc>
        <w:tc>
          <w:tcPr>
            <w:tcW w:w="3517" w:type="dxa"/>
            <w:gridSpan w:val="2"/>
            <w:tcBorders>
              <w:top w:val="single" w:sz="12" w:space="0" w:color="auto"/>
            </w:tcBorders>
            <w:vAlign w:val="center"/>
          </w:tcPr>
          <w:p>
            <w:pPr>
              <w:jc w:val="center"/>
              <w:textAlignment w:val="baseline"/>
              <w:rPr>
                <w:bCs/>
                <w:i/>
                <w:noProof/>
                <w:szCs w:val="24"/>
              </w:rPr>
            </w:pPr>
            <w:r>
              <w:rPr>
                <w:bCs/>
                <w:i/>
                <w:noProof/>
                <w:szCs w:val="24"/>
              </w:rPr>
              <w:t>T-17/14</w:t>
            </w:r>
          </w:p>
          <w:p>
            <w:pPr>
              <w:jc w:val="center"/>
              <w:textAlignment w:val="baseline"/>
              <w:rPr>
                <w:bCs/>
                <w:i/>
                <w:noProof/>
                <w:szCs w:val="24"/>
              </w:rPr>
            </w:pPr>
            <w:r>
              <w:rPr>
                <w:bCs/>
                <w:i/>
                <w:noProof/>
                <w:szCs w:val="24"/>
              </w:rPr>
              <w:t>U4U u. a./Europäisches Parlament und Rat der Europäischen Union</w:t>
            </w:r>
          </w:p>
        </w:tc>
        <w:tc>
          <w:tcPr>
            <w:tcW w:w="2037" w:type="dxa"/>
            <w:vMerge w:val="restart"/>
            <w:tcBorders>
              <w:top w:val="single" w:sz="12" w:space="0" w:color="auto"/>
            </w:tcBorders>
            <w:vAlign w:val="center"/>
          </w:tcPr>
          <w:p>
            <w:pPr>
              <w:jc w:val="center"/>
              <w:textAlignment w:val="baseline"/>
              <w:rPr>
                <w:b/>
                <w:bCs/>
                <w:noProof/>
                <w:szCs w:val="24"/>
              </w:rPr>
            </w:pPr>
            <w:r>
              <w:rPr>
                <w:b/>
                <w:bCs/>
                <w:noProof/>
                <w:szCs w:val="24"/>
              </w:rPr>
              <w:t>Abgelehnt</w:t>
            </w:r>
          </w:p>
        </w:tc>
        <w:tc>
          <w:tcPr>
            <w:tcW w:w="6060" w:type="dxa"/>
            <w:vMerge w:val="restart"/>
            <w:tcBorders>
              <w:top w:val="single" w:sz="12" w:space="0" w:color="auto"/>
            </w:tcBorders>
            <w:vAlign w:val="center"/>
          </w:tcPr>
          <w:p>
            <w:pPr>
              <w:textAlignment w:val="baseline"/>
              <w:rPr>
                <w:bCs/>
                <w:noProof/>
                <w:szCs w:val="24"/>
              </w:rPr>
            </w:pPr>
            <w:r>
              <w:rPr>
                <w:noProof/>
              </w:rPr>
              <w:t>Die Personalvertreter erhoben direkte Klagen gegen die Verordnung Nr. 1023/2013, die sich hauptsächlich auf einen angeblichen Verstoß gegen die Regeln des sozialen Dialogs im Rahmen der Verhandlungen über die Reform des Statuts stützten.</w:t>
            </w:r>
          </w:p>
          <w:p>
            <w:pPr>
              <w:textAlignment w:val="baseline"/>
              <w:rPr>
                <w:bCs/>
                <w:noProof/>
                <w:szCs w:val="24"/>
              </w:rPr>
            </w:pPr>
            <w:r>
              <w:rPr>
                <w:noProof/>
              </w:rPr>
              <w:t>Das Gericht erster Instanz wies die Klagen ab und bestätigte, dass die Vorschriften über die Anhörung des Statutsbeirats (Artikel 10 des Statuts) und über das im Beschluss des Rates vom 23. Juni 1981 vorgesehene Konzertationsverfahren in diesem Fall beachtet wurden.</w:t>
            </w:r>
          </w:p>
        </w:tc>
      </w:tr>
      <w:tr>
        <w:trPr>
          <w:trHeight w:val="1447"/>
          <w:jc w:val="center"/>
        </w:trPr>
        <w:tc>
          <w:tcPr>
            <w:tcW w:w="1777" w:type="dxa"/>
            <w:vMerge/>
            <w:vAlign w:val="center"/>
          </w:tcPr>
          <w:p>
            <w:pPr>
              <w:jc w:val="center"/>
              <w:textAlignment w:val="baseline"/>
              <w:rPr>
                <w:b/>
                <w:bCs/>
                <w:noProof/>
                <w:szCs w:val="24"/>
                <w:lang w:val="en-IE"/>
              </w:rPr>
            </w:pPr>
          </w:p>
        </w:tc>
        <w:tc>
          <w:tcPr>
            <w:tcW w:w="1544" w:type="dxa"/>
            <w:tcBorders>
              <w:bottom w:val="single" w:sz="12" w:space="0" w:color="auto"/>
            </w:tcBorders>
            <w:vAlign w:val="center"/>
          </w:tcPr>
          <w:p>
            <w:pPr>
              <w:jc w:val="center"/>
              <w:textAlignment w:val="baseline"/>
              <w:rPr>
                <w:bCs/>
                <w:noProof/>
                <w:szCs w:val="24"/>
              </w:rPr>
            </w:pPr>
            <w:r>
              <w:rPr>
                <w:noProof/>
              </w:rPr>
              <w:t>16.11.2017</w:t>
            </w:r>
          </w:p>
        </w:tc>
        <w:tc>
          <w:tcPr>
            <w:tcW w:w="3517" w:type="dxa"/>
            <w:gridSpan w:val="2"/>
            <w:tcBorders>
              <w:top w:val="single" w:sz="4" w:space="0" w:color="auto"/>
              <w:bottom w:val="single" w:sz="12" w:space="0" w:color="auto"/>
            </w:tcBorders>
            <w:vAlign w:val="center"/>
          </w:tcPr>
          <w:p>
            <w:pPr>
              <w:jc w:val="center"/>
              <w:textAlignment w:val="baseline"/>
              <w:rPr>
                <w:bCs/>
                <w:i/>
                <w:noProof/>
                <w:szCs w:val="24"/>
              </w:rPr>
            </w:pPr>
            <w:r>
              <w:rPr>
                <w:bCs/>
                <w:i/>
                <w:noProof/>
                <w:szCs w:val="24"/>
              </w:rPr>
              <w:t xml:space="preserve">T-75/14 </w:t>
            </w:r>
          </w:p>
          <w:p>
            <w:pPr>
              <w:jc w:val="center"/>
              <w:textAlignment w:val="baseline"/>
              <w:rPr>
                <w:bCs/>
                <w:i/>
                <w:noProof/>
                <w:szCs w:val="24"/>
              </w:rPr>
            </w:pPr>
            <w:r>
              <w:rPr>
                <w:bCs/>
                <w:i/>
                <w:noProof/>
                <w:szCs w:val="24"/>
              </w:rPr>
              <w:t>USFSPEI/Europäisches Parlament und Rat</w:t>
            </w:r>
          </w:p>
        </w:tc>
        <w:tc>
          <w:tcPr>
            <w:tcW w:w="2037" w:type="dxa"/>
            <w:vMerge/>
            <w:vAlign w:val="center"/>
          </w:tcPr>
          <w:p>
            <w:pPr>
              <w:jc w:val="center"/>
              <w:textAlignment w:val="baseline"/>
              <w:rPr>
                <w:b/>
                <w:bCs/>
                <w:noProof/>
                <w:szCs w:val="24"/>
                <w:lang w:val="en-IE"/>
              </w:rPr>
            </w:pPr>
          </w:p>
        </w:tc>
        <w:tc>
          <w:tcPr>
            <w:tcW w:w="6060" w:type="dxa"/>
            <w:vMerge/>
            <w:vAlign w:val="center"/>
          </w:tcPr>
          <w:p>
            <w:pPr>
              <w:textAlignment w:val="baseline"/>
              <w:rPr>
                <w:bCs/>
                <w:noProof/>
                <w:szCs w:val="24"/>
                <w:lang w:val="en-IE"/>
              </w:rPr>
            </w:pPr>
          </w:p>
        </w:tc>
      </w:tr>
      <w:tr>
        <w:trPr>
          <w:trHeight w:val="3145"/>
          <w:jc w:val="center"/>
        </w:trPr>
        <w:tc>
          <w:tcPr>
            <w:tcW w:w="1777" w:type="dxa"/>
            <w:tcBorders>
              <w:top w:val="single" w:sz="12" w:space="0" w:color="auto"/>
              <w:bottom w:val="single" w:sz="12" w:space="0" w:color="auto"/>
            </w:tcBorders>
            <w:vAlign w:val="center"/>
          </w:tcPr>
          <w:p>
            <w:pPr>
              <w:jc w:val="center"/>
              <w:textAlignment w:val="baseline"/>
              <w:rPr>
                <w:b/>
                <w:bCs/>
                <w:noProof/>
                <w:szCs w:val="24"/>
              </w:rPr>
            </w:pPr>
            <w:r>
              <w:rPr>
                <w:b/>
                <w:bCs/>
                <w:noProof/>
                <w:szCs w:val="24"/>
              </w:rPr>
              <w:t>Urlaub im dienstlichen Interesse</w:t>
            </w:r>
          </w:p>
        </w:tc>
        <w:tc>
          <w:tcPr>
            <w:tcW w:w="1544" w:type="dxa"/>
            <w:tcBorders>
              <w:top w:val="single" w:sz="12" w:space="0" w:color="auto"/>
              <w:bottom w:val="single" w:sz="12" w:space="0" w:color="auto"/>
            </w:tcBorders>
            <w:vAlign w:val="center"/>
          </w:tcPr>
          <w:p>
            <w:pPr>
              <w:jc w:val="center"/>
              <w:textAlignment w:val="baseline"/>
              <w:rPr>
                <w:bCs/>
                <w:noProof/>
                <w:szCs w:val="24"/>
              </w:rPr>
            </w:pPr>
            <w:r>
              <w:rPr>
                <w:noProof/>
              </w:rPr>
              <w:t>8.5.2019</w:t>
            </w:r>
          </w:p>
        </w:tc>
        <w:tc>
          <w:tcPr>
            <w:tcW w:w="3517" w:type="dxa"/>
            <w:gridSpan w:val="2"/>
            <w:tcBorders>
              <w:top w:val="single" w:sz="12" w:space="0" w:color="auto"/>
              <w:bottom w:val="single" w:sz="12" w:space="0" w:color="auto"/>
            </w:tcBorders>
            <w:vAlign w:val="center"/>
          </w:tcPr>
          <w:p>
            <w:pPr>
              <w:jc w:val="center"/>
              <w:textAlignment w:val="baseline"/>
              <w:rPr>
                <w:bCs/>
                <w:i/>
                <w:noProof/>
                <w:szCs w:val="24"/>
              </w:rPr>
            </w:pPr>
            <w:r>
              <w:rPr>
                <w:bCs/>
                <w:i/>
                <w:noProof/>
                <w:szCs w:val="24"/>
              </w:rPr>
              <w:t xml:space="preserve">T-170/17 </w:t>
            </w:r>
          </w:p>
          <w:p>
            <w:pPr>
              <w:jc w:val="center"/>
              <w:textAlignment w:val="baseline"/>
              <w:rPr>
                <w:bCs/>
                <w:i/>
                <w:noProof/>
                <w:szCs w:val="24"/>
              </w:rPr>
            </w:pPr>
            <w:r>
              <w:rPr>
                <w:bCs/>
                <w:i/>
                <w:noProof/>
                <w:szCs w:val="24"/>
              </w:rPr>
              <w:t>RW/Kommission</w:t>
            </w:r>
          </w:p>
        </w:tc>
        <w:tc>
          <w:tcPr>
            <w:tcW w:w="2037" w:type="dxa"/>
            <w:tcBorders>
              <w:top w:val="single" w:sz="12" w:space="0" w:color="auto"/>
              <w:bottom w:val="single" w:sz="12" w:space="0" w:color="auto"/>
            </w:tcBorders>
            <w:vAlign w:val="center"/>
          </w:tcPr>
          <w:p>
            <w:pPr>
              <w:jc w:val="center"/>
              <w:textAlignment w:val="baseline"/>
              <w:rPr>
                <w:b/>
                <w:bCs/>
                <w:noProof/>
                <w:szCs w:val="24"/>
              </w:rPr>
            </w:pPr>
            <w:r>
              <w:rPr>
                <w:b/>
                <w:bCs/>
                <w:noProof/>
                <w:szCs w:val="24"/>
              </w:rPr>
              <w:t>Bestätigt</w:t>
            </w:r>
          </w:p>
        </w:tc>
        <w:tc>
          <w:tcPr>
            <w:tcW w:w="6060" w:type="dxa"/>
            <w:tcBorders>
              <w:top w:val="single" w:sz="12" w:space="0" w:color="auto"/>
              <w:bottom w:val="single" w:sz="12" w:space="0" w:color="auto"/>
            </w:tcBorders>
            <w:vAlign w:val="center"/>
          </w:tcPr>
          <w:p>
            <w:pPr>
              <w:textAlignment w:val="baseline"/>
              <w:rPr>
                <w:bCs/>
                <w:noProof/>
                <w:szCs w:val="24"/>
              </w:rPr>
            </w:pPr>
            <w:r>
              <w:rPr>
                <w:noProof/>
              </w:rPr>
              <w:t xml:space="preserve">Die Anstellungsbehörde hatte den Kläger im dienstlichen Interesse beurlaubt. Gleichzeitig wurde er – weil er das Rentenalter erreicht hatte – zwangsweise in den Ruhestand versetzt. </w:t>
            </w:r>
          </w:p>
          <w:p>
            <w:pPr>
              <w:textAlignment w:val="baseline"/>
              <w:rPr>
                <w:noProof/>
              </w:rPr>
            </w:pPr>
            <w:r>
              <w:rPr>
                <w:noProof/>
              </w:rPr>
              <w:t>Das Gericht hob die Entscheidung der Kommission mit der Begründung auf, dass Artikel 42 Absatz c des Beamtenstatuts nicht auf Bedienstete anwendbar ist, die bereits das Rentenalter erreicht haben. Insbesondere kam das Gericht zu dem Schluss, dass es, wenn der Urlaub im dienstlichen Interesse eine bestimmte Dauer haben muss, nicht möglich ist, einen Beamten mit einer einzigen Entscheidung in den Urlaub im dienstlichen Interesse gleichzeitig zwangsweise in den Ruhestand zu versetzen.</w:t>
            </w:r>
          </w:p>
        </w:tc>
      </w:tr>
      <w:tr>
        <w:trPr>
          <w:trHeight w:val="1105"/>
          <w:jc w:val="center"/>
        </w:trPr>
        <w:tc>
          <w:tcPr>
            <w:tcW w:w="1777" w:type="dxa"/>
            <w:vMerge w:val="restart"/>
            <w:tcBorders>
              <w:top w:val="single" w:sz="12" w:space="0" w:color="auto"/>
            </w:tcBorders>
            <w:vAlign w:val="center"/>
          </w:tcPr>
          <w:p>
            <w:pPr>
              <w:jc w:val="center"/>
              <w:textAlignment w:val="baseline"/>
              <w:rPr>
                <w:noProof/>
                <w:szCs w:val="24"/>
              </w:rPr>
            </w:pPr>
            <w:r>
              <w:rPr>
                <w:b/>
                <w:bCs/>
                <w:noProof/>
                <w:szCs w:val="24"/>
              </w:rPr>
              <w:t>Laufbahnbeschränkungen</w:t>
            </w:r>
          </w:p>
        </w:tc>
        <w:tc>
          <w:tcPr>
            <w:tcW w:w="1544" w:type="dxa"/>
            <w:vMerge w:val="restart"/>
            <w:tcBorders>
              <w:top w:val="single" w:sz="12" w:space="0" w:color="auto"/>
            </w:tcBorders>
            <w:vAlign w:val="center"/>
          </w:tcPr>
          <w:p>
            <w:pPr>
              <w:jc w:val="center"/>
              <w:textAlignment w:val="baseline"/>
              <w:rPr>
                <w:bCs/>
                <w:noProof/>
                <w:szCs w:val="24"/>
              </w:rPr>
            </w:pPr>
            <w:r>
              <w:rPr>
                <w:noProof/>
              </w:rPr>
              <w:t>14.12.2018</w:t>
            </w:r>
          </w:p>
          <w:p>
            <w:pPr>
              <w:jc w:val="center"/>
              <w:textAlignment w:val="baseline"/>
              <w:rPr>
                <w:b/>
                <w:bCs/>
                <w:noProof/>
                <w:szCs w:val="24"/>
                <w:lang w:val="en-IE"/>
              </w:rPr>
            </w:pPr>
          </w:p>
        </w:tc>
        <w:tc>
          <w:tcPr>
            <w:tcW w:w="3517" w:type="dxa"/>
            <w:gridSpan w:val="2"/>
            <w:tcBorders>
              <w:top w:val="single" w:sz="12" w:space="0" w:color="auto"/>
            </w:tcBorders>
            <w:vAlign w:val="center"/>
          </w:tcPr>
          <w:p>
            <w:pPr>
              <w:jc w:val="center"/>
              <w:textAlignment w:val="baseline"/>
              <w:rPr>
                <w:bCs/>
                <w:i/>
                <w:noProof/>
                <w:szCs w:val="24"/>
              </w:rPr>
            </w:pPr>
            <w:r>
              <w:rPr>
                <w:bCs/>
                <w:i/>
                <w:noProof/>
                <w:szCs w:val="24"/>
              </w:rPr>
              <w:t>T-525/16</w:t>
            </w:r>
          </w:p>
          <w:p>
            <w:pPr>
              <w:jc w:val="center"/>
              <w:textAlignment w:val="baseline"/>
              <w:rPr>
                <w:i/>
                <w:noProof/>
                <w:szCs w:val="24"/>
              </w:rPr>
            </w:pPr>
            <w:r>
              <w:rPr>
                <w:i/>
                <w:noProof/>
                <w:szCs w:val="24"/>
              </w:rPr>
              <w:t>GQ u. a./Kommission</w:t>
            </w:r>
          </w:p>
        </w:tc>
        <w:tc>
          <w:tcPr>
            <w:tcW w:w="2037" w:type="dxa"/>
            <w:vMerge w:val="restart"/>
            <w:tcBorders>
              <w:top w:val="single" w:sz="12" w:space="0" w:color="auto"/>
            </w:tcBorders>
            <w:vAlign w:val="center"/>
          </w:tcPr>
          <w:p>
            <w:pPr>
              <w:jc w:val="center"/>
              <w:textAlignment w:val="baseline"/>
              <w:rPr>
                <w:b/>
                <w:bCs/>
                <w:noProof/>
                <w:szCs w:val="24"/>
              </w:rPr>
            </w:pPr>
            <w:r>
              <w:rPr>
                <w:b/>
                <w:bCs/>
                <w:noProof/>
                <w:szCs w:val="24"/>
              </w:rPr>
              <w:t>Abgelehnt</w:t>
            </w:r>
          </w:p>
        </w:tc>
        <w:tc>
          <w:tcPr>
            <w:tcW w:w="6060" w:type="dxa"/>
            <w:vMerge w:val="restart"/>
            <w:tcBorders>
              <w:top w:val="single" w:sz="12" w:space="0" w:color="auto"/>
            </w:tcBorders>
            <w:vAlign w:val="center"/>
          </w:tcPr>
          <w:p>
            <w:pPr>
              <w:textAlignment w:val="baseline"/>
              <w:rPr>
                <w:bCs/>
                <w:noProof/>
                <w:szCs w:val="24"/>
              </w:rPr>
            </w:pPr>
            <w:r>
              <w:rPr>
                <w:noProof/>
              </w:rPr>
              <w:t>Mit der Statutsreform von 2014 wurde die Laufbahnstruktur geändert, indem Beförderungen über die Besoldungsgruppe AD12 für Administratoren und die Besoldungsgruppe AST9 für Assistenten hinaus auf diejenigen Beamten beschränkt wurden, die im Anschluss an ein Auswahlverfahren mit einer Stellenausschreibung auf eine Stelle mit besonderen Aufgaben ernannt wurden.</w:t>
            </w:r>
          </w:p>
          <w:p>
            <w:pPr>
              <w:textAlignment w:val="baseline"/>
              <w:rPr>
                <w:bCs/>
                <w:noProof/>
                <w:szCs w:val="24"/>
                <w:lang w:val="en-IE"/>
              </w:rPr>
            </w:pPr>
          </w:p>
          <w:p>
            <w:pPr>
              <w:textAlignment w:val="baseline"/>
              <w:rPr>
                <w:bCs/>
                <w:noProof/>
                <w:szCs w:val="24"/>
              </w:rPr>
            </w:pPr>
            <w:r>
              <w:rPr>
                <w:noProof/>
              </w:rPr>
              <w:t>In vier Fällen fochten Beamte der Besoldungsgruppen AD12 oder AD13 und der Besoldungsgruppe AST9 die Rechtmäßigkeit von Artikel 45 und Anhang I des Statuts an, mit denen dieses neue System eingeführt wurde. Die Argumente stützten sich insbesondere auf einen angeblichen Verstoß gegen den Grundsatz der Gleichbehandlung, den Vertrauensschutz in die Laufbahnaussichten des Beamten und die Wahrung erworbener Rechte. All diese Argumente wurden vom Gerichtshof zurückgewiesen, der die Rechtmäßigkeit der statutarischen Bestimmungen bestätigte, die die Verbindung zwischen Verantwortung und Besoldungsgruppe der Bediensteten verbessern.</w:t>
            </w:r>
          </w:p>
        </w:tc>
      </w:tr>
      <w:tr>
        <w:trPr>
          <w:trHeight w:val="1073"/>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3517" w:type="dxa"/>
            <w:gridSpan w:val="2"/>
            <w:vAlign w:val="center"/>
          </w:tcPr>
          <w:p>
            <w:pPr>
              <w:jc w:val="center"/>
              <w:textAlignment w:val="baseline"/>
              <w:rPr>
                <w:bCs/>
                <w:i/>
                <w:noProof/>
                <w:szCs w:val="24"/>
              </w:rPr>
            </w:pPr>
            <w:r>
              <w:rPr>
                <w:bCs/>
                <w:i/>
                <w:noProof/>
                <w:szCs w:val="24"/>
              </w:rPr>
              <w:t>T-526/16</w:t>
            </w:r>
          </w:p>
          <w:p>
            <w:pPr>
              <w:jc w:val="center"/>
              <w:textAlignment w:val="baseline"/>
              <w:rPr>
                <w:bCs/>
                <w:i/>
                <w:noProof/>
                <w:szCs w:val="24"/>
              </w:rPr>
            </w:pPr>
            <w:r>
              <w:rPr>
                <w:bCs/>
                <w:i/>
                <w:noProof/>
                <w:szCs w:val="24"/>
              </w:rPr>
              <w:t>FZ u. a./Kommission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1183"/>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3517" w:type="dxa"/>
            <w:gridSpan w:val="2"/>
            <w:vAlign w:val="center"/>
          </w:tcPr>
          <w:p>
            <w:pPr>
              <w:jc w:val="center"/>
              <w:textAlignment w:val="baseline"/>
              <w:rPr>
                <w:bCs/>
                <w:i/>
                <w:noProof/>
                <w:szCs w:val="24"/>
              </w:rPr>
            </w:pPr>
            <w:r>
              <w:rPr>
                <w:bCs/>
                <w:i/>
                <w:noProof/>
                <w:szCs w:val="24"/>
              </w:rPr>
              <w:t>T-539/16</w:t>
            </w:r>
          </w:p>
          <w:p>
            <w:pPr>
              <w:jc w:val="center"/>
              <w:textAlignment w:val="baseline"/>
              <w:rPr>
                <w:bCs/>
                <w:i/>
                <w:noProof/>
                <w:szCs w:val="24"/>
              </w:rPr>
            </w:pPr>
            <w:r>
              <w:rPr>
                <w:bCs/>
                <w:i/>
                <w:noProof/>
                <w:szCs w:val="24"/>
              </w:rPr>
              <w:t>GM/Kommission</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961"/>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3517" w:type="dxa"/>
            <w:gridSpan w:val="2"/>
            <w:tcBorders>
              <w:bottom w:val="single" w:sz="12" w:space="0" w:color="auto"/>
            </w:tcBorders>
            <w:vAlign w:val="center"/>
          </w:tcPr>
          <w:p>
            <w:pPr>
              <w:jc w:val="center"/>
              <w:textAlignment w:val="baseline"/>
              <w:rPr>
                <w:bCs/>
                <w:i/>
                <w:noProof/>
                <w:szCs w:val="24"/>
              </w:rPr>
            </w:pPr>
            <w:r>
              <w:rPr>
                <w:bCs/>
                <w:i/>
                <w:noProof/>
                <w:szCs w:val="24"/>
              </w:rPr>
              <w:t>T-540/16</w:t>
            </w:r>
          </w:p>
          <w:p>
            <w:pPr>
              <w:jc w:val="center"/>
              <w:textAlignment w:val="baseline"/>
              <w:rPr>
                <w:bCs/>
                <w:i/>
                <w:noProof/>
                <w:szCs w:val="24"/>
              </w:rPr>
            </w:pPr>
            <w:r>
              <w:rPr>
                <w:bCs/>
                <w:i/>
                <w:noProof/>
                <w:szCs w:val="24"/>
              </w:rPr>
              <w:t>FZ u. a./Kommission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821"/>
          <w:jc w:val="center"/>
        </w:trPr>
        <w:tc>
          <w:tcPr>
            <w:tcW w:w="1777" w:type="dxa"/>
            <w:vMerge w:val="restart"/>
            <w:tcBorders>
              <w:top w:val="single" w:sz="12" w:space="0" w:color="auto"/>
            </w:tcBorders>
            <w:vAlign w:val="center"/>
          </w:tcPr>
          <w:p>
            <w:pPr>
              <w:jc w:val="center"/>
              <w:textAlignment w:val="baseline"/>
              <w:rPr>
                <w:b/>
                <w:bCs/>
                <w:noProof/>
                <w:szCs w:val="24"/>
              </w:rPr>
            </w:pPr>
            <w:r>
              <w:rPr>
                <w:b/>
                <w:bCs/>
                <w:noProof/>
                <w:szCs w:val="24"/>
              </w:rPr>
              <w:t>Anspruch auf Jahresurlaub/Reisevergütung</w:t>
            </w:r>
          </w:p>
        </w:tc>
        <w:tc>
          <w:tcPr>
            <w:tcW w:w="1544" w:type="dxa"/>
            <w:vMerge w:val="restart"/>
            <w:tcBorders>
              <w:top w:val="single" w:sz="12" w:space="0" w:color="auto"/>
            </w:tcBorders>
            <w:vAlign w:val="center"/>
          </w:tcPr>
          <w:p>
            <w:pPr>
              <w:textAlignment w:val="baseline"/>
              <w:rPr>
                <w:b/>
                <w:bCs/>
                <w:noProof/>
                <w:szCs w:val="24"/>
                <w:lang w:val="en-IE"/>
              </w:rPr>
            </w:pPr>
          </w:p>
        </w:tc>
        <w:tc>
          <w:tcPr>
            <w:tcW w:w="1582" w:type="dxa"/>
            <w:tcBorders>
              <w:top w:val="single" w:sz="12" w:space="0" w:color="auto"/>
            </w:tcBorders>
            <w:vAlign w:val="center"/>
          </w:tcPr>
          <w:p>
            <w:pPr>
              <w:jc w:val="center"/>
              <w:textAlignment w:val="baseline"/>
              <w:rPr>
                <w:bCs/>
                <w:i/>
                <w:noProof/>
                <w:sz w:val="20"/>
              </w:rPr>
            </w:pPr>
            <w:r>
              <w:rPr>
                <w:bCs/>
                <w:i/>
                <w:noProof/>
                <w:sz w:val="20"/>
              </w:rPr>
              <w:t>T-514/16 Tsilikas/Kommission</w:t>
            </w:r>
          </w:p>
        </w:tc>
        <w:tc>
          <w:tcPr>
            <w:tcW w:w="1935" w:type="dxa"/>
            <w:tcBorders>
              <w:top w:val="single" w:sz="12" w:space="0" w:color="auto"/>
            </w:tcBorders>
            <w:vAlign w:val="center"/>
          </w:tcPr>
          <w:p>
            <w:pPr>
              <w:jc w:val="center"/>
              <w:textAlignment w:val="baseline"/>
              <w:rPr>
                <w:bCs/>
                <w:i/>
                <w:noProof/>
                <w:sz w:val="20"/>
              </w:rPr>
            </w:pPr>
            <w:r>
              <w:rPr>
                <w:bCs/>
                <w:i/>
                <w:noProof/>
                <w:sz w:val="20"/>
              </w:rPr>
              <w:t xml:space="preserve">T-515/16 </w:t>
            </w:r>
          </w:p>
          <w:p>
            <w:pPr>
              <w:jc w:val="center"/>
              <w:textAlignment w:val="baseline"/>
              <w:rPr>
                <w:bCs/>
                <w:i/>
                <w:noProof/>
                <w:sz w:val="20"/>
              </w:rPr>
            </w:pPr>
            <w:r>
              <w:rPr>
                <w:bCs/>
                <w:i/>
                <w:noProof/>
                <w:sz w:val="20"/>
              </w:rPr>
              <w:t>Kanellou/Rat</w:t>
            </w:r>
          </w:p>
        </w:tc>
        <w:tc>
          <w:tcPr>
            <w:tcW w:w="2037" w:type="dxa"/>
            <w:vMerge w:val="restart"/>
            <w:tcBorders>
              <w:top w:val="single" w:sz="12" w:space="0" w:color="auto"/>
            </w:tcBorders>
            <w:vAlign w:val="center"/>
          </w:tcPr>
          <w:p>
            <w:pPr>
              <w:jc w:val="center"/>
              <w:textAlignment w:val="baseline"/>
              <w:rPr>
                <w:b/>
                <w:bCs/>
                <w:noProof/>
                <w:szCs w:val="24"/>
              </w:rPr>
            </w:pPr>
            <w:r>
              <w:rPr>
                <w:b/>
                <w:bCs/>
                <w:noProof/>
                <w:szCs w:val="24"/>
              </w:rPr>
              <w:t>Abgelehnt</w:t>
            </w:r>
          </w:p>
        </w:tc>
        <w:tc>
          <w:tcPr>
            <w:tcW w:w="6060" w:type="dxa"/>
            <w:vMerge w:val="restart"/>
            <w:tcBorders>
              <w:top w:val="single" w:sz="12" w:space="0" w:color="auto"/>
            </w:tcBorders>
            <w:vAlign w:val="center"/>
          </w:tcPr>
          <w:p>
            <w:pPr>
              <w:textAlignment w:val="baseline"/>
              <w:rPr>
                <w:bCs/>
                <w:noProof/>
                <w:szCs w:val="24"/>
                <w:lang w:val="en-IE"/>
              </w:rPr>
            </w:pPr>
          </w:p>
          <w:p>
            <w:pPr>
              <w:textAlignment w:val="baseline"/>
              <w:rPr>
                <w:bCs/>
                <w:noProof/>
                <w:szCs w:val="24"/>
              </w:rPr>
            </w:pPr>
            <w:r>
              <w:rPr>
                <w:noProof/>
              </w:rPr>
              <w:t>In mehreren Fällen fochten die Kläger die Rechtmäßigkeit von Artikel 7 des Anhangs V und/oder Artikel 8 des Anhangs VII des Statuts in der Fassung der Verordnung Nr. 1023/2013 an. Durch die Reform wurden der Anspruch auf Reisezeit und die pauschale Erstattung der jährlichen Reisekosten zum Herkunftsort für Beamte und sonstige Bedienstete, die keine Auslands- oder Expatriierungszulage erhielten, abgeschafft und für diejenigen geändert, deren Herkunftsort außerhalb der Union festgelegt worden war und denen die jährlichen Reisekosten zur Hauptstadt des Mitgliedstaats, dessen Staatsangehörigkeit sie besitzen, erstattet werden.</w:t>
            </w:r>
          </w:p>
          <w:p>
            <w:pPr>
              <w:textAlignment w:val="baseline"/>
              <w:rPr>
                <w:bCs/>
                <w:noProof/>
                <w:szCs w:val="24"/>
                <w:lang w:val="en-IE"/>
              </w:rPr>
            </w:pPr>
          </w:p>
          <w:p>
            <w:pPr>
              <w:textAlignment w:val="baseline"/>
              <w:rPr>
                <w:bCs/>
                <w:noProof/>
                <w:szCs w:val="24"/>
              </w:rPr>
            </w:pPr>
            <w:r>
              <w:rPr>
                <w:noProof/>
              </w:rPr>
              <w:t>Der Gerichtshof wies diese Anträge zurück und erinnerte insbesondere an die ständige Rechtsprechung, nach der sich ein Beamter nicht auf den Grundsatz des Vertrauensschutzes berufen kann, um die Rechtmäßigkeit einer neuen Regelung infrage zu stellen, insbesondere in einem Bereich, dessen Gegenstand eine ständige Anpassung an die Entwicklung der wirtschaftlichen Lage erfordert. Darüber hinaus betonte der Gerichtshof, dass die Bediensteten keinen Anspruch auf die Beibehaltung des Statuts haben, wie es zum Zeitpunkt ihrer Einstellung bestand.</w:t>
            </w:r>
          </w:p>
        </w:tc>
      </w:tr>
      <w:tr>
        <w:trPr>
          <w:trHeight w:val="852"/>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textAlignment w:val="baseline"/>
              <w:rPr>
                <w:bCs/>
                <w:i/>
                <w:noProof/>
                <w:sz w:val="20"/>
              </w:rPr>
            </w:pPr>
            <w:r>
              <w:rPr>
                <w:bCs/>
                <w:i/>
                <w:noProof/>
                <w:sz w:val="20"/>
              </w:rPr>
              <w:t>T-516/16 Alvarez y Bejarano u. a./Kommission</w:t>
            </w:r>
          </w:p>
        </w:tc>
        <w:tc>
          <w:tcPr>
            <w:tcW w:w="1935" w:type="dxa"/>
            <w:vAlign w:val="center"/>
          </w:tcPr>
          <w:p>
            <w:pPr>
              <w:jc w:val="center"/>
              <w:textAlignment w:val="baseline"/>
              <w:rPr>
                <w:bCs/>
                <w:i/>
                <w:noProof/>
                <w:sz w:val="20"/>
              </w:rPr>
            </w:pPr>
            <w:r>
              <w:rPr>
                <w:bCs/>
                <w:i/>
                <w:noProof/>
                <w:sz w:val="20"/>
              </w:rPr>
              <w:t>T-521/16</w:t>
            </w:r>
          </w:p>
          <w:p>
            <w:pPr>
              <w:jc w:val="center"/>
              <w:textAlignment w:val="baseline"/>
              <w:rPr>
                <w:bCs/>
                <w:i/>
                <w:noProof/>
                <w:sz w:val="20"/>
              </w:rPr>
            </w:pPr>
            <w:r>
              <w:rPr>
                <w:bCs/>
                <w:i/>
                <w:noProof/>
                <w:sz w:val="20"/>
              </w:rPr>
              <w:t>Bergallou/Rat</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908"/>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textAlignment w:val="baseline"/>
              <w:rPr>
                <w:bCs/>
                <w:i/>
                <w:noProof/>
                <w:sz w:val="20"/>
              </w:rPr>
            </w:pPr>
            <w:r>
              <w:rPr>
                <w:bCs/>
                <w:i/>
                <w:noProof/>
                <w:sz w:val="20"/>
              </w:rPr>
              <w:t xml:space="preserve">T-522/16 </w:t>
            </w:r>
          </w:p>
          <w:p>
            <w:pPr>
              <w:jc w:val="center"/>
              <w:textAlignment w:val="baseline"/>
              <w:rPr>
                <w:bCs/>
                <w:i/>
                <w:noProof/>
                <w:sz w:val="20"/>
              </w:rPr>
            </w:pPr>
            <w:r>
              <w:rPr>
                <w:bCs/>
                <w:i/>
                <w:noProof/>
                <w:sz w:val="20"/>
              </w:rPr>
              <w:t>Huynh Duong Vi Nguyen/Rat</w:t>
            </w:r>
          </w:p>
        </w:tc>
        <w:tc>
          <w:tcPr>
            <w:tcW w:w="1935" w:type="dxa"/>
            <w:vAlign w:val="center"/>
          </w:tcPr>
          <w:p>
            <w:pPr>
              <w:jc w:val="center"/>
              <w:textAlignment w:val="baseline"/>
              <w:rPr>
                <w:bCs/>
                <w:i/>
                <w:noProof/>
                <w:sz w:val="20"/>
              </w:rPr>
            </w:pPr>
            <w:r>
              <w:rPr>
                <w:bCs/>
                <w:i/>
                <w:noProof/>
                <w:sz w:val="20"/>
              </w:rPr>
              <w:t>T-523/16</w:t>
            </w:r>
          </w:p>
          <w:p>
            <w:pPr>
              <w:jc w:val="center"/>
              <w:textAlignment w:val="baseline"/>
              <w:rPr>
                <w:bCs/>
                <w:i/>
                <w:noProof/>
                <w:sz w:val="20"/>
              </w:rPr>
            </w:pPr>
            <w:r>
              <w:rPr>
                <w:bCs/>
                <w:i/>
                <w:noProof/>
                <w:sz w:val="20"/>
              </w:rPr>
              <w:t>Ardalic u. a./Rat</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274"/>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rPr>
                <w:bCs/>
                <w:i/>
                <w:noProof/>
                <w:sz w:val="20"/>
              </w:rPr>
            </w:pPr>
            <w:r>
              <w:rPr>
                <w:bCs/>
                <w:i/>
                <w:noProof/>
                <w:sz w:val="20"/>
              </w:rPr>
              <w:t xml:space="preserve">T-524/16 </w:t>
            </w:r>
          </w:p>
          <w:p>
            <w:pPr>
              <w:jc w:val="center"/>
              <w:rPr>
                <w:bCs/>
                <w:i/>
                <w:noProof/>
                <w:sz w:val="20"/>
              </w:rPr>
            </w:pPr>
            <w:r>
              <w:rPr>
                <w:bCs/>
                <w:i/>
                <w:noProof/>
                <w:sz w:val="20"/>
              </w:rPr>
              <w:t>Aresu/Kommission)</w:t>
            </w:r>
          </w:p>
          <w:p>
            <w:pPr>
              <w:jc w:val="center"/>
              <w:textAlignment w:val="baseline"/>
              <w:rPr>
                <w:bCs/>
                <w:i/>
                <w:noProof/>
                <w:sz w:val="20"/>
                <w:lang w:val="en-IE"/>
              </w:rPr>
            </w:pPr>
          </w:p>
        </w:tc>
        <w:tc>
          <w:tcPr>
            <w:tcW w:w="1935" w:type="dxa"/>
            <w:vAlign w:val="center"/>
          </w:tcPr>
          <w:p>
            <w:pPr>
              <w:jc w:val="center"/>
              <w:textAlignment w:val="baseline"/>
              <w:rPr>
                <w:bCs/>
                <w:i/>
                <w:noProof/>
                <w:sz w:val="20"/>
              </w:rPr>
            </w:pPr>
            <w:r>
              <w:rPr>
                <w:bCs/>
                <w:i/>
                <w:noProof/>
                <w:sz w:val="20"/>
              </w:rPr>
              <w:t xml:space="preserve">T-531/16 </w:t>
            </w:r>
          </w:p>
          <w:p>
            <w:pPr>
              <w:jc w:val="center"/>
              <w:textAlignment w:val="baseline"/>
              <w:rPr>
                <w:bCs/>
                <w:i/>
                <w:noProof/>
                <w:sz w:val="20"/>
              </w:rPr>
            </w:pPr>
            <w:r>
              <w:rPr>
                <w:bCs/>
                <w:i/>
                <w:noProof/>
                <w:sz w:val="20"/>
              </w:rPr>
              <w:t>Dumitrescu u. a./Kommission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991"/>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1582" w:type="dxa"/>
            <w:vAlign w:val="center"/>
          </w:tcPr>
          <w:p>
            <w:pPr>
              <w:jc w:val="center"/>
              <w:textAlignment w:val="baseline"/>
              <w:rPr>
                <w:bCs/>
                <w:i/>
                <w:noProof/>
                <w:sz w:val="20"/>
              </w:rPr>
            </w:pPr>
            <w:r>
              <w:rPr>
                <w:bCs/>
                <w:i/>
                <w:noProof/>
                <w:sz w:val="20"/>
              </w:rPr>
              <w:t xml:space="preserve">T-532/16 </w:t>
            </w:r>
          </w:p>
          <w:p>
            <w:pPr>
              <w:jc w:val="center"/>
              <w:textAlignment w:val="baseline"/>
              <w:rPr>
                <w:bCs/>
                <w:i/>
                <w:noProof/>
                <w:sz w:val="20"/>
              </w:rPr>
            </w:pPr>
            <w:r>
              <w:rPr>
                <w:bCs/>
                <w:i/>
                <w:noProof/>
                <w:sz w:val="20"/>
              </w:rPr>
              <w:t>Perez Asinari u. a./Kommission</w:t>
            </w:r>
          </w:p>
        </w:tc>
        <w:tc>
          <w:tcPr>
            <w:tcW w:w="1935" w:type="dxa"/>
            <w:vAlign w:val="center"/>
          </w:tcPr>
          <w:p>
            <w:pPr>
              <w:jc w:val="center"/>
              <w:textAlignment w:val="baseline"/>
              <w:rPr>
                <w:bCs/>
                <w:i/>
                <w:noProof/>
                <w:sz w:val="20"/>
              </w:rPr>
            </w:pPr>
            <w:r>
              <w:rPr>
                <w:bCs/>
                <w:i/>
                <w:noProof/>
                <w:sz w:val="20"/>
              </w:rPr>
              <w:t xml:space="preserve">T-533/16 </w:t>
            </w:r>
          </w:p>
          <w:p>
            <w:pPr>
              <w:jc w:val="center"/>
              <w:textAlignment w:val="baseline"/>
              <w:rPr>
                <w:bCs/>
                <w:i/>
                <w:noProof/>
                <w:sz w:val="20"/>
              </w:rPr>
            </w:pPr>
            <w:r>
              <w:rPr>
                <w:bCs/>
                <w:i/>
                <w:noProof/>
                <w:sz w:val="20"/>
              </w:rPr>
              <w:t>Fillon u. a./Kommission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841"/>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1582" w:type="dxa"/>
            <w:vAlign w:val="center"/>
          </w:tcPr>
          <w:p>
            <w:pPr>
              <w:jc w:val="center"/>
              <w:textAlignment w:val="baseline"/>
              <w:rPr>
                <w:bCs/>
                <w:i/>
                <w:noProof/>
                <w:sz w:val="20"/>
              </w:rPr>
            </w:pPr>
            <w:r>
              <w:rPr>
                <w:bCs/>
                <w:i/>
                <w:noProof/>
                <w:sz w:val="20"/>
              </w:rPr>
              <w:t>T-536/16 Alvarez y Bejarano u. a./ Kommission</w:t>
            </w:r>
          </w:p>
        </w:tc>
        <w:tc>
          <w:tcPr>
            <w:tcW w:w="1935" w:type="dxa"/>
            <w:vAlign w:val="center"/>
          </w:tcPr>
          <w:p>
            <w:pPr>
              <w:jc w:val="center"/>
              <w:textAlignment w:val="baseline"/>
              <w:rPr>
                <w:bCs/>
                <w:i/>
                <w:noProof/>
                <w:sz w:val="20"/>
              </w:rPr>
            </w:pPr>
            <w:r>
              <w:rPr>
                <w:bCs/>
                <w:i/>
                <w:noProof/>
                <w:sz w:val="20"/>
              </w:rPr>
              <w:t>T-537/16</w:t>
            </w:r>
          </w:p>
          <w:p>
            <w:pPr>
              <w:jc w:val="center"/>
              <w:textAlignment w:val="baseline"/>
              <w:rPr>
                <w:bCs/>
                <w:i/>
                <w:noProof/>
                <w:sz w:val="20"/>
              </w:rPr>
            </w:pPr>
            <w:r>
              <w:rPr>
                <w:bCs/>
                <w:i/>
                <w:noProof/>
                <w:sz w:val="20"/>
              </w:rPr>
              <w:t>Aycinena u. a./Kommission</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754"/>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rPr>
                <w:bCs/>
                <w:i/>
                <w:noProof/>
                <w:sz w:val="20"/>
              </w:rPr>
            </w:pPr>
            <w:r>
              <w:rPr>
                <w:bCs/>
                <w:i/>
                <w:noProof/>
                <w:sz w:val="20"/>
              </w:rPr>
              <w:t>T-538/16 Schaffrin/Kommission</w:t>
            </w:r>
          </w:p>
          <w:p>
            <w:pPr>
              <w:jc w:val="center"/>
              <w:textAlignment w:val="baseline"/>
              <w:rPr>
                <w:bCs/>
                <w:i/>
                <w:noProof/>
                <w:sz w:val="20"/>
                <w:lang w:val="en-IE"/>
              </w:rPr>
            </w:pPr>
          </w:p>
        </w:tc>
        <w:tc>
          <w:tcPr>
            <w:tcW w:w="1935" w:type="dxa"/>
            <w:vAlign w:val="center"/>
          </w:tcPr>
          <w:p>
            <w:pPr>
              <w:jc w:val="center"/>
              <w:textAlignment w:val="baseline"/>
              <w:rPr>
                <w:bCs/>
                <w:i/>
                <w:noProof/>
                <w:sz w:val="20"/>
              </w:rPr>
            </w:pPr>
            <w:r>
              <w:rPr>
                <w:bCs/>
                <w:i/>
                <w:noProof/>
                <w:sz w:val="20"/>
              </w:rPr>
              <w:t>T-541/16</w:t>
            </w:r>
          </w:p>
          <w:p>
            <w:pPr>
              <w:jc w:val="center"/>
              <w:textAlignment w:val="baseline"/>
              <w:rPr>
                <w:bCs/>
                <w:i/>
                <w:noProof/>
                <w:sz w:val="20"/>
              </w:rPr>
            </w:pPr>
            <w:r>
              <w:rPr>
                <w:bCs/>
                <w:i/>
                <w:noProof/>
                <w:sz w:val="20"/>
              </w:rPr>
              <w:t>Guillen Lazo/Parlament</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540"/>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rPr>
                <w:bCs/>
                <w:i/>
                <w:noProof/>
                <w:sz w:val="20"/>
              </w:rPr>
            </w:pPr>
            <w:r>
              <w:rPr>
                <w:bCs/>
                <w:i/>
                <w:noProof/>
                <w:sz w:val="20"/>
              </w:rPr>
              <w:t>T-542/16 Ardalic u. a./Rat</w:t>
            </w:r>
          </w:p>
        </w:tc>
        <w:tc>
          <w:tcPr>
            <w:tcW w:w="1935" w:type="dxa"/>
            <w:vAlign w:val="center"/>
          </w:tcPr>
          <w:p>
            <w:pPr>
              <w:jc w:val="center"/>
              <w:textAlignment w:val="baseline"/>
              <w:rPr>
                <w:bCs/>
                <w:i/>
                <w:noProof/>
                <w:sz w:val="20"/>
              </w:rPr>
            </w:pPr>
            <w:r>
              <w:rPr>
                <w:bCs/>
                <w:i/>
                <w:noProof/>
                <w:sz w:val="20"/>
              </w:rPr>
              <w:t>T-545/16</w:t>
            </w:r>
          </w:p>
          <w:p>
            <w:pPr>
              <w:jc w:val="center"/>
              <w:textAlignment w:val="baseline"/>
              <w:rPr>
                <w:bCs/>
                <w:i/>
                <w:noProof/>
                <w:sz w:val="20"/>
              </w:rPr>
            </w:pPr>
            <w:r>
              <w:rPr>
                <w:bCs/>
                <w:i/>
                <w:noProof/>
                <w:sz w:val="20"/>
              </w:rPr>
              <w:t>Torrens et Maraite/Gerichtshof</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396"/>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3517" w:type="dxa"/>
            <w:gridSpan w:val="2"/>
            <w:tcBorders>
              <w:bottom w:val="single" w:sz="12" w:space="0" w:color="auto"/>
            </w:tcBorders>
            <w:vAlign w:val="center"/>
          </w:tcPr>
          <w:p>
            <w:pPr>
              <w:jc w:val="center"/>
              <w:textAlignment w:val="baseline"/>
              <w:rPr>
                <w:bCs/>
                <w:i/>
                <w:noProof/>
                <w:sz w:val="20"/>
              </w:rPr>
            </w:pPr>
            <w:r>
              <w:rPr>
                <w:bCs/>
                <w:i/>
                <w:noProof/>
                <w:sz w:val="20"/>
              </w:rPr>
              <w:t>T-547/16</w:t>
            </w:r>
          </w:p>
          <w:p>
            <w:pPr>
              <w:jc w:val="center"/>
              <w:textAlignment w:val="baseline"/>
              <w:rPr>
                <w:bCs/>
                <w:i/>
                <w:noProof/>
                <w:sz w:val="20"/>
              </w:rPr>
            </w:pPr>
            <w:r>
              <w:rPr>
                <w:bCs/>
                <w:i/>
                <w:noProof/>
                <w:sz w:val="20"/>
              </w:rPr>
              <w:t xml:space="preserve"> Miranda Garcia/Gerichtshof</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1756"/>
          <w:jc w:val="center"/>
        </w:trPr>
        <w:tc>
          <w:tcPr>
            <w:tcW w:w="1777" w:type="dxa"/>
            <w:vMerge w:val="restart"/>
            <w:tcBorders>
              <w:top w:val="single" w:sz="12" w:space="0" w:color="auto"/>
              <w:bottom w:val="single" w:sz="4" w:space="0" w:color="auto"/>
            </w:tcBorders>
            <w:vAlign w:val="center"/>
          </w:tcPr>
          <w:p>
            <w:pPr>
              <w:jc w:val="center"/>
              <w:textAlignment w:val="baseline"/>
              <w:rPr>
                <w:b/>
                <w:bCs/>
                <w:noProof/>
                <w:szCs w:val="24"/>
              </w:rPr>
            </w:pPr>
            <w:r>
              <w:rPr>
                <w:b/>
                <w:bCs/>
                <w:noProof/>
                <w:szCs w:val="24"/>
              </w:rPr>
              <w:t>Jahresurlaub für Beamte, die in ein Drittland entsandt werden</w:t>
            </w:r>
          </w:p>
        </w:tc>
        <w:tc>
          <w:tcPr>
            <w:tcW w:w="1544" w:type="dxa"/>
            <w:tcBorders>
              <w:top w:val="single" w:sz="12" w:space="0" w:color="auto"/>
              <w:bottom w:val="single" w:sz="4" w:space="0" w:color="auto"/>
            </w:tcBorders>
            <w:vAlign w:val="center"/>
          </w:tcPr>
          <w:p>
            <w:pPr>
              <w:jc w:val="center"/>
              <w:textAlignment w:val="baseline"/>
              <w:rPr>
                <w:bCs/>
                <w:noProof/>
                <w:szCs w:val="24"/>
              </w:rPr>
            </w:pPr>
            <w:r>
              <w:rPr>
                <w:noProof/>
              </w:rPr>
              <w:t>4.12.2018</w:t>
            </w:r>
          </w:p>
        </w:tc>
        <w:tc>
          <w:tcPr>
            <w:tcW w:w="3517" w:type="dxa"/>
            <w:gridSpan w:val="2"/>
            <w:tcBorders>
              <w:top w:val="single" w:sz="12" w:space="0" w:color="auto"/>
              <w:bottom w:val="single" w:sz="4" w:space="0" w:color="auto"/>
            </w:tcBorders>
            <w:vAlign w:val="center"/>
          </w:tcPr>
          <w:p>
            <w:pPr>
              <w:jc w:val="center"/>
              <w:textAlignment w:val="baseline"/>
              <w:rPr>
                <w:bCs/>
                <w:i/>
                <w:noProof/>
                <w:szCs w:val="24"/>
              </w:rPr>
            </w:pPr>
            <w:r>
              <w:rPr>
                <w:bCs/>
                <w:i/>
                <w:noProof/>
                <w:szCs w:val="24"/>
              </w:rPr>
              <w:t>T-518/16</w:t>
            </w:r>
          </w:p>
          <w:p>
            <w:pPr>
              <w:jc w:val="center"/>
              <w:textAlignment w:val="baseline"/>
              <w:rPr>
                <w:bCs/>
                <w:i/>
                <w:noProof/>
                <w:szCs w:val="24"/>
              </w:rPr>
            </w:pPr>
            <w:r>
              <w:rPr>
                <w:bCs/>
                <w:i/>
                <w:noProof/>
                <w:szCs w:val="24"/>
              </w:rPr>
              <w:t>Carreras Sequeros u. a./Kommission</w:t>
            </w:r>
          </w:p>
        </w:tc>
        <w:tc>
          <w:tcPr>
            <w:tcW w:w="2037" w:type="dxa"/>
            <w:vMerge w:val="restart"/>
            <w:tcBorders>
              <w:top w:val="single" w:sz="12" w:space="0" w:color="auto"/>
            </w:tcBorders>
            <w:vAlign w:val="center"/>
          </w:tcPr>
          <w:p>
            <w:pPr>
              <w:jc w:val="center"/>
              <w:textAlignment w:val="baseline"/>
              <w:rPr>
                <w:b/>
                <w:bCs/>
                <w:noProof/>
                <w:szCs w:val="24"/>
              </w:rPr>
            </w:pPr>
            <w:r>
              <w:rPr>
                <w:b/>
                <w:bCs/>
                <w:noProof/>
                <w:szCs w:val="24"/>
              </w:rPr>
              <w:t>Abgelehnt</w:t>
            </w:r>
          </w:p>
        </w:tc>
        <w:tc>
          <w:tcPr>
            <w:tcW w:w="6060" w:type="dxa"/>
            <w:vMerge w:val="restart"/>
            <w:tcBorders>
              <w:top w:val="single" w:sz="12" w:space="0" w:color="auto"/>
            </w:tcBorders>
            <w:vAlign w:val="center"/>
          </w:tcPr>
          <w:p>
            <w:pPr>
              <w:textAlignment w:val="baseline"/>
              <w:rPr>
                <w:bCs/>
                <w:noProof/>
                <w:szCs w:val="24"/>
              </w:rPr>
            </w:pPr>
            <w:r>
              <w:rPr>
                <w:noProof/>
              </w:rPr>
              <w:t>Den Klägern, die vor dem 1. Januar 2014 in Drittstaaten entsandt wurden, wurden für das Jahr 2014 gemäß dem ersten Gedankenstrich des neuen Artikels 6 Absatz 2 des Anhangs X des Statuts 36 Tage Jahresurlaub anstelle der 42 Tage des Vorjahres gewährt.</w:t>
            </w:r>
          </w:p>
          <w:p>
            <w:pPr>
              <w:textAlignment w:val="baseline"/>
              <w:rPr>
                <w:b/>
                <w:bCs/>
                <w:noProof/>
                <w:szCs w:val="24"/>
              </w:rPr>
            </w:pPr>
            <w:r>
              <w:rPr>
                <w:noProof/>
              </w:rPr>
              <w:t>Sie erhoben eine Einrede der Rechtswidrigkeit gegen Artikel 6 des Anhangs X des Statuts und baten um die Aufhebung der Beschlüsse, mit denen ihr Jahresurlaub mit Wirkung ab 2014 gekürzt wurde. Das Gericht erster Instanz hob die Beschlüsse über die Kürzung des den Klägern für das Jahr 2014 gewährten Jahresurlaubs auf. In der Berufung hob der Gerichtshof jedoch das Urteil des Gerichts auf und bestätigte damit den Handlungsspielraum der beiden gesetzgebenden Organe bei der Änderung nicht erworbener Rechte.</w:t>
            </w:r>
            <w:r>
              <w:rPr>
                <w:b/>
                <w:bCs/>
                <w:noProof/>
                <w:szCs w:val="24"/>
              </w:rPr>
              <w:t xml:space="preserve"> </w:t>
            </w:r>
          </w:p>
        </w:tc>
      </w:tr>
      <w:tr>
        <w:trPr>
          <w:trHeight w:val="2235"/>
          <w:jc w:val="center"/>
        </w:trPr>
        <w:tc>
          <w:tcPr>
            <w:tcW w:w="1777" w:type="dxa"/>
            <w:vMerge/>
            <w:vAlign w:val="center"/>
          </w:tcPr>
          <w:p>
            <w:pPr>
              <w:jc w:val="center"/>
              <w:textAlignment w:val="baseline"/>
              <w:rPr>
                <w:b/>
                <w:bCs/>
                <w:noProof/>
                <w:szCs w:val="24"/>
                <w:lang w:val="en-IE"/>
              </w:rPr>
            </w:pPr>
          </w:p>
        </w:tc>
        <w:tc>
          <w:tcPr>
            <w:tcW w:w="1544" w:type="dxa"/>
            <w:tcBorders>
              <w:top w:val="single" w:sz="4" w:space="0" w:color="auto"/>
              <w:bottom w:val="single" w:sz="12" w:space="0" w:color="auto"/>
            </w:tcBorders>
            <w:vAlign w:val="center"/>
          </w:tcPr>
          <w:p>
            <w:pPr>
              <w:jc w:val="center"/>
              <w:textAlignment w:val="baseline"/>
              <w:rPr>
                <w:b/>
                <w:bCs/>
                <w:noProof/>
                <w:szCs w:val="24"/>
              </w:rPr>
            </w:pPr>
            <w:r>
              <w:rPr>
                <w:noProof/>
              </w:rPr>
              <w:t>8.9.2020</w:t>
            </w:r>
          </w:p>
        </w:tc>
        <w:tc>
          <w:tcPr>
            <w:tcW w:w="3517" w:type="dxa"/>
            <w:gridSpan w:val="2"/>
            <w:tcBorders>
              <w:top w:val="single" w:sz="4" w:space="0" w:color="auto"/>
              <w:bottom w:val="single" w:sz="12" w:space="0" w:color="auto"/>
            </w:tcBorders>
            <w:vAlign w:val="center"/>
          </w:tcPr>
          <w:p>
            <w:pPr>
              <w:jc w:val="center"/>
              <w:textAlignment w:val="baseline"/>
              <w:rPr>
                <w:bCs/>
                <w:i/>
                <w:noProof/>
                <w:szCs w:val="24"/>
              </w:rPr>
            </w:pPr>
            <w:r>
              <w:rPr>
                <w:bCs/>
                <w:i/>
                <w:noProof/>
                <w:szCs w:val="24"/>
              </w:rPr>
              <w:t>C-119/19 P.</w:t>
            </w:r>
          </w:p>
          <w:p>
            <w:pPr>
              <w:jc w:val="center"/>
              <w:textAlignment w:val="baseline"/>
              <w:rPr>
                <w:bCs/>
                <w:i/>
                <w:noProof/>
                <w:szCs w:val="24"/>
              </w:rPr>
            </w:pPr>
            <w:r>
              <w:rPr>
                <w:bCs/>
                <w:i/>
                <w:noProof/>
                <w:szCs w:val="24"/>
              </w:rPr>
              <w:t>Europäische Kommission/Francisco Carreras Sequeros u. a.</w:t>
            </w:r>
          </w:p>
        </w:tc>
        <w:tc>
          <w:tcPr>
            <w:tcW w:w="2037" w:type="dxa"/>
            <w:vMerge/>
            <w:vAlign w:val="center"/>
          </w:tcPr>
          <w:p>
            <w:pPr>
              <w:textAlignment w:val="baseline"/>
              <w:rPr>
                <w:b/>
                <w:bCs/>
                <w:noProof/>
                <w:szCs w:val="24"/>
                <w:lang w:val="en-IE"/>
              </w:rPr>
            </w:pPr>
          </w:p>
        </w:tc>
        <w:tc>
          <w:tcPr>
            <w:tcW w:w="6060" w:type="dxa"/>
            <w:vMerge/>
            <w:vAlign w:val="center"/>
          </w:tcPr>
          <w:p>
            <w:pPr>
              <w:textAlignment w:val="baseline"/>
              <w:rPr>
                <w:bCs/>
                <w:noProof/>
                <w:szCs w:val="24"/>
                <w:lang w:val="en-IE"/>
              </w:rPr>
            </w:pPr>
          </w:p>
        </w:tc>
      </w:tr>
      <w:tr>
        <w:trPr>
          <w:trHeight w:val="1504"/>
          <w:jc w:val="center"/>
        </w:trPr>
        <w:tc>
          <w:tcPr>
            <w:tcW w:w="1777" w:type="dxa"/>
            <w:tcBorders>
              <w:top w:val="single" w:sz="12" w:space="0" w:color="auto"/>
              <w:bottom w:val="single" w:sz="12" w:space="0" w:color="auto"/>
            </w:tcBorders>
            <w:vAlign w:val="center"/>
          </w:tcPr>
          <w:p>
            <w:pPr>
              <w:jc w:val="center"/>
              <w:textAlignment w:val="baseline"/>
              <w:rPr>
                <w:b/>
                <w:bCs/>
                <w:noProof/>
                <w:szCs w:val="24"/>
              </w:rPr>
            </w:pPr>
            <w:r>
              <w:rPr>
                <w:b/>
                <w:bCs/>
                <w:noProof/>
                <w:szCs w:val="24"/>
              </w:rPr>
              <w:t>Berichtigungskoeffizient für Luxemburg</w:t>
            </w:r>
          </w:p>
        </w:tc>
        <w:tc>
          <w:tcPr>
            <w:tcW w:w="1544" w:type="dxa"/>
            <w:tcBorders>
              <w:top w:val="single" w:sz="12" w:space="0" w:color="auto"/>
              <w:bottom w:val="single" w:sz="12" w:space="0" w:color="auto"/>
            </w:tcBorders>
            <w:vAlign w:val="center"/>
          </w:tcPr>
          <w:p>
            <w:pPr>
              <w:jc w:val="center"/>
              <w:textAlignment w:val="baseline"/>
              <w:rPr>
                <w:bCs/>
                <w:noProof/>
                <w:szCs w:val="24"/>
              </w:rPr>
            </w:pPr>
            <w:r>
              <w:rPr>
                <w:noProof/>
              </w:rPr>
              <w:t>4.10.2018</w:t>
            </w:r>
          </w:p>
        </w:tc>
        <w:tc>
          <w:tcPr>
            <w:tcW w:w="3517" w:type="dxa"/>
            <w:gridSpan w:val="2"/>
            <w:tcBorders>
              <w:top w:val="single" w:sz="12" w:space="0" w:color="auto"/>
              <w:bottom w:val="single" w:sz="12" w:space="0" w:color="auto"/>
            </w:tcBorders>
            <w:vAlign w:val="center"/>
          </w:tcPr>
          <w:p>
            <w:pPr>
              <w:jc w:val="center"/>
              <w:textAlignment w:val="baseline"/>
              <w:rPr>
                <w:bCs/>
                <w:i/>
                <w:noProof/>
                <w:szCs w:val="24"/>
              </w:rPr>
            </w:pPr>
            <w:r>
              <w:rPr>
                <w:bCs/>
                <w:i/>
                <w:noProof/>
                <w:szCs w:val="24"/>
              </w:rPr>
              <w:t xml:space="preserve">T-546/16 </w:t>
            </w:r>
          </w:p>
          <w:p>
            <w:pPr>
              <w:jc w:val="center"/>
              <w:textAlignment w:val="baseline"/>
              <w:rPr>
                <w:b/>
                <w:bCs/>
                <w:noProof/>
                <w:szCs w:val="24"/>
              </w:rPr>
            </w:pPr>
            <w:r>
              <w:rPr>
                <w:bCs/>
                <w:i/>
                <w:noProof/>
                <w:szCs w:val="24"/>
              </w:rPr>
              <w:t>Tataram/Kommission</w:t>
            </w:r>
          </w:p>
        </w:tc>
        <w:tc>
          <w:tcPr>
            <w:tcW w:w="2037" w:type="dxa"/>
            <w:tcBorders>
              <w:top w:val="single" w:sz="12" w:space="0" w:color="auto"/>
              <w:bottom w:val="single" w:sz="12" w:space="0" w:color="auto"/>
            </w:tcBorders>
            <w:vAlign w:val="center"/>
          </w:tcPr>
          <w:p>
            <w:pPr>
              <w:textAlignment w:val="baseline"/>
              <w:rPr>
                <w:b/>
                <w:bCs/>
                <w:noProof/>
                <w:szCs w:val="24"/>
              </w:rPr>
            </w:pPr>
            <w:r>
              <w:rPr>
                <w:b/>
                <w:bCs/>
                <w:noProof/>
                <w:szCs w:val="24"/>
              </w:rPr>
              <w:t>Unzulässig</w:t>
            </w:r>
          </w:p>
        </w:tc>
        <w:tc>
          <w:tcPr>
            <w:tcW w:w="6060" w:type="dxa"/>
            <w:tcBorders>
              <w:top w:val="single" w:sz="12" w:space="0" w:color="auto"/>
              <w:bottom w:val="single" w:sz="12" w:space="0" w:color="auto"/>
            </w:tcBorders>
            <w:vAlign w:val="center"/>
          </w:tcPr>
          <w:p>
            <w:pPr>
              <w:textAlignment w:val="baseline"/>
              <w:rPr>
                <w:bCs/>
                <w:noProof/>
                <w:szCs w:val="24"/>
              </w:rPr>
            </w:pPr>
            <w:r>
              <w:rPr>
                <w:noProof/>
              </w:rPr>
              <w:t xml:space="preserve">Bei der Reform des Statuts von 2014 haben die beiden gesetzgebenden Organe die seit Langem geltenden Bestimmungen über das Fehlen eines Berichtigungskoeffizienten für die Dienstbezüge der Bediensteten in Brüssel und Luxemburg beibehalten, und zwar in Anbetracht der besonderen Referenzrolle dieser Dienstorte als ursprüngliche Hauptsitze der meisten Organe. </w:t>
            </w:r>
          </w:p>
          <w:p>
            <w:pPr>
              <w:textAlignment w:val="baseline"/>
              <w:rPr>
                <w:b/>
                <w:bCs/>
                <w:noProof/>
                <w:szCs w:val="24"/>
              </w:rPr>
            </w:pPr>
            <w:r>
              <w:rPr>
                <w:noProof/>
              </w:rPr>
              <w:t>Es wurde eine Klage beim Gerichtshof eingelegt, mit der eine Einrede der Rechtswidrigkeit gegen die Artikel 64, 65 und 65a des Statuts und dessen Anhang XI, d. h. gegen die Bestimmungen über die Berichtigungskoeffizienten und deren Anpassung, erhoben wurde. Dieser Antrag wurde jedoch als unzulässig abgewiesen und die gesetzgeberische Lösung wurde bestätigt, solange das Statut in seiner im Jahr 2013 geänderten Fassung in Kraft bleibt.</w:t>
            </w:r>
          </w:p>
        </w:tc>
      </w:tr>
      <w:tr>
        <w:trPr>
          <w:trHeight w:val="3565"/>
          <w:jc w:val="center"/>
        </w:trPr>
        <w:tc>
          <w:tcPr>
            <w:tcW w:w="1777" w:type="dxa"/>
            <w:tcBorders>
              <w:top w:val="single" w:sz="12" w:space="0" w:color="auto"/>
              <w:bottom w:val="single" w:sz="12" w:space="0" w:color="auto"/>
            </w:tcBorders>
            <w:vAlign w:val="center"/>
          </w:tcPr>
          <w:p>
            <w:pPr>
              <w:rPr>
                <w:b/>
                <w:noProof/>
                <w:szCs w:val="24"/>
              </w:rPr>
            </w:pPr>
            <w:r>
              <w:rPr>
                <w:b/>
                <w:noProof/>
                <w:szCs w:val="24"/>
              </w:rPr>
              <w:t xml:space="preserve">Die Beschränkungen für Gehaltsanpassungen für die Jahre 2011 und 2012 </w:t>
            </w:r>
          </w:p>
        </w:tc>
        <w:tc>
          <w:tcPr>
            <w:tcW w:w="1544" w:type="dxa"/>
            <w:tcBorders>
              <w:top w:val="single" w:sz="12" w:space="0" w:color="auto"/>
              <w:bottom w:val="single" w:sz="12" w:space="0" w:color="auto"/>
            </w:tcBorders>
            <w:vAlign w:val="center"/>
          </w:tcPr>
          <w:p>
            <w:pPr>
              <w:jc w:val="center"/>
              <w:rPr>
                <w:noProof/>
                <w:szCs w:val="24"/>
              </w:rPr>
            </w:pPr>
            <w:r>
              <w:rPr>
                <w:noProof/>
              </w:rPr>
              <w:t>13.12.2018</w:t>
            </w:r>
          </w:p>
        </w:tc>
        <w:tc>
          <w:tcPr>
            <w:tcW w:w="3517" w:type="dxa"/>
            <w:gridSpan w:val="2"/>
            <w:tcBorders>
              <w:top w:val="single" w:sz="12" w:space="0" w:color="auto"/>
              <w:bottom w:val="single" w:sz="12" w:space="0" w:color="auto"/>
            </w:tcBorders>
            <w:vAlign w:val="center"/>
          </w:tcPr>
          <w:p>
            <w:pPr>
              <w:jc w:val="center"/>
              <w:rPr>
                <w:i/>
                <w:noProof/>
                <w:szCs w:val="24"/>
              </w:rPr>
            </w:pPr>
            <w:r>
              <w:rPr>
                <w:i/>
                <w:noProof/>
                <w:szCs w:val="24"/>
              </w:rPr>
              <w:t>T-530/16</w:t>
            </w:r>
          </w:p>
          <w:p>
            <w:pPr>
              <w:jc w:val="center"/>
              <w:rPr>
                <w:i/>
                <w:noProof/>
                <w:szCs w:val="24"/>
              </w:rPr>
            </w:pPr>
            <w:r>
              <w:rPr>
                <w:i/>
                <w:noProof/>
                <w:szCs w:val="24"/>
              </w:rPr>
              <w:t>Schubert u. a./Kommission</w:t>
            </w:r>
          </w:p>
        </w:tc>
        <w:tc>
          <w:tcPr>
            <w:tcW w:w="2037" w:type="dxa"/>
            <w:tcBorders>
              <w:top w:val="single" w:sz="12" w:space="0" w:color="auto"/>
              <w:bottom w:val="single" w:sz="12" w:space="0" w:color="auto"/>
            </w:tcBorders>
            <w:vAlign w:val="center"/>
          </w:tcPr>
          <w:p>
            <w:pPr>
              <w:jc w:val="center"/>
              <w:rPr>
                <w:b/>
                <w:noProof/>
                <w:szCs w:val="24"/>
              </w:rPr>
            </w:pPr>
            <w:r>
              <w:rPr>
                <w:b/>
                <w:noProof/>
                <w:szCs w:val="24"/>
              </w:rPr>
              <w:t>Abgelehnt</w:t>
            </w:r>
          </w:p>
        </w:tc>
        <w:tc>
          <w:tcPr>
            <w:tcW w:w="6060" w:type="dxa"/>
            <w:tcBorders>
              <w:top w:val="single" w:sz="12" w:space="0" w:color="auto"/>
              <w:bottom w:val="single" w:sz="12" w:space="0" w:color="auto"/>
            </w:tcBorders>
            <w:vAlign w:val="center"/>
          </w:tcPr>
          <w:p>
            <w:pPr>
              <w:rPr>
                <w:noProof/>
                <w:szCs w:val="24"/>
              </w:rPr>
            </w:pPr>
            <w:r>
              <w:rPr>
                <w:noProof/>
              </w:rPr>
              <w:t>Mit Urteil vom 19. November 2013 in der Rechtssache C-63/12, Kommission gegen Rat, entschied der Gerichtshof, dass die Beurteilung des Vorliegens einer schwerwiegenden und abrupten Verschlechterung der wirtschaftlichen und sozialen Lage, die eine Beschränkung der Anpassung der Dienstbezüge auslösen würde, in die Zuständigkeit des Rates und nicht der Kommission fällt. Infolge dieses Urteils legten der Rat und das Europäische Parlament die Anpassung der Dienstbezüge für die Jahre 2011 und 2012 auf der Grundlage der Ausnahmeklausel in Artikel 10 des Anhangs XI des früheren Statuts fest. Dieses Statut sah eine Anpassung von 0 % für 2011 und von 0,8 % für 2012 vor.</w:t>
            </w:r>
          </w:p>
          <w:p>
            <w:pPr>
              <w:rPr>
                <w:noProof/>
                <w:szCs w:val="24"/>
              </w:rPr>
            </w:pPr>
            <w:r>
              <w:rPr>
                <w:noProof/>
              </w:rPr>
              <w:t>Die Bediensteten fochten diese beschränkten Anpassungen an, die im Rahmen der Statutsreform 2014 vorgenommen wurden. Das Gericht wies die Argumente der Kläger zurück und bestätigte, dass der EU-Gesetzgeber von den geltenden Vorschriften über Gehaltsanpassungen abweichen kann, um den allgemeinen wirtschaftlichen Kontext zu berücksichtigen.</w:t>
            </w:r>
          </w:p>
        </w:tc>
      </w:tr>
      <w:tr>
        <w:trPr>
          <w:trHeight w:val="679"/>
          <w:jc w:val="center"/>
        </w:trPr>
        <w:tc>
          <w:tcPr>
            <w:tcW w:w="1777" w:type="dxa"/>
            <w:tcBorders>
              <w:top w:val="single" w:sz="12" w:space="0" w:color="auto"/>
              <w:left w:val="single" w:sz="6" w:space="0" w:color="auto"/>
              <w:bottom w:val="single" w:sz="12" w:space="0" w:color="auto"/>
              <w:right w:val="single" w:sz="4" w:space="0" w:color="auto"/>
            </w:tcBorders>
            <w:shd w:val="clear" w:color="auto" w:fill="auto"/>
            <w:vAlign w:val="center"/>
          </w:tcPr>
          <w:p>
            <w:pPr>
              <w:jc w:val="center"/>
              <w:textAlignment w:val="baseline"/>
              <w:rPr>
                <w:noProof/>
                <w:szCs w:val="24"/>
              </w:rPr>
            </w:pPr>
            <w:r>
              <w:rPr>
                <w:b/>
                <w:bCs/>
                <w:noProof/>
                <w:szCs w:val="24"/>
              </w:rPr>
              <w:t>Wiedereinführung der Steuerabgabe</w:t>
            </w:r>
          </w:p>
        </w:tc>
        <w:tc>
          <w:tcPr>
            <w:tcW w:w="1544" w:type="dxa"/>
            <w:tcBorders>
              <w:top w:val="single" w:sz="12" w:space="0" w:color="auto"/>
              <w:left w:val="single" w:sz="4" w:space="0" w:color="auto"/>
              <w:bottom w:val="single" w:sz="12" w:space="0" w:color="auto"/>
              <w:right w:val="single" w:sz="4" w:space="0" w:color="auto"/>
            </w:tcBorders>
            <w:shd w:val="clear" w:color="auto" w:fill="auto"/>
            <w:vAlign w:val="center"/>
          </w:tcPr>
          <w:p>
            <w:pPr>
              <w:jc w:val="center"/>
              <w:textAlignment w:val="baseline"/>
              <w:rPr>
                <w:noProof/>
                <w:szCs w:val="24"/>
              </w:rPr>
            </w:pPr>
            <w:r>
              <w:rPr>
                <w:noProof/>
              </w:rPr>
              <w:t>12.12.2019</w:t>
            </w:r>
          </w:p>
        </w:tc>
        <w:tc>
          <w:tcPr>
            <w:tcW w:w="351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pPr>
              <w:jc w:val="center"/>
              <w:textAlignment w:val="baseline"/>
              <w:rPr>
                <w:i/>
                <w:noProof/>
                <w:szCs w:val="24"/>
              </w:rPr>
            </w:pPr>
            <w:r>
              <w:rPr>
                <w:bCs/>
                <w:i/>
                <w:noProof/>
                <w:szCs w:val="24"/>
              </w:rPr>
              <w:t>T-527/16</w:t>
            </w:r>
          </w:p>
          <w:p>
            <w:pPr>
              <w:jc w:val="center"/>
              <w:textAlignment w:val="baseline"/>
              <w:rPr>
                <w:i/>
                <w:noProof/>
                <w:szCs w:val="24"/>
              </w:rPr>
            </w:pPr>
            <w:r>
              <w:rPr>
                <w:bCs/>
                <w:i/>
                <w:noProof/>
                <w:szCs w:val="24"/>
              </w:rPr>
              <w:t>Margarita Tàpias</w:t>
            </w:r>
          </w:p>
          <w:p>
            <w:pPr>
              <w:jc w:val="center"/>
              <w:textAlignment w:val="baseline"/>
              <w:rPr>
                <w:i/>
                <w:noProof/>
                <w:szCs w:val="24"/>
              </w:rPr>
            </w:pPr>
            <w:r>
              <w:rPr>
                <w:bCs/>
                <w:i/>
                <w:noProof/>
                <w:szCs w:val="24"/>
              </w:rPr>
              <w:t>/</w:t>
            </w:r>
          </w:p>
          <w:p>
            <w:pPr>
              <w:jc w:val="center"/>
              <w:textAlignment w:val="baseline"/>
              <w:rPr>
                <w:noProof/>
                <w:szCs w:val="24"/>
              </w:rPr>
            </w:pPr>
            <w:r>
              <w:rPr>
                <w:bCs/>
                <w:i/>
                <w:noProof/>
                <w:szCs w:val="24"/>
              </w:rPr>
              <w:t>Rat der Europäischen Union</w:t>
            </w:r>
          </w:p>
        </w:tc>
        <w:tc>
          <w:tcPr>
            <w:tcW w:w="2037" w:type="dxa"/>
            <w:tcBorders>
              <w:top w:val="single" w:sz="12" w:space="0" w:color="auto"/>
              <w:left w:val="single" w:sz="4" w:space="0" w:color="auto"/>
              <w:bottom w:val="single" w:sz="12" w:space="0" w:color="auto"/>
              <w:right w:val="single" w:sz="4" w:space="0" w:color="auto"/>
            </w:tcBorders>
            <w:shd w:val="clear" w:color="auto" w:fill="auto"/>
            <w:vAlign w:val="center"/>
          </w:tcPr>
          <w:p>
            <w:pPr>
              <w:jc w:val="center"/>
              <w:textAlignment w:val="baseline"/>
              <w:rPr>
                <w:b/>
                <w:noProof/>
                <w:szCs w:val="24"/>
              </w:rPr>
            </w:pPr>
            <w:r>
              <w:rPr>
                <w:b/>
                <w:noProof/>
                <w:szCs w:val="24"/>
              </w:rPr>
              <w:t>Abgelehnt</w:t>
            </w:r>
          </w:p>
        </w:tc>
        <w:tc>
          <w:tcPr>
            <w:tcW w:w="6060" w:type="dxa"/>
            <w:tcBorders>
              <w:top w:val="single" w:sz="12" w:space="0" w:color="auto"/>
              <w:left w:val="single" w:sz="4" w:space="0" w:color="auto"/>
              <w:bottom w:val="single" w:sz="12" w:space="0" w:color="auto"/>
              <w:right w:val="single" w:sz="6" w:space="0" w:color="auto"/>
            </w:tcBorders>
            <w:shd w:val="clear" w:color="auto" w:fill="auto"/>
            <w:vAlign w:val="center"/>
          </w:tcPr>
          <w:p>
            <w:pPr>
              <w:textAlignment w:val="baseline"/>
              <w:rPr>
                <w:bCs/>
                <w:noProof/>
                <w:szCs w:val="24"/>
              </w:rPr>
            </w:pPr>
            <w:r>
              <w:rPr>
                <w:noProof/>
              </w:rPr>
              <w:t>Als Gegenstück der „Methode“ zur Aktualisierung der Dienst- und Versorgungsbezüge wurde mit der Statutsreform von 2013 eine „Solidaritätsabgabe“ wieder eingeführt, die ab 2014 gilt und frühere, ähnliche Abgaben ersetzt. Der Satz wurde auf 6 % festgelegt (7 % bei Beamten ab Besoldungsgruppe AD15 Dienstaltersstufe 2).</w:t>
            </w:r>
          </w:p>
          <w:p>
            <w:pPr>
              <w:textAlignment w:val="baseline"/>
              <w:rPr>
                <w:noProof/>
                <w:szCs w:val="24"/>
              </w:rPr>
            </w:pPr>
            <w:r>
              <w:rPr>
                <w:noProof/>
              </w:rPr>
              <w:t>Die Bediensteten fochten die Wiedereinführung dieser Abgabe an, insbesondere mit dem Argument, dass die Einführung der Abgabe während der Aussetzung der Methode der Gehaltsanpassung gegen den Grundsatz der Parallelität der Kaufkraftentwicklung von EU-Bediensteten und nationalen Beamten in den Zentralbehörden verstoßen würde. Der Gerichtshof erinnerte daran, dass der Gesetzgeber in Ausübung seines weiten Ermessens in der Verordnung Nr. 1023/2013 vorgesehen hat, dass die Solidaritätsabgabe während eines Zeitraums erhoben wird, in dem die Anwendung der Methode zur Anpassung der Dienstbezüge ausgesetzt ist, auch wenn die Praxis in der Vergangenheit anders war.</w:t>
            </w:r>
          </w:p>
        </w:tc>
      </w:tr>
      <w:tr>
        <w:trPr>
          <w:trHeight w:val="2522"/>
          <w:jc w:val="center"/>
        </w:trPr>
        <w:tc>
          <w:tcPr>
            <w:tcW w:w="1777" w:type="dxa"/>
            <w:vMerge w:val="restart"/>
            <w:tcBorders>
              <w:top w:val="single" w:sz="12" w:space="0" w:color="auto"/>
            </w:tcBorders>
            <w:vAlign w:val="center"/>
          </w:tcPr>
          <w:p>
            <w:pPr>
              <w:rPr>
                <w:b/>
                <w:noProof/>
                <w:szCs w:val="24"/>
              </w:rPr>
            </w:pPr>
            <w:r>
              <w:rPr>
                <w:b/>
                <w:noProof/>
                <w:szCs w:val="24"/>
              </w:rPr>
              <w:t>Sprachregelung der Organe</w:t>
            </w:r>
          </w:p>
        </w:tc>
        <w:tc>
          <w:tcPr>
            <w:tcW w:w="1544" w:type="dxa"/>
            <w:vMerge w:val="restart"/>
            <w:tcBorders>
              <w:top w:val="single" w:sz="12" w:space="0" w:color="auto"/>
            </w:tcBorders>
            <w:vAlign w:val="center"/>
          </w:tcPr>
          <w:p>
            <w:pPr>
              <w:jc w:val="center"/>
              <w:rPr>
                <w:noProof/>
                <w:szCs w:val="24"/>
              </w:rPr>
            </w:pPr>
            <w:r>
              <w:rPr>
                <w:noProof/>
              </w:rPr>
              <w:t>9.9.2020</w:t>
            </w:r>
          </w:p>
          <w:p>
            <w:pPr>
              <w:rPr>
                <w:noProof/>
                <w:szCs w:val="24"/>
              </w:rPr>
            </w:pPr>
            <w:r>
              <w:rPr>
                <w:noProof/>
              </w:rPr>
              <w:tab/>
            </w:r>
          </w:p>
        </w:tc>
        <w:tc>
          <w:tcPr>
            <w:tcW w:w="3517" w:type="dxa"/>
            <w:gridSpan w:val="2"/>
            <w:tcBorders>
              <w:top w:val="single" w:sz="12" w:space="0" w:color="auto"/>
              <w:bottom w:val="single" w:sz="4" w:space="0" w:color="auto"/>
            </w:tcBorders>
            <w:vAlign w:val="center"/>
          </w:tcPr>
          <w:p>
            <w:pPr>
              <w:jc w:val="center"/>
              <w:rPr>
                <w:i/>
                <w:noProof/>
                <w:szCs w:val="24"/>
              </w:rPr>
            </w:pPr>
            <w:r>
              <w:rPr>
                <w:i/>
                <w:noProof/>
                <w:szCs w:val="24"/>
              </w:rPr>
              <w:t>T-437/16</w:t>
            </w:r>
          </w:p>
          <w:p>
            <w:pPr>
              <w:jc w:val="center"/>
              <w:rPr>
                <w:i/>
                <w:noProof/>
                <w:szCs w:val="24"/>
              </w:rPr>
            </w:pPr>
            <w:r>
              <w:rPr>
                <w:i/>
                <w:noProof/>
                <w:szCs w:val="24"/>
              </w:rPr>
              <w:t>Italien/Kommission</w:t>
            </w:r>
          </w:p>
        </w:tc>
        <w:tc>
          <w:tcPr>
            <w:tcW w:w="2037" w:type="dxa"/>
            <w:vMerge w:val="restart"/>
            <w:tcBorders>
              <w:top w:val="single" w:sz="12" w:space="0" w:color="auto"/>
            </w:tcBorders>
            <w:vAlign w:val="center"/>
          </w:tcPr>
          <w:p>
            <w:pPr>
              <w:jc w:val="center"/>
              <w:rPr>
                <w:b/>
                <w:noProof/>
                <w:szCs w:val="24"/>
              </w:rPr>
            </w:pPr>
            <w:r>
              <w:rPr>
                <w:b/>
                <w:noProof/>
                <w:szCs w:val="24"/>
              </w:rPr>
              <w:t>Noch anhängig</w:t>
            </w:r>
          </w:p>
        </w:tc>
        <w:tc>
          <w:tcPr>
            <w:tcW w:w="6060" w:type="dxa"/>
            <w:vMerge w:val="restart"/>
            <w:tcBorders>
              <w:top w:val="single" w:sz="12" w:space="0" w:color="auto"/>
            </w:tcBorders>
            <w:vAlign w:val="center"/>
          </w:tcPr>
          <w:p>
            <w:pPr>
              <w:rPr>
                <w:noProof/>
                <w:szCs w:val="24"/>
              </w:rPr>
            </w:pPr>
            <w:r>
              <w:rPr>
                <w:noProof/>
              </w:rPr>
              <w:t>In den Urteilen vom 9. September 2020 in der Rechtssache T-437/16, Italien/Kommission, und den verbundenen Rechtssachen T-401/16, Spanien/Kommission, und T-443/16, Italien/Kommission, hat das Gericht drei vom EPSO im Jahr 2016 veröffentlichte Bekanntmachungen von Auswahlverfahren für die Einstellung von Spezialisten (Auditoren und OLAF-Ermittler) für die Kommission und andere Organe für nichtig erklärt.</w:t>
            </w:r>
          </w:p>
          <w:p>
            <w:pPr>
              <w:rPr>
                <w:noProof/>
                <w:szCs w:val="24"/>
              </w:rPr>
            </w:pPr>
            <w:r>
              <w:rPr>
                <w:noProof/>
              </w:rPr>
              <w:t>Das Gericht hat festgestellt, dass erstens das Erfordernis, nur Englisch, Französisch und Deutsch sowohl als Sprache 2, in der bestimmte Prüfungen abzulegen sind, als auch als Sprache der Kommunikation mit dem EPSO in Auswahlverfahren anzugeben, diskriminierend sei, und dass es zweitens keinen Beleg für das dienstliche Interesse gebe, der eine solche Sprachenbeschränkung rechtfertigen könne.</w:t>
            </w:r>
          </w:p>
          <w:p>
            <w:pPr>
              <w:rPr>
                <w:noProof/>
                <w:szCs w:val="24"/>
              </w:rPr>
            </w:pPr>
            <w:r>
              <w:rPr>
                <w:noProof/>
              </w:rPr>
              <w:t>Die Kommission beschloss, Berufung gegen die Urteile des Gerichts erster Instanz vom 9. September 2020 einzulegen, das ihrer Ansicht nach gegen einige Grundsätze verstößt, die der Gerichtshof in derselben Angelegenheit aufgestellt hat.</w:t>
            </w:r>
          </w:p>
        </w:tc>
      </w:tr>
      <w:tr>
        <w:trPr>
          <w:trHeight w:val="2313"/>
          <w:jc w:val="center"/>
        </w:trPr>
        <w:tc>
          <w:tcPr>
            <w:tcW w:w="1777" w:type="dxa"/>
            <w:vMerge/>
            <w:vAlign w:val="center"/>
          </w:tcPr>
          <w:p>
            <w:pPr>
              <w:rPr>
                <w:b/>
                <w:noProof/>
                <w:szCs w:val="24"/>
                <w:lang w:val="en-IE"/>
              </w:rPr>
            </w:pPr>
          </w:p>
        </w:tc>
        <w:tc>
          <w:tcPr>
            <w:tcW w:w="1544" w:type="dxa"/>
            <w:vMerge/>
            <w:vAlign w:val="center"/>
          </w:tcPr>
          <w:p>
            <w:pPr>
              <w:rPr>
                <w:noProof/>
                <w:szCs w:val="24"/>
                <w:lang w:val="en-IE"/>
              </w:rPr>
            </w:pPr>
          </w:p>
        </w:tc>
        <w:tc>
          <w:tcPr>
            <w:tcW w:w="3517" w:type="dxa"/>
            <w:gridSpan w:val="2"/>
            <w:tcBorders>
              <w:top w:val="single" w:sz="4" w:space="0" w:color="auto"/>
              <w:bottom w:val="single" w:sz="12" w:space="0" w:color="auto"/>
            </w:tcBorders>
            <w:vAlign w:val="center"/>
          </w:tcPr>
          <w:p>
            <w:pPr>
              <w:jc w:val="center"/>
              <w:rPr>
                <w:i/>
                <w:noProof/>
                <w:szCs w:val="24"/>
              </w:rPr>
            </w:pPr>
            <w:r>
              <w:rPr>
                <w:i/>
                <w:noProof/>
                <w:szCs w:val="24"/>
              </w:rPr>
              <w:t xml:space="preserve">Verbundene Rechtssachen </w:t>
            </w:r>
          </w:p>
          <w:p>
            <w:pPr>
              <w:jc w:val="center"/>
              <w:rPr>
                <w:i/>
                <w:noProof/>
                <w:szCs w:val="24"/>
              </w:rPr>
            </w:pPr>
            <w:r>
              <w:rPr>
                <w:i/>
                <w:noProof/>
                <w:szCs w:val="24"/>
              </w:rPr>
              <w:t>T-401/16</w:t>
            </w:r>
          </w:p>
          <w:p>
            <w:pPr>
              <w:jc w:val="center"/>
              <w:rPr>
                <w:i/>
                <w:noProof/>
                <w:szCs w:val="24"/>
              </w:rPr>
            </w:pPr>
            <w:r>
              <w:rPr>
                <w:i/>
                <w:noProof/>
                <w:szCs w:val="24"/>
              </w:rPr>
              <w:t xml:space="preserve"> Spanien/Kommission </w:t>
            </w:r>
          </w:p>
          <w:p>
            <w:pPr>
              <w:jc w:val="center"/>
              <w:rPr>
                <w:i/>
                <w:noProof/>
                <w:szCs w:val="24"/>
              </w:rPr>
            </w:pPr>
            <w:r>
              <w:rPr>
                <w:i/>
                <w:noProof/>
                <w:szCs w:val="24"/>
              </w:rPr>
              <w:t xml:space="preserve">und </w:t>
            </w:r>
          </w:p>
          <w:p>
            <w:pPr>
              <w:jc w:val="center"/>
              <w:rPr>
                <w:i/>
                <w:noProof/>
                <w:szCs w:val="24"/>
              </w:rPr>
            </w:pPr>
            <w:r>
              <w:rPr>
                <w:i/>
                <w:noProof/>
                <w:szCs w:val="24"/>
              </w:rPr>
              <w:t>T-443/16</w:t>
            </w:r>
          </w:p>
          <w:p>
            <w:pPr>
              <w:jc w:val="center"/>
              <w:rPr>
                <w:i/>
                <w:noProof/>
                <w:szCs w:val="24"/>
              </w:rPr>
            </w:pPr>
            <w:r>
              <w:rPr>
                <w:i/>
                <w:noProof/>
                <w:szCs w:val="24"/>
              </w:rPr>
              <w:t>Italien/Kommission</w:t>
            </w:r>
          </w:p>
        </w:tc>
        <w:tc>
          <w:tcPr>
            <w:tcW w:w="2037" w:type="dxa"/>
            <w:vMerge/>
            <w:vAlign w:val="center"/>
          </w:tcPr>
          <w:p>
            <w:pPr>
              <w:jc w:val="center"/>
              <w:rPr>
                <w:b/>
                <w:noProof/>
                <w:szCs w:val="24"/>
                <w:lang w:val="en-IE"/>
              </w:rPr>
            </w:pPr>
          </w:p>
        </w:tc>
        <w:tc>
          <w:tcPr>
            <w:tcW w:w="6060" w:type="dxa"/>
            <w:vMerge/>
            <w:vAlign w:val="center"/>
          </w:tcPr>
          <w:p>
            <w:pPr>
              <w:rPr>
                <w:noProof/>
                <w:szCs w:val="24"/>
                <w:lang w:val="en-IE"/>
              </w:rPr>
            </w:pPr>
          </w:p>
        </w:tc>
      </w:tr>
    </w:tbl>
    <w:p>
      <w:pPr>
        <w:spacing w:after="0"/>
        <w:textAlignment w:val="baseline"/>
        <w:rPr>
          <w:b/>
          <w:bCs/>
          <w:noProof/>
          <w:szCs w:val="24"/>
          <w:lang w:val="en-IE"/>
        </w:rPr>
      </w:pPr>
    </w:p>
    <w:sectPr>
      <w:headerReference w:type="even" r:id="rId64"/>
      <w:headerReference w:type="default" r:id="rId65"/>
      <w:footerReference w:type="even" r:id="rId66"/>
      <w:footerReference w:type="default" r:id="rId67"/>
      <w:headerReference w:type="first" r:id="rId68"/>
      <w:footerReference w:type="first" r:id="rId6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423D07" w16cex:dateUtc="2020-11-04T08:12:18.351Z"/>
</w16cex:commentsExtensible>
</file>

<file path=word/commentsIds.xml><?xml version="1.0" encoding="utf-8"?>
<w16cid:commentsIds xmlns:mc="http://schemas.openxmlformats.org/markup-compatibility/2006" xmlns:w16cid="http://schemas.microsoft.com/office/word/2016/wordml/cid" mc:Ignorable="w16cid">
  <w16cid:commentId w16cid:paraId="412985DF" w16cid:durableId="744FB982"/>
  <w16cid:commentId w16cid:paraId="332F43C6" w16cid:durableId="262DC5CE"/>
  <w16cid:commentId w16cid:paraId="575A7627" w16cid:durableId="618BDD7D"/>
  <w16cid:commentId w16cid:paraId="62D611B1" w16cid:durableId="62EA5E55"/>
  <w16cid:commentId w16cid:paraId="59F4FB01" w16cid:durableId="26C9E0DC"/>
  <w16cid:commentId w16cid:paraId="35836E38" w16cid:durableId="598DF5B2"/>
  <w16cid:commentId w16cid:paraId="1D2F3B21" w16cid:durableId="7EF0E94A"/>
  <w16cid:commentId w16cid:paraId="582B9522" w16cid:durableId="2D18138F"/>
  <w16cid:commentId w16cid:paraId="47939AD0" w16cid:durableId="365739AD"/>
  <w16cid:commentId w16cid:paraId="482BC071" w16cid:durableId="14423D07"/>
  <w16cid:commentId w16cid:paraId="6DE86484" w16cid:durableId="3AC4E8CD"/>
  <w16cid:commentId w16cid:paraId="2924AF45" w16cid:durableId="5972D999"/>
  <w16cid:commentId w16cid:paraId="5B61AE55" w16cid:durableId="2C4E6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K-Fußzeile – Standard "/>
      <w:tag w:val="SVoGAZ38gakDmzcHmLly90-Uz5BECj2qQF70SGAMzDdI0"/>
      <w:id w:val="-707488304"/>
    </w:sdtPr>
    <w:sdtContent>
      <w:p>
        <w:pPr>
          <w:pStyle w:val="Footer"/>
          <w:rPr>
            <w:sz w:val="24"/>
          </w:rPr>
        </w:pPr>
      </w:p>
      <w:p>
        <w:pPr>
          <w:pStyle w:val="Footer"/>
        </w:pPr>
        <w:sdt>
          <w:sdtPr>
            <w:id w:val="-1270539981"/>
            <w:dataBinding w:xpath="/Author/Addresses/Address[Id = 'f03b5801-04c9-4931-aa17-c6d6c70bc579']/Footer" w:storeItemID="{272DCEA4-7109-4B17-96D0-93B484ED1E2D}"/>
            <w:text w:multiLine="1"/>
          </w:sdtPr>
          <w:sdtContent>
            <w:r>
              <w:t>Commission européenne, 1049 Bruxelles/Europese Commissie, 1049 Brussel – BELGIQUE/BELGIË. Tel. +32 229-91111.</w:t>
            </w:r>
          </w:sdtContent>
        </w:sdt>
      </w:p>
      <w:p>
        <w:pPr>
          <w:pStyle w:val="Footer"/>
        </w:pPr>
        <w:sdt>
          <w:sdtPr>
            <w:id w:val="375436050"/>
            <w:dataBinding w:xpath="/Texts/FooterOffice" w:storeItemID="{4EF90DE6-88B6-4264-9629-4D8DFDFE87D2}"/>
            <w:text w:multiLine="1"/>
          </w:sdtPr>
          <w:sdtContent>
            <w:r>
              <w:t>Büro:</w:t>
            </w:r>
          </w:sdtContent>
        </w:sdt>
        <w:r>
          <w:t xml:space="preserve"> SC11 05/060 – Durchwahl: +32 229-69098</w:t>
        </w:r>
      </w:p>
      <w:p>
        <w:pPr>
          <w:pStyle w:val="Footer"/>
          <w:rPr>
            <w:sz w:val="12"/>
          </w:rPr>
        </w:pPr>
      </w:p>
    </w:sdtContent>
  </w:sdt>
  <w:p>
    <w:pPr>
      <w:pStyle w:val="Footer"/>
    </w:pPr>
    <w:sdt>
      <w:sdtPr>
        <w:alias w:val="E-Mail-Adresse"/>
        <w:tag w:val="MjGgt6e7BqMZJMWY5fWzc6"/>
        <w:id w:val="99696275"/>
        <w:dataBinding w:xpath="/Author/Email" w:storeItemID="{272DCEA4-7109-4B17-96D0-93B484ED1E2D}"/>
        <w:text w:multiLine="1"/>
      </w:sdtPr>
      <w:sdtContent>
        <w:r>
          <w:t>Stanislav.DEMIRDJIEV@ec.europa.eu</w:t>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K-Fußzeile – Standard "/>
      <w:tag w:val="SVoGAZ38gakDmzcHmLly90-Uz5BECj2qQF70SGAMzDdI0"/>
      <w:id w:val="-1753357424"/>
    </w:sdtPr>
    <w:sdtContent>
      <w:p>
        <w:pPr>
          <w:pStyle w:val="Footer"/>
          <w:rPr>
            <w:sz w:val="24"/>
          </w:rPr>
        </w:pPr>
      </w:p>
      <w:p>
        <w:pPr>
          <w:pStyle w:val="Footer"/>
        </w:pPr>
        <w:sdt>
          <w:sdtPr>
            <w:id w:val="-2145109487"/>
            <w:dataBinding w:xpath="/Author/Addresses/Address[Id = 'f03b5801-04c9-4931-aa17-c6d6c70bc579']/Footer" w:storeItemID="{272DCEA4-7109-4B17-96D0-93B484ED1E2D}"/>
            <w:text w:multiLine="1"/>
          </w:sdtPr>
          <w:sdtContent>
            <w:r>
              <w:t>Commission européenne, 1049 Bruxelles/Europese Commissie, 1049 Brussel – BELGIQUE/BELGIË. Tel. +32 229-91111.</w:t>
            </w:r>
          </w:sdtContent>
        </w:sdt>
      </w:p>
      <w:p>
        <w:pPr>
          <w:pStyle w:val="Footer"/>
        </w:pPr>
        <w:sdt>
          <w:sdtPr>
            <w:id w:val="-377542328"/>
            <w:dataBinding w:xpath="/Texts/FooterOffice" w:storeItemID="{4EF90DE6-88B6-4264-9629-4D8DFDFE87D2}"/>
            <w:text w:multiLine="1"/>
          </w:sdtPr>
          <w:sdtContent>
            <w:r>
              <w:t>Büro:</w:t>
            </w:r>
          </w:sdtContent>
        </w:sdt>
        <w:r>
          <w:t xml:space="preserve"> SC11 05/060 – Durchwahl: +32 229-69098</w:t>
        </w:r>
      </w:p>
      <w:p>
        <w:pPr>
          <w:pStyle w:val="Footer"/>
          <w:rPr>
            <w:sz w:val="12"/>
          </w:rPr>
        </w:pPr>
      </w:p>
    </w:sdtContent>
  </w:sdt>
  <w:p>
    <w:pPr>
      <w:pStyle w:val="Footer"/>
    </w:pPr>
    <w:sdt>
      <w:sdtPr>
        <w:alias w:val="E-Mail-Adresse"/>
        <w:tag w:val="MjGgt6e7BqMZJMWY5fWzc6"/>
        <w:id w:val="1115493603"/>
        <w:dataBinding w:xpath="/Author/Email" w:storeItemID="{272DCEA4-7109-4B17-96D0-93B484ED1E2D}"/>
        <w:text w:multiLine="1"/>
      </w:sdtPr>
      <w:sdtContent>
        <w:r>
          <w:t>Stanislav.DEMIRDJIEV@ec.europa.eu</w:t>
        </w:r>
      </w:sdtContent>
    </w:sdt>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102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K-Fußzeile – Standard "/>
      <w:tag w:val="SVoGAZ38gakDmzcHmLly90-Uz5BECj2qQF70SGAMzDdI0"/>
      <w:id w:val="-1066948959"/>
    </w:sdtPr>
    <w:sdtContent>
      <w:p>
        <w:pPr>
          <w:pStyle w:val="Footer"/>
          <w:rPr>
            <w:sz w:val="24"/>
          </w:rPr>
        </w:pPr>
      </w:p>
      <w:p>
        <w:pPr>
          <w:pStyle w:val="Footer"/>
        </w:pPr>
        <w:sdt>
          <w:sdtPr>
            <w:id w:val="-624772655"/>
            <w:dataBinding w:xpath="/Author/Addresses/Address[Id = 'f03b5801-04c9-4931-aa17-c6d6c70bc579']/Footer" w:storeItemID="{272DCEA4-7109-4B17-96D0-93B484ED1E2D}"/>
            <w:text w:multiLine="1"/>
          </w:sdtPr>
          <w:sdtContent>
            <w:r>
              <w:t>Commission européenne, 1049 Bruxelles/Europese Commissie, 1049 Brussel – BELGIQUE/BELGIË. Tel. +32 229-91111.</w:t>
            </w:r>
          </w:sdtContent>
        </w:sdt>
      </w:p>
      <w:p>
        <w:pPr>
          <w:pStyle w:val="Footer"/>
        </w:pPr>
        <w:sdt>
          <w:sdtPr>
            <w:id w:val="-477842766"/>
            <w:dataBinding w:xpath="/Texts/FooterOffice" w:storeItemID="{4EF90DE6-88B6-4264-9629-4D8DFDFE87D2}"/>
            <w:text w:multiLine="1"/>
          </w:sdtPr>
          <w:sdtContent>
            <w:r>
              <w:t>Büro:</w:t>
            </w:r>
          </w:sdtContent>
        </w:sdt>
        <w:r>
          <w:t xml:space="preserve"> SC11 05/060 – Durchwahl: +32 229-69098</w:t>
        </w:r>
      </w:p>
      <w:p>
        <w:pPr>
          <w:pStyle w:val="Footer"/>
          <w:rPr>
            <w:sz w:val="12"/>
          </w:rPr>
        </w:pPr>
      </w:p>
    </w:sdtContent>
  </w:sdt>
  <w:p>
    <w:pPr>
      <w:pStyle w:val="Footer"/>
    </w:pPr>
    <w:sdt>
      <w:sdtPr>
        <w:alias w:val="E-Mail-Adresse"/>
        <w:tag w:val="MjGgt6e7BqMZJMWY5fWzc6"/>
        <w:id w:val="-1486553397"/>
        <w:dataBinding w:xpath="/Author/Email" w:storeItemID="{272DCEA4-7109-4B17-96D0-93B484ED1E2D}"/>
        <w:text w:multiLine="1"/>
      </w:sdtPr>
      <w:sdtContent>
        <w:r>
          <w:t>Stanislav.DEMIRDJIEV@ec.europa.eu</w:t>
        </w:r>
      </w:sdtContent>
    </w:sdt>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105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K-Fußzeile – Standard "/>
      <w:tag w:val="SVoGAZ38gakDmzcHmLly90-Uz5BECj2qQF70SGAMzDdI0"/>
      <w:id w:val="1271282425"/>
    </w:sdtPr>
    <w:sdtContent>
      <w:p>
        <w:pPr>
          <w:pStyle w:val="Footer"/>
          <w:rPr>
            <w:sz w:val="24"/>
          </w:rPr>
        </w:pPr>
      </w:p>
      <w:p>
        <w:pPr>
          <w:pStyle w:val="Footer"/>
        </w:pPr>
        <w:sdt>
          <w:sdtPr>
            <w:id w:val="-1273159990"/>
            <w:dataBinding w:xpath="/Author/Addresses/Address[Id = 'f03b5801-04c9-4931-aa17-c6d6c70bc579']/Footer" w:storeItemID="{272DCEA4-7109-4B17-96D0-93B484ED1E2D}"/>
            <w:text w:multiLine="1"/>
          </w:sdtPr>
          <w:sdtContent>
            <w:r>
              <w:t>Commission européenne, 1049 Bruxelles/Europese Commissie, 1049 Brussel – BELGIQUE/BELGIË. Tel. +32 229-91111.</w:t>
            </w:r>
          </w:sdtContent>
        </w:sdt>
      </w:p>
      <w:p>
        <w:pPr>
          <w:pStyle w:val="Footer"/>
        </w:pPr>
        <w:sdt>
          <w:sdtPr>
            <w:id w:val="-2132851918"/>
            <w:dataBinding w:xpath="/Texts/FooterOffice" w:storeItemID="{4EF90DE6-88B6-4264-9629-4D8DFDFE87D2}"/>
            <w:text w:multiLine="1"/>
          </w:sdtPr>
          <w:sdtContent>
            <w:r>
              <w:t>Büro:</w:t>
            </w:r>
          </w:sdtContent>
        </w:sdt>
        <w:r>
          <w:t xml:space="preserve"> SC11 05/060 – Durchwahl: +32 229-69098</w:t>
        </w:r>
      </w:p>
      <w:p>
        <w:pPr>
          <w:pStyle w:val="Footer"/>
          <w:rPr>
            <w:sz w:val="12"/>
          </w:rPr>
        </w:pPr>
      </w:p>
    </w:sdtContent>
  </w:sdt>
  <w:p>
    <w:pPr>
      <w:pStyle w:val="Footer"/>
    </w:pPr>
    <w:sdt>
      <w:sdtPr>
        <w:alias w:val="E-Mail-Adresse"/>
        <w:tag w:val="MjGgt6e7BqMZJMWY5fWzc6"/>
        <w:id w:val="-878468769"/>
        <w:dataBinding w:xpath="/Author/Email" w:storeItemID="{272DCEA4-7109-4B17-96D0-93B484ED1E2D}"/>
        <w:text w:multiLine="1"/>
      </w:sdtPr>
      <w:sdtContent>
        <w:r>
          <w:t>Stanislav.DEMIRDJIEV@ec.europa.eu</w:t>
        </w:r>
      </w:sdtContent>
    </w:sdt>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113</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K-Fußzeile – Standard "/>
      <w:tag w:val="SVoGAZ38gakDmzcHmLly90-Uz5BECj2qQF70SGAMzDdI0"/>
      <w:id w:val="-1383169420"/>
    </w:sdtPr>
    <w:sdtContent>
      <w:p>
        <w:pPr>
          <w:pStyle w:val="Footer"/>
          <w:rPr>
            <w:sz w:val="24"/>
          </w:rPr>
        </w:pPr>
      </w:p>
      <w:p>
        <w:pPr>
          <w:pStyle w:val="Footer"/>
        </w:pPr>
        <w:sdt>
          <w:sdtPr>
            <w:id w:val="-361368627"/>
            <w:dataBinding w:xpath="/Author/Addresses/Address[Id = 'f03b5801-04c9-4931-aa17-c6d6c70bc579']/Footer" w:storeItemID="{272DCEA4-7109-4B17-96D0-93B484ED1E2D}"/>
            <w:text w:multiLine="1"/>
          </w:sdtPr>
          <w:sdtContent>
            <w:r>
              <w:t>Commission européenne, 1049 Bruxelles/Europese Commissie, 1049 Brussel – BELGIQUE/BELGIË. Tel. +32 229-91111.</w:t>
            </w:r>
          </w:sdtContent>
        </w:sdt>
      </w:p>
      <w:p>
        <w:pPr>
          <w:pStyle w:val="Footer"/>
        </w:pPr>
        <w:sdt>
          <w:sdtPr>
            <w:id w:val="1527898214"/>
            <w:dataBinding w:xpath="/Texts/FooterOffice" w:storeItemID="{4EF90DE6-88B6-4264-9629-4D8DFDFE87D2}"/>
            <w:text w:multiLine="1"/>
          </w:sdtPr>
          <w:sdtContent>
            <w:r>
              <w:t>Büro:</w:t>
            </w:r>
          </w:sdtContent>
        </w:sdt>
        <w:r>
          <w:t xml:space="preserve"> SC11 05/060 – Durchwahl: +32 229-69098</w:t>
        </w:r>
      </w:p>
      <w:p>
        <w:pPr>
          <w:pStyle w:val="Footer"/>
          <w:rPr>
            <w:sz w:val="12"/>
          </w:rPr>
        </w:pPr>
      </w:p>
    </w:sdtContent>
  </w:sdt>
  <w:p>
    <w:pPr>
      <w:pStyle w:val="Footer"/>
    </w:pPr>
    <w:sdt>
      <w:sdtPr>
        <w:alias w:val="E-Mail-Adresse"/>
        <w:tag w:val="MjGgt6e7BqMZJMWY5fWzc6"/>
        <w:id w:val="153270248"/>
        <w:dataBinding w:xpath="/Author/Email" w:storeItemID="{272DCEA4-7109-4B17-96D0-93B484ED1E2D}"/>
        <w:text w:multiLine="1"/>
      </w:sdtPr>
      <w:sdtContent>
        <w:r>
          <w:t>Stanislav.DEMIRDJIEV@ec.europa.eu</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Artikel 6 des Statuts betreffend Anhange I Abschnitt B sowie AST/SC- und AST-Personal in der Übergangszeit.</w:t>
      </w:r>
    </w:p>
  </w:footnote>
  <w:footnote w:id="2">
    <w:p>
      <w:pPr>
        <w:pStyle w:val="FootnoteText"/>
      </w:pPr>
      <w:r>
        <w:rPr>
          <w:rStyle w:val="FootnoteReference"/>
        </w:rPr>
        <w:footnoteRef/>
      </w:r>
      <w:r>
        <w:t xml:space="preserve"> </w:t>
      </w:r>
      <w:r>
        <w:tab/>
        <w:t>Die Kommission trifft regelmäßig Genehmigungsentscheidungen, die an Bedingungen geknüpft sind (z. B. das Verbot, an bestimmten Fällen zu arbeiten, mit denen der/die Mitarbeiter(in) in der Kommission befasst war). Eine berufliche Nebentätigkeit, die Lobbying und Interessenvertretung in Bezug auf die Kommission beinhaltet und die dazu führen könnte, dass ein Konflikt mit den berechtigten Interessen der Kommission besteht oder möglich ist, muss abgelehnt werden. Die Kommission führt jährlich etwa 700 Überprüfungen von Interessenkonflikten in Bezug auf beabsichtigte außerberufliche Tätigkeiten während eines Urlaubs aus persönlichen Gründen durch.</w:t>
      </w:r>
    </w:p>
  </w:footnote>
  <w:footnote w:id="3">
    <w:p>
      <w:pPr>
        <w:pStyle w:val="FootnoteText"/>
      </w:pPr>
      <w:r>
        <w:rPr>
          <w:rStyle w:val="FootnoteReference"/>
        </w:rPr>
        <w:footnoteRef/>
      </w:r>
      <w:r>
        <w:t xml:space="preserve"> </w:t>
      </w:r>
      <w:r>
        <w:tab/>
        <w:t>Im Juni 2018 hat die Kommission den Kommissionsbeschluss C(2018) 4048 über Nebentätigkeiten und Aufträge und über berufliche Tätigkeiten nach dem Ausscheiden aus dem Dienst angenommen, um mehr Klarheit darüber zu schaffen, nach welchen Kriterien die Kommission die Tätigkeiten während und nach dem Dienst bewertet. Ferner wurden 2019 neue und aktualisierte Social-Media-Richtlinien angenommen, um den Veränderungen im Social-Media-Kontext Rechnung zu tragen und Hinweise, Leitlinien und Regeln für Mitarbeiter bereitzustellen, die sich in ihrer persönlichen Eigenschaft auf solchen Plattformen engagieren.</w:t>
      </w:r>
    </w:p>
  </w:footnote>
  <w:footnote w:id="4">
    <w:p>
      <w:pPr>
        <w:pStyle w:val="FootnoteText"/>
      </w:pPr>
      <w:r>
        <w:rPr>
          <w:rStyle w:val="FootnoteReference"/>
        </w:rPr>
        <w:footnoteRef/>
      </w:r>
      <w:r>
        <w:t xml:space="preserve"> </w:t>
      </w:r>
      <w:r>
        <w:tab/>
        <w:t>Bericht an das Europäische Parlament und den Rat gemäß Artikel 27 des Statuts der Beamten und Artikel 12 der Beschäftigungsbedingungen der sonstigen Bediensteten der Europäischen Union (geografische Ausgewogenheit) vom 15. Juni 2018 und ein Korrigendum vom 24. August 2018 (COM(2018) 377 final/2).</w:t>
      </w:r>
    </w:p>
  </w:footnote>
  <w:footnote w:id="5">
    <w:p>
      <w:pPr>
        <w:pStyle w:val="FootnoteText"/>
      </w:pPr>
      <w:r>
        <w:rPr>
          <w:rStyle w:val="FootnoteReference"/>
        </w:rPr>
        <w:footnoteRef/>
      </w:r>
      <w:r>
        <w:t xml:space="preserve"> </w:t>
      </w:r>
      <w:r>
        <w:tab/>
        <w:t>Dänemark, Deutschland, Irland, Frankreich, Luxemburg, die Niederlande, Österreich, Portugal, Finnland und Schweden.</w:t>
      </w:r>
    </w:p>
  </w:footnote>
  <w:footnote w:id="6">
    <w:p>
      <w:pPr>
        <w:pStyle w:val="FootnoteText"/>
      </w:pPr>
      <w:r>
        <w:rPr>
          <w:rStyle w:val="FootnoteReference"/>
        </w:rPr>
        <w:footnoteRef/>
      </w:r>
      <w:r>
        <w:t xml:space="preserve"> </w:t>
      </w:r>
      <w:r>
        <w:tab/>
        <w:t xml:space="preserve">Sonderbericht Nr. 23/2020 des Europäischen Rechnungshofs: „Das Europäische Amt für Personalauswahl (EPSO): Zeit für die Anpassung des Auswahlverfahrens an den sich ändernden Einstellungsbedarf“, </w:t>
      </w:r>
      <w:hyperlink r:id="rId1" w:history="1">
        <w:r>
          <w:rPr>
            <w:rStyle w:val="Hyperlink"/>
          </w:rPr>
          <w:t>hier</w:t>
        </w:r>
      </w:hyperlink>
      <w:r>
        <w:t xml:space="preserve"> abrufbar.</w:t>
      </w:r>
    </w:p>
  </w:footnote>
  <w:footnote w:id="7">
    <w:p>
      <w:pPr>
        <w:pStyle w:val="FootnoteText"/>
      </w:pPr>
      <w:r>
        <w:rPr>
          <w:rStyle w:val="FootnoteReference"/>
        </w:rPr>
        <w:footnoteRef/>
      </w:r>
      <w:r>
        <w:t xml:space="preserve"> </w:t>
      </w:r>
      <w:r>
        <w:tab/>
        <w:t>Dies ist zum Teil darauf zurückzuführen, dass ein großer Teil der Bewerber bereits bei einem Organ der Union beschäftigt ist (ein Drittel) und dass sie bei den Tests offenbar besser abschneiden.</w:t>
      </w:r>
    </w:p>
  </w:footnote>
  <w:footnote w:id="8">
    <w:p>
      <w:pPr>
        <w:pStyle w:val="FootnoteText"/>
      </w:pPr>
      <w:r>
        <w:rPr>
          <w:rStyle w:val="FootnoteReference"/>
        </w:rPr>
        <w:footnoteRef/>
      </w:r>
      <w:r>
        <w:t xml:space="preserve"> </w:t>
      </w:r>
      <w:r>
        <w:tab/>
        <w:t xml:space="preserve">Berichte COM(2016) 832 final, COM(2017) 96 final, COM(2018) 38 final, COM(2019) 217 final, COM(2020) 634 final, COM(2021) 204 final. </w:t>
      </w:r>
    </w:p>
  </w:footnote>
  <w:footnote w:id="9">
    <w:p>
      <w:pPr>
        <w:pStyle w:val="FootnoteText"/>
      </w:pPr>
      <w:r>
        <w:rPr>
          <w:rStyle w:val="FootnoteReference"/>
        </w:rPr>
        <w:footnoteRef/>
      </w:r>
      <w:r>
        <w:t xml:space="preserve"> </w:t>
      </w:r>
      <w:r>
        <w:tab/>
        <w:t xml:space="preserve">In der Kommission werden Bereitschaftsdienstvergütungen hauptsächlich in den Bereichen Sicherheit und Gefahrenabwehr, technische Anlagen und IT-Dienste sowie 24-Stunden-Unterstützung für die Mitgliedstaaten in Anspruch genommen (siehe Anhang 2). </w:t>
      </w:r>
    </w:p>
  </w:footnote>
  <w:footnote w:id="10">
    <w:p>
      <w:pPr>
        <w:pStyle w:val="FootnoteText"/>
      </w:pPr>
      <w:r>
        <w:rPr>
          <w:rStyle w:val="FootnoteReference"/>
        </w:rPr>
        <w:footnoteRef/>
      </w:r>
      <w:r>
        <w:t xml:space="preserve"> </w:t>
      </w:r>
      <w:r>
        <w:tab/>
        <w:t>Diese Vergütung wird hauptsächlich bei den Gemeinsamen Forschungsstellen, der GD Energie und dem Amt für Gebäude, Anlagen und Logistik (OIB) in Anspruch genommen. Die Verwendung dieser Vergütung steht im Zusammenhang mit der Sicherheit der Personen, dem beschwerlichen Arbeitsort und der Art der Arbeit (siehe Anhang 3).</w:t>
      </w:r>
    </w:p>
  </w:footnote>
  <w:footnote w:id="11">
    <w:p>
      <w:pPr>
        <w:pStyle w:val="FootnoteText"/>
      </w:pPr>
      <w:r>
        <w:rPr>
          <w:rStyle w:val="FootnoteReference"/>
        </w:rPr>
        <w:footnoteRef/>
      </w:r>
      <w:r>
        <w:t xml:space="preserve"> </w:t>
      </w:r>
      <w:r>
        <w:tab/>
        <w:t>Dieser Anstieg bei der Inanspruchnahme der Vergütung für Schichtarbeit ist auf die Eröffnung des neuen Europa-Gebäudes des Rates im Jahr 2016 und auf den Beschluss des Parlaments zur Gewährung der Vergütung für Schichtarbeit für im Bereich Sicherheit und Prävention tätiges Personal zurückzuführen, um einen Überstundenausgleich zu vermeiden, der sich stärker auf den Haushalt ausgewirkt hätte.</w:t>
      </w:r>
    </w:p>
  </w:footnote>
  <w:footnote w:id="12">
    <w:p>
      <w:pPr>
        <w:pStyle w:val="FootnoteText"/>
      </w:pPr>
      <w:r>
        <w:rPr>
          <w:rStyle w:val="FootnoteReference"/>
        </w:rPr>
        <w:footnoteRef/>
      </w:r>
      <w:r>
        <w:t xml:space="preserve"> </w:t>
      </w:r>
      <w:r>
        <w:tab/>
        <w:t>Bericht der Kommission an das Europäische Parlament und den Rat gemäß Artikel 77 des Statuts – COM(2021) 94 final.</w:t>
      </w:r>
    </w:p>
  </w:footnote>
  <w:footnote w:id="13">
    <w:p>
      <w:pPr>
        <w:pStyle w:val="FootnoteText"/>
      </w:pPr>
      <w:r>
        <w:rPr>
          <w:rStyle w:val="FootnoteReference"/>
        </w:rPr>
        <w:footnoteRef/>
      </w:r>
      <w:r>
        <w:t xml:space="preserve"> </w:t>
      </w:r>
      <w:r>
        <w:tab/>
        <w:t>Bericht der Kommission an das Europäische Parlament und den Rat über die Anwendung von Anhang XI des Statuts der Beamten und dessen Artikel 66a – COM(2018) 830 final.</w:t>
      </w:r>
    </w:p>
  </w:footnote>
  <w:footnote w:id="14">
    <w:p>
      <w:pPr>
        <w:pStyle w:val="FootnoteText"/>
      </w:pPr>
      <w:r>
        <w:rPr>
          <w:rStyle w:val="FootnoteReference"/>
        </w:rPr>
        <w:footnoteRef/>
      </w:r>
      <w:r>
        <w:t xml:space="preserve"> </w:t>
      </w:r>
      <w:r>
        <w:tab/>
        <w:t>Bericht der Kommission an das Europäische Parlament und den Rat über die Anwendung von Anhang XII des Statuts der Beamten – COM(2018) 829 final.</w:t>
      </w:r>
    </w:p>
  </w:footnote>
  <w:footnote w:id="15">
    <w:p>
      <w:pPr>
        <w:pStyle w:val="FootnoteText"/>
      </w:pPr>
      <w:r>
        <w:rPr>
          <w:rStyle w:val="FootnoteReference"/>
        </w:rPr>
        <w:footnoteRef/>
      </w:r>
      <w:r>
        <w:t xml:space="preserve"> </w:t>
      </w:r>
      <w:r>
        <w:tab/>
        <w:t xml:space="preserve">Dies wurde vom Europäischen Rechnungshof im Sonderbericht Nr. 15/2019 bestätigt: </w:t>
      </w:r>
      <w:r>
        <w:rPr>
          <w:i/>
        </w:rPr>
        <w:t>„Umsetzung des Personalreformpakets 2014 bei der Kommission – hohe Einsparungen, aber nicht ohne Folgen für die Bediensteten“</w:t>
      </w:r>
      <w:r>
        <w:t>.</w:t>
      </w:r>
    </w:p>
  </w:footnote>
  <w:footnote w:id="16">
    <w:p>
      <w:pPr>
        <w:pStyle w:val="FootnoteText"/>
      </w:pPr>
      <w:r>
        <w:rPr>
          <w:rStyle w:val="FootnoteReference"/>
        </w:rPr>
        <w:footnoteRef/>
      </w:r>
      <w:r>
        <w:t xml:space="preserve"> </w:t>
      </w:r>
      <w:r>
        <w:tab/>
        <w:t>Bericht der Kommission 2009-2015 über die finanzielle Lage der Arbeitslosenversicherung für ehemalige Bedienstete auf Zeit oder Vertragsbedienstete sowie akkreditierte parlamentarische Assistenten, die seit Ende ihrer Tätigkeit bei einem Organ der Europäischen Union arbeitslos sind – COM(2016) 754 final; und Bericht 2013-2018 über die finanzielle Lage der Arbeitslosenversicherung für ehemalige Bedienstete auf Zeit oder Vertragsbedienstete sowie parlamentarische Assistenten, die seit Ende ihrer Tätigkeit bei einem Organ der Europäischen Union arbeitslos sind.</w:t>
      </w:r>
    </w:p>
  </w:footnote>
  <w:footnote w:id="17">
    <w:p>
      <w:pPr>
        <w:pStyle w:val="FootnoteText"/>
      </w:pPr>
      <w:r>
        <w:rPr>
          <w:rStyle w:val="FootnoteReference"/>
        </w:rPr>
        <w:footnoteRef/>
      </w:r>
      <w:r>
        <w:t xml:space="preserve"> </w:t>
      </w:r>
      <w:r>
        <w:tab/>
        <w:t>Die Reserve sank von 16 Mio. EUR im Jahr 2009 auf nur noch 2 Mio. EUR im Jahr 2015.</w:t>
      </w:r>
    </w:p>
  </w:footnote>
  <w:footnote w:id="18">
    <w:p>
      <w:pPr>
        <w:pStyle w:val="FootnoteText"/>
      </w:pPr>
      <w:r>
        <w:rPr>
          <w:rStyle w:val="FootnoteReference"/>
        </w:rPr>
        <w:footnoteRef/>
      </w:r>
      <w:r>
        <w:t xml:space="preserve"> </w:t>
      </w:r>
      <w:r>
        <w:tab/>
        <w:t>Ende 2018 erreichte die Reserve 28 Mio. EUR.</w:t>
      </w:r>
    </w:p>
  </w:footnote>
  <w:footnote w:id="19">
    <w:p>
      <w:pPr>
        <w:pStyle w:val="FootnoteText"/>
      </w:pPr>
      <w:r>
        <w:rPr>
          <w:rStyle w:val="FootnoteReference"/>
        </w:rPr>
        <w:footnoteRef/>
      </w:r>
      <w:r>
        <w:t xml:space="preserve"> </w:t>
      </w:r>
      <w:r>
        <w:tab/>
        <w:t>Beschluss der Kommission vom 16.10.2017 mit allgemeinen Durchführungsbestimmungen zu Artikel 79 Absatz 2 der Beschäftigungsbedingungen für die sonstigen Bediensteten der Europäischen Union über die Bedingungen für den Einsatz der von der Kommission gemäß Artikel 3a und Artikel 3b dieser Beschäftigungsbedingungen eingestellten Vertragsbediensteten – C(2017) 6760.</w:t>
      </w:r>
    </w:p>
  </w:footnote>
  <w:footnote w:id="20">
    <w:p>
      <w:pPr>
        <w:pStyle w:val="FootnoteText"/>
      </w:pPr>
      <w:r>
        <w:rPr>
          <w:rStyle w:val="FootnoteReference"/>
        </w:rPr>
        <w:footnoteRef/>
      </w:r>
      <w:r>
        <w:t xml:space="preserve"> </w:t>
      </w:r>
      <w:r>
        <w:tab/>
        <w:t>Gemäß Artikel 13 Absatz 1 des Kommissionsbeschlusses C(2017) 6760 gelangt ein 3a-Vertragsbediensteter in Anwendung von Artikel 87 Absatz 4 der BBSB durch Teilnahme an einem allgemeinen Verfahren zur Personalauswahl in eine höhere Funktionsgruppe.</w:t>
      </w:r>
    </w:p>
  </w:footnote>
  <w:footnote w:id="21">
    <w:p>
      <w:pPr>
        <w:pStyle w:val="FootnoteText"/>
      </w:pPr>
      <w:r>
        <w:rPr>
          <w:rStyle w:val="FootnoteReference"/>
        </w:rPr>
        <w:footnoteRef/>
      </w:r>
      <w:r>
        <w:t xml:space="preserve"> </w:t>
      </w:r>
      <w:r>
        <w:tab/>
        <w:t>In Luxemburg wurden in der Durchführung des Jahres 2019 25 Vertragsbedienstete, die Aufgaben erfüllen, die einer höheren Funktionsgruppe entsprechen, in die entsprechende Funktionsgruppe versetzt. Diese Veränderungen fanden in allen Funktionsgruppen statt. Eine ähnliche Maßnahme wurde 2020 eingeleitet, um speziell die Situation der Bildungsbeauftragten beim Amt für Gebäude, Anlagen und Logistik in Luxemburg zu untersuchen und sicherzustellen, dass ihre Funktionsgruppe den tatsächlich ausgeführten Aufgaben entspricht. Eine weitere Überprüfung, die sich auf Profile der Funktionsgruppe I beschränkt, wird demnächst für das Amt für Gebäude, Anlagen und Logistik in Brüssel und in Luxemburg eingeleitet.</w:t>
      </w:r>
    </w:p>
  </w:footnote>
  <w:footnote w:id="22">
    <w:p>
      <w:pPr>
        <w:pStyle w:val="FootnoteText"/>
        <w:ind w:left="187" w:hanging="187"/>
      </w:pPr>
      <w:r>
        <w:rPr>
          <w:rStyle w:val="FootnoteReference"/>
        </w:rPr>
        <w:footnoteRef/>
      </w:r>
      <w:r>
        <w:t xml:space="preserve"> Die Zahlen in den Anhängen 14 und 15 geben die Beförderungsquoten wieder. Im Allgemeinen besteht bei Besoldungsgruppen mit einer stabilen Personalstärke und dem Erreichen einer bestimmten Geschwindigkeit ein Zusammenhang zwischen diesen Raten und der in der Besoldungsgruppe verbrachten Zeit.</w:t>
      </w:r>
    </w:p>
  </w:footnote>
  <w:footnote w:id="23">
    <w:p>
      <w:pPr>
        <w:pStyle w:val="FootnoteText"/>
      </w:pPr>
      <w:r>
        <w:rPr>
          <w:rStyle w:val="FootnoteReference"/>
        </w:rPr>
        <w:footnoteRef/>
      </w:r>
      <w:r>
        <w:t xml:space="preserve"> </w:t>
      </w:r>
      <w:r>
        <w:tab/>
        <w:t>Mit einer positiven oder negativen Abweichung von maximal 2 %.</w:t>
      </w:r>
    </w:p>
  </w:footnote>
  <w:footnote w:id="24">
    <w:p>
      <w:pPr>
        <w:pStyle w:val="FootnoteText"/>
      </w:pPr>
      <w:r>
        <w:rPr>
          <w:rStyle w:val="FootnoteReference"/>
        </w:rPr>
        <w:footnoteRef/>
      </w:r>
      <w:r>
        <w:t xml:space="preserve"> </w:t>
      </w:r>
      <w:r>
        <w:tab/>
        <w:t>Mit einer einzigen Ausnahme im Jahr 2019.</w:t>
      </w:r>
    </w:p>
  </w:footnote>
  <w:footnote w:id="25">
    <w:p>
      <w:pPr>
        <w:pStyle w:val="FootnoteText"/>
      </w:pPr>
      <w:r>
        <w:rPr>
          <w:rStyle w:val="FootnoteReference"/>
        </w:rPr>
        <w:footnoteRef/>
      </w:r>
      <w:r>
        <w:t xml:space="preserve"> </w:t>
      </w:r>
      <w:r>
        <w:tab/>
        <w:t xml:space="preserve">Bericht an das Europäische Parlament und den Rat, Äquivalenz von alter und neuer Laufbahnstruktur, 30.3.2011, COM(2011) 171 final. </w:t>
      </w:r>
    </w:p>
  </w:footnote>
  <w:footnote w:id="26">
    <w:p>
      <w:pPr>
        <w:pStyle w:val="FootnoteText"/>
      </w:pPr>
      <w:r>
        <w:rPr>
          <w:rStyle w:val="FootnoteReference"/>
        </w:rPr>
        <w:footnoteRef/>
      </w:r>
      <w:r>
        <w:t xml:space="preserve"> </w:t>
      </w:r>
      <w:r>
        <w:tab/>
        <w:t>Mit der Reform des Statuts im Jahr 2014 wurde der Zugang zu den letzten beiden Besoldungsgruppen der Laufbahn ohne Führungsaufgaben (AD13-AD14) auf leitende Sachverständige und Berater beschränkt.</w:t>
      </w:r>
    </w:p>
  </w:footnote>
  <w:footnote w:id="27">
    <w:p>
      <w:pPr>
        <w:pStyle w:val="FootnoteText"/>
      </w:pPr>
      <w:r>
        <w:rPr>
          <w:rStyle w:val="FootnoteReference"/>
        </w:rPr>
        <w:footnoteRef/>
      </w:r>
      <w:r>
        <w:t xml:space="preserve"> </w:t>
      </w:r>
      <w:r>
        <w:tab/>
        <w:t>Eine Beschreibung der Arten von Stellen in der Übergangszeit ist in Anhang 16 enthalten.</w:t>
      </w:r>
    </w:p>
  </w:footnote>
  <w:footnote w:id="28">
    <w:p>
      <w:pPr>
        <w:pStyle w:val="FootnoteText"/>
      </w:pPr>
      <w:r>
        <w:rPr>
          <w:rStyle w:val="FootnoteReference"/>
        </w:rPr>
        <w:footnoteRef/>
      </w:r>
      <w:r>
        <w:t xml:space="preserve"> </w:t>
      </w:r>
      <w:r>
        <w:tab/>
        <w:t>Artikel 13 Absatz 3 des Anhangs VII des Statuts sieht eine halbjährliche Überprüfung der Erstattungssätze für Dienstreisekosten, d. h. der Tagegelder und der Hotelhöchstbeträge, im Wege eines delegierten Rechtsakts vor.</w:t>
      </w:r>
    </w:p>
  </w:footnote>
  <w:footnote w:id="29">
    <w:p>
      <w:pPr>
        <w:pStyle w:val="FootnoteText"/>
      </w:pPr>
      <w:r>
        <w:rPr>
          <w:rStyle w:val="FootnoteReference"/>
        </w:rPr>
        <w:footnoteRef/>
      </w:r>
      <w:r>
        <w:t xml:space="preserve"> </w:t>
      </w:r>
      <w:r>
        <w:tab/>
        <w:t>Im Anhang zu der am 13. April 2016 unterzeichneten Interinstitutionellen Vereinbarung „Bessere Rechtsetzung“.</w:t>
      </w:r>
    </w:p>
  </w:footnote>
  <w:footnote w:id="30">
    <w:p>
      <w:pPr>
        <w:pStyle w:val="FootnoteText"/>
      </w:pPr>
      <w:r>
        <w:rPr>
          <w:rStyle w:val="FootnoteReference"/>
        </w:rPr>
        <w:footnoteRef/>
      </w:r>
      <w:r>
        <w:t xml:space="preserve"> </w:t>
      </w:r>
      <w:r>
        <w:tab/>
        <w:t>Delegierte Verordnung (EU) 2016/1611 der Kommission vom 7. Juli 2016 zur Überprüfung der Erstattungstabelle für Dienstreisen der Beamten und sonstigen Bediensteten der Europäischen Union in den Mitgliedstaaten.</w:t>
      </w:r>
    </w:p>
  </w:footnote>
  <w:footnote w:id="31">
    <w:p>
      <w:pPr>
        <w:pStyle w:val="FootnoteText"/>
      </w:pPr>
      <w:r>
        <w:rPr>
          <w:rStyle w:val="FootnoteReference"/>
        </w:rPr>
        <w:footnoteRef/>
      </w:r>
      <w:r>
        <w:t xml:space="preserve"> </w:t>
      </w:r>
      <w:r>
        <w:tab/>
        <w:t>Mit der Verordnung (EU, EURATOM) Nr. 1023/2013 des Europäischen Parlaments und des Rates vom 22. Oktober 2013 wurde der Überprüfungsmechanismus durch einen delegierten Rechtsakt geändert (Artikel 111 und 112 des Statuts).</w:t>
      </w:r>
    </w:p>
  </w:footnote>
  <w:footnote w:id="32">
    <w:p>
      <w:pPr>
        <w:pStyle w:val="FootnoteText"/>
      </w:pPr>
      <w:r>
        <w:rPr>
          <w:rStyle w:val="FootnoteReference"/>
        </w:rPr>
        <w:footnoteRef/>
      </w:r>
      <w:r>
        <w:t xml:space="preserve"> </w:t>
      </w:r>
      <w:r>
        <w:tab/>
        <w:t>Die letzte Überprüfung erfolgte mittels Verordnungen des Rates im Jahr 2006 (für die EU-25-Mitgliedstaaten).</w:t>
      </w:r>
    </w:p>
  </w:footnote>
  <w:footnote w:id="33">
    <w:p>
      <w:pPr>
        <w:pStyle w:val="FootnoteText"/>
      </w:pPr>
      <w:r>
        <w:rPr>
          <w:rStyle w:val="FootnoteReference"/>
        </w:rPr>
        <w:footnoteRef/>
      </w:r>
      <w:r>
        <w:t xml:space="preserve"> </w:t>
      </w:r>
      <w:r>
        <w:tab/>
        <w:t>Wie in Abschnitt 3.1.4 erwähnt, erwog die Kommission 2017 eine begrenzte Erhöhung der Beiträge zur Arbeitslosenversicherung im Wege eines delegierten Rechtsakts gemäß Artikel 28a Absatz 11 und Artikel 96 Absatz 11 der BBSB, um die finanzielle Ausgewogenheit des Systems zu gewährleisten.</w:t>
      </w:r>
    </w:p>
  </w:footnote>
  <w:footnote w:id="34">
    <w:p>
      <w:pPr>
        <w:pStyle w:val="FootnoteText"/>
      </w:pPr>
      <w:r>
        <w:rPr>
          <w:rStyle w:val="FootnoteReference"/>
        </w:rPr>
        <w:footnoteRef/>
      </w:r>
      <w:r>
        <w:t xml:space="preserve"> </w:t>
      </w:r>
      <w:r>
        <w:tab/>
        <w:t>Es gibt eine Reihe von Mechanismen, die eine einheitliche Anwendung des Statuts und der BBSB in allen Organen und Agenturen gewährleisten sollen, wie z. B. die Anwendung von Regeln, die im Einvernehmen zwischen den Organen angenommen wurden, die Möglichkeit, ein Organ zur Annahme allgemeiner Durchführungsbestimmungen zu ermächtigen, die für alle Organe gelten, die obligatorische Konsultation des Statutsbeirats und besondere Mechanismen für Agenturen.</w:t>
      </w:r>
    </w:p>
  </w:footnote>
  <w:footnote w:id="35">
    <w:p>
      <w:pPr>
        <w:pStyle w:val="FootnoteText"/>
      </w:pPr>
      <w:r>
        <w:rPr>
          <w:rStyle w:val="FootnoteReference"/>
        </w:rPr>
        <w:footnoteRef/>
      </w:r>
      <w:r>
        <w:t xml:space="preserve"> </w:t>
      </w:r>
      <w:r>
        <w:tab/>
        <w:t>Bericht der Kommission an das Europäische Parlament und den Rat über die von den Anstellungsbehörden eines jeden Organs erlassenen Durchführungsbestimmungen zum Statut – COM(2021) 258 final.</w:t>
      </w:r>
    </w:p>
  </w:footnote>
  <w:footnote w:id="36">
    <w:p>
      <w:pPr>
        <w:pStyle w:val="FootnoteText"/>
      </w:pPr>
      <w:r>
        <w:rPr>
          <w:rStyle w:val="FootnoteReference"/>
        </w:rPr>
        <w:footnoteRef/>
      </w:r>
      <w:r>
        <w:t xml:space="preserve"> </w:t>
      </w:r>
      <w:r>
        <w:tab/>
        <w:t xml:space="preserve">Für weitere Hinweise vgl. die Mitteilung C(2014) 6543 final vom 26. September 2014 von Vizepräsident M. Šefčovič an die Kommission zu den Leitlinien für die Umsetzung von Artikel 110 Absatz 2 des Statuts betreffend die in den Agenturen geltenden Durchführungsbestimmungen zum Statut und den Beschluss C(2014) 7229 der Kommission vom 8. Oktober 2014 über die Ausübung bestimmter Befugnisse im Hinblick auf das von der Kommission mit den Agenturen zu treffende Einvernehmen, bevor diese Durchführungsbestimmungen gemäß Artikel 110 Absatz 2 des Statuts erlassen. Vergleiche ebenfalls den Bericht der Kommission über die von den Anstellungsbehörden eines jeden Organs erlassenen Durchführungsbestimmungen zum Statut – COM(2016) 632 final. </w:t>
      </w:r>
    </w:p>
  </w:footnote>
  <w:footnote w:id="37">
    <w:p>
      <w:pPr>
        <w:pStyle w:val="FootnoteText"/>
      </w:pPr>
      <w:r>
        <w:rPr>
          <w:rStyle w:val="FootnoteReference"/>
        </w:rPr>
        <w:footnoteRef/>
      </w:r>
      <w:r>
        <w:t xml:space="preserve"> </w:t>
      </w:r>
      <w:r>
        <w:tab/>
        <w:t xml:space="preserve">Dieser Mechanismus wurde für die Annahme von Durchführungsbestimmungen für die Einstellung von Bediensteten auf Zeit gemäß Artikel 2 Buchstabe f der BBSB verwendet. </w:t>
      </w:r>
    </w:p>
  </w:footnote>
  <w:footnote w:id="38">
    <w:p>
      <w:pPr>
        <w:pStyle w:val="FootnoteText"/>
      </w:pPr>
      <w:r>
        <w:rPr>
          <w:rStyle w:val="FootnoteReference"/>
        </w:rPr>
        <w:footnoteRef/>
      </w:r>
      <w:r>
        <w:t xml:space="preserve"> </w:t>
      </w:r>
      <w:r>
        <w:tab/>
        <w:t>Darüber hinaus nahm der Europäische Rechnungshof im Oktober 2020 den Sonderbericht Nr. 23/2020 „</w:t>
      </w:r>
      <w:r>
        <w:rPr>
          <w:i/>
          <w:iCs/>
        </w:rPr>
        <w:t>Das Europäische Amt für Personalauswahl:</w:t>
      </w:r>
      <w:r>
        <w:rPr>
          <w:i/>
        </w:rPr>
        <w:t xml:space="preserve"> </w:t>
      </w:r>
      <w:r>
        <w:rPr>
          <w:i/>
          <w:iCs/>
        </w:rPr>
        <w:t>Es ist an der Zeit, das Auswahlverfahren an den sich verändernden Einstellungsbedarf anzupassen</w:t>
      </w:r>
      <w:r>
        <w:t>“ und den Sonderbericht Nr. 22/2020 „</w:t>
      </w:r>
      <w:r>
        <w:rPr>
          <w:i/>
          <w:iCs/>
        </w:rPr>
        <w:t>Die Zukunft der EU-Agenturen – Flexibilität und Zusammenarbeit könnten verstärkt werden</w:t>
      </w:r>
      <w:r>
        <w:t>“ angenommen.</w:t>
      </w:r>
    </w:p>
  </w:footnote>
  <w:footnote w:id="39">
    <w:p>
      <w:pPr>
        <w:pStyle w:val="FootnoteText"/>
      </w:pPr>
      <w:r>
        <w:rPr>
          <w:rStyle w:val="FootnoteReference"/>
        </w:rPr>
        <w:footnoteRef/>
      </w:r>
      <w:r>
        <w:t xml:space="preserve"> </w:t>
      </w:r>
      <w:r>
        <w:tab/>
        <w:t xml:space="preserve">Im Jahr 2017 nahm der Europäische Rechnungshof eine Schnellanalyse der 5 %igen Stellenkürzung an, die nicht in den Rahmen dieses Berichts fällt. </w:t>
      </w:r>
    </w:p>
  </w:footnote>
  <w:footnote w:id="40">
    <w:p>
      <w:pPr>
        <w:pStyle w:val="FootnoteText"/>
      </w:pPr>
      <w:r>
        <w:rPr>
          <w:rStyle w:val="FootnoteReference"/>
        </w:rPr>
        <w:footnoteRef/>
      </w:r>
      <w:r>
        <w:t xml:space="preserve"> </w:t>
      </w:r>
      <w:r>
        <w:tab/>
        <w:t>Der Status und die Aufgaben des Bürgerbeauftragten wurden vom Parlament in einem Beschluss vom 9. März 1994 festgelegt, der nach Konsultation der Kommission und mit Zustimmung des Rates angenommen wurde. Ziel des Europäischen Bürgerbeauftragten ist es, den Schutz der Bürgerinnen und Bürger im Zusammenhang mit Missständen in der Verwaltungstätigkeit der Organe, Einrichtungen, Ämter oder Agenturen der Europäischen Union zu verbessern und dadurch die Offenheit und demokratische Rechenschaftspflicht bei der Entscheidungsfindung und Verwaltung der Organe der EU zu stärken.</w:t>
      </w:r>
    </w:p>
  </w:footnote>
  <w:footnote w:id="41">
    <w:p>
      <w:pPr>
        <w:pStyle w:val="FootnoteText"/>
      </w:pPr>
      <w:r>
        <w:rPr>
          <w:rStyle w:val="FootnoteReference"/>
        </w:rPr>
        <w:footnoteRef/>
      </w:r>
      <w:r>
        <w:t xml:space="preserve"> </w:t>
      </w:r>
      <w:r>
        <w:tab/>
        <w:t>https://www.ombudsman.europa.eu/de/correspondence/en/119782</w:t>
      </w:r>
    </w:p>
  </w:footnote>
  <w:footnote w:id="42">
    <w:p>
      <w:pPr>
        <w:pStyle w:val="FootnoteText"/>
      </w:pPr>
      <w:r>
        <w:rPr>
          <w:rStyle w:val="FootnoteReference"/>
        </w:rPr>
        <w:footnoteRef/>
      </w:r>
      <w:r>
        <w:t xml:space="preserve"> </w:t>
      </w:r>
      <w:r>
        <w:tab/>
        <w:t xml:space="preserve">Im Anschluss an die Empfehlungen im Entlastungsbeschluss 2018 zur Stärkung der Geschlechtergleichstellung in Führungspositionen nahm die Kommission am 5. März 2020 die Mitteilung der Kommission „Eine Union der Gleichheit:  Strategie für die Gleichstellung der Geschlechter 2020-2025“ – </w:t>
      </w:r>
      <w:hyperlink r:id="rId2" w:history="1">
        <w:r>
          <w:t>COM(2020)  152 final</w:t>
        </w:r>
      </w:hyperlink>
      <w:r>
        <w:t xml:space="preserve"> In gleicher Weise wurde die Empfehlung, Hinweisgebern angemessenen Schutz, Diskretion und Anonymität zu gewähren, durch den Beschluss (EU) </w:t>
      </w:r>
      <w:hyperlink r:id="rId3" w:history="1">
        <w:r>
          <w:t>2019/165</w:t>
        </w:r>
      </w:hyperlink>
      <w:r>
        <w:t xml:space="preserve"> der Kommission über die Verarbeitung personenbezogener Daten im Rahmen von Verwaltungsuntersuchungen, Vor-, Disziplinar- und Aussetzungsverfahren berücksichtigt.</w:t>
      </w:r>
    </w:p>
  </w:footnote>
  <w:footnote w:id="43">
    <w:p>
      <w:pPr>
        <w:pStyle w:val="FootnoteText"/>
      </w:pPr>
      <w:r>
        <w:rPr>
          <w:rStyle w:val="FootnoteReference"/>
        </w:rPr>
        <w:footnoteRef/>
      </w:r>
      <w:r>
        <w:t xml:space="preserve"> </w:t>
      </w:r>
      <w:r>
        <w:tab/>
        <w:t>Ratsdokument 7515/00 + COR 1.</w:t>
      </w:r>
    </w:p>
  </w:footnote>
  <w:footnote w:id="44">
    <w:p>
      <w:pPr>
        <w:pStyle w:val="FootnoteText"/>
      </w:pPr>
      <w:r>
        <w:rPr>
          <w:rStyle w:val="FootnoteReference"/>
        </w:rPr>
        <w:footnoteRef/>
      </w:r>
      <w:r>
        <w:t xml:space="preserve"> </w:t>
      </w:r>
      <w:r>
        <w:tab/>
        <w:t xml:space="preserve">Die vom Rat angenommenen Schlussfolgerungen drücken politische Standpunkte zu Themen aus, die mit den Tätigkeitsbereichen der Europäischen Union in Verbindung stehen. Solche Schlussfolgerungen sind in den Verträgen nicht vorgesehen. Sie sind daher rechtlich nicht bindend. Sie dienen der Unterrichtung der anderen Organe über den politischen Standpunkt des Rates.  </w:t>
      </w:r>
    </w:p>
  </w:footnote>
  <w:footnote w:id="45">
    <w:p>
      <w:pPr>
        <w:pStyle w:val="FootnoteText"/>
      </w:pPr>
      <w:r>
        <w:rPr>
          <w:rStyle w:val="FootnoteReference"/>
        </w:rPr>
        <w:footnoteRef/>
      </w:r>
      <w:r>
        <w:t xml:space="preserve"> </w:t>
      </w:r>
      <w:r>
        <w:tab/>
        <w:t>Sonderbericht Nr. 13/2019 des Europäischen Rechnungshofs „Die Ethikrahmen der geprüften EU-Organe: Es besteht Verbesserungsbedarf“ und Sonderbericht Nr. 15/2019 „Umsetzung des Personalreformpakets 2014 bei der Kommission – hohe Einsparungen, aber nicht ohne Folgen für die Bediensteten“. Weitere Schlussfolgerungen des Rates wurden im Anschluss an die Veröffentlichung einer Studie von Eurostat über die langfristigen Auswirkungen der Pensionskosten auf den Haushalt angenommen.</w:t>
      </w:r>
    </w:p>
  </w:footnote>
  <w:footnote w:id="46">
    <w:p>
      <w:pPr>
        <w:pStyle w:val="FootnoteText"/>
      </w:pPr>
      <w:r>
        <w:rPr>
          <w:rStyle w:val="FootnoteReference"/>
        </w:rPr>
        <w:footnoteRef/>
      </w:r>
      <w:r>
        <w:t xml:space="preserve"> </w:t>
      </w:r>
      <w:r>
        <w:tab/>
        <w:t>Schlussfolgerungen des Rates zum Sonderbericht Nr. 13/2019 des Europäischen Rechnungshofs „Die Ethikrahmen der geprüften EU-Organe: Es besteht Verbesserungsbedarf“.</w:t>
      </w:r>
    </w:p>
  </w:footnote>
  <w:footnote w:id="47">
    <w:p>
      <w:pPr>
        <w:pStyle w:val="FootnoteText"/>
      </w:pPr>
      <w:r>
        <w:rPr>
          <w:rStyle w:val="FootnoteReference"/>
        </w:rPr>
        <w:footnoteRef/>
      </w:r>
      <w:r>
        <w:t xml:space="preserve"> </w:t>
      </w:r>
      <w:r>
        <w:tab/>
        <w:t xml:space="preserve">Schlussfolgerungen des Rates zum Sonderbericht Nr. 15/2019 des Europäischen Rechnungshofs „Umsetzung des Personalreformpakets 2014 bei der Kommission – hohe Einsparungen, aber nicht ohne Folgen für die Bediensteten“. </w:t>
      </w:r>
    </w:p>
  </w:footnote>
  <w:footnote w:id="48">
    <w:p>
      <w:pPr>
        <w:pStyle w:val="FootnoteText"/>
      </w:pPr>
      <w:r>
        <w:rPr>
          <w:rStyle w:val="FootnoteReference"/>
        </w:rPr>
        <w:footnoteRef/>
      </w:r>
      <w:r>
        <w:t xml:space="preserve"> </w:t>
      </w:r>
      <w:r>
        <w:tab/>
        <w:t>Schlussfolgerungen des Rates zu der Eurostat-Studie über die langfristigen Auswirkungen der Kosten für EU-Versorgungsbezüge auf den Haushalt.</w:t>
      </w:r>
    </w:p>
  </w:footnote>
  <w:footnote w:id="49">
    <w:p>
      <w:pPr>
        <w:pStyle w:val="FootnoteText"/>
      </w:pPr>
      <w:r>
        <w:rPr>
          <w:rStyle w:val="FootnoteReference"/>
        </w:rPr>
        <w:footnoteRef/>
      </w:r>
      <w:r>
        <w:t xml:space="preserve"> </w:t>
      </w:r>
      <w:r>
        <w:tab/>
        <w:t>Festgelegt in Artikel 4 Absatz 3 des EUV.</w:t>
      </w:r>
    </w:p>
  </w:footnote>
  <w:footnote w:id="50">
    <w:p>
      <w:pPr>
        <w:pStyle w:val="FootnoteText"/>
      </w:pPr>
      <w:r>
        <w:rPr>
          <w:rStyle w:val="FootnoteReference"/>
        </w:rPr>
        <w:footnoteRef/>
      </w:r>
      <w:r>
        <w:t xml:space="preserve"> </w:t>
      </w:r>
      <w:r>
        <w:tab/>
        <w:t>Verordnung (EU, Euratom) Nr. 1023/2013 des Europäischen Parlaments und des Rates vom 22. Oktober 2013 zur Änderung des Statuts der Beamten der Europäischen Union und der Beschäftigungsbedingungen für die sonstigen Bediensteten der Europäischen Union (ABl. L 287 vom 29.10.2013, S. 15).</w:t>
      </w:r>
    </w:p>
  </w:footnote>
  <w:footnote w:id="51">
    <w:p>
      <w:pPr>
        <w:pStyle w:val="FootnoteText"/>
      </w:pPr>
      <w:r>
        <w:rPr>
          <w:rStyle w:val="FootnoteReference"/>
        </w:rPr>
        <w:footnoteRef/>
      </w:r>
      <w:r>
        <w:t xml:space="preserve"> </w:t>
      </w:r>
      <w:r>
        <w:tab/>
        <w:t>Artikel 263 AEUV.</w:t>
      </w:r>
    </w:p>
  </w:footnote>
  <w:footnote w:id="52">
    <w:p>
      <w:pPr>
        <w:pStyle w:val="FootnoteText"/>
      </w:pPr>
      <w:r>
        <w:rPr>
          <w:rStyle w:val="FootnoteReference"/>
          <w:sz w:val="16"/>
        </w:rPr>
        <w:footnoteRef/>
      </w:r>
      <w:r>
        <w:t xml:space="preserve"> Namen ehemaliger Führungskräfte werden genannt, aber keine Anwendung des Verbots von Lobbying nach Artikel 16 Absatz 3.</w:t>
      </w:r>
    </w:p>
  </w:footnote>
  <w:footnote w:id="53">
    <w:p>
      <w:pPr>
        <w:pStyle w:val="FootnoteText"/>
        <w:rPr>
          <w:sz w:val="16"/>
        </w:rPr>
      </w:pPr>
      <w:r>
        <w:rPr>
          <w:rStyle w:val="FootnoteReference"/>
          <w:sz w:val="16"/>
        </w:rPr>
        <w:footnoteRef/>
      </w:r>
      <w:r>
        <w:t xml:space="preserve"> Ein Name einer ehemaligen höheren Führungskraft wird genannt, aber keine Anwendung des Verbots von Lobbying nach Artikel 16 Absatz 3.</w:t>
      </w:r>
    </w:p>
  </w:footnote>
  <w:footnote w:id="54">
    <w:p>
      <w:pPr>
        <w:pStyle w:val="FootnoteText"/>
        <w:rPr>
          <w:sz w:val="16"/>
        </w:rPr>
      </w:pPr>
      <w:r>
        <w:rPr>
          <w:rStyle w:val="FootnoteReference"/>
          <w:sz w:val="16"/>
        </w:rPr>
        <w:footnoteRef/>
      </w:r>
      <w:r>
        <w:t xml:space="preserve"> Ein Name einer ehemaligen höheren Führungskraft wird genannt, aber keine Anwendung des Verbots von Lobbying nach Artikel 16 Absatz 3.</w:t>
      </w:r>
    </w:p>
  </w:footnote>
  <w:footnote w:id="55">
    <w:p>
      <w:pPr>
        <w:pStyle w:val="FootnoteText"/>
        <w:rPr>
          <w:sz w:val="16"/>
        </w:rPr>
      </w:pPr>
      <w:r>
        <w:rPr>
          <w:rStyle w:val="FootnoteReference"/>
          <w:sz w:val="16"/>
        </w:rPr>
        <w:footnoteRef/>
      </w:r>
      <w:r>
        <w:t xml:space="preserve"> Namen ehemaliger Führungskräfte werden genannt, aber keine Anwendung des Verbots von Lobbying nach Artikel 16 Absatz 3.</w:t>
      </w:r>
      <w:r>
        <w:rPr>
          <w:sz w:val="16"/>
        </w:rPr>
        <w:t xml:space="preserve"> </w:t>
      </w:r>
    </w:p>
  </w:footnote>
  <w:footnote w:id="56">
    <w:p>
      <w:pPr>
        <w:pStyle w:val="FootnoteText"/>
      </w:pPr>
      <w:r>
        <w:rPr>
          <w:rStyle w:val="FootnoteReference"/>
          <w:sz w:val="16"/>
        </w:rPr>
        <w:footnoteRef/>
      </w:r>
      <w:r>
        <w:t xml:space="preserve"> Namen ehemaliger Führungskräfte werden genannt, aber keine Anwendung des Verbots von Lobbying nach Artikel 16 Absatz 3.</w:t>
      </w:r>
    </w:p>
  </w:footnote>
  <w:footnote w:id="57">
    <w:p>
      <w:pPr>
        <w:pStyle w:val="FootnoteText"/>
      </w:pPr>
      <w:r>
        <w:rPr>
          <w:rStyle w:val="FootnoteReference"/>
          <w:sz w:val="16"/>
        </w:rPr>
        <w:footnoteRef/>
      </w:r>
      <w:r>
        <w:t xml:space="preserve"> Namen ehemaliger Führungskräfte werden genannt, aber keine Anwendung des Verbots von Lobbying nach Artikel 16 Absatz 3.</w:t>
      </w:r>
    </w:p>
  </w:footnote>
  <w:footnote w:id="58">
    <w:p>
      <w:pPr>
        <w:pStyle w:val="FootnoteText"/>
        <w:ind w:left="709" w:hanging="709"/>
      </w:pPr>
      <w:r>
        <w:rPr>
          <w:rStyle w:val="FootnoteReference"/>
        </w:rPr>
        <w:footnoteRef/>
      </w:r>
      <w:r>
        <w:t xml:space="preserve"> </w:t>
      </w:r>
      <w:r>
        <w:tab/>
        <w:t>Von 44 Beschlüssen der Kommission werden 19 analog angewandt, in 16 Bereichen haben die Agenturen die Wahl zwischen dem in der Ex-ante-Vereinbarung der Kommission vorgesehenen Musterbeschluss und den Bestimmungen der Kommission, fünf Beschlüsse der Kommission wurden durch einen neuen Beschluss der Kommission in derselben Angelegenheit aufgehoben, für zwei Beschlüsse der Kommission sind Anträge auf Ausnahmeregelungen anhängig und ein Beschluss wird durch die Ex-ante-Vereinbarung bestätigt werden.</w:t>
      </w:r>
    </w:p>
  </w:footnote>
  <w:footnote w:id="59">
    <w:p>
      <w:pPr>
        <w:pStyle w:val="FootnoteText"/>
        <w:ind w:left="709" w:hanging="709"/>
      </w:pPr>
      <w:r>
        <w:rPr>
          <w:rStyle w:val="FootnoteReference"/>
        </w:rPr>
        <w:footnoteRef/>
      </w:r>
      <w:r>
        <w:t xml:space="preserve"> </w:t>
      </w:r>
      <w:r>
        <w:tab/>
        <w:t>In einigen Fällen wurde ein Beschluss der Kommission in mehr als einen Musterbeschluss umgewandelt, der sich an verschiedene Kategorien von Agenturen/Gemeinsamen Unternehmen richtet.</w:t>
      </w:r>
    </w:p>
  </w:footnote>
  <w:footnote w:id="60">
    <w:p>
      <w:pPr>
        <w:pStyle w:val="FootnoteText"/>
        <w:ind w:left="709" w:hanging="709"/>
      </w:pPr>
      <w:r>
        <w:rPr>
          <w:rStyle w:val="FootnoteReference"/>
        </w:rPr>
        <w:footnoteRef/>
      </w:r>
      <w:r>
        <w:t xml:space="preserve"> </w:t>
      </w:r>
      <w:r>
        <w:tab/>
        <w:t>25 dieser individuellen Vereinbarungen betrafen Regelungen, die zwei Themenbereiche abdecken, für die ein Muster verwendet wird, das sehr ähnliche Regelungen durch verschiedene Agenturen ermöglicht.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4B4197A"/>
    <w:multiLevelType w:val="hybridMultilevel"/>
    <w:tmpl w:val="EDE88630"/>
    <w:lvl w:ilvl="0" w:tplc="C77A33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900F7"/>
    <w:multiLevelType w:val="hybridMultilevel"/>
    <w:tmpl w:val="B1E2D238"/>
    <w:name w:val="ListDash4Numbering"/>
    <w:lvl w:ilvl="0" w:tplc="42C61B86">
      <w:start w:val="1"/>
      <w:numFmt w:val="bullet"/>
      <w:pStyle w:val="ListDash4"/>
      <w:lvlText w:val="–"/>
      <w:lvlJc w:val="left"/>
      <w:pPr>
        <w:tabs>
          <w:tab w:val="num" w:pos="1485"/>
        </w:tabs>
        <w:ind w:left="1485" w:hanging="283"/>
      </w:pPr>
      <w:rPr>
        <w:rFonts w:ascii="Times New Roman" w:hAnsi="Times New Roman"/>
      </w:rPr>
    </w:lvl>
    <w:lvl w:ilvl="1" w:tplc="47501EBE">
      <w:start w:val="1"/>
      <w:numFmt w:val="bullet"/>
      <w:pStyle w:val="ListDash4Level2"/>
      <w:lvlText w:val="–"/>
      <w:lvlJc w:val="left"/>
      <w:pPr>
        <w:tabs>
          <w:tab w:val="num" w:pos="1769"/>
        </w:tabs>
        <w:ind w:left="1769" w:hanging="284"/>
      </w:pPr>
      <w:rPr>
        <w:rFonts w:ascii="Times New Roman" w:hAnsi="Times New Roman"/>
      </w:rPr>
    </w:lvl>
    <w:lvl w:ilvl="2" w:tplc="B422137C">
      <w:start w:val="1"/>
      <w:numFmt w:val="bullet"/>
      <w:pStyle w:val="ListDash4Level3"/>
      <w:lvlText w:val="–"/>
      <w:lvlJc w:val="left"/>
      <w:pPr>
        <w:tabs>
          <w:tab w:val="num" w:pos="2052"/>
        </w:tabs>
        <w:ind w:left="2052" w:hanging="283"/>
      </w:pPr>
      <w:rPr>
        <w:rFonts w:ascii="Times New Roman" w:hAnsi="Times New Roman"/>
      </w:rPr>
    </w:lvl>
    <w:lvl w:ilvl="3" w:tplc="CB6EF21C">
      <w:start w:val="1"/>
      <w:numFmt w:val="bullet"/>
      <w:pStyle w:val="ListDash4Level4"/>
      <w:lvlText w:val="–"/>
      <w:lvlJc w:val="left"/>
      <w:pPr>
        <w:tabs>
          <w:tab w:val="num" w:pos="2336"/>
        </w:tabs>
        <w:ind w:left="2336" w:hanging="284"/>
      </w:pPr>
      <w:rPr>
        <w:rFonts w:ascii="Times New Roman" w:hAnsi="Times New Roman"/>
      </w:rPr>
    </w:lvl>
    <w:lvl w:ilvl="4" w:tplc="C66A673C">
      <w:numFmt w:val="none"/>
      <w:lvlText w:val=""/>
      <w:lvlJc w:val="left"/>
    </w:lvl>
    <w:lvl w:ilvl="5" w:tplc="D220B350">
      <w:numFmt w:val="none"/>
      <w:lvlText w:val=""/>
      <w:lvlJc w:val="left"/>
    </w:lvl>
    <w:lvl w:ilvl="6" w:tplc="B18E00CA">
      <w:numFmt w:val="none"/>
      <w:lvlText w:val=""/>
      <w:lvlJc w:val="left"/>
    </w:lvl>
    <w:lvl w:ilvl="7" w:tplc="83F27CCA">
      <w:numFmt w:val="none"/>
      <w:lvlText w:val=""/>
      <w:lvlJc w:val="left"/>
    </w:lvl>
    <w:lvl w:ilvl="8" w:tplc="D8D60B4C">
      <w:numFmt w:val="none"/>
      <w:lvlText w:val=""/>
      <w:lvlJc w:val="left"/>
    </w:lvl>
  </w:abstractNum>
  <w:abstractNum w:abstractNumId="3">
    <w:nsid w:val="120B7201"/>
    <w:multiLevelType w:val="hybridMultilevel"/>
    <w:tmpl w:val="876A5278"/>
    <w:name w:val="ListNumberNumbering"/>
    <w:lvl w:ilvl="0" w:tplc="C1D239D8">
      <w:start w:val="1"/>
      <w:numFmt w:val="decimal"/>
      <w:pStyle w:val="ListNumber"/>
      <w:lvlText w:val="(%1)"/>
      <w:lvlJc w:val="left"/>
      <w:pPr>
        <w:tabs>
          <w:tab w:val="num" w:pos="709"/>
        </w:tabs>
        <w:ind w:left="709" w:hanging="709"/>
      </w:pPr>
    </w:lvl>
    <w:lvl w:ilvl="1" w:tplc="95EAC038">
      <w:start w:val="1"/>
      <w:numFmt w:val="lowerLetter"/>
      <w:pStyle w:val="ListNumberLevel2"/>
      <w:lvlText w:val="(%2)"/>
      <w:lvlJc w:val="left"/>
      <w:pPr>
        <w:tabs>
          <w:tab w:val="num" w:pos="1417"/>
        </w:tabs>
        <w:ind w:left="1417" w:hanging="708"/>
      </w:pPr>
    </w:lvl>
    <w:lvl w:ilvl="2" w:tplc="DD349854">
      <w:start w:val="1"/>
      <w:numFmt w:val="bullet"/>
      <w:pStyle w:val="ListNumberLevel3"/>
      <w:lvlText w:val="–"/>
      <w:lvlJc w:val="left"/>
      <w:pPr>
        <w:tabs>
          <w:tab w:val="num" w:pos="2126"/>
        </w:tabs>
        <w:ind w:left="2126" w:hanging="709"/>
      </w:pPr>
      <w:rPr>
        <w:rFonts w:ascii="Times New Roman" w:hAnsi="Times New Roman"/>
      </w:rPr>
    </w:lvl>
    <w:lvl w:ilvl="3" w:tplc="5A4EE58C">
      <w:start w:val="1"/>
      <w:numFmt w:val="bullet"/>
      <w:pStyle w:val="ListNumberLevel4"/>
      <w:lvlText w:val=""/>
      <w:lvlJc w:val="left"/>
      <w:pPr>
        <w:tabs>
          <w:tab w:val="num" w:pos="2835"/>
        </w:tabs>
        <w:ind w:left="2835" w:hanging="709"/>
      </w:pPr>
      <w:rPr>
        <w:rFonts w:ascii="Symbol" w:hAnsi="Symbol"/>
      </w:rPr>
    </w:lvl>
    <w:lvl w:ilvl="4" w:tplc="BB100A3C">
      <w:numFmt w:val="none"/>
      <w:lvlText w:val=""/>
      <w:lvlJc w:val="left"/>
    </w:lvl>
    <w:lvl w:ilvl="5" w:tplc="FDF8B5CC">
      <w:numFmt w:val="none"/>
      <w:lvlText w:val=""/>
      <w:lvlJc w:val="left"/>
    </w:lvl>
    <w:lvl w:ilvl="6" w:tplc="F5BE0556">
      <w:numFmt w:val="none"/>
      <w:lvlText w:val=""/>
      <w:lvlJc w:val="left"/>
    </w:lvl>
    <w:lvl w:ilvl="7" w:tplc="1DAC914E">
      <w:numFmt w:val="none"/>
      <w:lvlText w:val=""/>
      <w:lvlJc w:val="left"/>
    </w:lvl>
    <w:lvl w:ilvl="8" w:tplc="0B1C9892">
      <w:numFmt w:val="none"/>
      <w:lvlText w:val=""/>
      <w:lvlJc w:val="left"/>
    </w:lvl>
  </w:abstractNum>
  <w:abstractNum w:abstractNumId="4">
    <w:nsid w:val="288A7F47"/>
    <w:multiLevelType w:val="hybridMultilevel"/>
    <w:tmpl w:val="3DE8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7CB1E1C"/>
    <w:multiLevelType w:val="hybridMultilevel"/>
    <w:tmpl w:val="D6E82018"/>
    <w:name w:val="ListDash1Numbering"/>
    <w:lvl w:ilvl="0" w:tplc="7B669670">
      <w:start w:val="1"/>
      <w:numFmt w:val="bullet"/>
      <w:pStyle w:val="ListDash1"/>
      <w:lvlText w:val="–"/>
      <w:lvlJc w:val="left"/>
      <w:pPr>
        <w:tabs>
          <w:tab w:val="num" w:pos="765"/>
        </w:tabs>
        <w:ind w:left="765" w:hanging="283"/>
      </w:pPr>
      <w:rPr>
        <w:rFonts w:ascii="Times New Roman" w:hAnsi="Times New Roman"/>
      </w:rPr>
    </w:lvl>
    <w:lvl w:ilvl="1" w:tplc="BC185C46">
      <w:start w:val="1"/>
      <w:numFmt w:val="bullet"/>
      <w:pStyle w:val="ListDash1Level2"/>
      <w:lvlText w:val="–"/>
      <w:lvlJc w:val="left"/>
      <w:pPr>
        <w:tabs>
          <w:tab w:val="num" w:pos="1049"/>
        </w:tabs>
        <w:ind w:left="1049" w:hanging="284"/>
      </w:pPr>
      <w:rPr>
        <w:rFonts w:ascii="Times New Roman" w:hAnsi="Times New Roman"/>
      </w:rPr>
    </w:lvl>
    <w:lvl w:ilvl="2" w:tplc="815E77BE">
      <w:start w:val="1"/>
      <w:numFmt w:val="bullet"/>
      <w:pStyle w:val="ListDash1Level3"/>
      <w:lvlText w:val="–"/>
      <w:lvlJc w:val="left"/>
      <w:pPr>
        <w:tabs>
          <w:tab w:val="num" w:pos="1332"/>
        </w:tabs>
        <w:ind w:left="1332" w:hanging="283"/>
      </w:pPr>
      <w:rPr>
        <w:rFonts w:ascii="Times New Roman" w:hAnsi="Times New Roman"/>
      </w:rPr>
    </w:lvl>
    <w:lvl w:ilvl="3" w:tplc="2A02061A">
      <w:start w:val="1"/>
      <w:numFmt w:val="bullet"/>
      <w:pStyle w:val="ListDash1Level4"/>
      <w:lvlText w:val="–"/>
      <w:lvlJc w:val="left"/>
      <w:pPr>
        <w:tabs>
          <w:tab w:val="num" w:pos="1616"/>
        </w:tabs>
        <w:ind w:left="1616" w:hanging="284"/>
      </w:pPr>
      <w:rPr>
        <w:rFonts w:ascii="Times New Roman" w:hAnsi="Times New Roman"/>
      </w:rPr>
    </w:lvl>
    <w:lvl w:ilvl="4" w:tplc="4DD40D1A">
      <w:numFmt w:val="none"/>
      <w:lvlText w:val=""/>
      <w:lvlJc w:val="left"/>
    </w:lvl>
    <w:lvl w:ilvl="5" w:tplc="EDE2ABC2">
      <w:numFmt w:val="none"/>
      <w:lvlText w:val=""/>
      <w:lvlJc w:val="left"/>
    </w:lvl>
    <w:lvl w:ilvl="6" w:tplc="A9CA21C2">
      <w:numFmt w:val="none"/>
      <w:lvlText w:val=""/>
      <w:lvlJc w:val="left"/>
    </w:lvl>
    <w:lvl w:ilvl="7" w:tplc="5F361B28">
      <w:numFmt w:val="none"/>
      <w:lvlText w:val=""/>
      <w:lvlJc w:val="left"/>
    </w:lvl>
    <w:lvl w:ilvl="8" w:tplc="39281006">
      <w:numFmt w:val="none"/>
      <w:lvlText w:val=""/>
      <w:lvlJc w:val="left"/>
    </w:lvl>
  </w:abstractNum>
  <w:abstractNum w:abstractNumId="7">
    <w:nsid w:val="3A7730C4"/>
    <w:multiLevelType w:val="hybridMultilevel"/>
    <w:tmpl w:val="456C96DE"/>
    <w:lvl w:ilvl="0" w:tplc="8B968F8C">
      <w:start w:val="1"/>
      <w:numFmt w:val="bullet"/>
      <w:pStyle w:val="ListBullet1"/>
      <w:lvlText w:val=""/>
      <w:lvlJc w:val="left"/>
      <w:pPr>
        <w:tabs>
          <w:tab w:val="num" w:pos="765"/>
        </w:tabs>
        <w:ind w:left="765" w:hanging="283"/>
      </w:pPr>
      <w:rPr>
        <w:rFonts w:ascii="Symbol" w:hAnsi="Symbol"/>
      </w:rPr>
    </w:lvl>
    <w:lvl w:ilvl="1" w:tplc="96F6D2C6">
      <w:numFmt w:val="decimal"/>
      <w:lvlText w:val=""/>
      <w:lvlJc w:val="left"/>
    </w:lvl>
    <w:lvl w:ilvl="2" w:tplc="A8207AFC">
      <w:numFmt w:val="decimal"/>
      <w:lvlText w:val=""/>
      <w:lvlJc w:val="left"/>
    </w:lvl>
    <w:lvl w:ilvl="3" w:tplc="AA0AB024">
      <w:numFmt w:val="decimal"/>
      <w:lvlText w:val=""/>
      <w:lvlJc w:val="left"/>
    </w:lvl>
    <w:lvl w:ilvl="4" w:tplc="FDC03930">
      <w:numFmt w:val="decimal"/>
      <w:lvlText w:val=""/>
      <w:lvlJc w:val="left"/>
    </w:lvl>
    <w:lvl w:ilvl="5" w:tplc="38E03ACE">
      <w:numFmt w:val="decimal"/>
      <w:lvlText w:val=""/>
      <w:lvlJc w:val="left"/>
    </w:lvl>
    <w:lvl w:ilvl="6" w:tplc="654EFB68">
      <w:numFmt w:val="decimal"/>
      <w:lvlText w:val=""/>
      <w:lvlJc w:val="left"/>
    </w:lvl>
    <w:lvl w:ilvl="7" w:tplc="6D72109A">
      <w:numFmt w:val="decimal"/>
      <w:lvlText w:val=""/>
      <w:lvlJc w:val="left"/>
    </w:lvl>
    <w:lvl w:ilvl="8" w:tplc="23B8AE40">
      <w:numFmt w:val="decimal"/>
      <w:lvlText w:val=""/>
      <w:lvlJc w:val="left"/>
    </w:lvl>
  </w:abstractNum>
  <w:abstractNum w:abstractNumId="8">
    <w:nsid w:val="75EB0F58"/>
    <w:multiLevelType w:val="hybridMultilevel"/>
    <w:tmpl w:val="9450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65145E"/>
    <w:multiLevelType w:val="multilevel"/>
    <w:tmpl w:val="0DB6564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854"/>
        </w:tabs>
        <w:ind w:left="1854"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9"/>
  </w:num>
  <w:num w:numId="2">
    <w:abstractNumId w:val="2"/>
  </w:num>
  <w:num w:numId="3">
    <w:abstractNumId w:val="3"/>
  </w:num>
  <w:num w:numId="4">
    <w:abstractNumId w:val="8"/>
  </w:num>
  <w:num w:numId="5">
    <w:abstractNumId w:val="6"/>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771294-DE64-4C19-9945-8E48D919C79A"/>
    <w:docVar w:name="LW_COVERPAGE_TYPE" w:val="1"/>
    <w:docVar w:name="LW_CROSSREFERENCE" w:val="&lt;UNUSED&gt;"/>
    <w:docVar w:name="LW_DocType" w:val="NORMAL"/>
    <w:docVar w:name="LW_EMISSION" w:val="4.8.2021"/>
    <w:docVar w:name="LW_EMISSION_ISODATE" w:val="2021-08-04"/>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1)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ur Bewertung des Funktionierens des Statuts der Beamten und der Beschäftigungsbedingungen der sonstigen Bediensteten der Europäischen Union"/>
    <w:docVar w:name="LW_TYPE.DOC.CP" w:val="BERICHT DER KOMMISSION AN DAS EUROPÄISCHE PARLAMENT UND DEN RA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fr-BE"/>
    </w:rPr>
  </w:style>
  <w:style w:type="paragraph" w:styleId="Heading1">
    <w:name w:val="heading 1"/>
    <w:basedOn w:val="Normal"/>
    <w:next w:val="Text1"/>
    <w:link w:val="Heading1Char"/>
    <w:uiPriority w:val="90"/>
    <w:qFormat/>
    <w:pPr>
      <w:keepNext/>
      <w:numPr>
        <w:numId w:val="1"/>
      </w:numPr>
      <w:spacing w:before="240"/>
      <w:outlineLvl w:val="0"/>
    </w:pPr>
    <w:rPr>
      <w:b/>
      <w:smallCaps/>
    </w:rPr>
  </w:style>
  <w:style w:type="paragraph" w:styleId="Heading2">
    <w:name w:val="heading 2"/>
    <w:basedOn w:val="Normal"/>
    <w:next w:val="Text2"/>
    <w:link w:val="Heading2Char"/>
    <w:uiPriority w:val="90"/>
    <w:qFormat/>
    <w:pPr>
      <w:keepNext/>
      <w:numPr>
        <w:ilvl w:val="1"/>
        <w:numId w:val="1"/>
      </w:numPr>
      <w:outlineLvl w:val="1"/>
    </w:pPr>
    <w:rPr>
      <w:b/>
    </w:rPr>
  </w:style>
  <w:style w:type="paragraph" w:styleId="Heading3">
    <w:name w:val="heading 3"/>
    <w:basedOn w:val="Normal"/>
    <w:next w:val="Normal"/>
    <w:link w:val="Heading3Char"/>
    <w:uiPriority w:val="90"/>
    <w:qFormat/>
    <w:pPr>
      <w:keepNext/>
      <w:numPr>
        <w:ilvl w:val="2"/>
        <w:numId w:val="1"/>
      </w:numPr>
      <w:outlineLvl w:val="2"/>
    </w:pPr>
    <w:rPr>
      <w:i/>
    </w:rPr>
  </w:style>
  <w:style w:type="paragraph" w:styleId="Heading4">
    <w:name w:val="heading 4"/>
    <w:basedOn w:val="Normal"/>
    <w:next w:val="Normal"/>
    <w:link w:val="Heading4Char"/>
    <w:uiPriority w:val="90"/>
    <w:qFormat/>
    <w:pPr>
      <w:keepNext/>
      <w:numPr>
        <w:ilvl w:val="3"/>
        <w:numId w:val="1"/>
      </w:numPr>
      <w:outlineLvl w:val="3"/>
    </w:pPr>
  </w:style>
  <w:style w:type="paragraph" w:styleId="Heading5">
    <w:name w:val="heading 5"/>
    <w:basedOn w:val="Normal"/>
    <w:next w:val="Normal"/>
    <w:link w:val="Heading5Char"/>
    <w:semiHidden/>
    <w:qFormat/>
    <w:pPr>
      <w:keepNext/>
      <w:numPr>
        <w:ilvl w:val="4"/>
        <w:numId w:val="1"/>
      </w:numPr>
      <w:outlineLvl w:val="4"/>
    </w:pPr>
  </w:style>
  <w:style w:type="paragraph" w:styleId="Heading6">
    <w:name w:val="heading 6"/>
    <w:basedOn w:val="Normal"/>
    <w:next w:val="Normal"/>
    <w:link w:val="Heading6Char"/>
    <w:semiHidden/>
    <w:qFormat/>
    <w:pPr>
      <w:keepNext/>
      <w:numPr>
        <w:ilvl w:val="5"/>
        <w:numId w:val="1"/>
      </w:numPr>
      <w:outlineLvl w:val="5"/>
    </w:pPr>
  </w:style>
  <w:style w:type="paragraph" w:styleId="Heading7">
    <w:name w:val="heading 7"/>
    <w:basedOn w:val="Normal"/>
    <w:next w:val="Normal"/>
    <w:link w:val="Heading7Char"/>
    <w:semiHidden/>
    <w:qFormat/>
    <w:pPr>
      <w:keepNext/>
      <w:numPr>
        <w:ilvl w:val="6"/>
        <w:numId w:val="1"/>
      </w:numPr>
      <w:outlineLvl w:val="6"/>
    </w:pPr>
  </w:style>
  <w:style w:type="paragraph" w:styleId="Heading8">
    <w:name w:val="heading 8"/>
    <w:basedOn w:val="Normal"/>
    <w:next w:val="Normal"/>
    <w:link w:val="Heading8Char"/>
    <w:semiHidden/>
    <w:qFormat/>
    <w:pPr>
      <w:keepNext/>
      <w:numPr>
        <w:ilvl w:val="7"/>
        <w:numId w:val="1"/>
      </w:numPr>
      <w:outlineLvl w:val="7"/>
    </w:pPr>
  </w:style>
  <w:style w:type="paragraph" w:styleId="Heading9">
    <w:name w:val="heading 9"/>
    <w:basedOn w:val="Normal"/>
    <w:next w:val="Normal"/>
    <w:link w:val="Heading9Char"/>
    <w:semiHidden/>
    <w:qFormat/>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de-DE"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de-DE"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de-DE"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de-DE"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de-DE"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de-DE"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de-DE"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de-DE"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de-DE" w:eastAsia="fr-BE"/>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SubTitle1">
    <w:name w:val="SubTitle 1"/>
    <w:basedOn w:val="Normal"/>
    <w:next w:val="Normal"/>
    <w:pPr>
      <w:jc w:val="center"/>
    </w:pPr>
    <w:rPr>
      <w:b/>
      <w:sz w:val="40"/>
    </w:r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de-DE" w:eastAsia="fr-BE"/>
    </w:r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Footer">
    <w:name w:val="footer"/>
    <w:basedOn w:val="Normal"/>
    <w:link w:val="FooterChar"/>
    <w:pPr>
      <w:spacing w:after="0"/>
      <w:ind w:right="-567"/>
      <w:jc w:val="left"/>
    </w:pPr>
    <w:rPr>
      <w:sz w:val="16"/>
    </w:rPr>
  </w:style>
  <w:style w:type="character" w:customStyle="1" w:styleId="FooterChar">
    <w:name w:val="Footer Char"/>
    <w:basedOn w:val="DefaultParagraphFont"/>
    <w:link w:val="Footer"/>
    <w:rPr>
      <w:rFonts w:ascii="Times New Roman" w:eastAsia="Times New Roman" w:hAnsi="Times New Roman" w:cs="Times New Roman"/>
      <w:sz w:val="16"/>
      <w:szCs w:val="20"/>
      <w:lang w:val="de-DE" w:eastAsia="fr-BE"/>
    </w:rPr>
  </w:style>
  <w:style w:type="paragraph" w:styleId="FootnoteText">
    <w:name w:val="footnote text"/>
    <w:basedOn w:val="Normal"/>
    <w:link w:val="FootnoteTextChar"/>
    <w:uiPriority w:val="99"/>
    <w:pPr>
      <w:spacing w:after="120"/>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fr-BE"/>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de-DE" w:eastAsia="fr-BE"/>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fr-BE"/>
    </w:rPr>
    <w:tblPr>
      <w:tblCellMar>
        <w:left w:w="0" w:type="dxa"/>
        <w:bottom w:w="340" w:type="dxa"/>
        <w:right w:w="0" w:type="dxa"/>
      </w:tblCellMar>
    </w:tblPr>
  </w:style>
  <w:style w:type="character" w:styleId="FootnoteReference">
    <w:name w:val="footnote reference"/>
    <w:basedOn w:val="DefaultParagraphFont"/>
    <w:uiPriority w:val="99"/>
    <w:rPr>
      <w:vertAlign w:val="superscript"/>
    </w:rPr>
  </w:style>
  <w:style w:type="character" w:styleId="PlaceholderText">
    <w:name w:val="Placeholder Text"/>
    <w:basedOn w:val="DefaultParagraphFont"/>
    <w:uiPriority w:val="99"/>
    <w:semiHidden/>
    <w:rPr>
      <w:color w:val="288061"/>
    </w:rPr>
  </w:style>
  <w:style w:type="paragraph" w:customStyle="1" w:styleId="ListDash4">
    <w:name w:val="List Dash 4"/>
    <w:basedOn w:val="Normal"/>
    <w:pPr>
      <w:numPr>
        <w:numId w:val="2"/>
      </w:numPr>
    </w:pPr>
  </w:style>
  <w:style w:type="paragraph" w:customStyle="1" w:styleId="ListDash4Level2">
    <w:name w:val="List Dash 4 (Level 2)"/>
    <w:basedOn w:val="Normal"/>
    <w:pPr>
      <w:numPr>
        <w:ilvl w:val="1"/>
        <w:numId w:val="2"/>
      </w:numPr>
    </w:pPr>
  </w:style>
  <w:style w:type="paragraph" w:customStyle="1" w:styleId="ListDash4Level3">
    <w:name w:val="List Dash 4 (Level 3)"/>
    <w:basedOn w:val="Normal"/>
    <w:semiHidden/>
    <w:unhideWhenUsed/>
    <w:pPr>
      <w:numPr>
        <w:ilvl w:val="2"/>
        <w:numId w:val="2"/>
      </w:numPr>
    </w:pPr>
  </w:style>
  <w:style w:type="paragraph" w:customStyle="1" w:styleId="ListDash4Level4">
    <w:name w:val="List Dash 4 (Level 4)"/>
    <w:basedOn w:val="Normal"/>
    <w:semiHidden/>
    <w:unhideWhenUsed/>
    <w:pPr>
      <w:numPr>
        <w:ilvl w:val="3"/>
        <w:numId w:val="2"/>
      </w:numPr>
    </w:pPr>
  </w:style>
  <w:style w:type="paragraph" w:styleId="ListNumber">
    <w:name w:val="List Number"/>
    <w:basedOn w:val="Normal"/>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unhideWhenUsed/>
    <w:pPr>
      <w:numPr>
        <w:ilvl w:val="2"/>
        <w:numId w:val="3"/>
      </w:numPr>
    </w:pPr>
  </w:style>
  <w:style w:type="paragraph" w:customStyle="1" w:styleId="ListNumberLevel4">
    <w:name w:val="List Number (Level 4)"/>
    <w:basedOn w:val="Normal"/>
    <w:unhideWhenUsed/>
    <w:pPr>
      <w:numPr>
        <w:ilvl w:val="3"/>
        <w:numId w:val="3"/>
      </w:numPr>
    </w:p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fr-B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fr-BE"/>
    </w:r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table" w:styleId="TableGrid">
    <w:name w:val="Table Grid"/>
    <w:basedOn w:val="TableNormal"/>
    <w:uiPriority w:val="39"/>
    <w:pPr>
      <w:spacing w:after="0" w:line="240" w:lineRule="auto"/>
    </w:pPr>
    <w:rPr>
      <w:rFonts w:ascii="Times New Roman" w:eastAsia="Times New Roman" w:hAnsi="Times New Roman" w:cs="Times New Roman"/>
      <w:sz w:val="24"/>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Pr>
      <w:color w:val="0563C1" w:themeColor="hyperlink"/>
      <w:u w:val="single"/>
    </w:rPr>
  </w:style>
  <w:style w:type="paragraph" w:customStyle="1" w:styleId="Normal12Hanging">
    <w:name w:val="Normal12Hanging"/>
    <w:basedOn w:val="Normal"/>
    <w:link w:val="Normal12HangingChar"/>
    <w:pPr>
      <w:widowControl w:val="0"/>
      <w:ind w:left="567" w:hanging="567"/>
      <w:jc w:val="left"/>
    </w:pPr>
    <w:rPr>
      <w:lang w:eastAsia="en-GB"/>
    </w:rPr>
  </w:style>
  <w:style w:type="paragraph" w:customStyle="1" w:styleId="NormalHanging12a">
    <w:name w:val="NormalHanging12a"/>
    <w:basedOn w:val="Normal"/>
    <w:link w:val="NormalHanging12aChar"/>
    <w:pPr>
      <w:widowControl w:val="0"/>
      <w:ind w:left="567" w:hanging="567"/>
      <w:jc w:val="left"/>
    </w:pPr>
    <w:rPr>
      <w:lang w:eastAsia="en-GB"/>
    </w:rPr>
  </w:style>
  <w:style w:type="character" w:customStyle="1" w:styleId="NormalHanging12aChar">
    <w:name w:val="NormalHanging12a Char"/>
    <w:link w:val="NormalHanging12a"/>
    <w:rPr>
      <w:rFonts w:ascii="Times New Roman" w:eastAsia="Times New Roman" w:hAnsi="Times New Roman" w:cs="Times New Roman"/>
      <w:sz w:val="24"/>
      <w:szCs w:val="20"/>
      <w:lang w:val="de-DE" w:eastAsia="en-GB"/>
    </w:rPr>
  </w:style>
  <w:style w:type="character" w:customStyle="1" w:styleId="Normal12HangingChar">
    <w:name w:val="Normal12Hanging Char"/>
    <w:link w:val="Normal12Hanging"/>
    <w:locked/>
    <w:rPr>
      <w:rFonts w:ascii="Times New Roman" w:eastAsia="Times New Roman" w:hAnsi="Times New Roman" w:cs="Times New Roman"/>
      <w:sz w:val="24"/>
      <w:szCs w:val="20"/>
      <w:lang w:val="de-DE" w:eastAsia="en-GB"/>
    </w:rPr>
  </w:style>
  <w:style w:type="paragraph" w:styleId="ListBullet5">
    <w:name w:val="List Bullet 5"/>
    <w:basedOn w:val="Normal"/>
    <w:autoRedefine/>
    <w:pPr>
      <w:numPr>
        <w:numId w:val="6"/>
      </w:numPr>
    </w:pPr>
    <w:rPr>
      <w:lang w:eastAsia="en-US"/>
    </w:rPr>
  </w:style>
  <w:style w:type="paragraph" w:customStyle="1" w:styleId="ListBullet1">
    <w:name w:val="List Bullet 1"/>
    <w:basedOn w:val="Text1"/>
    <w:pPr>
      <w:numPr>
        <w:numId w:val="7"/>
      </w:numPr>
    </w:pPr>
    <w:rPr>
      <w:lang w:eastAsia="en-US"/>
    </w:rPr>
  </w:style>
  <w:style w:type="paragraph" w:customStyle="1" w:styleId="text10">
    <w:name w:val="text1"/>
    <w:basedOn w:val="Normal"/>
    <w:pPr>
      <w:spacing w:before="100" w:beforeAutospacing="1" w:after="100" w:afterAutospacing="1"/>
      <w:jc w:val="left"/>
    </w:pPr>
    <w:rPr>
      <w:szCs w:val="24"/>
    </w:rPr>
  </w:style>
  <w:style w:type="paragraph" w:customStyle="1" w:styleId="li">
    <w:name w:val="li"/>
    <w:basedOn w:val="Normal"/>
    <w:pPr>
      <w:spacing w:before="100" w:beforeAutospacing="1" w:after="100" w:afterAutospacing="1"/>
      <w:jc w:val="left"/>
    </w:pPr>
    <w:rPr>
      <w:szCs w:val="24"/>
    </w:rPr>
  </w:style>
  <w:style w:type="character" w:customStyle="1" w:styleId="num">
    <w:name w:val="num"/>
    <w:basedOn w:val="DefaultParagraphFont"/>
  </w:style>
  <w:style w:type="character" w:customStyle="1" w:styleId="footnotereference0">
    <w:name w:val="footnotereference"/>
    <w:basedOn w:val="DefaultParagraphFont"/>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ubTitle2">
    <w:name w:val="SubTitle 2"/>
    <w:basedOn w:val="Normal"/>
    <w:pPr>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fr-B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 w:type="character" w:customStyle="1" w:styleId="tab">
    <w:name w:val="tab"/>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customStyle="1" w:styleId="GridTable4-Accent51">
    <w:name w:val="Grid Table 4 - Accent 51"/>
    <w:basedOn w:val="TableNormal"/>
    <w:next w:val="GridTable4Accent5"/>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eop">
    <w:name w:val="eop"/>
    <w:basedOn w:val="DefaultParagraphFont"/>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val="de-DE"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lang w:val="de-DE"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val="de-DE"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lang w:val="de-DE"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lang w:val="de-DE" w:eastAsia="fr-B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fr-BE"/>
    </w:rPr>
  </w:style>
  <w:style w:type="paragraph" w:styleId="Heading1">
    <w:name w:val="heading 1"/>
    <w:basedOn w:val="Normal"/>
    <w:next w:val="Text1"/>
    <w:link w:val="Heading1Char"/>
    <w:uiPriority w:val="90"/>
    <w:qFormat/>
    <w:pPr>
      <w:keepNext/>
      <w:numPr>
        <w:numId w:val="1"/>
      </w:numPr>
      <w:spacing w:before="240"/>
      <w:outlineLvl w:val="0"/>
    </w:pPr>
    <w:rPr>
      <w:b/>
      <w:smallCaps/>
    </w:rPr>
  </w:style>
  <w:style w:type="paragraph" w:styleId="Heading2">
    <w:name w:val="heading 2"/>
    <w:basedOn w:val="Normal"/>
    <w:next w:val="Text2"/>
    <w:link w:val="Heading2Char"/>
    <w:uiPriority w:val="90"/>
    <w:qFormat/>
    <w:pPr>
      <w:keepNext/>
      <w:numPr>
        <w:ilvl w:val="1"/>
        <w:numId w:val="1"/>
      </w:numPr>
      <w:outlineLvl w:val="1"/>
    </w:pPr>
    <w:rPr>
      <w:b/>
    </w:rPr>
  </w:style>
  <w:style w:type="paragraph" w:styleId="Heading3">
    <w:name w:val="heading 3"/>
    <w:basedOn w:val="Normal"/>
    <w:next w:val="Normal"/>
    <w:link w:val="Heading3Char"/>
    <w:uiPriority w:val="90"/>
    <w:qFormat/>
    <w:pPr>
      <w:keepNext/>
      <w:numPr>
        <w:ilvl w:val="2"/>
        <w:numId w:val="1"/>
      </w:numPr>
      <w:outlineLvl w:val="2"/>
    </w:pPr>
    <w:rPr>
      <w:i/>
    </w:rPr>
  </w:style>
  <w:style w:type="paragraph" w:styleId="Heading4">
    <w:name w:val="heading 4"/>
    <w:basedOn w:val="Normal"/>
    <w:next w:val="Normal"/>
    <w:link w:val="Heading4Char"/>
    <w:uiPriority w:val="90"/>
    <w:qFormat/>
    <w:pPr>
      <w:keepNext/>
      <w:numPr>
        <w:ilvl w:val="3"/>
        <w:numId w:val="1"/>
      </w:numPr>
      <w:outlineLvl w:val="3"/>
    </w:pPr>
  </w:style>
  <w:style w:type="paragraph" w:styleId="Heading5">
    <w:name w:val="heading 5"/>
    <w:basedOn w:val="Normal"/>
    <w:next w:val="Normal"/>
    <w:link w:val="Heading5Char"/>
    <w:semiHidden/>
    <w:qFormat/>
    <w:pPr>
      <w:keepNext/>
      <w:numPr>
        <w:ilvl w:val="4"/>
        <w:numId w:val="1"/>
      </w:numPr>
      <w:outlineLvl w:val="4"/>
    </w:pPr>
  </w:style>
  <w:style w:type="paragraph" w:styleId="Heading6">
    <w:name w:val="heading 6"/>
    <w:basedOn w:val="Normal"/>
    <w:next w:val="Normal"/>
    <w:link w:val="Heading6Char"/>
    <w:semiHidden/>
    <w:qFormat/>
    <w:pPr>
      <w:keepNext/>
      <w:numPr>
        <w:ilvl w:val="5"/>
        <w:numId w:val="1"/>
      </w:numPr>
      <w:outlineLvl w:val="5"/>
    </w:pPr>
  </w:style>
  <w:style w:type="paragraph" w:styleId="Heading7">
    <w:name w:val="heading 7"/>
    <w:basedOn w:val="Normal"/>
    <w:next w:val="Normal"/>
    <w:link w:val="Heading7Char"/>
    <w:semiHidden/>
    <w:qFormat/>
    <w:pPr>
      <w:keepNext/>
      <w:numPr>
        <w:ilvl w:val="6"/>
        <w:numId w:val="1"/>
      </w:numPr>
      <w:outlineLvl w:val="6"/>
    </w:pPr>
  </w:style>
  <w:style w:type="paragraph" w:styleId="Heading8">
    <w:name w:val="heading 8"/>
    <w:basedOn w:val="Normal"/>
    <w:next w:val="Normal"/>
    <w:link w:val="Heading8Char"/>
    <w:semiHidden/>
    <w:qFormat/>
    <w:pPr>
      <w:keepNext/>
      <w:numPr>
        <w:ilvl w:val="7"/>
        <w:numId w:val="1"/>
      </w:numPr>
      <w:outlineLvl w:val="7"/>
    </w:pPr>
  </w:style>
  <w:style w:type="paragraph" w:styleId="Heading9">
    <w:name w:val="heading 9"/>
    <w:basedOn w:val="Normal"/>
    <w:next w:val="Normal"/>
    <w:link w:val="Heading9Char"/>
    <w:semiHidden/>
    <w:qFormat/>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de-DE"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de-DE"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de-DE"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de-DE"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de-DE"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de-DE"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de-DE"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de-DE"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de-DE" w:eastAsia="fr-BE"/>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SubTitle1">
    <w:name w:val="SubTitle 1"/>
    <w:basedOn w:val="Normal"/>
    <w:next w:val="Normal"/>
    <w:pPr>
      <w:jc w:val="center"/>
    </w:pPr>
    <w:rPr>
      <w:b/>
      <w:sz w:val="40"/>
    </w:r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de-DE" w:eastAsia="fr-BE"/>
    </w:r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Footer">
    <w:name w:val="footer"/>
    <w:basedOn w:val="Normal"/>
    <w:link w:val="FooterChar"/>
    <w:pPr>
      <w:spacing w:after="0"/>
      <w:ind w:right="-567"/>
      <w:jc w:val="left"/>
    </w:pPr>
    <w:rPr>
      <w:sz w:val="16"/>
    </w:rPr>
  </w:style>
  <w:style w:type="character" w:customStyle="1" w:styleId="FooterChar">
    <w:name w:val="Footer Char"/>
    <w:basedOn w:val="DefaultParagraphFont"/>
    <w:link w:val="Footer"/>
    <w:rPr>
      <w:rFonts w:ascii="Times New Roman" w:eastAsia="Times New Roman" w:hAnsi="Times New Roman" w:cs="Times New Roman"/>
      <w:sz w:val="16"/>
      <w:szCs w:val="20"/>
      <w:lang w:val="de-DE" w:eastAsia="fr-BE"/>
    </w:rPr>
  </w:style>
  <w:style w:type="paragraph" w:styleId="FootnoteText">
    <w:name w:val="footnote text"/>
    <w:basedOn w:val="Normal"/>
    <w:link w:val="FootnoteTextChar"/>
    <w:uiPriority w:val="99"/>
    <w:pPr>
      <w:spacing w:after="120"/>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fr-BE"/>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de-DE" w:eastAsia="fr-BE"/>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fr-BE"/>
    </w:rPr>
    <w:tblPr>
      <w:tblCellMar>
        <w:left w:w="0" w:type="dxa"/>
        <w:bottom w:w="340" w:type="dxa"/>
        <w:right w:w="0" w:type="dxa"/>
      </w:tblCellMar>
    </w:tblPr>
  </w:style>
  <w:style w:type="character" w:styleId="FootnoteReference">
    <w:name w:val="footnote reference"/>
    <w:basedOn w:val="DefaultParagraphFont"/>
    <w:uiPriority w:val="99"/>
    <w:rPr>
      <w:vertAlign w:val="superscript"/>
    </w:rPr>
  </w:style>
  <w:style w:type="character" w:styleId="PlaceholderText">
    <w:name w:val="Placeholder Text"/>
    <w:basedOn w:val="DefaultParagraphFont"/>
    <w:uiPriority w:val="99"/>
    <w:semiHidden/>
    <w:rPr>
      <w:color w:val="288061"/>
    </w:rPr>
  </w:style>
  <w:style w:type="paragraph" w:customStyle="1" w:styleId="ListDash4">
    <w:name w:val="List Dash 4"/>
    <w:basedOn w:val="Normal"/>
    <w:pPr>
      <w:numPr>
        <w:numId w:val="2"/>
      </w:numPr>
    </w:pPr>
  </w:style>
  <w:style w:type="paragraph" w:customStyle="1" w:styleId="ListDash4Level2">
    <w:name w:val="List Dash 4 (Level 2)"/>
    <w:basedOn w:val="Normal"/>
    <w:pPr>
      <w:numPr>
        <w:ilvl w:val="1"/>
        <w:numId w:val="2"/>
      </w:numPr>
    </w:pPr>
  </w:style>
  <w:style w:type="paragraph" w:customStyle="1" w:styleId="ListDash4Level3">
    <w:name w:val="List Dash 4 (Level 3)"/>
    <w:basedOn w:val="Normal"/>
    <w:semiHidden/>
    <w:unhideWhenUsed/>
    <w:pPr>
      <w:numPr>
        <w:ilvl w:val="2"/>
        <w:numId w:val="2"/>
      </w:numPr>
    </w:pPr>
  </w:style>
  <w:style w:type="paragraph" w:customStyle="1" w:styleId="ListDash4Level4">
    <w:name w:val="List Dash 4 (Level 4)"/>
    <w:basedOn w:val="Normal"/>
    <w:semiHidden/>
    <w:unhideWhenUsed/>
    <w:pPr>
      <w:numPr>
        <w:ilvl w:val="3"/>
        <w:numId w:val="2"/>
      </w:numPr>
    </w:pPr>
  </w:style>
  <w:style w:type="paragraph" w:styleId="ListNumber">
    <w:name w:val="List Number"/>
    <w:basedOn w:val="Normal"/>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unhideWhenUsed/>
    <w:pPr>
      <w:numPr>
        <w:ilvl w:val="2"/>
        <w:numId w:val="3"/>
      </w:numPr>
    </w:pPr>
  </w:style>
  <w:style w:type="paragraph" w:customStyle="1" w:styleId="ListNumberLevel4">
    <w:name w:val="List Number (Level 4)"/>
    <w:basedOn w:val="Normal"/>
    <w:unhideWhenUsed/>
    <w:pPr>
      <w:numPr>
        <w:ilvl w:val="3"/>
        <w:numId w:val="3"/>
      </w:numPr>
    </w:p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fr-B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fr-BE"/>
    </w:r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table" w:styleId="TableGrid">
    <w:name w:val="Table Grid"/>
    <w:basedOn w:val="TableNormal"/>
    <w:uiPriority w:val="39"/>
    <w:pPr>
      <w:spacing w:after="0" w:line="240" w:lineRule="auto"/>
    </w:pPr>
    <w:rPr>
      <w:rFonts w:ascii="Times New Roman" w:eastAsia="Times New Roman" w:hAnsi="Times New Roman" w:cs="Times New Roman"/>
      <w:sz w:val="24"/>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Pr>
      <w:color w:val="0563C1" w:themeColor="hyperlink"/>
      <w:u w:val="single"/>
    </w:rPr>
  </w:style>
  <w:style w:type="paragraph" w:customStyle="1" w:styleId="Normal12Hanging">
    <w:name w:val="Normal12Hanging"/>
    <w:basedOn w:val="Normal"/>
    <w:link w:val="Normal12HangingChar"/>
    <w:pPr>
      <w:widowControl w:val="0"/>
      <w:ind w:left="567" w:hanging="567"/>
      <w:jc w:val="left"/>
    </w:pPr>
    <w:rPr>
      <w:lang w:eastAsia="en-GB"/>
    </w:rPr>
  </w:style>
  <w:style w:type="paragraph" w:customStyle="1" w:styleId="NormalHanging12a">
    <w:name w:val="NormalHanging12a"/>
    <w:basedOn w:val="Normal"/>
    <w:link w:val="NormalHanging12aChar"/>
    <w:pPr>
      <w:widowControl w:val="0"/>
      <w:ind w:left="567" w:hanging="567"/>
      <w:jc w:val="left"/>
    </w:pPr>
    <w:rPr>
      <w:lang w:eastAsia="en-GB"/>
    </w:rPr>
  </w:style>
  <w:style w:type="character" w:customStyle="1" w:styleId="NormalHanging12aChar">
    <w:name w:val="NormalHanging12a Char"/>
    <w:link w:val="NormalHanging12a"/>
    <w:rPr>
      <w:rFonts w:ascii="Times New Roman" w:eastAsia="Times New Roman" w:hAnsi="Times New Roman" w:cs="Times New Roman"/>
      <w:sz w:val="24"/>
      <w:szCs w:val="20"/>
      <w:lang w:val="de-DE" w:eastAsia="en-GB"/>
    </w:rPr>
  </w:style>
  <w:style w:type="character" w:customStyle="1" w:styleId="Normal12HangingChar">
    <w:name w:val="Normal12Hanging Char"/>
    <w:link w:val="Normal12Hanging"/>
    <w:locked/>
    <w:rPr>
      <w:rFonts w:ascii="Times New Roman" w:eastAsia="Times New Roman" w:hAnsi="Times New Roman" w:cs="Times New Roman"/>
      <w:sz w:val="24"/>
      <w:szCs w:val="20"/>
      <w:lang w:val="de-DE" w:eastAsia="en-GB"/>
    </w:rPr>
  </w:style>
  <w:style w:type="paragraph" w:styleId="ListBullet5">
    <w:name w:val="List Bullet 5"/>
    <w:basedOn w:val="Normal"/>
    <w:autoRedefine/>
    <w:pPr>
      <w:numPr>
        <w:numId w:val="6"/>
      </w:numPr>
    </w:pPr>
    <w:rPr>
      <w:lang w:eastAsia="en-US"/>
    </w:rPr>
  </w:style>
  <w:style w:type="paragraph" w:customStyle="1" w:styleId="ListBullet1">
    <w:name w:val="List Bullet 1"/>
    <w:basedOn w:val="Text1"/>
    <w:pPr>
      <w:numPr>
        <w:numId w:val="7"/>
      </w:numPr>
    </w:pPr>
    <w:rPr>
      <w:lang w:eastAsia="en-US"/>
    </w:rPr>
  </w:style>
  <w:style w:type="paragraph" w:customStyle="1" w:styleId="text10">
    <w:name w:val="text1"/>
    <w:basedOn w:val="Normal"/>
    <w:pPr>
      <w:spacing w:before="100" w:beforeAutospacing="1" w:after="100" w:afterAutospacing="1"/>
      <w:jc w:val="left"/>
    </w:pPr>
    <w:rPr>
      <w:szCs w:val="24"/>
    </w:rPr>
  </w:style>
  <w:style w:type="paragraph" w:customStyle="1" w:styleId="li">
    <w:name w:val="li"/>
    <w:basedOn w:val="Normal"/>
    <w:pPr>
      <w:spacing w:before="100" w:beforeAutospacing="1" w:after="100" w:afterAutospacing="1"/>
      <w:jc w:val="left"/>
    </w:pPr>
    <w:rPr>
      <w:szCs w:val="24"/>
    </w:rPr>
  </w:style>
  <w:style w:type="character" w:customStyle="1" w:styleId="num">
    <w:name w:val="num"/>
    <w:basedOn w:val="DefaultParagraphFont"/>
  </w:style>
  <w:style w:type="character" w:customStyle="1" w:styleId="footnotereference0">
    <w:name w:val="footnotereference"/>
    <w:basedOn w:val="DefaultParagraphFont"/>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ubTitle2">
    <w:name w:val="SubTitle 2"/>
    <w:basedOn w:val="Normal"/>
    <w:pPr>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fr-B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 w:type="character" w:customStyle="1" w:styleId="tab">
    <w:name w:val="tab"/>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customStyle="1" w:styleId="GridTable4-Accent51">
    <w:name w:val="Grid Table 4 - Accent 51"/>
    <w:basedOn w:val="TableNormal"/>
    <w:next w:val="GridTable4Accent5"/>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eop">
    <w:name w:val="eop"/>
    <w:basedOn w:val="DefaultParagraphFont"/>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val="de-DE"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lang w:val="de-DE"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val="de-DE"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lang w:val="de-DE"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lang w:val="de-DE" w:eastAsia="fr-B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892">
      <w:bodyDiv w:val="1"/>
      <w:marLeft w:val="0"/>
      <w:marRight w:val="0"/>
      <w:marTop w:val="0"/>
      <w:marBottom w:val="0"/>
      <w:divBdr>
        <w:top w:val="none" w:sz="0" w:space="0" w:color="auto"/>
        <w:left w:val="none" w:sz="0" w:space="0" w:color="auto"/>
        <w:bottom w:val="none" w:sz="0" w:space="0" w:color="auto"/>
        <w:right w:val="none" w:sz="0" w:space="0" w:color="auto"/>
      </w:divBdr>
    </w:div>
    <w:div w:id="783429448">
      <w:bodyDiv w:val="1"/>
      <w:marLeft w:val="0"/>
      <w:marRight w:val="0"/>
      <w:marTop w:val="0"/>
      <w:marBottom w:val="0"/>
      <w:divBdr>
        <w:top w:val="none" w:sz="0" w:space="0" w:color="auto"/>
        <w:left w:val="none" w:sz="0" w:space="0" w:color="auto"/>
        <w:bottom w:val="none" w:sz="0" w:space="0" w:color="auto"/>
        <w:right w:val="none" w:sz="0" w:space="0" w:color="auto"/>
      </w:divBdr>
      <w:divsChild>
        <w:div w:id="590548566">
          <w:marLeft w:val="0"/>
          <w:marRight w:val="0"/>
          <w:marTop w:val="0"/>
          <w:marBottom w:val="0"/>
          <w:divBdr>
            <w:top w:val="none" w:sz="0" w:space="0" w:color="auto"/>
            <w:left w:val="none" w:sz="0" w:space="0" w:color="auto"/>
            <w:bottom w:val="none" w:sz="0" w:space="0" w:color="auto"/>
            <w:right w:val="none" w:sz="0" w:space="0" w:color="auto"/>
          </w:divBdr>
          <w:divsChild>
            <w:div w:id="2132044784">
              <w:marLeft w:val="0"/>
              <w:marRight w:val="0"/>
              <w:marTop w:val="0"/>
              <w:marBottom w:val="0"/>
              <w:divBdr>
                <w:top w:val="none" w:sz="0" w:space="0" w:color="auto"/>
                <w:left w:val="none" w:sz="0" w:space="0" w:color="auto"/>
                <w:bottom w:val="none" w:sz="0" w:space="0" w:color="auto"/>
                <w:right w:val="none" w:sz="0" w:space="0" w:color="auto"/>
              </w:divBdr>
              <w:divsChild>
                <w:div w:id="1604528825">
                  <w:marLeft w:val="0"/>
                  <w:marRight w:val="0"/>
                  <w:marTop w:val="0"/>
                  <w:marBottom w:val="0"/>
                  <w:divBdr>
                    <w:top w:val="none" w:sz="0" w:space="0" w:color="auto"/>
                    <w:left w:val="none" w:sz="0" w:space="0" w:color="auto"/>
                    <w:bottom w:val="none" w:sz="0" w:space="0" w:color="auto"/>
                    <w:right w:val="none" w:sz="0" w:space="0" w:color="auto"/>
                  </w:divBdr>
                  <w:divsChild>
                    <w:div w:id="1473406977">
                      <w:marLeft w:val="0"/>
                      <w:marRight w:val="0"/>
                      <w:marTop w:val="0"/>
                      <w:marBottom w:val="0"/>
                      <w:divBdr>
                        <w:top w:val="none" w:sz="0" w:space="0" w:color="auto"/>
                        <w:left w:val="none" w:sz="0" w:space="0" w:color="auto"/>
                        <w:bottom w:val="none" w:sz="0" w:space="0" w:color="auto"/>
                        <w:right w:val="none" w:sz="0" w:space="0" w:color="auto"/>
                      </w:divBdr>
                      <w:divsChild>
                        <w:div w:id="1589345884">
                          <w:marLeft w:val="0"/>
                          <w:marRight w:val="0"/>
                          <w:marTop w:val="0"/>
                          <w:marBottom w:val="0"/>
                          <w:divBdr>
                            <w:top w:val="none" w:sz="0" w:space="0" w:color="auto"/>
                            <w:left w:val="none" w:sz="0" w:space="0" w:color="auto"/>
                            <w:bottom w:val="none" w:sz="0" w:space="0" w:color="auto"/>
                            <w:right w:val="none" w:sz="0" w:space="0" w:color="auto"/>
                          </w:divBdr>
                        </w:div>
                        <w:div w:id="1003704541">
                          <w:marLeft w:val="0"/>
                          <w:marRight w:val="0"/>
                          <w:marTop w:val="0"/>
                          <w:marBottom w:val="0"/>
                          <w:divBdr>
                            <w:top w:val="none" w:sz="0" w:space="0" w:color="auto"/>
                            <w:left w:val="none" w:sz="0" w:space="0" w:color="auto"/>
                            <w:bottom w:val="none" w:sz="0" w:space="0" w:color="auto"/>
                            <w:right w:val="none" w:sz="0" w:space="0" w:color="auto"/>
                          </w:divBdr>
                          <w:divsChild>
                            <w:div w:id="4284694">
                              <w:marLeft w:val="0"/>
                              <w:marRight w:val="0"/>
                              <w:marTop w:val="0"/>
                              <w:marBottom w:val="0"/>
                              <w:divBdr>
                                <w:top w:val="none" w:sz="0" w:space="0" w:color="auto"/>
                                <w:left w:val="none" w:sz="0" w:space="0" w:color="auto"/>
                                <w:bottom w:val="none" w:sz="0" w:space="0" w:color="auto"/>
                                <w:right w:val="none" w:sz="0" w:space="0" w:color="auto"/>
                              </w:divBdr>
                              <w:divsChild>
                                <w:div w:id="719132770">
                                  <w:marLeft w:val="0"/>
                                  <w:marRight w:val="0"/>
                                  <w:marTop w:val="0"/>
                                  <w:marBottom w:val="0"/>
                                  <w:divBdr>
                                    <w:top w:val="none" w:sz="0" w:space="0" w:color="auto"/>
                                    <w:left w:val="none" w:sz="0" w:space="0" w:color="auto"/>
                                    <w:bottom w:val="none" w:sz="0" w:space="0" w:color="auto"/>
                                    <w:right w:val="none" w:sz="0" w:space="0" w:color="auto"/>
                                  </w:divBdr>
                                  <w:divsChild>
                                    <w:div w:id="1042052491">
                                      <w:marLeft w:val="0"/>
                                      <w:marRight w:val="0"/>
                                      <w:marTop w:val="0"/>
                                      <w:marBottom w:val="0"/>
                                      <w:divBdr>
                                        <w:top w:val="none" w:sz="0" w:space="0" w:color="auto"/>
                                        <w:left w:val="none" w:sz="0" w:space="0" w:color="auto"/>
                                        <w:bottom w:val="none" w:sz="0" w:space="0" w:color="auto"/>
                                        <w:right w:val="none" w:sz="0" w:space="0" w:color="auto"/>
                                      </w:divBdr>
                                    </w:div>
                                    <w:div w:id="1306622579">
                                      <w:marLeft w:val="0"/>
                                      <w:marRight w:val="0"/>
                                      <w:marTop w:val="0"/>
                                      <w:marBottom w:val="0"/>
                                      <w:divBdr>
                                        <w:top w:val="none" w:sz="0" w:space="0" w:color="auto"/>
                                        <w:left w:val="none" w:sz="0" w:space="0" w:color="auto"/>
                                        <w:bottom w:val="none" w:sz="0" w:space="0" w:color="auto"/>
                                        <w:right w:val="none" w:sz="0" w:space="0" w:color="auto"/>
                                      </w:divBdr>
                                      <w:divsChild>
                                        <w:div w:id="16502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73928">
              <w:marLeft w:val="0"/>
              <w:marRight w:val="0"/>
              <w:marTop w:val="0"/>
              <w:marBottom w:val="0"/>
              <w:divBdr>
                <w:top w:val="none" w:sz="0" w:space="0" w:color="auto"/>
                <w:left w:val="none" w:sz="0" w:space="0" w:color="auto"/>
                <w:bottom w:val="none" w:sz="0" w:space="0" w:color="auto"/>
                <w:right w:val="none" w:sz="0" w:space="0" w:color="auto"/>
              </w:divBdr>
              <w:divsChild>
                <w:div w:id="1299382438">
                  <w:marLeft w:val="0"/>
                  <w:marRight w:val="0"/>
                  <w:marTop w:val="0"/>
                  <w:marBottom w:val="0"/>
                  <w:divBdr>
                    <w:top w:val="none" w:sz="0" w:space="0" w:color="auto"/>
                    <w:left w:val="none" w:sz="0" w:space="0" w:color="auto"/>
                    <w:bottom w:val="none" w:sz="0" w:space="0" w:color="auto"/>
                    <w:right w:val="none" w:sz="0" w:space="0" w:color="auto"/>
                  </w:divBdr>
                  <w:divsChild>
                    <w:div w:id="186799185">
                      <w:marLeft w:val="0"/>
                      <w:marRight w:val="0"/>
                      <w:marTop w:val="0"/>
                      <w:marBottom w:val="0"/>
                      <w:divBdr>
                        <w:top w:val="none" w:sz="0" w:space="0" w:color="auto"/>
                        <w:left w:val="none" w:sz="0" w:space="0" w:color="auto"/>
                        <w:bottom w:val="none" w:sz="0" w:space="0" w:color="auto"/>
                        <w:right w:val="none" w:sz="0" w:space="0" w:color="auto"/>
                      </w:divBdr>
                      <w:divsChild>
                        <w:div w:id="1480851473">
                          <w:marLeft w:val="0"/>
                          <w:marRight w:val="0"/>
                          <w:marTop w:val="0"/>
                          <w:marBottom w:val="0"/>
                          <w:divBdr>
                            <w:top w:val="none" w:sz="0" w:space="0" w:color="auto"/>
                            <w:left w:val="none" w:sz="0" w:space="0" w:color="auto"/>
                            <w:bottom w:val="none" w:sz="0" w:space="0" w:color="auto"/>
                            <w:right w:val="none" w:sz="0" w:space="0" w:color="auto"/>
                          </w:divBdr>
                          <w:divsChild>
                            <w:div w:id="1973632772">
                              <w:marLeft w:val="0"/>
                              <w:marRight w:val="0"/>
                              <w:marTop w:val="0"/>
                              <w:marBottom w:val="0"/>
                              <w:divBdr>
                                <w:top w:val="none" w:sz="0" w:space="0" w:color="auto"/>
                                <w:left w:val="none" w:sz="0" w:space="0" w:color="auto"/>
                                <w:bottom w:val="none" w:sz="0" w:space="0" w:color="auto"/>
                                <w:right w:val="none" w:sz="0" w:space="0" w:color="auto"/>
                              </w:divBdr>
                              <w:divsChild>
                                <w:div w:id="98139058">
                                  <w:marLeft w:val="0"/>
                                  <w:marRight w:val="0"/>
                                  <w:marTop w:val="0"/>
                                  <w:marBottom w:val="0"/>
                                  <w:divBdr>
                                    <w:top w:val="none" w:sz="0" w:space="0" w:color="auto"/>
                                    <w:left w:val="none" w:sz="0" w:space="0" w:color="auto"/>
                                    <w:bottom w:val="none" w:sz="0" w:space="0" w:color="auto"/>
                                    <w:right w:val="none" w:sz="0" w:space="0" w:color="auto"/>
                                  </w:divBdr>
                                </w:div>
                                <w:div w:id="113914686">
                                  <w:marLeft w:val="0"/>
                                  <w:marRight w:val="0"/>
                                  <w:marTop w:val="0"/>
                                  <w:marBottom w:val="0"/>
                                  <w:divBdr>
                                    <w:top w:val="none" w:sz="0" w:space="0" w:color="auto"/>
                                    <w:left w:val="none" w:sz="0" w:space="0" w:color="auto"/>
                                    <w:bottom w:val="none" w:sz="0" w:space="0" w:color="auto"/>
                                    <w:right w:val="none" w:sz="0" w:space="0" w:color="auto"/>
                                  </w:divBdr>
                                </w:div>
                              </w:divsChild>
                            </w:div>
                            <w:div w:id="1786385508">
                              <w:marLeft w:val="0"/>
                              <w:marRight w:val="0"/>
                              <w:marTop w:val="0"/>
                              <w:marBottom w:val="0"/>
                              <w:divBdr>
                                <w:top w:val="none" w:sz="0" w:space="0" w:color="auto"/>
                                <w:left w:val="none" w:sz="0" w:space="0" w:color="auto"/>
                                <w:bottom w:val="none" w:sz="0" w:space="0" w:color="auto"/>
                                <w:right w:val="none" w:sz="0" w:space="0" w:color="auto"/>
                              </w:divBdr>
                              <w:divsChild>
                                <w:div w:id="240214316">
                                  <w:marLeft w:val="0"/>
                                  <w:marRight w:val="0"/>
                                  <w:marTop w:val="0"/>
                                  <w:marBottom w:val="0"/>
                                  <w:divBdr>
                                    <w:top w:val="none" w:sz="0" w:space="0" w:color="auto"/>
                                    <w:left w:val="none" w:sz="0" w:space="0" w:color="auto"/>
                                    <w:bottom w:val="none" w:sz="0" w:space="0" w:color="auto"/>
                                    <w:right w:val="none" w:sz="0" w:space="0" w:color="auto"/>
                                  </w:divBdr>
                                </w:div>
                                <w:div w:id="19328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188">
          <w:marLeft w:val="0"/>
          <w:marRight w:val="0"/>
          <w:marTop w:val="0"/>
          <w:marBottom w:val="0"/>
          <w:divBdr>
            <w:top w:val="none" w:sz="0" w:space="0" w:color="auto"/>
            <w:left w:val="none" w:sz="0" w:space="0" w:color="auto"/>
            <w:bottom w:val="none" w:sz="0" w:space="0" w:color="auto"/>
            <w:right w:val="none" w:sz="0" w:space="0" w:color="auto"/>
          </w:divBdr>
          <w:divsChild>
            <w:div w:id="772014171">
              <w:marLeft w:val="0"/>
              <w:marRight w:val="0"/>
              <w:marTop w:val="0"/>
              <w:marBottom w:val="0"/>
              <w:divBdr>
                <w:top w:val="none" w:sz="0" w:space="0" w:color="auto"/>
                <w:left w:val="none" w:sz="0" w:space="0" w:color="auto"/>
                <w:bottom w:val="none" w:sz="0" w:space="0" w:color="auto"/>
                <w:right w:val="none" w:sz="0" w:space="0" w:color="auto"/>
              </w:divBdr>
              <w:divsChild>
                <w:div w:id="2076470323">
                  <w:marLeft w:val="0"/>
                  <w:marRight w:val="0"/>
                  <w:marTop w:val="0"/>
                  <w:marBottom w:val="0"/>
                  <w:divBdr>
                    <w:top w:val="none" w:sz="0" w:space="0" w:color="auto"/>
                    <w:left w:val="none" w:sz="0" w:space="0" w:color="auto"/>
                    <w:bottom w:val="none" w:sz="0" w:space="0" w:color="auto"/>
                    <w:right w:val="none" w:sz="0" w:space="0" w:color="auto"/>
                  </w:divBdr>
                </w:div>
                <w:div w:id="299119512">
                  <w:marLeft w:val="0"/>
                  <w:marRight w:val="0"/>
                  <w:marTop w:val="0"/>
                  <w:marBottom w:val="0"/>
                  <w:divBdr>
                    <w:top w:val="none" w:sz="0" w:space="0" w:color="auto"/>
                    <w:left w:val="none" w:sz="0" w:space="0" w:color="auto"/>
                    <w:bottom w:val="none" w:sz="0" w:space="0" w:color="auto"/>
                    <w:right w:val="none" w:sz="0" w:space="0" w:color="auto"/>
                  </w:divBdr>
                </w:div>
                <w:div w:id="252664102">
                  <w:marLeft w:val="0"/>
                  <w:marRight w:val="0"/>
                  <w:marTop w:val="0"/>
                  <w:marBottom w:val="0"/>
                  <w:divBdr>
                    <w:top w:val="none" w:sz="0" w:space="0" w:color="auto"/>
                    <w:left w:val="none" w:sz="0" w:space="0" w:color="auto"/>
                    <w:bottom w:val="none" w:sz="0" w:space="0" w:color="auto"/>
                    <w:right w:val="none" w:sz="0" w:space="0" w:color="auto"/>
                  </w:divBdr>
                </w:div>
                <w:div w:id="1732729100">
                  <w:marLeft w:val="0"/>
                  <w:marRight w:val="0"/>
                  <w:marTop w:val="0"/>
                  <w:marBottom w:val="0"/>
                  <w:divBdr>
                    <w:top w:val="none" w:sz="0" w:space="0" w:color="auto"/>
                    <w:left w:val="none" w:sz="0" w:space="0" w:color="auto"/>
                    <w:bottom w:val="none" w:sz="0" w:space="0" w:color="auto"/>
                    <w:right w:val="none" w:sz="0" w:space="0" w:color="auto"/>
                  </w:divBdr>
                </w:div>
                <w:div w:id="1042905623">
                  <w:marLeft w:val="0"/>
                  <w:marRight w:val="0"/>
                  <w:marTop w:val="0"/>
                  <w:marBottom w:val="0"/>
                  <w:divBdr>
                    <w:top w:val="none" w:sz="0" w:space="0" w:color="auto"/>
                    <w:left w:val="none" w:sz="0" w:space="0" w:color="auto"/>
                    <w:bottom w:val="none" w:sz="0" w:space="0" w:color="auto"/>
                    <w:right w:val="none" w:sz="0" w:space="0" w:color="auto"/>
                  </w:divBdr>
                </w:div>
                <w:div w:id="1707365703">
                  <w:marLeft w:val="0"/>
                  <w:marRight w:val="0"/>
                  <w:marTop w:val="0"/>
                  <w:marBottom w:val="0"/>
                  <w:divBdr>
                    <w:top w:val="none" w:sz="0" w:space="0" w:color="auto"/>
                    <w:left w:val="none" w:sz="0" w:space="0" w:color="auto"/>
                    <w:bottom w:val="none" w:sz="0" w:space="0" w:color="auto"/>
                    <w:right w:val="none" w:sz="0" w:space="0" w:color="auto"/>
                  </w:divBdr>
                </w:div>
                <w:div w:id="110437305">
                  <w:marLeft w:val="0"/>
                  <w:marRight w:val="0"/>
                  <w:marTop w:val="0"/>
                  <w:marBottom w:val="0"/>
                  <w:divBdr>
                    <w:top w:val="none" w:sz="0" w:space="0" w:color="auto"/>
                    <w:left w:val="none" w:sz="0" w:space="0" w:color="auto"/>
                    <w:bottom w:val="none" w:sz="0" w:space="0" w:color="auto"/>
                    <w:right w:val="none" w:sz="0" w:space="0" w:color="auto"/>
                  </w:divBdr>
                </w:div>
                <w:div w:id="2706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2251">
      <w:bodyDiv w:val="1"/>
      <w:marLeft w:val="0"/>
      <w:marRight w:val="0"/>
      <w:marTop w:val="0"/>
      <w:marBottom w:val="0"/>
      <w:divBdr>
        <w:top w:val="none" w:sz="0" w:space="0" w:color="auto"/>
        <w:left w:val="none" w:sz="0" w:space="0" w:color="auto"/>
        <w:bottom w:val="none" w:sz="0" w:space="0" w:color="auto"/>
        <w:right w:val="none" w:sz="0" w:space="0" w:color="auto"/>
      </w:divBdr>
    </w:div>
    <w:div w:id="961035568">
      <w:bodyDiv w:val="1"/>
      <w:marLeft w:val="0"/>
      <w:marRight w:val="0"/>
      <w:marTop w:val="0"/>
      <w:marBottom w:val="0"/>
      <w:divBdr>
        <w:top w:val="none" w:sz="0" w:space="0" w:color="auto"/>
        <w:left w:val="none" w:sz="0" w:space="0" w:color="auto"/>
        <w:bottom w:val="none" w:sz="0" w:space="0" w:color="auto"/>
        <w:right w:val="none" w:sz="0" w:space="0" w:color="auto"/>
      </w:divBdr>
      <w:divsChild>
        <w:div w:id="120807702">
          <w:marLeft w:val="0"/>
          <w:marRight w:val="0"/>
          <w:marTop w:val="0"/>
          <w:marBottom w:val="0"/>
          <w:divBdr>
            <w:top w:val="none" w:sz="0" w:space="0" w:color="auto"/>
            <w:left w:val="none" w:sz="0" w:space="0" w:color="auto"/>
            <w:bottom w:val="none" w:sz="0" w:space="0" w:color="auto"/>
            <w:right w:val="none" w:sz="0" w:space="0" w:color="auto"/>
          </w:divBdr>
          <w:divsChild>
            <w:div w:id="1977444453">
              <w:marLeft w:val="0"/>
              <w:marRight w:val="0"/>
              <w:marTop w:val="0"/>
              <w:marBottom w:val="0"/>
              <w:divBdr>
                <w:top w:val="none" w:sz="0" w:space="0" w:color="auto"/>
                <w:left w:val="none" w:sz="0" w:space="0" w:color="auto"/>
                <w:bottom w:val="none" w:sz="0" w:space="0" w:color="auto"/>
                <w:right w:val="none" w:sz="0" w:space="0" w:color="auto"/>
              </w:divBdr>
              <w:divsChild>
                <w:div w:id="11095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5074">
      <w:bodyDiv w:val="1"/>
      <w:marLeft w:val="0"/>
      <w:marRight w:val="0"/>
      <w:marTop w:val="0"/>
      <w:marBottom w:val="0"/>
      <w:divBdr>
        <w:top w:val="none" w:sz="0" w:space="0" w:color="auto"/>
        <w:left w:val="none" w:sz="0" w:space="0" w:color="auto"/>
        <w:bottom w:val="none" w:sz="0" w:space="0" w:color="auto"/>
        <w:right w:val="none" w:sz="0" w:space="0" w:color="auto"/>
      </w:divBdr>
    </w:div>
    <w:div w:id="20671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footer" Target="footer24.xml"/><Relationship Id="rId68" Type="http://schemas.openxmlformats.org/officeDocument/2006/relationships/header" Target="header27.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3.e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header" Target="header22.xml"/><Relationship Id="rId66" Type="http://schemas.openxmlformats.org/officeDocument/2006/relationships/footer" Target="foot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image" Target="media/image7.emf"/><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emf"/><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footer" Target="footer22.xml"/><Relationship Id="rId65" Type="http://schemas.openxmlformats.org/officeDocument/2006/relationships/header" Target="header26.xml"/><Relationship Id="R6d3af286461c466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png"/><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image" Target="media/image6.emf"/><Relationship Id="rId64" Type="http://schemas.openxmlformats.org/officeDocument/2006/relationships/header" Target="header25.xml"/><Relationship Id="rId69"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footer" Target="footer26.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eader" Target="header24.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84d713700e574271"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DE/TXT/PDF/?uri=CELEX:32019D0165&amp;from=DE" TargetMode="External"/><Relationship Id="rId2" Type="http://schemas.openxmlformats.org/officeDocument/2006/relationships/hyperlink" Target="https://eur-lex.europa.eu/legal-content/DE/TXT/PDF/?uri=CELEX:52020DC0152&amp;from=DE" TargetMode="External"/><Relationship Id="rId1" Type="http://schemas.openxmlformats.org/officeDocument/2006/relationships/hyperlink" Target="https://www.eca.europa.eu/Lists/ECADocuments/SR20_23/SR_EPSO_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A13E-AF86-4FCF-A0DB-E9532F05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33864</Words>
  <Characters>143588</Characters>
  <Application>Microsoft Office Word</Application>
  <DocSecurity>0</DocSecurity>
  <Lines>28717</Lines>
  <Paragraphs>16131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2021-07-13T14:47:00Z</dcterms:created>
  <dcterms:modified xsi:type="dcterms:W3CDTF">2021-07-28T08:08:00Z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