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C0988CFC-825F-491D-9E92-05489A9BF31A" style="width:455.45pt;height:387.65pt">
            <v:imagedata r:id="rId8" o:title=""/>
          </v:shape>
        </w:pict>
      </w:r>
    </w:p>
    <w:p>
      <w:pPr>
        <w:rPr>
          <w:noProof/>
          <w:szCs w:val="24"/>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szCs w:val="24"/>
        </w:rPr>
      </w:pPr>
      <w:bookmarkStart w:id="0" w:name="_GoBack"/>
      <w:bookmarkEnd w:id="0"/>
      <w:r>
        <w:rPr>
          <w:noProof/>
          <w:szCs w:val="24"/>
          <w:u w:val="none"/>
        </w:rPr>
        <w:lastRenderedPageBreak/>
        <w:t>LIITE I</w:t>
      </w:r>
    </w:p>
    <w:p>
      <w:pPr>
        <w:spacing w:after="0"/>
        <w:jc w:val="center"/>
        <w:rPr>
          <w:b/>
          <w:noProof/>
          <w:szCs w:val="24"/>
        </w:rPr>
      </w:pPr>
      <w:r>
        <w:rPr>
          <w:b/>
          <w:noProof/>
          <w:szCs w:val="24"/>
        </w:rPr>
        <w:t>EUROOPPALAISTA VIHREÄÄ JOUKKOLAINAA KOSKEVA TIETOKOOSTE</w:t>
      </w:r>
    </w:p>
    <w:tbl>
      <w:tblPr>
        <w:tblStyle w:val="TableGrid"/>
        <w:tblW w:w="0" w:type="auto"/>
        <w:tblLook w:val="04A0" w:firstRow="1" w:lastRow="0" w:firstColumn="1" w:lastColumn="0" w:noHBand="0" w:noVBand="1"/>
      </w:tblPr>
      <w:tblGrid>
        <w:gridCol w:w="9242"/>
      </w:tblGrid>
      <w:tr>
        <w:tc>
          <w:tcPr>
            <w:tcW w:w="9242" w:type="dxa"/>
          </w:tcPr>
          <w:p>
            <w:pPr>
              <w:pStyle w:val="ListParagraph"/>
              <w:numPr>
                <w:ilvl w:val="0"/>
                <w:numId w:val="9"/>
              </w:numPr>
              <w:rPr>
                <w:rFonts w:ascii="Times New Roman" w:hAnsi="Times New Roman" w:cs="Times New Roman"/>
                <w:b/>
                <w:noProof/>
                <w:sz w:val="24"/>
                <w:szCs w:val="24"/>
              </w:rPr>
            </w:pPr>
            <w:r>
              <w:rPr>
                <w:rFonts w:ascii="Times New Roman" w:hAnsi="Times New Roman"/>
                <w:b/>
                <w:noProof/>
                <w:sz w:val="24"/>
                <w:szCs w:val="24"/>
              </w:rPr>
              <w:t xml:space="preserve">Yleiset tiedot </w:t>
            </w:r>
          </w:p>
          <w:p>
            <w:pPr>
              <w:pStyle w:val="Tiret0"/>
              <w:numPr>
                <w:ilvl w:val="0"/>
                <w:numId w:val="19"/>
              </w:numPr>
              <w:rPr>
                <w:noProof/>
              </w:rPr>
            </w:pPr>
            <w:r>
              <w:rPr>
                <w:noProof/>
              </w:rPr>
              <w:t>[Eurooppalaista vihreää joukkolainaa koskevan tietokoosteen julkaisupäivä]</w:t>
            </w:r>
          </w:p>
          <w:p>
            <w:pPr>
              <w:pStyle w:val="Tiret0"/>
              <w:rPr>
                <w:noProof/>
                <w:szCs w:val="24"/>
              </w:rPr>
            </w:pPr>
            <w:r>
              <w:rPr>
                <w:noProof/>
              </w:rPr>
              <w:t>[Liikkeeseenlaskijan virallinen nimi] [oikeushenkilötunnus (LEI), jos saatavilla] [verkkosivuosoite, joka antaa sijoittajille yhteystiedot, ja puhelinnumero]</w:t>
            </w:r>
          </w:p>
          <w:p>
            <w:pPr>
              <w:pStyle w:val="Tiret0"/>
              <w:rPr>
                <w:noProof/>
                <w:szCs w:val="24"/>
              </w:rPr>
            </w:pPr>
            <w:r>
              <w:rPr>
                <w:noProof/>
              </w:rPr>
              <w:t>[Liikkeeseenlaskijan antama joukkolainan nimi] [kansainväliset arvopaperien tunnistenumerot (ISIN), jos saatavilla]</w:t>
            </w:r>
          </w:p>
          <w:p>
            <w:pPr>
              <w:pStyle w:val="Tiret0"/>
              <w:rPr>
                <w:b/>
                <w:noProof/>
                <w:szCs w:val="24"/>
              </w:rPr>
            </w:pPr>
            <w:r>
              <w:rPr>
                <w:noProof/>
              </w:rPr>
              <w:t>[Liikkeeseenlaskijan nimi- ja yhteystiedot, mukaan lukien verkkosivuosoite, joka antaa sijoittajille yhteystiedot, ja puhelinnumero]</w:t>
            </w:r>
          </w:p>
        </w:tc>
      </w:tr>
      <w:tr>
        <w:tc>
          <w:tcPr>
            <w:tcW w:w="9242" w:type="dxa"/>
          </w:tcPr>
          <w:p>
            <w:pPr>
              <w:pStyle w:val="ListParagraph"/>
              <w:numPr>
                <w:ilvl w:val="0"/>
                <w:numId w:val="9"/>
              </w:numPr>
              <w:rPr>
                <w:rFonts w:ascii="Times New Roman" w:hAnsi="Times New Roman" w:cs="Times New Roman"/>
                <w:b/>
                <w:noProof/>
                <w:sz w:val="24"/>
                <w:szCs w:val="24"/>
              </w:rPr>
            </w:pPr>
            <w:r>
              <w:rPr>
                <w:rFonts w:ascii="Times New Roman" w:hAnsi="Times New Roman"/>
                <w:b/>
                <w:noProof/>
                <w:sz w:val="24"/>
                <w:szCs w:val="24"/>
              </w:rPr>
              <w:t xml:space="preserve">Eurooppalaisia vihreitä joukkolainoja koskevan asetuksen vaatimusten noudattaminen </w:t>
            </w:r>
          </w:p>
          <w:p>
            <w:pPr>
              <w:rPr>
                <w:noProof/>
                <w:szCs w:val="24"/>
              </w:rPr>
            </w:pPr>
            <w:r>
              <w:rPr>
                <w:noProof/>
              </w:rPr>
              <w:t>[Ilmoitus siitä, että joukkolainan liikkeeseenlaskija noudattaa vapaaehtoisesti tämän asetuksen vaatimuksia]</w:t>
            </w:r>
          </w:p>
        </w:tc>
      </w:tr>
      <w:tr>
        <w:tc>
          <w:tcPr>
            <w:tcW w:w="9242" w:type="dxa"/>
          </w:tcPr>
          <w:p>
            <w:pPr>
              <w:pStyle w:val="ListParagraph"/>
              <w:numPr>
                <w:ilvl w:val="0"/>
                <w:numId w:val="9"/>
              </w:numPr>
              <w:rPr>
                <w:rFonts w:ascii="Times New Roman" w:hAnsi="Times New Roman" w:cs="Times New Roman"/>
                <w:b/>
                <w:noProof/>
                <w:sz w:val="24"/>
                <w:szCs w:val="24"/>
              </w:rPr>
            </w:pPr>
            <w:r>
              <w:rPr>
                <w:rFonts w:ascii="Times New Roman" w:hAnsi="Times New Roman"/>
                <w:b/>
                <w:noProof/>
                <w:sz w:val="24"/>
                <w:szCs w:val="24"/>
              </w:rPr>
              <w:t>Ympäristöstrategia ja perustelut</w:t>
            </w:r>
          </w:p>
          <w:p>
            <w:pPr>
              <w:pStyle w:val="Tiret0"/>
              <w:rPr>
                <w:noProof/>
                <w:szCs w:val="24"/>
              </w:rPr>
            </w:pPr>
            <w:r>
              <w:rPr>
                <w:noProof/>
              </w:rPr>
              <w:t>[Tiedot siitä, miten joukkolaina vastaa liikkeeseenlaskijan laajempaa ympäristöstrategiaa]</w:t>
            </w:r>
          </w:p>
          <w:p>
            <w:pPr>
              <w:pStyle w:val="Tiret0"/>
              <w:rPr>
                <w:noProof/>
                <w:szCs w:val="24"/>
              </w:rPr>
            </w:pPr>
            <w:r>
              <w:rPr>
                <w:noProof/>
              </w:rPr>
              <w:t xml:space="preserve">[Asetuksen 2020/852 9 artiklassa tarkoitetut ympäristötavoitteet, joihin joukkolainalla pyritään] </w:t>
            </w:r>
          </w:p>
        </w:tc>
      </w:tr>
      <w:tr>
        <w:tc>
          <w:tcPr>
            <w:tcW w:w="9242" w:type="dxa"/>
          </w:tcPr>
          <w:p>
            <w:pPr>
              <w:rPr>
                <w:b/>
                <w:noProof/>
                <w:szCs w:val="24"/>
              </w:rPr>
            </w:pPr>
            <w:r>
              <w:rPr>
                <w:b/>
                <w:noProof/>
                <w:szCs w:val="24"/>
              </w:rPr>
              <w:t>4. Joukkolainalla hankittujen varojen suunniteltu kohdentaminen</w:t>
            </w:r>
          </w:p>
          <w:p>
            <w:pPr>
              <w:pStyle w:val="ListParagraph"/>
              <w:ind w:left="360"/>
              <w:rPr>
                <w:rFonts w:ascii="Times New Roman" w:hAnsi="Times New Roman" w:cs="Times New Roman"/>
                <w:b/>
                <w:noProof/>
                <w:sz w:val="24"/>
                <w:szCs w:val="24"/>
              </w:rPr>
            </w:pPr>
          </w:p>
          <w:p>
            <w:pPr>
              <w:pStyle w:val="ListParagraph"/>
              <w:numPr>
                <w:ilvl w:val="1"/>
                <w:numId w:val="18"/>
              </w:numPr>
              <w:rPr>
                <w:rFonts w:ascii="Times New Roman" w:hAnsi="Times New Roman" w:cs="Times New Roman"/>
                <w:b/>
                <w:noProof/>
                <w:sz w:val="24"/>
                <w:szCs w:val="24"/>
              </w:rPr>
            </w:pPr>
            <w:r>
              <w:rPr>
                <w:rFonts w:ascii="Times New Roman" w:hAnsi="Times New Roman"/>
                <w:b/>
                <w:noProof/>
                <w:sz w:val="24"/>
                <w:szCs w:val="24"/>
              </w:rPr>
              <w:t>Arvioitu aika, jonka kuluessa varat on kohdennettu kokonaisuudessaan</w:t>
            </w:r>
          </w:p>
          <w:p>
            <w:pPr>
              <w:pStyle w:val="Tiret0"/>
              <w:rPr>
                <w:b/>
                <w:noProof/>
                <w:szCs w:val="24"/>
              </w:rPr>
            </w:pPr>
            <w:r>
              <w:rPr>
                <w:noProof/>
              </w:rPr>
              <w:t>[Ajanjakso, jonka kuluessa varat on tarkoitus kohdentaa].</w:t>
            </w:r>
          </w:p>
          <w:p>
            <w:pPr>
              <w:pStyle w:val="Tiret0"/>
              <w:rPr>
                <w:b/>
                <w:noProof/>
                <w:szCs w:val="24"/>
              </w:rPr>
            </w:pPr>
            <w:r>
              <w:rPr>
                <w:noProof/>
              </w:rPr>
              <w:t>[Päivämäärä, johon mennessä varat on tarkoitus kohdentaa kokonaisuudessaan]</w:t>
            </w:r>
          </w:p>
          <w:p>
            <w:pPr>
              <w:pStyle w:val="Tiret0"/>
              <w:rPr>
                <w:b/>
                <w:noProof/>
                <w:szCs w:val="24"/>
              </w:rPr>
            </w:pPr>
            <w:r>
              <w:rPr>
                <w:noProof/>
              </w:rPr>
              <w:t>[Jos edellä mainittu päivämäärä on yli viisi vuotta joukkolainan liikkeeseenlaskupäivästä: pidemmän ajanjakson perustelut, jotka perustuvat asianomaisen taloudellisen toiminnan erityispiirteisiin, sekä asiaa koskevat asiakirjat liitteessä]</w:t>
            </w:r>
          </w:p>
          <w:p>
            <w:pPr>
              <w:pStyle w:val="ListParagraph"/>
              <w:rPr>
                <w:rFonts w:ascii="Times New Roman" w:hAnsi="Times New Roman" w:cs="Times New Roman"/>
                <w:b/>
                <w:noProof/>
                <w:sz w:val="24"/>
                <w:szCs w:val="24"/>
              </w:rPr>
            </w:pPr>
          </w:p>
          <w:p>
            <w:pPr>
              <w:pStyle w:val="ListParagraph"/>
              <w:numPr>
                <w:ilvl w:val="1"/>
                <w:numId w:val="16"/>
              </w:numPr>
              <w:rPr>
                <w:rFonts w:ascii="Times New Roman" w:hAnsi="Times New Roman" w:cs="Times New Roman"/>
                <w:b/>
                <w:noProof/>
                <w:sz w:val="24"/>
                <w:szCs w:val="24"/>
              </w:rPr>
            </w:pPr>
            <w:r>
              <w:rPr>
                <w:rFonts w:ascii="Times New Roman" w:hAnsi="Times New Roman"/>
                <w:b/>
                <w:noProof/>
                <w:sz w:val="24"/>
                <w:szCs w:val="24"/>
              </w:rPr>
              <w:t xml:space="preserve">Menettely vihreiden hankkeiden valitsemiseksi ja arvioidut ympäristövaikutukset </w:t>
            </w:r>
          </w:p>
          <w:p>
            <w:pPr>
              <w:pStyle w:val="Tiret0"/>
              <w:rPr>
                <w:noProof/>
                <w:szCs w:val="24"/>
              </w:rPr>
            </w:pPr>
            <w:r>
              <w:rPr>
                <w:noProof/>
              </w:rPr>
              <w:t>[Kuvaus prosesseista, joilla liikkeeseenlaskija määrittää, miten hankkeet ovat luokitusjärjestelmän vaatimusten mukaisia]</w:t>
            </w:r>
          </w:p>
          <w:p>
            <w:pPr>
              <w:pStyle w:val="Tiret0"/>
              <w:rPr>
                <w:noProof/>
                <w:szCs w:val="24"/>
              </w:rPr>
            </w:pPr>
            <w:r>
              <w:rPr>
                <w:noProof/>
              </w:rPr>
              <w:t>[Kuvaus asetuksen (EU) 2020/852 10–15 artiklassa tarkoitetuista asiaankuuluvista teknisistä arviointikriteereistä, ja maininta siitä, mitkä asetuksen (EU) 2020/852 10 artiklan 3 kohdan, 11 artiklan 3 kohdan, 12 artiklan 2 kohdan, 13 artiklan 2 kohdan, 14 artiklan 2 kohdan ja 15 artiklan 2 kohdan nojalla annetut delegoidut säädökset otetaan huomioon]</w:t>
            </w:r>
          </w:p>
          <w:p>
            <w:pPr>
              <w:pStyle w:val="Tiret0"/>
              <w:rPr>
                <w:noProof/>
                <w:szCs w:val="24"/>
              </w:rPr>
            </w:pPr>
            <w:r>
              <w:rPr>
                <w:noProof/>
              </w:rPr>
              <w:t xml:space="preserve">[Jos saatavilla: tiedot menetelmistä ja oletuksista, joita käytetään laskettaessa keskeisiä vaikutusmittareita asetuksen (EU) 2020/852 10 artiklan 3 kohdan, 11 artiklan 3 kohdan, 12 artiklan 2 kohdan, 13 artiklan 2 kohdan, 14 artiklan 2 kohdan </w:t>
            </w:r>
            <w:r>
              <w:rPr>
                <w:noProof/>
              </w:rPr>
              <w:lastRenderedPageBreak/>
              <w:t>ja 15 artiklan 2 kohdan nojalla annettujen delegoitujen säädösten mukaisesti, sekä laskettaessa mahdollisia muita vaikutusmittareita. Jos näitä tietoja ei ole saatavilla, tämä on perusteltava]</w:t>
            </w:r>
          </w:p>
          <w:p>
            <w:pPr>
              <w:pStyle w:val="Tiret0"/>
              <w:rPr>
                <w:noProof/>
                <w:szCs w:val="24"/>
              </w:rPr>
            </w:pPr>
            <w:r>
              <w:rPr>
                <w:noProof/>
              </w:rPr>
              <w:t>[Tarvittaessa tiedot asiaan liittyvästä standardointi- tai sertifiointiprosessista hankkeiden valinnassa]</w:t>
            </w:r>
          </w:p>
          <w:p>
            <w:pPr>
              <w:pStyle w:val="Tiret0"/>
              <w:rPr>
                <w:noProof/>
                <w:szCs w:val="24"/>
              </w:rPr>
            </w:pPr>
            <w:r>
              <w:rPr>
                <w:noProof/>
              </w:rPr>
              <w:t xml:space="preserve">[Arvio odotetuista myönteisistä ja haitallisista ympäristövaikutuksista kootussa muodossa, jos saatavilla. Jos näitä tietoja ei ole saatavilla, tämä on perusteltava] </w:t>
            </w:r>
          </w:p>
          <w:p>
            <w:pPr>
              <w:pStyle w:val="Point1letter"/>
              <w:numPr>
                <w:ilvl w:val="3"/>
                <w:numId w:val="0"/>
              </w:numPr>
              <w:spacing w:before="0" w:after="0"/>
              <w:rPr>
                <w:noProof/>
                <w:szCs w:val="24"/>
              </w:rPr>
            </w:pPr>
          </w:p>
          <w:p>
            <w:pPr>
              <w:rPr>
                <w:b/>
                <w:noProof/>
                <w:szCs w:val="24"/>
              </w:rPr>
            </w:pPr>
            <w:r>
              <w:rPr>
                <w:b/>
                <w:noProof/>
                <w:szCs w:val="24"/>
              </w:rPr>
              <w:t>4.3 Vaatimukset täyttävät suunnitellut vihreät hankkeet</w:t>
            </w:r>
          </w:p>
          <w:p>
            <w:pPr>
              <w:rPr>
                <w:noProof/>
                <w:szCs w:val="24"/>
              </w:rPr>
            </w:pPr>
            <w:r>
              <w:rPr>
                <w:noProof/>
              </w:rPr>
              <w:t>[Liikkeeseenlaskijan on toimitettava hanketasolla seuraavat tiedot, jos ne ovat saatavilla, paitsi jos luottamuksellisuutta koskevat sopimukset, kilpailunäkökohdat tai suuri määrä hyväksyttäviä hankkeita rajoittaa saataville asetettavan yksityiskohtaisuuden määrää. Tässä tapauksessa tiedot on toimitettava vähintään kootusti, sekä selvitys siitä, miksi hanketason tietoja ei anneta:</w:t>
            </w:r>
          </w:p>
          <w:p>
            <w:pPr>
              <w:rPr>
                <w:noProof/>
                <w:szCs w:val="24"/>
              </w:rPr>
            </w:pPr>
            <w:r>
              <w:rPr>
                <w:noProof/>
              </w:rPr>
              <w:t>Vaatimukset täyttävien suunniteltujen hankkeiden osalta:</w:t>
            </w:r>
          </w:p>
          <w:p>
            <w:pPr>
              <w:pStyle w:val="Tiret0"/>
              <w:rPr>
                <w:noProof/>
                <w:szCs w:val="24"/>
              </w:rPr>
            </w:pPr>
            <w:r>
              <w:rPr>
                <w:noProof/>
              </w:rPr>
              <w:t>Asetuksen 2020/852 9 artiklassa tarkoitetut ympäristötavoitteet</w:t>
            </w:r>
          </w:p>
          <w:p>
            <w:pPr>
              <w:pStyle w:val="Tiret0"/>
              <w:rPr>
                <w:noProof/>
                <w:szCs w:val="24"/>
              </w:rPr>
            </w:pPr>
            <w:r>
              <w:rPr>
                <w:noProof/>
              </w:rPr>
              <w:t>Niiden tyypit, toimialat ja vastaavat NACE-koodit asetuksella (EY) N:o 1893/2006</w:t>
            </w:r>
            <w:r>
              <w:rPr>
                <w:rStyle w:val="FootnoteReference"/>
                <w:noProof/>
              </w:rPr>
              <w:footnoteReference w:id="1"/>
            </w:r>
            <w:r>
              <w:rPr>
                <w:noProof/>
              </w:rPr>
              <w:t xml:space="preserve"> vahvistetun tilastollisen toimialaluokituksen mukaisesti</w:t>
            </w:r>
          </w:p>
          <w:p>
            <w:pPr>
              <w:pStyle w:val="Tiret0"/>
              <w:rPr>
                <w:noProof/>
                <w:szCs w:val="24"/>
              </w:rPr>
            </w:pPr>
            <w:r>
              <w:rPr>
                <w:noProof/>
              </w:rPr>
              <w:t xml:space="preserve">Niiden maat </w:t>
            </w:r>
          </w:p>
          <w:p>
            <w:pPr>
              <w:pStyle w:val="Tiret0"/>
              <w:rPr>
                <w:noProof/>
                <w:szCs w:val="24"/>
              </w:rPr>
            </w:pPr>
            <w:r>
              <w:rPr>
                <w:noProof/>
              </w:rPr>
              <w:t>Joukkolainalla hankituista varoista kohdennettava määrä sekä varojen prosenttiosuus, joka kohdennetaan joukkolainan liikkeeseenlaskun jälkeen rahoitettaviin hankkeisiin ja ennen joukkolainan liikkeeseenlaskua rahoitettaviin hankkeisiin</w:t>
            </w:r>
          </w:p>
          <w:p>
            <w:pPr>
              <w:pStyle w:val="Tiret0"/>
              <w:rPr>
                <w:noProof/>
                <w:szCs w:val="24"/>
              </w:rPr>
            </w:pPr>
            <w:r>
              <w:rPr>
                <w:noProof/>
              </w:rPr>
              <w:t>Jos liikkeeseenlaskija on valtio ja joukkolainoilla hankitut varat on tarkoitus kohdentaa 4 artiklan 2 kohdan c alakohdassa tarkoitettuihin verohelpotuksiin, arvio hyväksyttävään verohelpotukseen liittyvästä odotetusta tulonmenetyksestä</w:t>
            </w:r>
          </w:p>
          <w:p>
            <w:pPr>
              <w:pStyle w:val="Tiret0"/>
              <w:rPr>
                <w:noProof/>
                <w:szCs w:val="24"/>
              </w:rPr>
            </w:pPr>
            <w:r>
              <w:rPr>
                <w:noProof/>
              </w:rPr>
              <w:t>Jos joukkolainalla osarahoitetaan suunniteltuja vaatimukset täyttäviä hankkeita, maininta joukkolainalla rahoitetusta osuudesta</w:t>
            </w:r>
          </w:p>
          <w:p>
            <w:pPr>
              <w:pStyle w:val="Tiret0"/>
              <w:rPr>
                <w:noProof/>
                <w:szCs w:val="24"/>
              </w:rPr>
            </w:pPr>
            <w:r>
              <w:rPr>
                <w:noProof/>
              </w:rPr>
              <w:t xml:space="preserve">Jos saatavilla, linkit verkkosivustoille, joissa on tarvittavat tiedot </w:t>
            </w:r>
          </w:p>
          <w:p>
            <w:pPr>
              <w:pStyle w:val="Tiret0"/>
              <w:rPr>
                <w:noProof/>
                <w:szCs w:val="24"/>
              </w:rPr>
            </w:pPr>
            <w:r>
              <w:rPr>
                <w:noProof/>
              </w:rPr>
              <w:t xml:space="preserve">Jos saatavilla, linkit asiaankuuluviin julkisiin asiakirjoihin, joissa on yksityiskohtaisempia tietoja] </w:t>
            </w:r>
          </w:p>
          <w:p>
            <w:pPr>
              <w:pStyle w:val="ListParagraph"/>
              <w:spacing w:after="0" w:line="240" w:lineRule="auto"/>
              <w:jc w:val="both"/>
              <w:rPr>
                <w:rFonts w:ascii="Times New Roman" w:hAnsi="Times New Roman" w:cs="Times New Roman"/>
                <w:noProof/>
                <w:sz w:val="24"/>
                <w:szCs w:val="24"/>
              </w:rPr>
            </w:pPr>
          </w:p>
          <w:p>
            <w:pPr>
              <w:rPr>
                <w:b/>
                <w:noProof/>
                <w:szCs w:val="24"/>
              </w:rPr>
            </w:pPr>
            <w:r>
              <w:rPr>
                <w:b/>
                <w:noProof/>
                <w:szCs w:val="24"/>
              </w:rPr>
              <w:t>4.4 Kohdentamattomat varat</w:t>
            </w:r>
          </w:p>
          <w:p>
            <w:pPr>
              <w:rPr>
                <w:noProof/>
                <w:szCs w:val="24"/>
              </w:rPr>
            </w:pPr>
            <w:r>
              <w:rPr>
                <w:noProof/>
              </w:rPr>
              <w:t>[Tiedot siitä, miten kohdentamattomien varojen väliaikainen käyttö ei vaikuta ympäristötavoitteiden saavuttamiseen]</w:t>
            </w:r>
          </w:p>
        </w:tc>
      </w:tr>
      <w:tr>
        <w:tc>
          <w:tcPr>
            <w:tcW w:w="9242" w:type="dxa"/>
          </w:tcPr>
          <w:p>
            <w:pPr>
              <w:pStyle w:val="ListParagraph"/>
              <w:numPr>
                <w:ilvl w:val="0"/>
                <w:numId w:val="10"/>
              </w:numPr>
              <w:rPr>
                <w:rFonts w:ascii="Times New Roman" w:hAnsi="Times New Roman" w:cs="Times New Roman"/>
                <w:b/>
                <w:noProof/>
                <w:sz w:val="24"/>
                <w:szCs w:val="24"/>
              </w:rPr>
            </w:pPr>
            <w:r>
              <w:rPr>
                <w:rFonts w:ascii="Times New Roman" w:hAnsi="Times New Roman"/>
                <w:b/>
                <w:noProof/>
                <w:sz w:val="24"/>
                <w:szCs w:val="24"/>
              </w:rPr>
              <w:lastRenderedPageBreak/>
              <w:t>Tiedot raportoinnista</w:t>
            </w:r>
          </w:p>
          <w:p>
            <w:pPr>
              <w:pStyle w:val="Tiret0"/>
              <w:rPr>
                <w:noProof/>
                <w:szCs w:val="24"/>
              </w:rPr>
            </w:pPr>
            <w:r>
              <w:rPr>
                <w:noProof/>
              </w:rPr>
              <w:t>[Linkki verkkosivustolle, jossa julkaistaan kohdentamisraportit ja vaikutusraportit]</w:t>
            </w:r>
          </w:p>
          <w:p>
            <w:pPr>
              <w:pStyle w:val="Tiret0"/>
              <w:rPr>
                <w:noProof/>
                <w:szCs w:val="24"/>
              </w:rPr>
            </w:pPr>
            <w:r>
              <w:rPr>
                <w:noProof/>
              </w:rPr>
              <w:t>[Ilmoitus siitä, sisältävätkö kohdentamisraportit hankekohtaisia tietoja maksetuista määristä ja odotetuista myönteisistä ja kielteisistä ympäristövaikutuksista]</w:t>
            </w:r>
          </w:p>
          <w:p>
            <w:pPr>
              <w:pStyle w:val="ListParagraph"/>
              <w:spacing w:after="0"/>
              <w:rPr>
                <w:rFonts w:ascii="Times New Roman" w:hAnsi="Times New Roman" w:cs="Times New Roman"/>
                <w:noProof/>
                <w:sz w:val="24"/>
                <w:szCs w:val="24"/>
              </w:rPr>
            </w:pPr>
          </w:p>
        </w:tc>
      </w:tr>
      <w:tr>
        <w:tc>
          <w:tcPr>
            <w:tcW w:w="9242" w:type="dxa"/>
          </w:tcPr>
          <w:p>
            <w:pPr>
              <w:pStyle w:val="ListParagraph"/>
              <w:numPr>
                <w:ilvl w:val="0"/>
                <w:numId w:val="10"/>
              </w:numPr>
              <w:rPr>
                <w:rFonts w:ascii="Times New Roman" w:hAnsi="Times New Roman" w:cs="Times New Roman"/>
                <w:b/>
                <w:noProof/>
                <w:sz w:val="24"/>
                <w:szCs w:val="24"/>
              </w:rPr>
            </w:pPr>
            <w:r>
              <w:rPr>
                <w:rFonts w:ascii="Times New Roman" w:hAnsi="Times New Roman"/>
                <w:b/>
                <w:noProof/>
                <w:sz w:val="24"/>
                <w:szCs w:val="24"/>
              </w:rPr>
              <w:t>Muut merkitykselliset tiedot</w:t>
            </w:r>
          </w:p>
        </w:tc>
      </w:tr>
    </w:tbl>
    <w:p>
      <w:pPr>
        <w:rPr>
          <w:noProof/>
          <w:szCs w:val="24"/>
        </w:rPr>
        <w:sectPr>
          <w:footerReference w:type="default" r:id="rId15"/>
          <w:footerReference w:type="first" r:id="rId16"/>
          <w:pgSz w:w="11907" w:h="16839"/>
          <w:pgMar w:top="1134" w:right="1417" w:bottom="1134" w:left="1417" w:header="709" w:footer="709" w:gutter="0"/>
          <w:cols w:space="720"/>
          <w:docGrid w:linePitch="360"/>
        </w:sectPr>
      </w:pPr>
    </w:p>
    <w:p>
      <w:pPr>
        <w:pStyle w:val="Annexetitre"/>
        <w:rPr>
          <w:noProof/>
          <w:szCs w:val="24"/>
        </w:rPr>
      </w:pPr>
      <w:r>
        <w:rPr>
          <w:noProof/>
          <w:szCs w:val="24"/>
          <w:u w:val="none"/>
        </w:rPr>
        <w:t xml:space="preserve">LIITE </w:t>
      </w:r>
      <w:r>
        <w:rPr>
          <w:noProof/>
        </w:rPr>
        <w:t>II</w:t>
      </w:r>
    </w:p>
    <w:p>
      <w:pPr>
        <w:jc w:val="center"/>
        <w:rPr>
          <w:b/>
          <w:noProof/>
          <w:szCs w:val="24"/>
        </w:rPr>
      </w:pPr>
      <w:r>
        <w:rPr>
          <w:b/>
          <w:noProof/>
          <w:szCs w:val="24"/>
        </w:rPr>
        <w:t>EUROOPPALAISTA VIHREÄÄ JOUKKOLAINAA KOSKEVA VUOTUINEN KOHDENTAMISRAPORTTI</w:t>
      </w:r>
    </w:p>
    <w:tbl>
      <w:tblPr>
        <w:tblStyle w:val="TableGrid"/>
        <w:tblW w:w="0" w:type="auto"/>
        <w:tblLook w:val="04A0" w:firstRow="1" w:lastRow="0" w:firstColumn="1" w:lastColumn="0" w:noHBand="0" w:noVBand="1"/>
      </w:tblPr>
      <w:tblGrid>
        <w:gridCol w:w="9242"/>
      </w:tblGrid>
      <w:tr>
        <w:tc>
          <w:tcPr>
            <w:tcW w:w="9242" w:type="dxa"/>
          </w:tcPr>
          <w:p>
            <w:pPr>
              <w:rPr>
                <w:noProof/>
                <w:szCs w:val="24"/>
              </w:rPr>
            </w:pPr>
            <w:r>
              <w:rPr>
                <w:noProof/>
              </w:rPr>
              <w:t xml:space="preserve"> [Jos kohdentamisraporttia tarkistetaan, otsikossa on otettava tämä huomioon]</w:t>
            </w:r>
          </w:p>
        </w:tc>
      </w:tr>
      <w:tr>
        <w:tc>
          <w:tcPr>
            <w:tcW w:w="9242" w:type="dxa"/>
          </w:tcPr>
          <w:p>
            <w:pPr>
              <w:pStyle w:val="ListParagraph"/>
              <w:numPr>
                <w:ilvl w:val="0"/>
                <w:numId w:val="12"/>
              </w:numPr>
              <w:rPr>
                <w:rFonts w:ascii="Times New Roman" w:hAnsi="Times New Roman" w:cs="Times New Roman"/>
                <w:b/>
                <w:noProof/>
                <w:sz w:val="24"/>
                <w:szCs w:val="24"/>
              </w:rPr>
            </w:pPr>
            <w:r>
              <w:rPr>
                <w:rFonts w:ascii="Times New Roman" w:hAnsi="Times New Roman"/>
                <w:b/>
                <w:noProof/>
                <w:sz w:val="24"/>
                <w:szCs w:val="24"/>
              </w:rPr>
              <w:t xml:space="preserve">Yleiset tiedot </w:t>
            </w:r>
          </w:p>
          <w:p>
            <w:pPr>
              <w:pStyle w:val="Tiret0"/>
              <w:rPr>
                <w:noProof/>
                <w:szCs w:val="24"/>
              </w:rPr>
            </w:pPr>
            <w:r>
              <w:rPr>
                <w:noProof/>
              </w:rPr>
              <w:t>[Kohdentamisraportin julkaisupäivä] [tarvittaessa lopullisen kohdentamisraportin tai tarkistetun kohdentamisraportin julkaisupäivä]]</w:t>
            </w:r>
          </w:p>
          <w:p>
            <w:pPr>
              <w:pStyle w:val="Tiret0"/>
              <w:rPr>
                <w:noProof/>
                <w:szCs w:val="24"/>
              </w:rPr>
            </w:pPr>
            <w:r>
              <w:rPr>
                <w:noProof/>
              </w:rPr>
              <w:t>[Liikkeeseenlaskijan virallinen nimi] [oikeushenkilötunnus (LEI), jos saatavilla] [verkkosivuosoite, joka antaa sijoittajille yhteystiedot, ja puhelinnumero]</w:t>
            </w:r>
          </w:p>
          <w:p>
            <w:pPr>
              <w:pStyle w:val="Tiret0"/>
              <w:rPr>
                <w:noProof/>
                <w:szCs w:val="24"/>
              </w:rPr>
            </w:pPr>
            <w:r>
              <w:rPr>
                <w:noProof/>
              </w:rPr>
              <w:t>[Liikkeeseenlaskijan antama joukkolainan nimi] [kansainväliset arvopaperien tunnistenumerot (ISIN), jos saatavilla]</w:t>
            </w:r>
          </w:p>
          <w:p>
            <w:pPr>
              <w:pStyle w:val="Tiret0"/>
              <w:rPr>
                <w:noProof/>
                <w:szCs w:val="24"/>
              </w:rPr>
            </w:pPr>
            <w:r>
              <w:rPr>
                <w:noProof/>
              </w:rPr>
              <w:t>[jos kohdentamisraporttia on muutettu liikkeeseenlaskun jälkeen, liikkeeseenlaskijan nimi- ja yhteystiedot, mukaan lukien verkkosivuosoite, joka antaa sijoittajille yhteystiedot, ja puhelinnumero]</w:t>
            </w:r>
          </w:p>
          <w:p>
            <w:pPr>
              <w:pStyle w:val="Point0number"/>
              <w:numPr>
                <w:ilvl w:val="0"/>
                <w:numId w:val="0"/>
              </w:numPr>
              <w:spacing w:before="0" w:after="0"/>
              <w:ind w:left="720"/>
              <w:rPr>
                <w:noProof/>
                <w:szCs w:val="24"/>
              </w:rPr>
            </w:pPr>
          </w:p>
        </w:tc>
      </w:tr>
      <w:tr>
        <w:tc>
          <w:tcPr>
            <w:tcW w:w="9242" w:type="dxa"/>
          </w:tcPr>
          <w:p>
            <w:pPr>
              <w:pStyle w:val="ListParagraph"/>
              <w:numPr>
                <w:ilvl w:val="0"/>
                <w:numId w:val="12"/>
              </w:numPr>
              <w:rPr>
                <w:rFonts w:ascii="Times New Roman" w:hAnsi="Times New Roman" w:cs="Times New Roman"/>
                <w:b/>
                <w:noProof/>
                <w:sz w:val="24"/>
                <w:szCs w:val="24"/>
              </w:rPr>
            </w:pPr>
            <w:r>
              <w:rPr>
                <w:rFonts w:ascii="Times New Roman" w:hAnsi="Times New Roman"/>
                <w:b/>
                <w:noProof/>
                <w:sz w:val="24"/>
                <w:szCs w:val="24"/>
              </w:rPr>
              <w:t xml:space="preserve">Eurooppalaisia vihreitä joukkolainoja koskevan asetuksen vaatimusten noudattaminen </w:t>
            </w:r>
          </w:p>
          <w:p>
            <w:pPr>
              <w:rPr>
                <w:noProof/>
                <w:szCs w:val="24"/>
              </w:rPr>
            </w:pPr>
            <w:r>
              <w:rPr>
                <w:noProof/>
              </w:rPr>
              <w:t>[Ilmoitus siitä, että varat on kohdennettu tämän asetuksen vaatimusten mukaisesti]</w:t>
            </w:r>
          </w:p>
        </w:tc>
      </w:tr>
      <w:tr>
        <w:tc>
          <w:tcPr>
            <w:tcW w:w="9242" w:type="dxa"/>
          </w:tcPr>
          <w:p>
            <w:pPr>
              <w:spacing w:after="240"/>
              <w:rPr>
                <w:b/>
                <w:noProof/>
                <w:szCs w:val="24"/>
              </w:rPr>
            </w:pPr>
            <w:r>
              <w:rPr>
                <w:b/>
                <w:noProof/>
                <w:szCs w:val="24"/>
              </w:rPr>
              <w:t xml:space="preserve">3. Joukkolainalla hankittujen varojen kohdentaminen </w:t>
            </w:r>
          </w:p>
          <w:p>
            <w:pPr>
              <w:rPr>
                <w:noProof/>
                <w:szCs w:val="24"/>
              </w:rPr>
            </w:pPr>
            <w:r>
              <w:rPr>
                <w:noProof/>
              </w:rPr>
              <w:t xml:space="preserve">A. Muut kuin jäljempänä B kohdassa tarkoitetut liikkeeseenlaskijat: </w:t>
            </w:r>
          </w:p>
          <w:p>
            <w:pPr>
              <w:rPr>
                <w:noProof/>
                <w:szCs w:val="24"/>
              </w:rPr>
            </w:pPr>
            <w:r>
              <w:rPr>
                <w:noProof/>
              </w:rPr>
              <w:t>[liikkeeseenlaskijan on toimitettava hanketasolla seuraavat tiedot, paitsi jos luottamuksellisuutta koskevat sopimukset, kilpailunäkökohdat tai suuri määrä hyväksyttäviä hankkeita rajoittaa saataville asetettavan yksityiskohtaisuuden määrää. Tässä tapauksessa tiedot on toimitettava vähintään kootusti, sekä selvitys siitä, miksi hanketason tietoja ei anneta:</w:t>
            </w:r>
          </w:p>
          <w:p>
            <w:pPr>
              <w:pStyle w:val="Tiret0"/>
              <w:rPr>
                <w:noProof/>
                <w:szCs w:val="24"/>
              </w:rPr>
            </w:pPr>
            <w:r>
              <w:rPr>
                <w:noProof/>
              </w:rPr>
              <w:t>Asetuksen 2020/852 9 artiklassa tarkoitetut ympäristötavoitteet</w:t>
            </w:r>
          </w:p>
          <w:p>
            <w:pPr>
              <w:pStyle w:val="Tiret0"/>
              <w:rPr>
                <w:noProof/>
                <w:szCs w:val="24"/>
              </w:rPr>
            </w:pPr>
            <w:r>
              <w:rPr>
                <w:noProof/>
              </w:rPr>
              <w:t>Hankkeiden tyypit, toimialat ja vastaavat NACE-koodit asetuksella (EY) N:o 1893/2006</w:t>
            </w:r>
            <w:r>
              <w:rPr>
                <w:rStyle w:val="FootnoteReference"/>
                <w:noProof/>
              </w:rPr>
              <w:footnoteReference w:id="2"/>
            </w:r>
            <w:r>
              <w:rPr>
                <w:noProof/>
              </w:rPr>
              <w:t xml:space="preserve"> vahvistetun tilastollisen toimialaluokituksen mukaisesti</w:t>
            </w:r>
          </w:p>
          <w:p>
            <w:pPr>
              <w:pStyle w:val="Tiret0"/>
              <w:rPr>
                <w:noProof/>
                <w:szCs w:val="24"/>
              </w:rPr>
            </w:pPr>
            <w:r>
              <w:rPr>
                <w:noProof/>
              </w:rPr>
              <w:t>Maat, joihin joukkolainalla hankitut varat on kohdennettu</w:t>
            </w:r>
          </w:p>
          <w:p>
            <w:pPr>
              <w:pStyle w:val="Tiret0"/>
              <w:rPr>
                <w:noProof/>
                <w:szCs w:val="24"/>
              </w:rPr>
            </w:pPr>
            <w:r>
              <w:rPr>
                <w:noProof/>
              </w:rPr>
              <w:t>Joukkolainalla hankituista varoista kohdennettu määrä sekä varojen prosenttiosuus, joka kohdennetaan joukkolainan liikkeeseenlaskun jälkeen rahoitettaviin hankkeisiin ja ennen joukkolainan liikkeeseenlaskua rahoitettaviin hankkeisiin</w:t>
            </w:r>
          </w:p>
          <w:p>
            <w:pPr>
              <w:pStyle w:val="Tiret0"/>
              <w:rPr>
                <w:noProof/>
                <w:szCs w:val="24"/>
              </w:rPr>
            </w:pPr>
            <w:r>
              <w:rPr>
                <w:noProof/>
              </w:rPr>
              <w:t>Jos liikkeeseenlaskija on valtio ja joukkolainoilla hankitut varat kohdennetaan 4 artiklan 2 kohdan c alakohdassa tarkoitettuihin verohelpotuksiin, arvio hyväksyttävään verohelpotukseen liittyvästä tulonmenetyksestä</w:t>
            </w:r>
          </w:p>
          <w:p>
            <w:pPr>
              <w:pStyle w:val="Tiret0"/>
              <w:rPr>
                <w:noProof/>
                <w:szCs w:val="24"/>
              </w:rPr>
            </w:pPr>
            <w:r>
              <w:rPr>
                <w:noProof/>
              </w:rPr>
              <w:t>Jos joukkolainalla osarahoitetaan vaatimukset täyttäviä hankkeita, maininta joukkolainalla rahoitetusta osuudesta</w:t>
            </w:r>
          </w:p>
          <w:p>
            <w:pPr>
              <w:pStyle w:val="Tiret0"/>
              <w:rPr>
                <w:noProof/>
                <w:szCs w:val="24"/>
              </w:rPr>
            </w:pPr>
            <w:r>
              <w:rPr>
                <w:noProof/>
              </w:rPr>
              <w:t>Niiden omaisuuserien osalta, joita luokitusjärjestelmän mukaiseksi saattamista koskeva suunnitelma koskee: suunnitelman täytäntöönpanon edistyminen raportointikauden aikana ja arvioitu valmistumispäivä</w:t>
            </w:r>
          </w:p>
          <w:p>
            <w:pPr>
              <w:pStyle w:val="Tiret0"/>
              <w:rPr>
                <w:noProof/>
                <w:szCs w:val="24"/>
              </w:rPr>
            </w:pPr>
            <w:r>
              <w:rPr>
                <w:noProof/>
              </w:rPr>
              <w:t>Vahvistus asetuksen (EU) 2020/852 3 artiklan c alakohdan noudattamisesta (vähimmäistason suojatoimet)</w:t>
            </w:r>
          </w:p>
          <w:p>
            <w:pPr>
              <w:pStyle w:val="Tiret0"/>
              <w:rPr>
                <w:noProof/>
                <w:szCs w:val="24"/>
              </w:rPr>
            </w:pPr>
            <w:r>
              <w:rPr>
                <w:noProof/>
              </w:rPr>
              <w:t>Tieto siitä, mitä asetuksen (EU) 2020/852 10 artiklan 3 kohdan, 11 artiklan 3 kohdan, 12 artiklan 2 kohdan, 13 artiklan 2 kohdan, 14 artiklan 2 kohdan tai 15 artiklan 2 kohdan mukaisesti hyväksyttyjä delegoituja säädöksiä käytettiin luokitusjärjestelmän teknisten arviointikriteerien määrittämiseen, ja niiden soveltamispäivät]</w:t>
            </w:r>
          </w:p>
          <w:p>
            <w:pPr>
              <w:pStyle w:val="ListParagraph"/>
              <w:spacing w:after="0" w:line="240" w:lineRule="auto"/>
              <w:jc w:val="both"/>
              <w:rPr>
                <w:rFonts w:ascii="Times New Roman" w:hAnsi="Times New Roman" w:cs="Times New Roman"/>
                <w:noProof/>
                <w:sz w:val="24"/>
                <w:szCs w:val="24"/>
              </w:rPr>
            </w:pPr>
          </w:p>
          <w:p>
            <w:pPr>
              <w:pStyle w:val="NormalWeb"/>
              <w:spacing w:before="0" w:beforeAutospacing="0" w:after="240" w:afterAutospacing="0"/>
              <w:jc w:val="both"/>
              <w:rPr>
                <w:noProof/>
              </w:rPr>
            </w:pPr>
            <w:r>
              <w:rPr>
                <w:noProof/>
              </w:rPr>
              <w:t>B. Liikkeeseenlaskijat, jotka ovat sellaisia rahoitusalan yrityksiä, jotka kohdentavat useista eurooppalaisista vihreistä joukkolainoista muodostuvasta salkusta saadut varat 5 artiklassa tarkoitetuista rahoitusvaroista muodostuvaan salkkuun:</w:t>
            </w:r>
          </w:p>
          <w:p>
            <w:pPr>
              <w:pStyle w:val="NormalWeb"/>
              <w:spacing w:before="0" w:beforeAutospacing="0" w:after="240" w:afterAutospacing="0"/>
              <w:jc w:val="both"/>
              <w:rPr>
                <w:noProof/>
              </w:rPr>
            </w:pPr>
            <w:r>
              <w:rPr>
                <w:noProof/>
              </w:rPr>
              <w:t xml:space="preserve">[Jaksossa ”Joukkolainalla hankittujen varojen kohdentaminen” pitää olla seuraavat tiedot: </w:t>
            </w:r>
          </w:p>
          <w:p>
            <w:pPr>
              <w:pStyle w:val="Tiret0"/>
              <w:rPr>
                <w:noProof/>
                <w:szCs w:val="24"/>
              </w:rPr>
            </w:pPr>
            <w:r>
              <w:rPr>
                <w:noProof/>
              </w:rPr>
              <w:t>Yleiskatsaus kaikista liikkeessä olevista eurooppalaisista vihreistä joukkolainoista sekä niiden yksittäisistä arvoista yhteenlasketusta arvosta</w:t>
            </w:r>
          </w:p>
          <w:p>
            <w:pPr>
              <w:pStyle w:val="Tiret0"/>
              <w:rPr>
                <w:noProof/>
                <w:szCs w:val="24"/>
              </w:rPr>
            </w:pPr>
            <w:r>
              <w:rPr>
                <w:noProof/>
              </w:rPr>
              <w:t>Yleiskatsaus 5 artiklassa tarkoitetuista hyväksyttävistä rahoitusvaroista liikkeeseenlaskijan taseessa sekä seuraavat tiedot:</w:t>
            </w:r>
          </w:p>
          <w:p>
            <w:pPr>
              <w:pStyle w:val="ListParagraph"/>
              <w:numPr>
                <w:ilvl w:val="0"/>
                <w:numId w:val="17"/>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niiden jaksotettu kokonaisarvo, </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asetuksen 2020/852 9 artiklassa tarkoitetut ympäristötavoitteet,</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niiden tyypit, toimialat ja maat,</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jos joukkolainalla osarahoitetaan vaatimukset täyttäviä hankkeita, maininta joukkolainalla rahoitetusta osuudesta, jos tieto on saatavilla,</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tiedot siitä, mitä asetuksen (EU) 2020/852 10 artiklan 3 kohdan, 11 artiklan 3 kohdan, 12 artiklan 2 kohdan, 13 artiklan 2 kohdan, 14 artiklan 2 kohdan tai 15 artiklan 2 kohdan mukaisesti hyväksyttyjä delegoituja säädöksiä käytettiin luokitusjärjestelmän teknisten arviointikriteerien määrittämiseen; tiedot on annettava vähintään toimialan ja maan tasolla ja tarvittaessa yksittäisten omaisuuserien tasolla,</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tarvittaessa kunkin omaisuuserän tai omaisuuseräryhmän arvo</w:t>
            </w:r>
          </w:p>
          <w:p>
            <w:pPr>
              <w:pStyle w:val="Tiret0"/>
              <w:rPr>
                <w:noProof/>
              </w:rPr>
            </w:pPr>
            <w:r>
              <w:rPr>
                <w:noProof/>
              </w:rPr>
              <w:t>Liikkeessä olevien eurooppalaisten vihreiden joukkolainojen kokonaisarvon ja 5 artiklassa tarkoitettujen hyväksyttävien rahoitusvarojen jaksotetun kokonaisarvon vertailu. Vertailusta on käytävä ilmi, että jälkimmäisen arvo on joko yhtä suuri tai suurempi kuin ensin mainitun arvo.</w:t>
            </w:r>
          </w:p>
          <w:p>
            <w:pPr>
              <w:pStyle w:val="Tiret0"/>
              <w:rPr>
                <w:noProof/>
              </w:rPr>
            </w:pPr>
            <w:r>
              <w:rPr>
                <w:noProof/>
              </w:rPr>
              <w:t xml:space="preserve">Edellä mainittua vertailua varten liikkeessä olevien eurooppalaisten vihreiden joukkolainojen kokonaisarvon on perustuttava kyseisen liikkeeseenlaskijan liikkeeseen laskemien joukkolainojen vuosineljännesten lopun vuotuiseen keskiarvoon, ja rahoitusvarojen jaksotetun kokonaisarvon on perustuttava tällaisten omaisuuserien vuosineljännesten lopun vuotuiseen keskiarvoon liikkeeseenlaskijan taseessa.] </w:t>
            </w:r>
          </w:p>
        </w:tc>
      </w:tr>
      <w:tr>
        <w:tc>
          <w:tcPr>
            <w:tcW w:w="9242" w:type="dxa"/>
          </w:tcPr>
          <w:p>
            <w:pPr>
              <w:pStyle w:val="ListParagraph"/>
              <w:numPr>
                <w:ilvl w:val="0"/>
                <w:numId w:val="13"/>
              </w:numPr>
              <w:rPr>
                <w:rFonts w:ascii="Times New Roman" w:hAnsi="Times New Roman" w:cs="Times New Roman"/>
                <w:b/>
                <w:noProof/>
                <w:sz w:val="24"/>
                <w:szCs w:val="24"/>
              </w:rPr>
            </w:pPr>
            <w:r>
              <w:rPr>
                <w:rFonts w:ascii="Times New Roman" w:hAnsi="Times New Roman"/>
                <w:b/>
                <w:noProof/>
                <w:sz w:val="24"/>
                <w:szCs w:val="24"/>
              </w:rPr>
              <w:t>Joukkolainalla hankittujen varojen ympäristövaikutukset</w:t>
            </w:r>
          </w:p>
          <w:p>
            <w:pPr>
              <w:pStyle w:val="NormalWeb"/>
              <w:spacing w:before="0" w:beforeAutospacing="0" w:after="240" w:afterAutospacing="0"/>
              <w:jc w:val="both"/>
              <w:rPr>
                <w:b/>
                <w:noProof/>
              </w:rPr>
            </w:pPr>
            <w:r>
              <w:rPr>
                <w:noProof/>
              </w:rPr>
              <w:t>[Tämän kertomuksen osalta ei tarvita tietoja]</w:t>
            </w:r>
          </w:p>
        </w:tc>
      </w:tr>
      <w:tr>
        <w:tc>
          <w:tcPr>
            <w:tcW w:w="9242" w:type="dxa"/>
          </w:tcPr>
          <w:p>
            <w:pPr>
              <w:pStyle w:val="NormalWeb"/>
              <w:numPr>
                <w:ilvl w:val="0"/>
                <w:numId w:val="13"/>
              </w:numPr>
              <w:spacing w:before="0" w:beforeAutospacing="0" w:after="240" w:afterAutospacing="0"/>
              <w:jc w:val="both"/>
              <w:rPr>
                <w:b/>
                <w:noProof/>
              </w:rPr>
            </w:pPr>
            <w:r>
              <w:rPr>
                <w:b/>
                <w:noProof/>
              </w:rPr>
              <w:t>Muut merkitykselliset tiedot</w:t>
            </w:r>
          </w:p>
        </w:tc>
      </w:tr>
    </w:tbl>
    <w:p>
      <w:pPr>
        <w:rPr>
          <w:noProof/>
          <w:szCs w:val="24"/>
        </w:rPr>
        <w:sectPr>
          <w:pgSz w:w="11907" w:h="16839"/>
          <w:pgMar w:top="1134" w:right="1417" w:bottom="1134" w:left="1417" w:header="709" w:footer="709" w:gutter="0"/>
          <w:cols w:space="720"/>
          <w:docGrid w:linePitch="360"/>
        </w:sectPr>
      </w:pPr>
    </w:p>
    <w:p>
      <w:pPr>
        <w:pStyle w:val="Annexetitre"/>
        <w:rPr>
          <w:noProof/>
          <w:szCs w:val="24"/>
        </w:rPr>
      </w:pPr>
      <w:r>
        <w:rPr>
          <w:noProof/>
          <w:szCs w:val="24"/>
          <w:u w:val="none"/>
        </w:rPr>
        <w:t xml:space="preserve">LIITE </w:t>
      </w:r>
      <w:r>
        <w:rPr>
          <w:noProof/>
        </w:rPr>
        <w:t>III</w:t>
      </w:r>
    </w:p>
    <w:p>
      <w:pPr>
        <w:jc w:val="center"/>
        <w:rPr>
          <w:b/>
          <w:noProof/>
          <w:szCs w:val="24"/>
        </w:rPr>
      </w:pPr>
      <w:r>
        <w:rPr>
          <w:b/>
          <w:noProof/>
          <w:szCs w:val="24"/>
        </w:rPr>
        <w:t>EUROOPPALAISTA VIHREÄÄ JOUKKOLAINAA KOSKEVA VAIKUTUSRAPORTTI</w:t>
      </w:r>
    </w:p>
    <w:tbl>
      <w:tblPr>
        <w:tblStyle w:val="TableGrid"/>
        <w:tblW w:w="0" w:type="auto"/>
        <w:tblLook w:val="04A0" w:firstRow="1" w:lastRow="0" w:firstColumn="1" w:lastColumn="0" w:noHBand="0" w:noVBand="1"/>
      </w:tblPr>
      <w:tblGrid>
        <w:gridCol w:w="9242"/>
      </w:tblGrid>
      <w:tr>
        <w:tc>
          <w:tcPr>
            <w:tcW w:w="9242" w:type="dxa"/>
          </w:tcPr>
          <w:p>
            <w:pPr>
              <w:rPr>
                <w:noProof/>
                <w:szCs w:val="24"/>
              </w:rPr>
            </w:pPr>
            <w:r>
              <w:rPr>
                <w:noProof/>
              </w:rPr>
              <w:t xml:space="preserve"> [Jos vaikutusraporttia tarkistetaan, otsikossa on otettava tämä huomioon]</w:t>
            </w: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 xml:space="preserve">Yleiset tiedot </w:t>
            </w:r>
          </w:p>
          <w:p>
            <w:pPr>
              <w:pStyle w:val="Tiret0"/>
              <w:rPr>
                <w:noProof/>
              </w:rPr>
            </w:pPr>
            <w:r>
              <w:rPr>
                <w:noProof/>
              </w:rPr>
              <w:t xml:space="preserve">[Vaikutusraportin julkaisupäivä] [tarvittaessa tarkistetun vaikutusraportin julkaisupäivä] </w:t>
            </w:r>
          </w:p>
          <w:p>
            <w:pPr>
              <w:pStyle w:val="Tiret0"/>
              <w:rPr>
                <w:noProof/>
              </w:rPr>
            </w:pPr>
            <w:r>
              <w:rPr>
                <w:noProof/>
              </w:rPr>
              <w:t>[Liikkeeseenlaskijan virallinen nimi] [oikeushenkilötunnus (LEI), jos saatavilla] [verkkosivuosoite, joka antaa sijoittajille yhteystiedot, ja puhelinnumero]</w:t>
            </w:r>
          </w:p>
          <w:p>
            <w:pPr>
              <w:pStyle w:val="Tiret0"/>
              <w:rPr>
                <w:noProof/>
              </w:rPr>
            </w:pPr>
            <w:r>
              <w:rPr>
                <w:noProof/>
              </w:rPr>
              <w:t>[Liikkeeseenlaskijan antama joukkolainan nimi] [kansainväliset arvopaperien tunnistenumerot (ISIN), jos saatavilla]</w:t>
            </w:r>
          </w:p>
          <w:p>
            <w:pPr>
              <w:pStyle w:val="Tiret0"/>
              <w:rPr>
                <w:noProof/>
              </w:rPr>
            </w:pPr>
            <w:r>
              <w:rPr>
                <w:noProof/>
              </w:rPr>
              <w:t>[Jos ulkopuolinen arvioija on arvioinut vaikutusraportin, ulkopuolisen arvioijan nimi- ja yhteystiedot, mukaan lukien verkkosivuosoite, joka antaa sijoittajille yhteystiedot, ja puhelinnumero]</w:t>
            </w:r>
          </w:p>
          <w:p>
            <w:pPr>
              <w:pStyle w:val="Point0number"/>
              <w:numPr>
                <w:ilvl w:val="0"/>
                <w:numId w:val="0"/>
              </w:numPr>
              <w:spacing w:before="0" w:after="0"/>
              <w:ind w:left="720"/>
              <w:rPr>
                <w:noProof/>
                <w:szCs w:val="24"/>
              </w:rPr>
            </w:pP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Ympäristöstrategia ja perustelut</w:t>
            </w:r>
          </w:p>
          <w:p>
            <w:pPr>
              <w:pStyle w:val="Tiret0"/>
              <w:rPr>
                <w:noProof/>
              </w:rPr>
            </w:pPr>
            <w:r>
              <w:rPr>
                <w:noProof/>
              </w:rPr>
              <w:t>[Tiedot siitä, miten joukkolaina vastaa liikkeeseenlaskijan laajempaa ympäristöstrategiaa, joka esitetään tietokoosteessa]</w:t>
            </w:r>
          </w:p>
          <w:p>
            <w:pPr>
              <w:pStyle w:val="Tiret0"/>
              <w:rPr>
                <w:noProof/>
              </w:rPr>
            </w:pPr>
            <w:r>
              <w:rPr>
                <w:noProof/>
              </w:rPr>
              <w:t>[Tarvittaessa selvitys liikkeeseenlaskijan laajemman ympäristöstrategian muutoksista tietosivun julkaisemisen jälkeen]</w:t>
            </w:r>
          </w:p>
          <w:p>
            <w:pPr>
              <w:pStyle w:val="Tiret0"/>
              <w:rPr>
                <w:noProof/>
                <w:szCs w:val="24"/>
              </w:rPr>
            </w:pPr>
            <w:r>
              <w:rPr>
                <w:noProof/>
              </w:rPr>
              <w:t>[Asetuksen 2020/852 9 artiklassa tarkoitetut ympäristötavoitteet, joihin joukkolainalla pyritään]</w:t>
            </w: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Joukkolainalla hankittujen varojen kohdentaminen</w:t>
            </w:r>
          </w:p>
          <w:p>
            <w:pPr>
              <w:rPr>
                <w:noProof/>
                <w:szCs w:val="24"/>
              </w:rPr>
            </w:pPr>
            <w:r>
              <w:rPr>
                <w:noProof/>
              </w:rPr>
              <w:t>[Liikkeeseenlaskijan on toimitettava hanketasolla seuraavat tiedot, paitsi jos luottamuksellisuutta koskevat sopimukset, kilpailunäkökohdat tai suuri määrä hyväksyttäviä hankkeita rajoittaa saataville asetettavan yksityiskohtaisuuden määrää. Tässä tapauksessa tiedot on toimitettava vähintään kootusti, sekä selvitys siitä, miksi hanketason tietoja ei anneta:</w:t>
            </w:r>
          </w:p>
          <w:p>
            <w:pPr>
              <w:pStyle w:val="Tiret0"/>
              <w:rPr>
                <w:noProof/>
              </w:rPr>
            </w:pPr>
            <w:r>
              <w:rPr>
                <w:noProof/>
              </w:rPr>
              <w:t>asetuksen 2020/852 9 artiklassa tarkoitetut ympäristötavoitteet,</w:t>
            </w:r>
          </w:p>
          <w:p>
            <w:pPr>
              <w:pStyle w:val="Tiret0"/>
              <w:rPr>
                <w:noProof/>
              </w:rPr>
            </w:pPr>
            <w:r>
              <w:rPr>
                <w:noProof/>
              </w:rPr>
              <w:t>hanketyypit ja -alat sekä maat, joihin joukkolainoilla hankitut varat on kohdennettu,</w:t>
            </w:r>
          </w:p>
          <w:p>
            <w:pPr>
              <w:pStyle w:val="Tiret0"/>
              <w:rPr>
                <w:noProof/>
              </w:rPr>
            </w:pPr>
            <w:r>
              <w:rPr>
                <w:noProof/>
              </w:rPr>
              <w:t>joukkolainalla hankituista varoista kohdennettava määrä sekä varojen prosenttiosuus, joka kohdennetaan joukkolainan liikkeeseenlaskun jälkeen rahoitettaviin hankkeisiin ja ennen joukkolainan liikkeeseenlaskua rahoitettaviin hankkeisiin,</w:t>
            </w:r>
          </w:p>
          <w:p>
            <w:pPr>
              <w:pStyle w:val="Tiret0"/>
              <w:rPr>
                <w:noProof/>
              </w:rPr>
            </w:pPr>
            <w:r>
              <w:rPr>
                <w:noProof/>
              </w:rPr>
              <w:t>jos liikkeeseenlaskija on valtio ja joukkolainoilla hankitut varat kohdennetaan 4 artiklan 2 kohdan c alakohdassa tarkoitettuihin verohelpotuksiin, arvio hyväksyttävään verohelpotukseen liittyvästä tulonmenetyksestä,</w:t>
            </w:r>
          </w:p>
          <w:p>
            <w:pPr>
              <w:pStyle w:val="Tiret0"/>
              <w:rPr>
                <w:noProof/>
              </w:rPr>
            </w:pPr>
            <w:r>
              <w:rPr>
                <w:noProof/>
              </w:rPr>
              <w:t>jos joukkolainalla osarahoitetaan vaatimukset täyttäviä hankkeita, maininta joukkolainalla rahoitetusta osuudesta,</w:t>
            </w:r>
          </w:p>
          <w:p>
            <w:pPr>
              <w:pStyle w:val="Tiret0"/>
              <w:rPr>
                <w:noProof/>
              </w:rPr>
            </w:pPr>
            <w:r>
              <w:rPr>
                <w:noProof/>
              </w:rPr>
              <w:t>tarvittaessa tiedot niistä omaisuuseristä, joita luokitusjärjestelmän mukaiseksi saattamista koskeva suunnitelma koski, kunkin järjestelyn kestosta ja kunkin omaisuuserän valmistumispäivästä,</w:t>
            </w:r>
          </w:p>
          <w:p>
            <w:pPr>
              <w:pStyle w:val="Tiret0"/>
              <w:rPr>
                <w:noProof/>
              </w:rPr>
            </w:pPr>
            <w:r>
              <w:rPr>
                <w:noProof/>
              </w:rPr>
              <w:t>tieto siitä, mitä asetuksen (EU) 2020/852 10 artiklan 3 kohdan, 11 artiklan 3 kohdan, 12 artiklan 2 kohdan, 13 artiklan 2 kohdan, 14 artiklan 2 kohdan tai 15 artiklan 2 kohdan mukaisesti hyväksyttyjä delegoituja säädöksiä käytettiin luokitusjärjestelmän teknisten arviointikriteerien määrittämiseen, ja niiden soveltamispäivät]</w:t>
            </w:r>
          </w:p>
          <w:p>
            <w:pPr>
              <w:rPr>
                <w:noProof/>
                <w:szCs w:val="24"/>
              </w:rPr>
            </w:pP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Joukkolainalla hankittujen varojen ympäristövaikutukset</w:t>
            </w:r>
          </w:p>
          <w:p>
            <w:pPr>
              <w:pStyle w:val="Tiret0"/>
              <w:rPr>
                <w:noProof/>
              </w:rPr>
            </w:pPr>
            <w:r>
              <w:rPr>
                <w:noProof/>
              </w:rPr>
              <w:t>[Arvio myönteisistä ja haitallisista ympäristövaikutuksista kootussa muodossa]</w:t>
            </w:r>
          </w:p>
          <w:p>
            <w:pPr>
              <w:pStyle w:val="Tiret0"/>
              <w:rPr>
                <w:noProof/>
              </w:rPr>
            </w:pPr>
            <w:r>
              <w:rPr>
                <w:noProof/>
              </w:rPr>
              <w:t xml:space="preserve"> [Tiedot menetelmistä ja oletuksista, joita on käytetty hankkeiden vaikutusten arvioinnissa, jos nämä tiedot eivät sisälly eurooppalaista vihreää joukkolainaa koskevaan tietokoosteeseen]</w:t>
            </w:r>
          </w:p>
          <w:p>
            <w:pPr>
              <w:pStyle w:val="Tiret0"/>
              <w:rPr>
                <w:noProof/>
              </w:rPr>
            </w:pPr>
            <w:r>
              <w:rPr>
                <w:noProof/>
              </w:rPr>
              <w:t>[Tiedot hankkeiden myönteisistä ja kielteisistä ympäristövaikutuksista ja, jos saatavilla, niihin liittyvistä mittareista. Jos näitä hanketason tietoja ei ole saatavilla, tämä on perusteltava]</w:t>
            </w:r>
          </w:p>
          <w:p>
            <w:pPr>
              <w:pStyle w:val="ListParagraph"/>
              <w:spacing w:after="0" w:line="240" w:lineRule="auto"/>
              <w:ind w:left="360"/>
              <w:jc w:val="both"/>
              <w:rPr>
                <w:rFonts w:ascii="Times New Roman" w:hAnsi="Times New Roman" w:cs="Times New Roman"/>
                <w:noProof/>
                <w:sz w:val="24"/>
                <w:szCs w:val="24"/>
              </w:rPr>
            </w:pPr>
          </w:p>
          <w:p>
            <w:pPr>
              <w:pStyle w:val="Point1letter"/>
              <w:numPr>
                <w:ilvl w:val="3"/>
                <w:numId w:val="0"/>
              </w:numPr>
              <w:spacing w:before="0" w:after="0"/>
              <w:ind w:left="360"/>
              <w:rPr>
                <w:noProof/>
                <w:szCs w:val="24"/>
              </w:rPr>
            </w:pP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Muut merkitykselliset tiedot</w:t>
            </w:r>
          </w:p>
        </w:tc>
      </w:tr>
    </w:tbl>
    <w:p>
      <w:pPr>
        <w:pStyle w:val="Annexetitre"/>
        <w:rPr>
          <w:noProof/>
          <w:szCs w:val="24"/>
        </w:rPr>
      </w:pPr>
      <w:r>
        <w:rPr>
          <w:noProof/>
        </w:rPr>
        <w:t xml:space="preserve">LIITE IV: </w:t>
      </w:r>
    </w:p>
    <w:p>
      <w:pPr>
        <w:jc w:val="center"/>
        <w:rPr>
          <w:b/>
          <w:noProof/>
          <w:szCs w:val="24"/>
        </w:rPr>
      </w:pPr>
      <w:r>
        <w:rPr>
          <w:b/>
          <w:noProof/>
          <w:szCs w:val="24"/>
        </w:rPr>
        <w:t>LIIKKEESEENLASKUA EDELTÄVIEN JA LIIKKEESEENLASKUN JÄLKEISTEN ARVIOINTIEN SISÄLTÖ</w:t>
      </w:r>
    </w:p>
    <w:tbl>
      <w:tblPr>
        <w:tblStyle w:val="TableGrid"/>
        <w:tblW w:w="0" w:type="auto"/>
        <w:tblLook w:val="04A0" w:firstRow="1" w:lastRow="0" w:firstColumn="1" w:lastColumn="0" w:noHBand="0" w:noVBand="1"/>
      </w:tblPr>
      <w:tblGrid>
        <w:gridCol w:w="9242"/>
      </w:tblGrid>
      <w:tr>
        <w:tc>
          <w:tcPr>
            <w:tcW w:w="9242" w:type="dxa"/>
          </w:tcPr>
          <w:p>
            <w:pPr>
              <w:rPr>
                <w:noProof/>
                <w:szCs w:val="24"/>
              </w:rPr>
            </w:pPr>
            <w:r>
              <w:rPr>
                <w:noProof/>
              </w:rPr>
              <w:t>Asiakirjan ensimmäisen sivun yläreunassa on oltava näkyvästi otsikko ”Liikkeeseenlaskua edeltävä arviointi” tai ”Liikkeeseenlaskun jälkeinen arviointi”.</w:t>
            </w: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 xml:space="preserve">Yleiset tiedot </w:t>
            </w:r>
          </w:p>
          <w:p>
            <w:pPr>
              <w:pStyle w:val="Tiret0"/>
              <w:rPr>
                <w:noProof/>
              </w:rPr>
            </w:pPr>
            <w:r>
              <w:rPr>
                <w:noProof/>
              </w:rPr>
              <w:t>[Liikkeeseenlaskua edeltävän tai sen jälkeisen arvioinnin julkaisupäivä]</w:t>
            </w:r>
          </w:p>
          <w:p>
            <w:pPr>
              <w:pStyle w:val="Tiret0"/>
              <w:rPr>
                <w:noProof/>
              </w:rPr>
            </w:pPr>
            <w:r>
              <w:rPr>
                <w:noProof/>
              </w:rPr>
              <w:t xml:space="preserve">[Liikkeeseenlaskijan virallinen nimi] </w:t>
            </w:r>
          </w:p>
          <w:p>
            <w:pPr>
              <w:pStyle w:val="Tiret0"/>
              <w:rPr>
                <w:noProof/>
              </w:rPr>
            </w:pPr>
            <w:r>
              <w:rPr>
                <w:noProof/>
              </w:rPr>
              <w:t>[Liikkeeseenlaskijan antama joukkolainan nimi] [kansainväliset arvopaperien tunnistenumerot (ISIN), jos saatavilla]</w:t>
            </w:r>
          </w:p>
          <w:p>
            <w:pPr>
              <w:pStyle w:val="Tiret0"/>
              <w:rPr>
                <w:noProof/>
              </w:rPr>
            </w:pPr>
            <w:r>
              <w:rPr>
                <w:noProof/>
              </w:rPr>
              <w:t>[Liikkeeseenlaskijan nimi- ja yhteystiedot, mukaan lukien verkkosivuosoite, joka antaa sijoittajille yhteystiedot, ja puhelinnumero]</w:t>
            </w:r>
          </w:p>
          <w:p>
            <w:pPr>
              <w:pStyle w:val="Tiret0"/>
              <w:rPr>
                <w:noProof/>
              </w:rPr>
            </w:pPr>
            <w:r>
              <w:rPr>
                <w:noProof/>
              </w:rPr>
              <w:t>[Pääanalyytikon nimi ja tehtävänimike tietyssä arviointitoimessa]</w:t>
            </w:r>
          </w:p>
          <w:p>
            <w:pPr>
              <w:pStyle w:val="Tiret0"/>
              <w:rPr>
                <w:noProof/>
              </w:rPr>
            </w:pPr>
            <w:r>
              <w:rPr>
                <w:noProof/>
              </w:rPr>
              <w:t>[Sen henkilön nimi ja asema, joka on ensisijaisesti vastuussa liikkeeseenlaskua edeltävän arvioinnin tai liikkeeseenlaskun jälkeisen arvioinnin]</w:t>
            </w:r>
          </w:p>
          <w:p>
            <w:pPr>
              <w:pStyle w:val="Tiret0"/>
              <w:rPr>
                <w:noProof/>
              </w:rPr>
            </w:pPr>
            <w:r>
              <w:rPr>
                <w:noProof/>
              </w:rPr>
              <w:t>[Päivämäärä, jona liikkeeseenlaskua edeltävä arviointi tai liikkeeseenlaskun jälkeinen arviointi luovutettiin jakelua varten, ja tarvittaessa päivämäärä, jona se viimeksi päivitettiin]</w:t>
            </w:r>
          </w:p>
          <w:p>
            <w:pPr>
              <w:pStyle w:val="Point0number"/>
              <w:numPr>
                <w:ilvl w:val="0"/>
                <w:numId w:val="0"/>
              </w:numPr>
              <w:spacing w:before="0" w:after="0"/>
              <w:ind w:left="850"/>
              <w:rPr>
                <w:noProof/>
                <w:szCs w:val="24"/>
              </w:rPr>
            </w:pP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Johdantolausekkeet</w:t>
            </w:r>
          </w:p>
          <w:p>
            <w:pPr>
              <w:rPr>
                <w:b/>
                <w:noProof/>
                <w:szCs w:val="24"/>
              </w:rPr>
            </w:pPr>
            <w:r>
              <w:rPr>
                <w:b/>
                <w:noProof/>
                <w:szCs w:val="24"/>
              </w:rPr>
              <w:t>[</w:t>
            </w:r>
            <w:r>
              <w:rPr>
                <w:noProof/>
              </w:rPr>
              <w:t>Liikkeeseenlaskua edeltävät arvioinnit:</w:t>
            </w:r>
            <w:r>
              <w:rPr>
                <w:b/>
                <w:noProof/>
                <w:szCs w:val="24"/>
              </w:rPr>
              <w:t xml:space="preserve"> </w:t>
            </w:r>
          </w:p>
          <w:p>
            <w:pPr>
              <w:pStyle w:val="Tiret0"/>
              <w:rPr>
                <w:noProof/>
              </w:rPr>
            </w:pPr>
            <w:r>
              <w:rPr>
                <w:noProof/>
              </w:rPr>
              <w:t>lausunto siitä, että ulkopuolinen arvioija on arvioinut liitteessä I vahvistetun eurooppalaisesta vihreästä joukkolainasta laaditun tietokoosteen tämän asetuksen mukaisesti,</w:t>
            </w:r>
          </w:p>
          <w:p>
            <w:pPr>
              <w:pStyle w:val="Tiret0"/>
              <w:rPr>
                <w:noProof/>
              </w:rPr>
            </w:pPr>
            <w:r>
              <w:rPr>
                <w:noProof/>
              </w:rPr>
              <w:t>lausunto siitä, että tämä liikkeeseenlaskua edeltävä arviointi on ulkopuolisen arvioijan riippumaton lausunto,</w:t>
            </w:r>
          </w:p>
          <w:p>
            <w:pPr>
              <w:pStyle w:val="Tiret0"/>
              <w:rPr>
                <w:noProof/>
              </w:rPr>
            </w:pPr>
            <w:r>
              <w:rPr>
                <w:noProof/>
              </w:rPr>
              <w:t>lausunto siitä, että ulkopuolisen arvioinnin yhteydessä saatuun riippumattomaan lausuntoon on tukeuduttava vain rajoitetusti]</w:t>
            </w:r>
          </w:p>
          <w:p>
            <w:pPr>
              <w:rPr>
                <w:noProof/>
                <w:szCs w:val="24"/>
              </w:rPr>
            </w:pPr>
            <w:r>
              <w:rPr>
                <w:noProof/>
              </w:rPr>
              <w:t>[Liikkeeseenlaskun jälkeiset arvioinnit:</w:t>
            </w:r>
          </w:p>
          <w:p>
            <w:pPr>
              <w:pStyle w:val="Tiret0"/>
              <w:rPr>
                <w:noProof/>
              </w:rPr>
            </w:pPr>
            <w:r>
              <w:rPr>
                <w:noProof/>
              </w:rPr>
              <w:t>lausunto siitä, että ulkopuolinen arvioija on arvioinut liitteessä II vahvistetun eurooppalaisesta vihreästä joukkolainasta laaditun kohdentamisraportin tämän asetuksen mukaisesti,</w:t>
            </w:r>
          </w:p>
          <w:p>
            <w:pPr>
              <w:pStyle w:val="Tiret0"/>
              <w:rPr>
                <w:noProof/>
              </w:rPr>
            </w:pPr>
            <w:r>
              <w:rPr>
                <w:noProof/>
              </w:rPr>
              <w:t>lausunto siitä, että tämä liikkeeseenlaskun jälkeinen arviointi on ulkopuolisen arvioijan riippumaton lausunto,</w:t>
            </w:r>
          </w:p>
          <w:p>
            <w:pPr>
              <w:pStyle w:val="Tiret0"/>
              <w:rPr>
                <w:noProof/>
              </w:rPr>
            </w:pPr>
            <w:r>
              <w:rPr>
                <w:noProof/>
              </w:rPr>
              <w:t>lausunto siitä, että ulkopuolisen arvioinnin yhteydessä saatuun riippumattomaan lausuntoon on tukeuduttava vain rajoitetusti]</w:t>
            </w: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Lausunnot eurooppalaisia vihreitä joukkolainoja koskevan asetuksen noudattamisesta</w:t>
            </w:r>
          </w:p>
          <w:p>
            <w:pPr>
              <w:pStyle w:val="Point0letter"/>
              <w:numPr>
                <w:ilvl w:val="1"/>
                <w:numId w:val="0"/>
              </w:numPr>
              <w:ind w:left="850" w:hanging="850"/>
              <w:rPr>
                <w:noProof/>
                <w:szCs w:val="24"/>
              </w:rPr>
            </w:pPr>
            <w:r>
              <w:rPr>
                <w:noProof/>
              </w:rPr>
              <w:t>[lausunto siitä, että eurooppalainen vihreä joukkolaina on tämän asetuksen mukainen, ja erityisesti:</w:t>
            </w:r>
          </w:p>
          <w:p>
            <w:pPr>
              <w:pStyle w:val="Point1letter"/>
              <w:numPr>
                <w:ilvl w:val="3"/>
                <w:numId w:val="11"/>
              </w:numPr>
              <w:rPr>
                <w:noProof/>
                <w:szCs w:val="24"/>
              </w:rPr>
            </w:pPr>
            <w:r>
              <w:rPr>
                <w:noProof/>
              </w:rPr>
              <w:t>jos riippumattoman arvioijan lausunto on myönteinen, ilmoitus siitä, että joukkolaina täyttää tämän asetuksen vaatimukset ja että kyseisestä joukkolainasta voidaan käyttää nimitystä ”eurooppalainen vihreä joukkolaina”,</w:t>
            </w:r>
          </w:p>
          <w:p>
            <w:pPr>
              <w:pStyle w:val="Point1letter"/>
              <w:numPr>
                <w:ilvl w:val="3"/>
                <w:numId w:val="11"/>
              </w:numPr>
              <w:rPr>
                <w:noProof/>
                <w:szCs w:val="24"/>
              </w:rPr>
            </w:pPr>
            <w:r>
              <w:rPr>
                <w:noProof/>
              </w:rPr>
              <w:t>jos riippumattoman arvioijan lausunto on kielteinen, ilmoitus siitä, että joukkolaina ei täytä tämän asetuksen vaatimuksia ja että kyseisestä joukkolainasta ei voida käyttää nimitystä ”eurooppalainen vihreä joukkolaina”,</w:t>
            </w:r>
          </w:p>
          <w:p>
            <w:pPr>
              <w:pStyle w:val="Point1letter"/>
              <w:numPr>
                <w:ilvl w:val="3"/>
                <w:numId w:val="11"/>
              </w:numPr>
              <w:rPr>
                <w:noProof/>
                <w:szCs w:val="24"/>
              </w:rPr>
            </w:pPr>
            <w:r>
              <w:rPr>
                <w:noProof/>
              </w:rPr>
              <w:t>jos riippumattoman arvioijan lausunto osoittaa, että liikkeeseenlaskija ei aio noudattaa tai ei pysty noudattamaan 3–7 artiklaa, maininta siitä, että nimitystä ’eurooppalainen vihreä joukkolaina’ voidaan käyttää kyseisen joukkolainan osalta ainoastaan, jos on toteutettu tarvittavat toimenpiteet sen varmistamiseksi, että joukkolaina täyttää tämän asetuksen vaatimukset]</w:t>
            </w: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Lähteet, arviointimenetelmät ja keskeiset oletukset</w:t>
            </w:r>
          </w:p>
          <w:p>
            <w:pPr>
              <w:pStyle w:val="Tiret0"/>
              <w:rPr>
                <w:noProof/>
              </w:rPr>
            </w:pPr>
            <w:r>
              <w:rPr>
                <w:noProof/>
              </w:rPr>
              <w:t>[Tiedot lähteistä, joita käytettiin liikkeeseenlaskua edeltävän arvioinnin tai liikkeeseenlaskun jälkeisen arvioinnin laatimisessa, mukaan lukien linkit mittaustietoihin ja sovellettuihin menetelmiin, jos ne ovat saatavilla]</w:t>
            </w:r>
          </w:p>
          <w:p>
            <w:pPr>
              <w:pStyle w:val="Tiret0"/>
              <w:rPr>
                <w:noProof/>
              </w:rPr>
            </w:pPr>
            <w:r>
              <w:rPr>
                <w:noProof/>
              </w:rPr>
              <w:t>[Selitys arviointimenetelmistä ja keskeisistä oletuksista]</w:t>
            </w:r>
          </w:p>
          <w:p>
            <w:pPr>
              <w:pStyle w:val="Tiret0"/>
              <w:rPr>
                <w:noProof/>
              </w:rPr>
            </w:pPr>
            <w:r>
              <w:rPr>
                <w:noProof/>
              </w:rPr>
              <w:t>[Selitys käytetyistä oletuksista ja luokitusjärjestelmän vaatimuksista, käytettyihin menetelmiin liittyvistä rajoitteista ja epävarmuustekijöistä sekä selkeä lausunto siitä, että ulkopuolinen arvioija katsoo liikkeeseenlaskijan tai asianomaisen kolmannen osapuolen toimittamien tietojen laadun olevan riittävä liikkeeseenlaskua edeltävän tai liikkeeseenlaskun jälkeisen arvioinnin suorittamiseksi; maininta siitä, onko ulkopuolinen arvioija yrittänyt todentaa näin annetut tiedot ja missä määrin]</w:t>
            </w:r>
          </w:p>
        </w:tc>
      </w:tr>
      <w:tr>
        <w:tc>
          <w:tcPr>
            <w:tcW w:w="9242" w:type="dxa"/>
          </w:tcPr>
          <w:p>
            <w:pPr>
              <w:pStyle w:val="NumPar1"/>
              <w:numPr>
                <w:ilvl w:val="0"/>
                <w:numId w:val="15"/>
              </w:numPr>
              <w:rPr>
                <w:noProof/>
                <w:szCs w:val="24"/>
              </w:rPr>
            </w:pPr>
            <w:r>
              <w:rPr>
                <w:b/>
                <w:noProof/>
                <w:szCs w:val="24"/>
              </w:rPr>
              <w:t>Arviointi ja lausunto</w:t>
            </w:r>
          </w:p>
          <w:p>
            <w:pPr>
              <w:pStyle w:val="NumPar1"/>
              <w:numPr>
                <w:ilvl w:val="0"/>
                <w:numId w:val="0"/>
              </w:numPr>
              <w:rPr>
                <w:noProof/>
                <w:szCs w:val="24"/>
              </w:rPr>
            </w:pPr>
            <w:r>
              <w:rPr>
                <w:noProof/>
              </w:rPr>
              <w:t xml:space="preserve">[Liikkeeseenlaskua edeltävät arvioinnit: </w:t>
            </w:r>
          </w:p>
          <w:p>
            <w:pPr>
              <w:pStyle w:val="Tiret0"/>
              <w:rPr>
                <w:noProof/>
              </w:rPr>
            </w:pPr>
            <w:r>
              <w:rPr>
                <w:noProof/>
              </w:rPr>
              <w:t>yksityiskohtainen arvio siitä, onko vihreästä joukkolainasta laadittu tietokooste tämän asetuksen 4–7 artiklan mukainen,</w:t>
            </w:r>
          </w:p>
          <w:p>
            <w:pPr>
              <w:pStyle w:val="Tiret0"/>
              <w:rPr>
                <w:noProof/>
              </w:rPr>
            </w:pPr>
            <w:r>
              <w:rPr>
                <w:noProof/>
              </w:rPr>
              <w:t>ulkopuolisen arvioijan lausunto edellä mainitusta arvioinnista]</w:t>
            </w:r>
          </w:p>
          <w:p>
            <w:pPr>
              <w:rPr>
                <w:b/>
                <w:noProof/>
                <w:szCs w:val="24"/>
              </w:rPr>
            </w:pPr>
          </w:p>
          <w:p>
            <w:pPr>
              <w:pStyle w:val="NumPar1"/>
              <w:numPr>
                <w:ilvl w:val="0"/>
                <w:numId w:val="0"/>
              </w:numPr>
              <w:rPr>
                <w:noProof/>
                <w:szCs w:val="24"/>
              </w:rPr>
            </w:pPr>
            <w:r>
              <w:rPr>
                <w:noProof/>
              </w:rPr>
              <w:t xml:space="preserve">[Liikkeeseenlaskun jälkeiset arvioinnit: </w:t>
            </w:r>
          </w:p>
          <w:p>
            <w:pPr>
              <w:pStyle w:val="Tiret0"/>
              <w:rPr>
                <w:noProof/>
              </w:rPr>
            </w:pPr>
            <w:r>
              <w:rPr>
                <w:noProof/>
              </w:rPr>
              <w:t xml:space="preserve">yksityiskohtainen arvio siitä, onko liikkeeseenlaskija ulkopuoliselle arvioijalle toimitettujen tietojen perusteella kohdentanut joukkolainalla hankitut varat 4–7 artiklan mukaisesti, </w:t>
            </w:r>
          </w:p>
          <w:p>
            <w:pPr>
              <w:pStyle w:val="Tiret0"/>
              <w:rPr>
                <w:noProof/>
              </w:rPr>
            </w:pPr>
            <w:r>
              <w:rPr>
                <w:noProof/>
              </w:rPr>
              <w:t>arvio siitä, onko liikkeeseenlaskija ulkopuoliselle arvioijalle toimitettujen tietojen perusteella noudattanut vihreästä joukkolainasta laaditussa tietokoosteessa esitettyä varojen aiottua käyttötarkoitusta,</w:t>
            </w:r>
          </w:p>
          <w:p>
            <w:pPr>
              <w:pStyle w:val="Tiret0"/>
              <w:rPr>
                <w:noProof/>
              </w:rPr>
            </w:pPr>
            <w:r>
              <w:rPr>
                <w:noProof/>
              </w:rPr>
              <w:t>ulkopuolisen arvioijan lausunto edellä mainitusta kahdesta arvioinnista]</w:t>
            </w:r>
          </w:p>
          <w:p>
            <w:pPr>
              <w:rPr>
                <w:b/>
                <w:noProof/>
                <w:szCs w:val="24"/>
              </w:rPr>
            </w:pP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Muut tiedot</w:t>
            </w:r>
          </w:p>
          <w:p>
            <w:pPr>
              <w:pStyle w:val="Point0letter"/>
              <w:numPr>
                <w:ilvl w:val="1"/>
                <w:numId w:val="0"/>
              </w:numPr>
              <w:ind w:left="360"/>
              <w:rPr>
                <w:noProof/>
                <w:szCs w:val="24"/>
              </w:rPr>
            </w:pPr>
            <w:r>
              <w:rPr>
                <w:noProof/>
              </w:rPr>
              <w:t>[Muut tiedot, joita arvioija voi pitää merkityksellisinä liikkeeseenlaskua edeltävän tai sen jälkeisen arvioinnin kannalta]</w:t>
            </w:r>
          </w:p>
        </w:tc>
      </w:tr>
    </w:tbl>
    <w:p>
      <w:pPr>
        <w:rPr>
          <w:noProof/>
          <w:szCs w:val="24"/>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Euroopan parlamentin ja neuvoston asetus (EY) N:o 1893/2006, annettu 20 päivänä joulukuuta 2006, </w:t>
      </w:r>
    </w:p>
    <w:p>
      <w:pPr>
        <w:pStyle w:val="FootnoteText"/>
        <w:ind w:firstLine="0"/>
      </w:pPr>
      <w:r>
        <w:t>tilastollisen toimialaluokituksen NACE Rev. 2 vahvistamisesta sekä neuvoston asetuksen (ETY) N:o 3037/90 ja tiettyjen eri tilastoaloja koskevien yhteisön asetusten muuttamisesta (EUVL L 393, 30.12.2006, s. 1).</w:t>
      </w:r>
      <w:r>
        <w:tab/>
      </w:r>
    </w:p>
  </w:footnote>
  <w:footnote w:id="2">
    <w:p>
      <w:pPr>
        <w:pStyle w:val="FootnoteText"/>
      </w:pPr>
      <w:r>
        <w:rPr>
          <w:rStyle w:val="FootnoteReference"/>
        </w:rPr>
        <w:footnoteRef/>
      </w:r>
      <w:r>
        <w:tab/>
        <w:t xml:space="preserve">Euroopan parlamentin ja neuvoston asetus (EY) N:o 1893/2006, annettu 20 päivänä joulukuuta 2006, </w:t>
      </w:r>
    </w:p>
    <w:p>
      <w:pPr>
        <w:pStyle w:val="FootnoteText"/>
        <w:ind w:firstLine="0"/>
      </w:pPr>
      <w:r>
        <w:t>tilastollisen toimialaluokituksen NACE Rev. 2 vahvistamisesta sekä neuvoston asetuksen (ETY) N:o 3037/90 ja tiettyjen eri tilastoaloja koskevien yhteisön asetusten muuttamisesta (EUVL L 393, 30.12.2006, s. 1).</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40A429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7560BDA"/>
    <w:lvl w:ilvl="0">
      <w:start w:val="1"/>
      <w:numFmt w:val="decimal"/>
      <w:pStyle w:val="ListNumber3"/>
      <w:lvlText w:val="%1."/>
      <w:lvlJc w:val="left"/>
      <w:pPr>
        <w:tabs>
          <w:tab w:val="num" w:pos="926"/>
        </w:tabs>
        <w:ind w:left="926" w:hanging="360"/>
      </w:pPr>
    </w:lvl>
  </w:abstractNum>
  <w:abstractNum w:abstractNumId="2">
    <w:nsid w:val="FFFFFF7F"/>
    <w:multiLevelType w:val="singleLevel"/>
    <w:tmpl w:val="E99CA5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CF6B5F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5E2D33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D029F3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70D3DE"/>
    <w:lvl w:ilvl="0">
      <w:start w:val="1"/>
      <w:numFmt w:val="decimal"/>
      <w:pStyle w:val="ListNumber"/>
      <w:lvlText w:val="%1."/>
      <w:lvlJc w:val="left"/>
      <w:pPr>
        <w:tabs>
          <w:tab w:val="num" w:pos="360"/>
        </w:tabs>
        <w:ind w:left="360" w:hanging="360"/>
      </w:pPr>
    </w:lvl>
  </w:abstractNum>
  <w:abstractNum w:abstractNumId="7">
    <w:nsid w:val="FFFFFF89"/>
    <w:multiLevelType w:val="singleLevel"/>
    <w:tmpl w:val="5792D30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31839F6"/>
    <w:multiLevelType w:val="hybridMultilevel"/>
    <w:tmpl w:val="35567D12"/>
    <w:lvl w:ilvl="0" w:tplc="4EA2027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E941552"/>
    <w:multiLevelType w:val="multilevel"/>
    <w:tmpl w:val="464AE7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AA6556"/>
    <w:multiLevelType w:val="multilevel"/>
    <w:tmpl w:val="0264FC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37313"/>
    <w:multiLevelType w:val="multilevel"/>
    <w:tmpl w:val="C486EE1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6F05F7"/>
    <w:multiLevelType w:val="multilevel"/>
    <w:tmpl w:val="3BC0BC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66CA2A15"/>
    <w:multiLevelType w:val="multilevel"/>
    <w:tmpl w:val="3BC0BC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57B342F"/>
    <w:multiLevelType w:val="multilevel"/>
    <w:tmpl w:val="A94EC2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784001C9"/>
    <w:multiLevelType w:val="multilevel"/>
    <w:tmpl w:val="5C905F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6"/>
  </w:num>
  <w:num w:numId="10">
    <w:abstractNumId w:val="2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4"/>
  </w:num>
  <w:num w:numId="14">
    <w:abstractNumId w:val="2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
  </w:num>
  <w:num w:numId="18">
    <w:abstractNumId w:val="13"/>
  </w:num>
  <w:num w:numId="19">
    <w:abstractNumId w:val="23"/>
    <w:lvlOverride w:ilvl="0">
      <w:startOverride w:val="1"/>
    </w:lvlOverride>
  </w:num>
  <w:num w:numId="20">
    <w:abstractNumId w:val="23"/>
  </w:num>
  <w:num w:numId="21">
    <w:abstractNumId w:val="15"/>
  </w:num>
  <w:num w:numId="22">
    <w:abstractNumId w:val="27"/>
  </w:num>
  <w:num w:numId="23">
    <w:abstractNumId w:val="12"/>
  </w:num>
  <w:num w:numId="24">
    <w:abstractNumId w:val="16"/>
  </w:num>
  <w:num w:numId="25">
    <w:abstractNumId w:val="10"/>
  </w:num>
  <w:num w:numId="26">
    <w:abstractNumId w:val="24"/>
  </w:num>
  <w:num w:numId="27">
    <w:abstractNumId w:val="9"/>
  </w:num>
  <w:num w:numId="28">
    <w:abstractNumId w:val="18"/>
  </w:num>
  <w:num w:numId="29">
    <w:abstractNumId w:val="21"/>
  </w:num>
  <w:num w:numId="30">
    <w:abstractNumId w:val="22"/>
  </w:num>
  <w:num w:numId="31">
    <w:abstractNumId w:val="11"/>
  </w:num>
  <w:num w:numId="32">
    <w:abstractNumId w:val="19"/>
  </w:num>
  <w:num w:numId="33">
    <w:abstractNumId w:val="30"/>
  </w:num>
  <w:num w:numId="34">
    <w:abstractNumId w:val="23"/>
  </w:num>
  <w:num w:numId="35">
    <w:abstractNumId w:val="15"/>
  </w:num>
  <w:num w:numId="36">
    <w:abstractNumId w:val="27"/>
  </w:num>
  <w:num w:numId="37">
    <w:abstractNumId w:val="12"/>
  </w:num>
  <w:num w:numId="38">
    <w:abstractNumId w:val="16"/>
  </w:num>
  <w:num w:numId="39">
    <w:abstractNumId w:val="17"/>
  </w:num>
  <w:num w:numId="40">
    <w:abstractNumId w:val="10"/>
  </w:num>
  <w:num w:numId="41">
    <w:abstractNumId w:val="24"/>
  </w:num>
  <w:num w:numId="42">
    <w:abstractNumId w:val="9"/>
  </w:num>
  <w:num w:numId="43">
    <w:abstractNumId w:val="18"/>
  </w:num>
  <w:num w:numId="44">
    <w:abstractNumId w:val="21"/>
  </w:num>
  <w:num w:numId="45">
    <w:abstractNumId w:val="22"/>
  </w:num>
  <w:num w:numId="46">
    <w:abstractNumId w:val="11"/>
  </w:num>
  <w:num w:numId="47">
    <w:abstractNumId w:val="19"/>
  </w:num>
  <w:num w:numId="4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fi-FI" w:vendorID="64" w:dllVersion="131078" w:nlCheck="1" w:checkStyle="0"/>
  <w:activeWritingStyle w:appName="MSWord" w:lang="en-GB" w:vendorID="64" w:dllVersion="131078" w:nlCheck="1" w:checkStyle="1"/>
  <w:attachedTemplate r:id="rId1"/>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8-02 12:22: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asiakirjaan"/>
    <w:docVar w:name="LW_ACCOMPAGNANT.CP" w:val="asiakirjaan"/>
    <w:docVar w:name="LW_ANNEX_NBR_FIRST" w:val="1"/>
    <w:docVar w:name="LW_ANNEX_NBR_LAST" w:val="4"/>
    <w:docVar w:name="LW_ANNEX_UNIQUE" w:val="0"/>
    <w:docVar w:name="LW_CORRIGENDUM" w:val="&lt;UNUSED&gt;"/>
    <w:docVar w:name="LW_COVERPAGE_EXISTS" w:val="True"/>
    <w:docVar w:name="LW_COVERPAGE_GUID" w:val="C0988CFC-825F-491D-9E92-05489A9BF31A"/>
    <w:docVar w:name="LW_COVERPAGE_TYPE" w:val="1"/>
    <w:docVar w:name="LW_CROSSREFERENCE" w:val="{SEC(2021) 390 final} - {SWD(2021) 181 final} - {SWD(2021) 182 final}"/>
    <w:docVar w:name="LW_DocType" w:val="ANNEX"/>
    <w:docVar w:name="LW_EMISSION" w:val="6.7.2021"/>
    <w:docVar w:name="LW_EMISSION_ISODATE" w:val="2021-07-06"/>
    <w:docVar w:name="LW_EMISSION_LOCATION" w:val="BRX"/>
    <w:docVar w:name="LW_EMISSION_PREFIX" w:val="Bryssel "/>
    <w:docVar w:name="LW_EMISSION_SUFFIX" w:val=" "/>
    <w:docVar w:name="LW_ID_DOCSTRUCTURE" w:val="COM/ANNEX"/>
    <w:docVar w:name="LW_ID_DOCTYPE" w:val="SG-017"/>
    <w:docVar w:name="LW_LANGUE" w:val="FI"/>
    <w:docVar w:name="LW_LEVEL_OF_SENSITIVITY" w:val="Standard treatment"/>
    <w:docVar w:name="LW_NOM.INST" w:val="EUROOPAN KOMISSIO"/>
    <w:docVar w:name="LW_NOM.INST_JOINTDOC" w:val="&lt;EMPTY&gt;"/>
    <w:docVar w:name="LW_OBJETACTEPRINCIPAL" w:val="eurooppalaisista vihreistä joukkolainoista"/>
    <w:docVar w:name="LW_OBJETACTEPRINCIPAL.CP" w:val="eurooppalaisista vihreistä joukkolainoista"/>
    <w:docVar w:name="LW_PART_NBR" w:val="&lt;UNUSED&gt;"/>
    <w:docVar w:name="LW_PART_NBR_TOTAL" w:val="&lt;UNUSED&gt;"/>
    <w:docVar w:name="LW_REF.INST.NEW" w:val="COM"/>
    <w:docVar w:name="LW_REF.INST.NEW_ADOPTED" w:val="final"/>
    <w:docVar w:name="LW_REF.INST.NEW_TEXT" w:val="(2021) 3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ITTEET"/>
    <w:docVar w:name="LW_TYPE.DOC.CP" w:val="LIITTEET"/>
    <w:docVar w:name="LW_TYPEACTEPRINCIPAL" w:val="Ehdotus EUROOPAN PARLAMENTIN JA NEUVOSTON ASETUKSEKSI"/>
    <w:docVar w:name="LW_TYPEACTEPRINCIPAL.CP" w:val="Ehdotus EUROOPAN PARLAMENTIN JA NEUVOSTON ASETUKSEKS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NormalWeb">
    <w:name w:val="Normal (Web)"/>
    <w:basedOn w:val="Normal"/>
    <w:uiPriority w:val="99"/>
    <w:unhideWhenUsed/>
    <w:pPr>
      <w:spacing w:before="100" w:beforeAutospacing="1" w:after="100" w:afterAutospacing="1"/>
      <w:jc w:val="left"/>
    </w:pPr>
    <w:rPr>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NormalWeb">
    <w:name w:val="Normal (Web)"/>
    <w:basedOn w:val="Normal"/>
    <w:uiPriority w:val="99"/>
    <w:unhideWhenUsed/>
    <w:pPr>
      <w:spacing w:before="100" w:beforeAutospacing="1" w:after="100" w:afterAutospacing="1"/>
      <w:jc w:val="left"/>
    </w:pPr>
    <w:rPr>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11</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2021-07-30T11:02:00Z</dcterms:created>
  <dcterms:modified xsi:type="dcterms:W3CDTF">2021-08-02T10:22:00Z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COM/ANNEX</vt:lpwstr>
  </property>
  <property fmtid="{D5CDD505-2E9C-101B-9397-08002B2CF9AE}" pid="4" name="Last edited using">
    <vt:lpwstr>LW 7.0.1, Build 20200226</vt:lpwstr>
  </property>
  <property fmtid="{D5CDD505-2E9C-101B-9397-08002B2CF9AE}" pid="5" name="First annex">
    <vt:lpwstr>1</vt:lpwstr>
  </property>
  <property fmtid="{D5CDD505-2E9C-101B-9397-08002B2CF9AE}" pid="6" name="Last annex">
    <vt:lpwstr>4</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LWTemplateID">
    <vt:lpwstr>SG-017</vt:lpwstr>
  </property>
  <property fmtid="{D5CDD505-2E9C-101B-9397-08002B2CF9AE}" pid="11" name="DQCStatus">
    <vt:lpwstr>Green (DQC version 03)</vt:lpwstr>
  </property>
</Properties>
</file>