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AD6F42E-DA0C-4529-B611-2C07E2106740" style="width:455.45pt;height:369.2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SELETUSKIRI</w:t>
      </w:r>
    </w:p>
    <w:p>
      <w:pPr>
        <w:rPr>
          <w:noProof/>
        </w:rPr>
      </w:pPr>
      <w:r>
        <w:rPr>
          <w:noProof/>
        </w:rPr>
        <w:t>Vastavalt 28. novembri 2006. aasta direktiivi 2006/112/EÜ (mis käsitleb ühist käibemaksusüsteemi)</w:t>
      </w:r>
      <w:r>
        <w:rPr>
          <w:rStyle w:val="FootnoteReference"/>
          <w:noProof/>
        </w:rPr>
        <w:footnoteReference w:id="1"/>
      </w:r>
      <w:r>
        <w:rPr>
          <w:noProof/>
        </w:rPr>
        <w:t xml:space="preserve"> (edaspidi „käibemaksudirektiiv“) artikli 395 lõikele 1 võib nõukogu ühehäälselt komisjoni ettepaneku põhjal anda igale liikmesriigile loa võtta erimeetmeid kõnealuse direktiivi sätetest erandite tegemiseks, et lihtsustada käibemaksu kogumise korda või hoida ära teatavat liiki maksudest kõrvalehoidumist või maksustamise vältimist.</w:t>
      </w:r>
    </w:p>
    <w:p>
      <w:pPr>
        <w:rPr>
          <w:noProof/>
        </w:rPr>
      </w:pPr>
      <w:r>
        <w:rPr>
          <w:noProof/>
        </w:rPr>
        <w:t>Komisjonis 19. veebruaril 2021 registreeritud kirjaga taotles Saksamaa Liitvabariik (edaspidi „Saksamaa“) luba jätkata sellise meetme kohaldamist, millega tehakse erand käibemaksudirektiivi artiklitest 168 ja 168a, et jätta käibemaksu mahaarvamise õiguse kohaldamisalast välja kaubad ja teenused, mida maksukohustuslane kasutab enam kui 90 % ulatuses enda või oma töötajate tarbeks või üldisemalt muul kui ettevõtluse eesmärgil või mittemajanduslikuks tegevuseks. Taotlusele oli lisatud aruanne kõnealuse meetme kohaldamise kohta, nagu on nõutud 20. oktoobri 2009. aasta nõukogu otsuse 2009/791/EÜ</w:t>
      </w:r>
      <w:r>
        <w:rPr>
          <w:rStyle w:val="FootnoteReference"/>
          <w:noProof/>
        </w:rPr>
        <w:footnoteReference w:id="2"/>
      </w:r>
      <w:r>
        <w:rPr>
          <w:noProof/>
        </w:rPr>
        <w:t xml:space="preserve"> (mida on muudetud 20. detsembri 2018. aasta nõukogu rakendusotsusega 2018/2060/EL</w:t>
      </w:r>
      <w:r>
        <w:rPr>
          <w:rStyle w:val="FootnoteReference"/>
          <w:noProof/>
        </w:rPr>
        <w:footnoteReference w:id="3"/>
      </w:r>
      <w:r>
        <w:rPr>
          <w:noProof/>
        </w:rPr>
        <w:t>) artiklis 2.</w:t>
      </w:r>
    </w:p>
    <w:p>
      <w:pPr>
        <w:widowControl w:val="0"/>
        <w:shd w:val="clear" w:color="auto" w:fill="FFFFFF"/>
        <w:autoSpaceDE w:val="0"/>
        <w:autoSpaceDN w:val="0"/>
        <w:adjustRightInd w:val="0"/>
        <w:spacing w:before="230" w:after="0" w:line="269" w:lineRule="exact"/>
        <w:ind w:right="86"/>
        <w:rPr>
          <w:noProof/>
        </w:rPr>
      </w:pPr>
      <w:r>
        <w:rPr>
          <w:noProof/>
        </w:rPr>
        <w:t>Kooskõlas käibemaksudirektiivi artikli 395 lõikega 2 teavitas komisjon 17. märtsi 2021. aasta kirjadega teisi liikmesriike Saksamaa taotlusest. Komisjon teatas 18. märtsi 2021. aasta kirjaga Saksamaale, et tal on taotluse hindamiseks kogu vajalik teave.</w:t>
      </w:r>
    </w:p>
    <w:p>
      <w:pPr>
        <w:pStyle w:val="ManualHeading1"/>
        <w:rPr>
          <w:noProof/>
        </w:rPr>
      </w:pPr>
      <w:r>
        <w:rPr>
          <w:noProof/>
        </w:rPr>
        <w:t>1.</w:t>
      </w:r>
      <w:r>
        <w:rPr>
          <w:noProof/>
        </w:rPr>
        <w:tab/>
        <w:t>ETTEPANEKU TAUST</w:t>
      </w:r>
    </w:p>
    <w:p>
      <w:pPr>
        <w:pStyle w:val="ManualHeading2"/>
        <w:rPr>
          <w:rFonts w:eastAsia="Arial Unicode MS"/>
          <w:noProof/>
        </w:rPr>
      </w:pPr>
      <w:r>
        <w:rPr>
          <w:noProof/>
          <w:color w:val="000000"/>
          <w:u w:color="000000"/>
          <w:bdr w:val="nil"/>
        </w:rPr>
        <w:t>•</w:t>
      </w:r>
      <w:r>
        <w:rPr>
          <w:noProof/>
        </w:rPr>
        <w:tab/>
        <w:t>Ettepaneku põhjused ja eesmärgid</w:t>
      </w:r>
    </w:p>
    <w:p>
      <w:pPr>
        <w:pBdr>
          <w:top w:val="nil"/>
          <w:left w:val="nil"/>
          <w:bottom w:val="nil"/>
          <w:right w:val="nil"/>
          <w:between w:val="nil"/>
          <w:bar w:val="nil"/>
        </w:pBdr>
        <w:spacing w:before="0" w:after="240"/>
        <w:rPr>
          <w:noProof/>
        </w:rPr>
      </w:pPr>
      <w:r>
        <w:rPr>
          <w:noProof/>
        </w:rPr>
        <w:t>Käibemaksudirektiivi artiklis 168 on sätestatud, et maksukohustuslasel on õigus arvata maha maksustatavate tehingute tarbeks tehtud ostude ja osutatud teenuste eest tasutud käibemaks. Käibemaksudirektiivi artikli 168a lõikega 1 on ette nähtud, et maksukohustuslase ettevõtte vara hulka kuuluva kinnisasja kasutamisel nii maksukohustuslase ettevõtte tegevuse eesmärgil kui ka muul kui ettevõtluse eesmärgil tohib kõnealuse kinnisasjaga seotud käibemaksu maha arvata üksnes selles ulatuses, milles kinnisasja kasutatakse maksukohustuslase ettevõtte tegevuse eesmärgil. Käibemaksudirektiivi artikli 168a lõike 2 kohaselt võivad liikmesriigid neile sobival viisil kohaldada seda eeskirja ka muude ettevõtte vara hulka kuuluvate kaupadega seotud kulutuste käibemaksuga maksustamisel. Nõukogu 22. detsembri 2009. aasta direktiiviga 2009/162/EL</w:t>
      </w:r>
      <w:r>
        <w:rPr>
          <w:rStyle w:val="FootnoteReference"/>
          <w:noProof/>
        </w:rPr>
        <w:footnoteReference w:id="4"/>
      </w:r>
      <w:r>
        <w:rPr>
          <w:noProof/>
        </w:rPr>
        <w:t xml:space="preserve"> lisati käibemaksudirektiivi artikkel 168a, et piirata käibemaksu mahaarvamist proportsionaalselt ettevõtluse eesmärgil kasutamisega ja kohaldada seega tõhusamalt põhimõtet, mille kohaselt mahaarvamine toimub ainult siis, kui asjaomaseid kaupu ja teenuseid kasutatakse maksukohustuslase ettevõtluse eesmärgil.</w:t>
      </w:r>
    </w:p>
    <w:p>
      <w:pPr>
        <w:pBdr>
          <w:top w:val="nil"/>
          <w:left w:val="nil"/>
          <w:bottom w:val="nil"/>
          <w:right w:val="nil"/>
          <w:between w:val="nil"/>
          <w:bar w:val="nil"/>
        </w:pBdr>
        <w:spacing w:before="0" w:after="240"/>
        <w:rPr>
          <w:noProof/>
        </w:rPr>
      </w:pPr>
      <w:r>
        <w:rPr>
          <w:noProof/>
        </w:rPr>
        <w:t>Vastavalt käibemaksudirektiivi artiklile 395 võivad liikmesriigid kohaldada meetmeid, millega tehakse erand käibemaksudirektiivi sätetest, et lihtsustada käibemaksu kogumise menetlust või hoida ära teatavat maksudest kõrvalehoidumist või maksustamise vältimist, kui nõukogu on neile andnud loa.</w:t>
      </w:r>
    </w:p>
    <w:p>
      <w:pPr>
        <w:pBdr>
          <w:top w:val="nil"/>
          <w:left w:val="nil"/>
          <w:bottom w:val="nil"/>
          <w:right w:val="nil"/>
          <w:between w:val="nil"/>
          <w:bar w:val="nil"/>
        </w:pBdr>
        <w:spacing w:before="0" w:after="240"/>
        <w:rPr>
          <w:noProof/>
        </w:rPr>
      </w:pPr>
      <w:r>
        <w:rPr>
          <w:noProof/>
        </w:rPr>
        <w:t>Saksamaa taotles käibemaksudirektiivi artiklitest 168 ja 168a erandit tegeva meetme kohaldamise jätkamist, et jätta käibemaksu mahaarvamisõiguse kohaldamisalast täielikult välja kaubad ja teenused, mida maksukohustuslane kasutab üle 90 % ulatuses isiklikuks tarbeks või muul kui ettevõtluse eesmärgil, sealhulgas mittemajandusliku tegevuse tarbeks.</w:t>
      </w:r>
    </w:p>
    <w:p>
      <w:pPr>
        <w:pBdr>
          <w:top w:val="nil"/>
          <w:left w:val="nil"/>
          <w:bottom w:val="nil"/>
          <w:right w:val="nil"/>
          <w:between w:val="nil"/>
          <w:bar w:val="nil"/>
        </w:pBdr>
        <w:spacing w:before="0" w:after="240"/>
        <w:rPr>
          <w:noProof/>
        </w:rPr>
      </w:pPr>
      <w:r>
        <w:rPr>
          <w:noProof/>
        </w:rPr>
        <w:t>Saksamaale anti algselt luba kasutada erandit nõukogu 28. veebruari 2000. aasta otsusega 2000/186/EÜ</w:t>
      </w:r>
      <w:r>
        <w:rPr>
          <w:rStyle w:val="FootnoteReference"/>
          <w:noProof/>
        </w:rPr>
        <w:footnoteReference w:id="5"/>
      </w:r>
      <w:r>
        <w:rPr>
          <w:noProof/>
        </w:rPr>
        <w:t xml:space="preserve"> kuni 31. detsembrini 2002 ning seejärel nõukogu 13. mai 2003. aasta otsusega 2003/354/EÜ</w:t>
      </w:r>
      <w:r>
        <w:rPr>
          <w:rStyle w:val="FootnoteReference"/>
          <w:noProof/>
        </w:rPr>
        <w:footnoteReference w:id="6"/>
      </w:r>
      <w:r>
        <w:rPr>
          <w:noProof/>
        </w:rPr>
        <w:t xml:space="preserve"> kuni 30. juunini 2004, nõukogu 19. novembri 2004. aasta otsusega 2004/817/EÜ</w:t>
      </w:r>
      <w:r>
        <w:rPr>
          <w:rStyle w:val="FootnoteReference"/>
          <w:noProof/>
        </w:rPr>
        <w:footnoteReference w:id="7"/>
      </w:r>
      <w:r>
        <w:rPr>
          <w:noProof/>
        </w:rPr>
        <w:t xml:space="preserve"> kuni 31. detsembrini 2009 ja nõukogu 20. oktoobri 2009. aasta otsusega 2009/791/EÜ kuni 31. detsembrini 2012. Viimati nimetatud otsust pikendati nõukogu 13. novembri 2012. aasta rakendusotsusega 2012/705/EL</w:t>
      </w:r>
      <w:r>
        <w:rPr>
          <w:rStyle w:val="FootnoteReference"/>
          <w:noProof/>
        </w:rPr>
        <w:footnoteReference w:id="8"/>
      </w:r>
      <w:r>
        <w:rPr>
          <w:noProof/>
        </w:rPr>
        <w:t xml:space="preserve"> kuni 31. detsembrini 2015, nõukogu 10. detsembri 2015. aasta rakendusotsusega (EL) 2015/2428</w:t>
      </w:r>
      <w:r>
        <w:rPr>
          <w:rStyle w:val="FootnoteReference"/>
          <w:noProof/>
        </w:rPr>
        <w:footnoteReference w:id="9"/>
      </w:r>
      <w:r>
        <w:rPr>
          <w:noProof/>
        </w:rPr>
        <w:t xml:space="preserve"> kuni 31. detsembrini 2018 ja nõukogu 20. detsembri 2018. aasta rakendusotsusega (EL) 2018/2060</w:t>
      </w:r>
      <w:r>
        <w:rPr>
          <w:rStyle w:val="FootnoteReference"/>
          <w:noProof/>
        </w:rPr>
        <w:footnoteReference w:id="10"/>
      </w:r>
      <w:r>
        <w:rPr>
          <w:noProof/>
        </w:rPr>
        <w:t xml:space="preserve"> kuni 31. detsembrini 2021.</w:t>
      </w:r>
    </w:p>
    <w:p>
      <w:pPr>
        <w:pBdr>
          <w:top w:val="nil"/>
          <w:left w:val="nil"/>
          <w:bottom w:val="nil"/>
          <w:right w:val="nil"/>
          <w:between w:val="nil"/>
          <w:bar w:val="nil"/>
        </w:pBdr>
        <w:spacing w:before="0" w:after="240"/>
        <w:rPr>
          <w:noProof/>
        </w:rPr>
      </w:pPr>
      <w:r>
        <w:rPr>
          <w:noProof/>
        </w:rPr>
        <w:t>Oma praeguses taotluses teatas Saksamaa komisjonile, et erandi kohaldamine on osutunud väga tõhusaks ja lihtsustab oluliselt käibemaksu kogumist. Samuti aitab see ära hoida maksudest kõrvalehoidumist ja maksustamise vältimist.</w:t>
      </w:r>
    </w:p>
    <w:p>
      <w:pPr>
        <w:pBdr>
          <w:top w:val="nil"/>
          <w:left w:val="nil"/>
          <w:bottom w:val="nil"/>
          <w:right w:val="nil"/>
          <w:between w:val="nil"/>
          <w:bar w:val="nil"/>
        </w:pBdr>
        <w:spacing w:before="0" w:after="240"/>
        <w:rPr>
          <w:noProof/>
        </w:rPr>
      </w:pPr>
      <w:r>
        <w:rPr>
          <w:noProof/>
        </w:rPr>
        <w:t>Toodete minimaalne kasutamine vähemalt 10 % ulatuses ettevõtluse eesmärgil, et sisendkäibemaksu oleks võimalik maha arvata, on suhteliselt väike. Saksamaa sõnul avaldab kõnealuse meetme pikendamine üksnes vähest mõju lõpptarbimise etapis kogutud käibemaksutulude kogusummale ning seega ei mõjuta see negatiivselt liidu käibemaksupõhiseid omavahendeid.</w:t>
      </w:r>
    </w:p>
    <w:p>
      <w:pPr>
        <w:pBdr>
          <w:top w:val="nil"/>
          <w:left w:val="nil"/>
          <w:bottom w:val="nil"/>
          <w:right w:val="nil"/>
          <w:between w:val="nil"/>
          <w:bar w:val="nil"/>
        </w:pBdr>
        <w:spacing w:before="0" w:after="240"/>
        <w:rPr>
          <w:noProof/>
        </w:rPr>
      </w:pPr>
      <w:r>
        <w:rPr>
          <w:noProof/>
        </w:rPr>
        <w:t>Saksamaa sõnul vähendab meede maksumaksjate ja maksuhaldurite halduskoormust, sest selliste kaupade ettevõtluse tarbeks kasutamise ja muul kui ettevõtluse eesmärgil kasutamise suhet ei ole vaja jälgida ega kohandada ning seetõttu ei pea nende muutuste kohta mingit arvestust pidama. 10 % piirmäär vastab ka Saksamaa tulumaksuseaduses sätestatule, mis näeb ette, et ärivaraks võib pidada ainult kaupu, mida kasutatakse äritegevuse eesmärgil vähemalt 10 % ulatuses.</w:t>
      </w:r>
    </w:p>
    <w:p>
      <w:pPr>
        <w:rPr>
          <w:noProof/>
        </w:rPr>
      </w:pPr>
      <w:r>
        <w:rPr>
          <w:noProof/>
        </w:rPr>
        <w:t xml:space="preserve">Üldiselt on erandid ajaliselt piiratud, et oleks võimalik hinnata erimeetme asjakohasust ja tõhusust. Seda arvestades ning toetudes Saksamaa esitatud teabele leiab komisjon, et jaotus 10 % / 90 % vastavalt muu kasutuse ja ettevõtlusotstarbelise kasutuse vahel on mõistlik alus selleks, et teha kindlaks tehingud, mille puhul ettevõtlusotstarbelist kasutust võib pidada tähtsusetuks.  </w:t>
      </w:r>
    </w:p>
    <w:p>
      <w:pPr>
        <w:rPr>
          <w:noProof/>
        </w:rPr>
      </w:pPr>
      <w:r>
        <w:rPr>
          <w:noProof/>
        </w:rPr>
        <w:t>Seega vähendab kõnealune erimeede nii maksuhaldurite kui ka ettevõtjate tööd, kuna ei ole vaja jälgida selliste kaupade ja teenuste edasist kasutamist, mille suhtes nende omandamise ajal mahaarvamisõigus kohaldamisele ei kuulunud, eelkõige seoses isiklikuks tarbeks kasutamise võimaliku maksustamisega vastavalt käibemaksudirektiivi artiklitele 16 või 26 või mahaarvamise korrigeerimisega, mida nõutakse kõnealuse direktiivi artiklitega 184–192. Erandit lubava meetme pikendamine on seepärast asjakohane.</w:t>
      </w:r>
    </w:p>
    <w:p>
      <w:pPr>
        <w:rPr>
          <w:noProof/>
        </w:rPr>
      </w:pPr>
      <w:r>
        <w:rPr>
          <w:noProof/>
        </w:rPr>
        <w:t xml:space="preserve">Siiski peaks mis tahes pikendamine olema ajaliselt piiratud, et oleks võimalik hinnata, kas tingimused, millel erand põhineb, ikka veel kehtivad. Seepärast tehakse ettepanek pikendada erandit kuni 2024. aasta lõpuni ja paluda, et Saksamaa esitaks koos pikendamistaotlusega hiljemalt 31. märtsiks 2024 aruande, milles on ülevaade ettevõtlusotstarbelise ja muu kasutuse jaotuse kohta, mille alusel kohaldatakse mahaarvamisõiguse kohaldamisalast väljajätmist, kui erandit kavatsetakse pikendada pärast 2024. aastat. </w:t>
      </w:r>
    </w:p>
    <w:p>
      <w:pPr>
        <w:rPr>
          <w:noProof/>
        </w:rPr>
      </w:pPr>
      <w:r>
        <w:rPr>
          <w:noProof/>
        </w:rPr>
        <w:t>Kuna nõukogu 20. oktoobri 2009. aasta otsus 2009/791/EÜ võeti vastu enne nõukogu 22. detsembri 2009. aasta direktiivi 2009/162/EL vastuvõtmist, millega lisati käibemaksudirektiivi artikkel 168a, ei viidata selle pealkirjas artiklile 168a. Selleks et kõrvaldada vastuolu nõukogu otsuse 2009/791/EÜ pealkirja ja sisu vahel, tuleks nõukogu otsuse 2009/791/EÜ pealkirja muuta, lisades viite käibemaksudirektiivi artiklile 168a.</w:t>
      </w:r>
    </w:p>
    <w:p>
      <w:pPr>
        <w:rPr>
          <w:noProof/>
        </w:rPr>
      </w:pPr>
    </w:p>
    <w:p>
      <w:pPr>
        <w:pStyle w:val="ManualHeading2"/>
        <w:rPr>
          <w:rFonts w:eastAsia="Arial Unicode MS"/>
          <w:noProof/>
          <w:color w:val="000000"/>
          <w:u w:color="000000"/>
          <w:bdr w:val="nil"/>
        </w:rPr>
      </w:pPr>
      <w:r>
        <w:rPr>
          <w:noProof/>
          <w:color w:val="000000"/>
          <w:u w:color="000000"/>
          <w:bdr w:val="nil"/>
        </w:rPr>
        <w:t>•</w:t>
      </w:r>
      <w:r>
        <w:rPr>
          <w:noProof/>
        </w:rPr>
        <w:tab/>
        <w:t>Kooskõla poliitikavaldkonnas praegu kehtivate õigusnormidega</w:t>
      </w:r>
    </w:p>
    <w:p>
      <w:pPr>
        <w:rPr>
          <w:noProof/>
        </w:rPr>
      </w:pPr>
      <w:r>
        <w:rPr>
          <w:noProof/>
        </w:rPr>
        <w:t>Teistele liikmesriikidele (Austria</w:t>
      </w:r>
      <w:r>
        <w:rPr>
          <w:rStyle w:val="FootnoteReference"/>
          <w:noProof/>
        </w:rPr>
        <w:footnoteReference w:id="11"/>
      </w:r>
      <w:r>
        <w:rPr>
          <w:noProof/>
        </w:rPr>
        <w:t>, Madalmaad</w:t>
      </w:r>
      <w:r>
        <w:rPr>
          <w:rStyle w:val="FootnoteReference"/>
          <w:noProof/>
        </w:rPr>
        <w:footnoteReference w:id="12"/>
      </w:r>
      <w:r>
        <w:rPr>
          <w:noProof/>
        </w:rPr>
        <w:t xml:space="preserve">) on tehtud sarnased erandid seoses kaupadelt ja teenustelt tasumisele kuuluva käibemaksu väljajätmisega käibemaksu mahaarvamise õigusest, kui kõnealuseid kaupu ja teenuseid kasutatakse rohkem kui 90 % ulatuses maksukohustuslase või tema töötajate isiklikuks tarbeks või üldiselt mitteäriliseks või mittemajanduslikuks tegevuseks. </w:t>
      </w:r>
    </w:p>
    <w:p>
      <w:pPr>
        <w:rPr>
          <w:noProof/>
        </w:rPr>
      </w:pPr>
      <w:r>
        <w:rPr>
          <w:noProof/>
        </w:rPr>
        <w:t>Käibemaksudirektiivi artikliga 176 on ette nähtud, et nõukogu määrab kindlaks kulud, millelt käibemaksu maha ei arvata. Kuni kõnealuste kulude kindlaksmääramiseni lubatakse liikmesriikidel säilitada 1. jaanuaril 1979 kehtinud erandid. Seepärast kehtivad mitmed senist olukorda säilitavad sätted, millega piiratakse maksukohustuslaste õigust teha mahaarvamisi.</w:t>
      </w:r>
    </w:p>
    <w:p>
      <w:pPr>
        <w:pBdr>
          <w:top w:val="nil"/>
          <w:left w:val="nil"/>
          <w:bottom w:val="nil"/>
          <w:right w:val="nil"/>
          <w:between w:val="nil"/>
          <w:bar w:val="nil"/>
        </w:pBdr>
        <w:spacing w:before="0" w:after="240"/>
        <w:rPr>
          <w:rFonts w:eastAsia="Arial Unicode MS"/>
          <w:noProof/>
        </w:rPr>
      </w:pPr>
      <w:r>
        <w:rPr>
          <w:noProof/>
        </w:rPr>
        <w:t>Hoolimata varasematest algatustest kehtestada eeskirjad selle kohta, milliste kulukategooriate korral võib mahaarvamisõigust piirata,</w:t>
      </w:r>
      <w:r>
        <w:rPr>
          <w:rStyle w:val="FootnoteReference"/>
          <w:rFonts w:eastAsia="Arial Unicode MS"/>
          <w:noProof/>
        </w:rPr>
        <w:footnoteReference w:id="13"/>
      </w:r>
      <w:r>
        <w:rPr>
          <w:noProof/>
        </w:rPr>
        <w:t xml:space="preserve"> on selline erand asjakohane seni, kuni kõnealuseid eeskirju ELi tasandil ühtlustatakse.</w:t>
      </w:r>
    </w:p>
    <w:p>
      <w:pPr>
        <w:pBdr>
          <w:top w:val="nil"/>
          <w:left w:val="nil"/>
          <w:bottom w:val="nil"/>
          <w:right w:val="nil"/>
          <w:between w:val="nil"/>
          <w:bar w:val="nil"/>
        </w:pBdr>
        <w:spacing w:before="0" w:after="240"/>
        <w:rPr>
          <w:rFonts w:eastAsia="Arial Unicode MS"/>
          <w:noProof/>
          <w:color w:val="000000" w:themeColor="text1"/>
        </w:rPr>
      </w:pPr>
      <w:r>
        <w:rPr>
          <w:noProof/>
        </w:rPr>
        <w:t xml:space="preserve">Kavandatud meede on seega kooskõlas käibemaksudirektiivi kehtivate sätetega. </w:t>
      </w:r>
    </w:p>
    <w:p>
      <w:pPr>
        <w:pStyle w:val="ManualHeading1"/>
        <w:rPr>
          <w:noProof/>
        </w:rPr>
      </w:pPr>
      <w:r>
        <w:rPr>
          <w:noProof/>
        </w:rPr>
        <w:t>2.</w:t>
      </w:r>
      <w:r>
        <w:rPr>
          <w:noProof/>
        </w:rPr>
        <w:tab/>
        <w:t>ÕIGUSLIK ALUS, SUBSIDIAARSUS JA PROPORTSIONAALSUS</w:t>
      </w:r>
    </w:p>
    <w:p>
      <w:pPr>
        <w:pStyle w:val="ManualHeading2"/>
        <w:rPr>
          <w:rFonts w:eastAsia="Arial Unicode MS"/>
          <w:noProof/>
          <w:u w:color="000000"/>
          <w:bdr w:val="nil"/>
        </w:rPr>
      </w:pPr>
      <w:r>
        <w:rPr>
          <w:noProof/>
          <w:u w:color="000000"/>
          <w:bdr w:val="nil"/>
        </w:rPr>
        <w:t>•</w:t>
      </w:r>
      <w:r>
        <w:rPr>
          <w:noProof/>
        </w:rPr>
        <w:tab/>
      </w:r>
      <w:r>
        <w:rPr>
          <w:noProof/>
          <w:u w:color="000000"/>
          <w:bdr w:val="nil"/>
        </w:rPr>
        <w:t>Õiguslik alus</w:t>
      </w:r>
    </w:p>
    <w:p>
      <w:pPr>
        <w:pBdr>
          <w:top w:val="nil"/>
          <w:left w:val="nil"/>
          <w:bottom w:val="nil"/>
          <w:right w:val="nil"/>
          <w:between w:val="nil"/>
          <w:bar w:val="nil"/>
        </w:pBdr>
        <w:spacing w:before="0" w:after="240"/>
        <w:rPr>
          <w:rFonts w:eastAsia="Arial Unicode MS"/>
          <w:noProof/>
        </w:rPr>
      </w:pPr>
      <w:r>
        <w:rPr>
          <w:noProof/>
        </w:rPr>
        <w:t>Käibemaksudirektiivi artikkel 395.</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Subsidiaarsus (ainupädevusse mittekuuluva valdkonna puhul) </w:t>
      </w:r>
    </w:p>
    <w:p>
      <w:pPr>
        <w:pBdr>
          <w:top w:val="nil"/>
          <w:left w:val="nil"/>
          <w:bottom w:val="nil"/>
          <w:right w:val="nil"/>
          <w:between w:val="nil"/>
          <w:bar w:val="nil"/>
        </w:pBdr>
        <w:spacing w:before="0" w:after="240"/>
        <w:rPr>
          <w:rFonts w:eastAsia="Arial Unicode MS"/>
          <w:noProof/>
        </w:rPr>
      </w:pPr>
      <w:r>
        <w:rPr>
          <w:noProof/>
        </w:rPr>
        <w:t>Pidades silmas ettepaneku aluseks olevat käibemaksudirektiivi sätet, ei kohaldata subsidiaarsuse põhimõtet.</w:t>
      </w:r>
    </w:p>
    <w:p>
      <w:pPr>
        <w:pStyle w:val="ManualHeading2"/>
        <w:rPr>
          <w:rFonts w:eastAsia="Arial Unicode MS"/>
          <w:noProof/>
          <w:u w:color="000000"/>
          <w:bdr w:val="nil"/>
        </w:rPr>
      </w:pPr>
      <w:r>
        <w:rPr>
          <w:noProof/>
          <w:u w:color="000000"/>
          <w:bdr w:val="nil"/>
        </w:rPr>
        <w:t>•</w:t>
      </w:r>
      <w:r>
        <w:rPr>
          <w:noProof/>
        </w:rPr>
        <w:tab/>
      </w:r>
      <w:r>
        <w:rPr>
          <w:noProof/>
          <w:u w:color="000000"/>
          <w:bdr w:val="nil"/>
        </w:rPr>
        <w:t>Proportsionaalsus</w:t>
      </w:r>
    </w:p>
    <w:p>
      <w:pPr>
        <w:pBdr>
          <w:top w:val="nil"/>
          <w:left w:val="nil"/>
          <w:bottom w:val="nil"/>
          <w:right w:val="nil"/>
          <w:between w:val="nil"/>
          <w:bar w:val="nil"/>
        </w:pBdr>
        <w:spacing w:before="0" w:after="240"/>
        <w:rPr>
          <w:noProof/>
        </w:rPr>
      </w:pPr>
      <w:r>
        <w:rPr>
          <w:noProof/>
        </w:rPr>
        <w:t xml:space="preserve">Otsus käsitleb liikmesriigile tema enda taotlusel antud luba ja sellega ei määrata kohustusi. </w:t>
      </w:r>
    </w:p>
    <w:p>
      <w:pPr>
        <w:pBdr>
          <w:top w:val="nil"/>
          <w:left w:val="nil"/>
          <w:bottom w:val="nil"/>
          <w:right w:val="nil"/>
          <w:between w:val="nil"/>
          <w:bar w:val="nil"/>
        </w:pBdr>
        <w:spacing w:before="0" w:after="240"/>
        <w:rPr>
          <w:rFonts w:eastAsia="Arial Unicode MS"/>
          <w:noProof/>
        </w:rPr>
      </w:pPr>
      <w:r>
        <w:rPr>
          <w:noProof/>
        </w:rPr>
        <w:t>Erandi piiratud ulatust arvestades on erimeede kooskõlas taotletava eesmärgiga – lihtsustada käibemaksu kogumise menetlust või hoida ära teatavat maksudest kõrvalehoidumist või maksustamise vältimist. Erand ei lähe kaugemale sellest, mis on vajalik kõnealuse eesmärgi saavutamiseks.</w:t>
      </w:r>
    </w:p>
    <w:p>
      <w:pPr>
        <w:pStyle w:val="ManualHeading2"/>
        <w:rPr>
          <w:rFonts w:eastAsia="Arial Unicode MS"/>
          <w:noProof/>
          <w:u w:color="000000"/>
          <w:bdr w:val="nil"/>
        </w:rPr>
      </w:pPr>
      <w:r>
        <w:rPr>
          <w:noProof/>
          <w:u w:color="000000"/>
          <w:bdr w:val="nil"/>
        </w:rPr>
        <w:t>•</w:t>
      </w:r>
      <w:r>
        <w:rPr>
          <w:noProof/>
        </w:rPr>
        <w:tab/>
      </w:r>
      <w:r>
        <w:rPr>
          <w:noProof/>
          <w:u w:color="000000"/>
          <w:bdr w:val="nil"/>
        </w:rPr>
        <w:t>Vahendi valik</w:t>
      </w:r>
    </w:p>
    <w:p>
      <w:pPr>
        <w:spacing w:before="0" w:after="240"/>
        <w:rPr>
          <w:rFonts w:eastAsia="Arial Unicode MS"/>
          <w:noProof/>
        </w:rPr>
      </w:pPr>
      <w:r>
        <w:rPr>
          <w:noProof/>
        </w:rPr>
        <w:t>Kavandatav vahend: nõukogu rakendusotsus.</w:t>
      </w:r>
    </w:p>
    <w:p>
      <w:pPr>
        <w:spacing w:before="0" w:after="240"/>
        <w:rPr>
          <w:rFonts w:eastAsia="Arial Unicode MS"/>
          <w:noProof/>
        </w:rPr>
      </w:pPr>
      <w:r>
        <w:rPr>
          <w:noProof/>
        </w:rPr>
        <w:t>Nõukogu direktiivi 2006/112/EÜ artikli 395 kohaselt on erandi tegemine ühistest käibemaksusätetest võimalik vaid komisjoni ettepaneku põhjal nõukogus ühehäälselt antud loa alusel. Nõukogu rakendusotsus on kõige sobivam õigusakt, kuna selle saab adresseerida ühele liikmesriigile.</w:t>
      </w:r>
    </w:p>
    <w:p>
      <w:pPr>
        <w:pStyle w:val="ManualHeading1"/>
        <w:rPr>
          <w:noProof/>
        </w:rPr>
      </w:pPr>
      <w:r>
        <w:rPr>
          <w:noProof/>
        </w:rPr>
        <w:t>3.</w:t>
      </w:r>
      <w:r>
        <w:rPr>
          <w:noProof/>
        </w:rPr>
        <w:tab/>
        <w:t>JÄRELHINDAMISE, SIDUSRÜHMADEGA KONSULTEERIMISE JA MÕJU HINDAMISE TULEMUSED</w:t>
      </w:r>
    </w:p>
    <w:p>
      <w:pPr>
        <w:pStyle w:val="ManualHeading2"/>
        <w:rPr>
          <w:rFonts w:eastAsia="Arial Unicode MS"/>
          <w:noProof/>
          <w:u w:color="000000"/>
          <w:bdr w:val="nil"/>
        </w:rPr>
      </w:pPr>
      <w:r>
        <w:rPr>
          <w:noProof/>
          <w:u w:color="000000"/>
          <w:bdr w:val="nil"/>
        </w:rPr>
        <w:t>•</w:t>
      </w:r>
      <w:r>
        <w:rPr>
          <w:noProof/>
        </w:rPr>
        <w:tab/>
      </w:r>
      <w:r>
        <w:rPr>
          <w:noProof/>
          <w:u w:color="000000"/>
          <w:bdr w:val="nil"/>
        </w:rPr>
        <w:t>Konsulteerimine sidusrühmadega</w:t>
      </w:r>
    </w:p>
    <w:p>
      <w:pPr>
        <w:pBdr>
          <w:top w:val="nil"/>
          <w:left w:val="nil"/>
          <w:bottom w:val="nil"/>
          <w:right w:val="nil"/>
          <w:between w:val="nil"/>
          <w:bar w:val="nil"/>
        </w:pBdr>
        <w:spacing w:before="0" w:after="240"/>
        <w:rPr>
          <w:rFonts w:eastAsia="Arial Unicode MS"/>
          <w:noProof/>
        </w:rPr>
      </w:pPr>
      <w:r>
        <w:rPr>
          <w:noProof/>
        </w:rPr>
        <w:t>Käesolev ettepanek põhineb Saksamaa esitatud taotlusel ja käsitleb ainult kõnealust konkreetset liikmesriiki.</w:t>
      </w:r>
    </w:p>
    <w:p>
      <w:pPr>
        <w:pStyle w:val="ManualHeading2"/>
        <w:rPr>
          <w:rFonts w:eastAsia="Arial Unicode MS"/>
          <w:noProof/>
          <w:u w:color="000000"/>
          <w:bdr w:val="nil"/>
        </w:rPr>
      </w:pPr>
      <w:r>
        <w:rPr>
          <w:noProof/>
          <w:u w:color="000000"/>
          <w:bdr w:val="nil"/>
        </w:rPr>
        <w:t>•</w:t>
      </w:r>
      <w:r>
        <w:rPr>
          <w:noProof/>
        </w:rPr>
        <w:tab/>
      </w:r>
      <w:r>
        <w:rPr>
          <w:noProof/>
          <w:u w:color="000000"/>
          <w:bdr w:val="nil"/>
        </w:rPr>
        <w:t>Eksperdiarvamuste kogumine ja kasutamine</w:t>
      </w:r>
    </w:p>
    <w:p>
      <w:pPr>
        <w:pBdr>
          <w:top w:val="nil"/>
          <w:left w:val="nil"/>
          <w:bottom w:val="nil"/>
          <w:right w:val="nil"/>
          <w:between w:val="nil"/>
          <w:bar w:val="nil"/>
        </w:pBdr>
        <w:spacing w:before="0" w:after="240"/>
        <w:rPr>
          <w:rFonts w:eastAsia="Arial Unicode MS"/>
          <w:noProof/>
        </w:rPr>
      </w:pPr>
      <w:r>
        <w:rPr>
          <w:noProof/>
        </w:rPr>
        <w:t>Välisekspertide arvamusi ei olnud vaja kasutada.</w:t>
      </w:r>
    </w:p>
    <w:p>
      <w:pPr>
        <w:pStyle w:val="ManualHeading2"/>
        <w:rPr>
          <w:rFonts w:eastAsia="Arial Unicode MS"/>
          <w:noProof/>
          <w:u w:color="000000"/>
          <w:bdr w:val="nil"/>
        </w:rPr>
      </w:pPr>
      <w:r>
        <w:rPr>
          <w:noProof/>
          <w:u w:color="000000"/>
          <w:bdr w:val="nil"/>
        </w:rPr>
        <w:t>•</w:t>
      </w:r>
      <w:r>
        <w:rPr>
          <w:noProof/>
        </w:rPr>
        <w:tab/>
      </w:r>
      <w:r>
        <w:rPr>
          <w:noProof/>
          <w:u w:color="000000"/>
          <w:bdr w:val="nil"/>
        </w:rPr>
        <w:t>Mõju hindamine</w:t>
      </w:r>
    </w:p>
    <w:p>
      <w:pPr>
        <w:pBdr>
          <w:top w:val="nil"/>
          <w:left w:val="nil"/>
          <w:bottom w:val="nil"/>
          <w:right w:val="nil"/>
          <w:between w:val="nil"/>
          <w:bar w:val="nil"/>
        </w:pBdr>
        <w:spacing w:before="0" w:after="240"/>
        <w:rPr>
          <w:noProof/>
        </w:rPr>
      </w:pPr>
      <w:r>
        <w:rPr>
          <w:noProof/>
        </w:rPr>
        <w:t xml:space="preserve">Nõukogu rakendusotsuse ettepaneku eesmärk on lihtsustada käibemaksu kogumise menetlust, lubades Saksamaal jätkata sellise erandi kohaldamist, millega jäetakse käibemaksu mahaarvamise õiguse kohaldamisalast täielikult välja kaubad ja teenused, mida maksukohustuslane kasutab üle 90 % ulatuses isiklikuks tarbeks või muul kui ettevõtluse eesmärgil, sealhulgas mittemajandusliku tegevuse tarbeks. Kõnealune meede on osutunud sobivaks ja tõhusaks vahendiks. </w:t>
      </w:r>
    </w:p>
    <w:p>
      <w:pPr>
        <w:pBdr>
          <w:top w:val="nil"/>
          <w:left w:val="nil"/>
          <w:bottom w:val="nil"/>
          <w:right w:val="nil"/>
          <w:between w:val="nil"/>
          <w:bar w:val="nil"/>
        </w:pBdr>
        <w:spacing w:before="0" w:after="240"/>
        <w:rPr>
          <w:noProof/>
        </w:rPr>
      </w:pPr>
      <w:r>
        <w:rPr>
          <w:noProof/>
        </w:rPr>
        <w:t>Saksamaa sõnul ei avalda kõnealuse meetme pikendamine negatiivset mõju lõpptarbimise etapis kogutud käibemaksutulude kogusummale ning seega ei mõjuta see negatiivselt liidu käibemaksupõhiseid omavahendeid.</w:t>
      </w:r>
    </w:p>
    <w:p>
      <w:pPr>
        <w:pStyle w:val="ManualHeading1"/>
        <w:rPr>
          <w:noProof/>
        </w:rPr>
      </w:pPr>
      <w:r>
        <w:rPr>
          <w:noProof/>
        </w:rPr>
        <w:t>4.</w:t>
      </w:r>
      <w:r>
        <w:rPr>
          <w:noProof/>
        </w:rPr>
        <w:tab/>
        <w:t>MÕJU EELARVELE</w:t>
      </w:r>
    </w:p>
    <w:p>
      <w:pPr>
        <w:rPr>
          <w:noProof/>
        </w:rPr>
      </w:pPr>
      <w:r>
        <w:rPr>
          <w:noProof/>
        </w:rPr>
        <w:t>Ettepanek ei mõjuta negatiivselt ELi eelarvet.</w:t>
      </w:r>
    </w:p>
    <w:p>
      <w:pPr>
        <w:pStyle w:val="ManualHeading1"/>
        <w:rPr>
          <w:noProof/>
        </w:rPr>
      </w:pPr>
      <w:r>
        <w:rPr>
          <w:noProof/>
        </w:rPr>
        <w:t>5.</w:t>
      </w:r>
      <w:r>
        <w:rPr>
          <w:noProof/>
        </w:rPr>
        <w:tab/>
        <w:t>MUU TEAVE</w:t>
      </w:r>
    </w:p>
    <w:p>
      <w:pPr>
        <w:rPr>
          <w:b/>
          <w:noProof/>
        </w:rPr>
      </w:pPr>
      <w:r>
        <w:rPr>
          <w:noProof/>
        </w:rPr>
        <w:t>Ettepanek on ajaliselt piiratud ja sisaldab aegumisklauslit, mille tähtpäevaks on 31. detsember 2024.</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2021/0249 (NLE)</w:t>
      </w:r>
    </w:p>
    <w:p>
      <w:pPr>
        <w:pStyle w:val="Statut"/>
        <w:rPr>
          <w:noProof/>
        </w:rPr>
      </w:pPr>
      <w:r>
        <w:rPr>
          <w:noProof/>
        </w:rPr>
        <w:t>Ettepanek:</w:t>
      </w:r>
    </w:p>
    <w:p>
      <w:pPr>
        <w:pStyle w:val="Typedudocument"/>
        <w:rPr>
          <w:noProof/>
        </w:rPr>
      </w:pPr>
      <w:r>
        <w:rPr>
          <w:noProof/>
        </w:rPr>
        <w:t>NÕUKOGU RAKENDUSOTSUS,</w:t>
      </w:r>
    </w:p>
    <w:p>
      <w:pPr>
        <w:pStyle w:val="Titreobjet"/>
        <w:rPr>
          <w:noProof/>
        </w:rPr>
      </w:pPr>
      <w:r>
        <w:rPr>
          <w:noProof/>
        </w:rPr>
        <w:t>millega muudetakse otsust (EL) 2009/791/EÜ, millega lubatakse Saksamaal jätkuvalt kohaldada meedet, millega tehakse erand direktiivi 2006/112/EÜ (mis käsitleb ühist käibemaksusüsteemi) artiklist 168</w:t>
      </w:r>
    </w:p>
    <w:p>
      <w:pPr>
        <w:pStyle w:val="Institutionquiagit"/>
        <w:rPr>
          <w:noProof/>
        </w:rPr>
      </w:pPr>
      <w:r>
        <w:rPr>
          <w:noProof/>
        </w:rPr>
        <w:t>EUROOPA LIIDU NÕUKOGU,</w:t>
      </w:r>
    </w:p>
    <w:p>
      <w:pPr>
        <w:rPr>
          <w:noProof/>
        </w:rPr>
      </w:pPr>
      <w:r>
        <w:rPr>
          <w:noProof/>
        </w:rPr>
        <w:t xml:space="preserve">võttes arvesse Euroopa Liidu toimimise lepingut, </w:t>
      </w:r>
    </w:p>
    <w:p>
      <w:pPr>
        <w:rPr>
          <w:noProof/>
        </w:rPr>
      </w:pPr>
      <w:r>
        <w:rPr>
          <w:noProof/>
        </w:rPr>
        <w:t>võttes arvesse nõukogu 28. novembri 2006. aasta direktiivi 2006/112/EÜ, mis käsitleb ühist käibemaksusüsteemi,</w:t>
      </w:r>
      <w:r>
        <w:rPr>
          <w:rStyle w:val="FootnoteReference"/>
          <w:noProof/>
        </w:rPr>
        <w:footnoteReference w:id="14"/>
      </w:r>
      <w:r>
        <w:rPr>
          <w:noProof/>
        </w:rPr>
        <w:t xml:space="preserve"> eriti selle artikli 395 lõike 1 esimest lõiku,</w:t>
      </w:r>
    </w:p>
    <w:p>
      <w:pPr>
        <w:rPr>
          <w:noProof/>
        </w:rPr>
      </w:pPr>
      <w:r>
        <w:rPr>
          <w:noProof/>
        </w:rPr>
        <w:t>võttes arvesse Euroopa Komisjoni ettepanekut</w:t>
      </w:r>
    </w:p>
    <w:p>
      <w:pPr>
        <w:rPr>
          <w:noProof/>
        </w:rPr>
      </w:pPr>
      <w:r>
        <w:rPr>
          <w:noProof/>
        </w:rPr>
        <w:t>ning arvestades järgmist:</w:t>
      </w:r>
    </w:p>
    <w:p>
      <w:pPr>
        <w:pStyle w:val="ManualConsidrant"/>
        <w:rPr>
          <w:noProof/>
        </w:rPr>
      </w:pPr>
      <w:r>
        <w:t>(1)</w:t>
      </w:r>
      <w:r>
        <w:tab/>
      </w:r>
      <w:r>
        <w:rPr>
          <w:noProof/>
        </w:rPr>
        <w:t xml:space="preserve">Direktiivi 2006/112/EÜ artiklitega 168 ja 168a reguleeritakse maksukohustuslase õigust arvata maha käibemaks, mis on makstud kaupade ja teenuste pealt, mis on talle tarnitud tema maksustatava tegevuse tarbeks. Saksamaale on antud luba kohaldada erandit, mille eesmärk on jätta kaupadelt ja teenustelt võetav käibemaks käibemaksu mahaarvamise õiguse kohaldamisalast välja, kui kõnealuseid kaupu ja teenuseid kasutatakse üle 90 % ulatuses maksukohustuslase või tema töötajate isiklikuks tarbeks või üldiselt muul kui ettevõtluse eesmärgil või mittemajandusliku tegevuse tarbeks. </w:t>
      </w:r>
    </w:p>
    <w:p>
      <w:pPr>
        <w:pStyle w:val="ManualConsidrant"/>
        <w:rPr>
          <w:noProof/>
        </w:rPr>
      </w:pPr>
      <w:r>
        <w:t>(2)</w:t>
      </w:r>
      <w:r>
        <w:tab/>
      </w:r>
      <w:r>
        <w:rPr>
          <w:noProof/>
        </w:rPr>
        <w:t>Nõukogu otsusega 2000/186/EÜ</w:t>
      </w:r>
      <w:r>
        <w:rPr>
          <w:rStyle w:val="FootnoteReference"/>
          <w:noProof/>
        </w:rPr>
        <w:footnoteReference w:id="15"/>
      </w:r>
      <w:r>
        <w:rPr>
          <w:noProof/>
        </w:rPr>
        <w:t xml:space="preserve"> lubati Saksamaal algselt kehtestada ja kohaldada nõukogu direktiivi 77/388/EMÜ</w:t>
      </w:r>
      <w:r>
        <w:rPr>
          <w:rStyle w:val="FootnoteReference"/>
          <w:noProof/>
        </w:rPr>
        <w:footnoteReference w:id="16"/>
      </w:r>
      <w:r>
        <w:rPr>
          <w:noProof/>
        </w:rPr>
        <w:t xml:space="preserve"> artiklitest 6 ja 17 kõrvale kalduvaid meetmeid kuni 31. detsembrini 2002. Nõukogu otsusega 2003/354/EÜ</w:t>
      </w:r>
      <w:r>
        <w:rPr>
          <w:rStyle w:val="FootnoteReference"/>
          <w:noProof/>
        </w:rPr>
        <w:footnoteReference w:id="17"/>
      </w:r>
      <w:r>
        <w:rPr>
          <w:noProof/>
        </w:rPr>
        <w:t xml:space="preserve"> lubati Saksamaal kohaldada direktiivi 77/388/EMÜ artiklist 17 kõrvale kalduvat meedet kuni 30. juunini 2004. Nõukogu otsusega 2004/817/EÜ</w:t>
      </w:r>
      <w:r>
        <w:rPr>
          <w:rStyle w:val="FootnoteReference"/>
          <w:noProof/>
        </w:rPr>
        <w:footnoteReference w:id="18"/>
      </w:r>
      <w:r>
        <w:rPr>
          <w:noProof/>
        </w:rPr>
        <w:t xml:space="preserve"> pikendati kõnealust luba kuni 31. detsembrini 2009.</w:t>
      </w:r>
    </w:p>
    <w:p>
      <w:pPr>
        <w:pStyle w:val="ManualConsidrant"/>
        <w:rPr>
          <w:noProof/>
        </w:rPr>
      </w:pPr>
      <w:r>
        <w:t>(3)</w:t>
      </w:r>
      <w:r>
        <w:tab/>
      </w:r>
      <w:r>
        <w:rPr>
          <w:noProof/>
        </w:rPr>
        <w:t>Nõukogu otsusega 2009/791/EÜ</w:t>
      </w:r>
      <w:r>
        <w:rPr>
          <w:rStyle w:val="FootnoteReference"/>
          <w:noProof/>
        </w:rPr>
        <w:footnoteReference w:id="19"/>
      </w:r>
      <w:r>
        <w:rPr>
          <w:noProof/>
        </w:rPr>
        <w:t xml:space="preserve"> lubati Saksamaal jätkuvalt kohaldada meedet, millega tehakse erand direktiivi 2006/112/EÜ artiklist 168. Pärast korduvaid pikendusi kaotab kõnealune luba kehtivuse 31. detsembril 2021.</w:t>
      </w:r>
    </w:p>
    <w:p>
      <w:pPr>
        <w:pStyle w:val="ManualConsidrant"/>
        <w:rPr>
          <w:noProof/>
        </w:rPr>
      </w:pPr>
      <w:r>
        <w:t>(4)</w:t>
      </w:r>
      <w:r>
        <w:tab/>
      </w:r>
      <w:r>
        <w:rPr>
          <w:noProof/>
        </w:rPr>
        <w:t>Nõukogu 22. detsembri 2009. aasta direktiiviga 2009/162/EL</w:t>
      </w:r>
      <w:r>
        <w:rPr>
          <w:rStyle w:val="FootnoteReference"/>
          <w:noProof/>
        </w:rPr>
        <w:footnoteReference w:id="20"/>
      </w:r>
      <w:r>
        <w:rPr>
          <w:noProof/>
        </w:rPr>
        <w:t xml:space="preserve"> lisati direktiivi 2006/112/EÜ artikkel 168a, et piirata käibemaksu mahaarvamist proportsionaalselt ettevõtluse eesmärgil kasutamisega ja kohaldada seega tõhusamalt põhimõtet, mille kohaselt mahaarvamine toimub ainult siis, kui asjaomaseid kaupu ja teenuseid kasutatakse maksukohustuslase ettevõtluse eesmärgil. Seepärast tuleb otsuse 2009/791/EÜ pealkirjas viidata ka direktiivi 2006/112/EÜ artiklile 168a. </w:t>
      </w:r>
    </w:p>
    <w:p>
      <w:pPr>
        <w:pStyle w:val="ManualConsidrant"/>
        <w:rPr>
          <w:noProof/>
        </w:rPr>
      </w:pPr>
      <w:r>
        <w:t>(5)</w:t>
      </w:r>
      <w:r>
        <w:tab/>
      </w:r>
      <w:r>
        <w:rPr>
          <w:noProof/>
        </w:rPr>
        <w:t xml:space="preserve">19. veebruari 2021. aasta kirjaga esitas Saksamaa komisjonile taotluse pikendada luba jätkuvalt kohaldada meedet, millega tehakse erand direktiivi 2006/112/EÜ artiklitest 168 ja 168a, et jätta käibemaksu mahaarvamisõiguse kohaldamisalast täielikult välja kaubad ja teenused, mida maksukohustuslane kasutab üle 90 % ulatuses isiklikuks tarbeks või muul kui ettevõtluse eesmärgil, sealhulgas mittemajandusliku tegevuse tarbeks (edaspidi „taotlus“). Kirjaga oli kaasas aruanne erandi kohaldamise kohta, mis sisaldas ka käibemaksu mahaarvamise õiguse jaotusmäära läbivaatamist, nagu on nõutud otsuse 2009/791/EÜ artiklis 2. </w:t>
      </w:r>
    </w:p>
    <w:p>
      <w:pPr>
        <w:pStyle w:val="ManualConsidrant"/>
        <w:rPr>
          <w:noProof/>
        </w:rPr>
      </w:pPr>
      <w:r>
        <w:t>(6)</w:t>
      </w:r>
      <w:r>
        <w:tab/>
      </w:r>
      <w:r>
        <w:rPr>
          <w:noProof/>
        </w:rPr>
        <w:t>Kooskõlas direktiivi 2006/112/EÜ artikli 395 lõike 2 teise lõiguga teavitas komisjon 17. märtsi 2021. aasta kirjadega teisi liikmesriike Saksamaa taotlusest. Komisjon teatas 18. märtsi 2021. aasta kirjaga Saksamaale, et tal on taotluse hindamiseks kogu vajalik teave.</w:t>
      </w:r>
    </w:p>
    <w:p>
      <w:pPr>
        <w:pStyle w:val="ManualConsidrant"/>
        <w:rPr>
          <w:noProof/>
        </w:rPr>
      </w:pPr>
      <w:r>
        <w:t>(7)</w:t>
      </w:r>
      <w:r>
        <w:tab/>
      </w:r>
      <w:r>
        <w:rPr>
          <w:noProof/>
        </w:rPr>
        <w:t>Saksamaa sõnul on meede osutunud väga tõhusaks, lihtsustades käibemaksu kogumist ning hoides ära maksudest kõrvalehoidumist ja maksustamise vältimist. Meetmega vähendatakse ettevõtjate ja maksuhaldurite halduskoormust, kuna puudub vajadus jälgida nende kaupade ja teenuste edasist kasutamist, mille suhtes kohaldati mahaarvamist nende soetamise ajal. Seepärast tuleks Saksamaale anda luba jätkata selle erimeetme kohaldamist veel ühe piiratud ajavahemiku jooksul kuni 31. detsembrini 2024.</w:t>
      </w:r>
    </w:p>
    <w:p>
      <w:pPr>
        <w:pStyle w:val="ManualConsidrant"/>
        <w:rPr>
          <w:noProof/>
        </w:rPr>
      </w:pPr>
      <w:r>
        <w:t>(8)</w:t>
      </w:r>
      <w:r>
        <w:tab/>
      </w:r>
      <w:r>
        <w:rPr>
          <w:noProof/>
        </w:rPr>
        <w:t xml:space="preserve">Kui Saksamaa peab vajalikuks erandi pikendamist pärast 2024. aastat, peaks ta esitama komisjonile taotluse hiljemalt 31. märtsiks 2024 koos aruandega meetme kohaldamise kohta, mis peaks sisaldama kohaldatava jaotusmäära läbivaatamist. </w:t>
      </w:r>
    </w:p>
    <w:p>
      <w:pPr>
        <w:pStyle w:val="ManualConsidrant"/>
        <w:rPr>
          <w:noProof/>
        </w:rPr>
      </w:pPr>
      <w:r>
        <w:t>(9)</w:t>
      </w:r>
      <w:r>
        <w:tab/>
      </w:r>
      <w:r>
        <w:rPr>
          <w:noProof/>
        </w:rPr>
        <w:t>Erandil ei ole negatiivset mõju käibemaksust tulenevatele liidu omavahenditele.</w:t>
      </w:r>
    </w:p>
    <w:p>
      <w:pPr>
        <w:pStyle w:val="ManualConsidrant"/>
        <w:rPr>
          <w:noProof/>
        </w:rPr>
      </w:pPr>
      <w:r>
        <w:t>(10)</w:t>
      </w:r>
      <w:r>
        <w:tab/>
      </w:r>
      <w:r>
        <w:rPr>
          <w:noProof/>
        </w:rPr>
        <w:t>Seepärast tuleks otsust 2009/791/EÜ vastavalt muuta,</w:t>
      </w:r>
    </w:p>
    <w:p>
      <w:pPr>
        <w:pStyle w:val="Formuledadoption"/>
        <w:rPr>
          <w:noProof/>
        </w:rPr>
      </w:pPr>
      <w:r>
        <w:rPr>
          <w:noProof/>
        </w:rPr>
        <w:t xml:space="preserve">ON VASTU VÕTNUD KÄESOLEVA OTSUSE: </w:t>
      </w:r>
    </w:p>
    <w:p>
      <w:pPr>
        <w:pStyle w:val="Titrearticle"/>
        <w:rPr>
          <w:noProof/>
        </w:rPr>
      </w:pPr>
      <w:r>
        <w:rPr>
          <w:noProof/>
        </w:rPr>
        <w:t>Artikkel 1</w:t>
      </w:r>
    </w:p>
    <w:p>
      <w:pPr>
        <w:rPr>
          <w:noProof/>
        </w:rPr>
      </w:pPr>
      <w:r>
        <w:rPr>
          <w:noProof/>
        </w:rPr>
        <w:t>Otsust 2009/791/EÜ muudetakse järgmiselt:</w:t>
      </w:r>
    </w:p>
    <w:p>
      <w:pPr>
        <w:rPr>
          <w:noProof/>
        </w:rPr>
      </w:pPr>
      <w:r>
        <w:rPr>
          <w:noProof/>
        </w:rPr>
        <w:t>1) pealkiri asendatakse järgmisega:</w:t>
      </w:r>
    </w:p>
    <w:p>
      <w:pPr>
        <w:rPr>
          <w:noProof/>
        </w:rPr>
      </w:pPr>
      <w:r>
        <w:rPr>
          <w:noProof/>
        </w:rPr>
        <w:t>„Nõukogu 20. oktoobri 2009. aasta otsus, mille kohaselt lubatakse Saksamaa Liitvabariigil jätkuvalt kohaldada meedet, millega tehakse erand direktiivi 2006/112/EÜ (mis käsitleb ühist käibemaksusüsteemi) artiklitest 168 ja 168a“;</w:t>
      </w:r>
    </w:p>
    <w:p>
      <w:pPr>
        <w:rPr>
          <w:noProof/>
        </w:rPr>
      </w:pPr>
      <w:r>
        <w:rPr>
          <w:noProof/>
        </w:rPr>
        <w:t>2) artikkel 2 asendatakse järgmisega:</w:t>
      </w:r>
    </w:p>
    <w:p>
      <w:pPr>
        <w:jc w:val="center"/>
        <w:rPr>
          <w:i/>
          <w:noProof/>
        </w:rPr>
      </w:pPr>
      <w:r>
        <w:rPr>
          <w:noProof/>
        </w:rPr>
        <w:t>„</w:t>
      </w:r>
      <w:r>
        <w:rPr>
          <w:i/>
          <w:noProof/>
        </w:rPr>
        <w:t>Artikkel 2</w:t>
      </w:r>
    </w:p>
    <w:p>
      <w:pPr>
        <w:rPr>
          <w:noProof/>
        </w:rPr>
      </w:pPr>
      <w:r>
        <w:rPr>
          <w:noProof/>
        </w:rPr>
        <w:t>Käesolev otsus kaotab kehtivuse 31. detsembril 2024.</w:t>
      </w:r>
    </w:p>
    <w:p>
      <w:pPr>
        <w:rPr>
          <w:noProof/>
        </w:rPr>
      </w:pPr>
      <w:r>
        <w:rPr>
          <w:noProof/>
        </w:rPr>
        <w:t>Käesolevas otsuses sätestatud erandi kohaldamise pikendamise taotlus tuleb esitada komisjonile hiljemalt 31. märtsiks 2024.</w:t>
      </w:r>
    </w:p>
    <w:p>
      <w:pPr>
        <w:rPr>
          <w:noProof/>
        </w:rPr>
      </w:pPr>
      <w:r>
        <w:rPr>
          <w:noProof/>
        </w:rPr>
        <w:t>Taotlusele lisatakse meetme kohaldamise aruanne, mis sisaldab käesoleva otsuse alusel kohaldatava käibemaksu mahaarvamise õiguse piirangu jaotusmäära läbivaatamist.“</w:t>
      </w:r>
    </w:p>
    <w:p>
      <w:pPr>
        <w:pStyle w:val="Titrearticle"/>
        <w:rPr>
          <w:noProof/>
        </w:rPr>
      </w:pPr>
      <w:r>
        <w:rPr>
          <w:noProof/>
        </w:rPr>
        <w:t>Artikkel 2</w:t>
      </w:r>
    </w:p>
    <w:p>
      <w:pPr>
        <w:keepNext/>
        <w:keepLines/>
        <w:rPr>
          <w:noProof/>
        </w:rPr>
      </w:pPr>
      <w:r>
        <w:rPr>
          <w:noProof/>
        </w:rPr>
        <w:t>Käesolev otsus on adresseeritud Saksamaa Liitvabariigile.</w:t>
      </w:r>
    </w:p>
    <w:p>
      <w:pPr>
        <w:pStyle w:val="Fait"/>
        <w:rPr>
          <w:noProof/>
        </w:rPr>
      </w:pPr>
      <w:r>
        <w:t>Brüssel,</w:t>
      </w:r>
    </w:p>
    <w:p>
      <w:pPr>
        <w:pStyle w:val="Institutionquisigne"/>
        <w:rPr>
          <w:noProof/>
        </w:rPr>
      </w:pPr>
      <w:r>
        <w:rPr>
          <w:noProof/>
        </w:rPr>
        <w:tab/>
        <w:t>Nõukogu nimel</w:t>
      </w:r>
    </w:p>
    <w:p>
      <w:pPr>
        <w:pStyle w:val="Personnequisigne"/>
        <w:rPr>
          <w:noProof/>
        </w:rPr>
      </w:pPr>
      <w:r>
        <w:rPr>
          <w:noProof/>
        </w:rPr>
        <w:tab/>
        <w:t>eesistuja</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ET</w:t>
    </w:r>
    <w:r>
      <w:rPr>
        <w:rFonts w:ascii="Arial" w:hAnsi="Arial" w:cs="Arial"/>
        <w:b/>
        <w:sz w:val="48"/>
      </w:rPr>
      <w:tab/>
    </w:r>
    <w:r>
      <w:rPr>
        <w:rFonts w:ascii="Arial" w:hAnsi="Arial" w:cs="Arial"/>
        <w:b/>
        <w:sz w:val="48"/>
      </w:rPr>
      <w:tab/>
    </w:r>
    <w:r>
      <w:tab/>
    </w:r>
    <w:r>
      <w:rPr>
        <w:rFonts w:ascii="Arial" w:hAnsi="Arial" w:cs="Arial"/>
        <w:b/>
        <w:sz w:val="48"/>
      </w:rPr>
      <w:t>ET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ET</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ET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ELT L 347, 11.12.2006, lk 1.</w:t>
      </w:r>
    </w:p>
  </w:footnote>
  <w:footnote w:id="2">
    <w:p>
      <w:pPr>
        <w:pStyle w:val="FootnoteText"/>
      </w:pPr>
      <w:r>
        <w:rPr>
          <w:rStyle w:val="FootnoteReference"/>
        </w:rPr>
        <w:footnoteRef/>
      </w:r>
      <w:r>
        <w:tab/>
        <w:t>ELT L 283, 30.10.2009, lk 55.</w:t>
      </w:r>
    </w:p>
  </w:footnote>
  <w:footnote w:id="3">
    <w:p>
      <w:pPr>
        <w:pStyle w:val="FootnoteText"/>
      </w:pPr>
      <w:r>
        <w:rPr>
          <w:rStyle w:val="FootnoteReference"/>
        </w:rPr>
        <w:footnoteRef/>
      </w:r>
      <w:r>
        <w:tab/>
        <w:t>ELT L 329, 7.12.2018, lk 20.</w:t>
      </w:r>
    </w:p>
  </w:footnote>
  <w:footnote w:id="4">
    <w:p>
      <w:pPr>
        <w:pStyle w:val="FootnoteText"/>
      </w:pPr>
      <w:r>
        <w:rPr>
          <w:rStyle w:val="FootnoteReference"/>
        </w:rPr>
        <w:footnoteRef/>
      </w:r>
      <w:r>
        <w:tab/>
        <w:t>Nõukogu 22. detsembri 2009. aasta direktiiv 2009/162/EL, millega muudetakse direktiivi 2006/112/EÜ (mis käsitleb ühist käibemaksusüsteemi) teatavaid sätteid (ELT L 10, 15.1.2010, lk 14‒18).</w:t>
      </w:r>
    </w:p>
  </w:footnote>
  <w:footnote w:id="5">
    <w:p>
      <w:pPr>
        <w:pStyle w:val="FootnoteText"/>
      </w:pPr>
      <w:r>
        <w:rPr>
          <w:rStyle w:val="FootnoteReference"/>
        </w:rPr>
        <w:footnoteRef/>
      </w:r>
      <w:r>
        <w:tab/>
        <w:t>EÜT L 59, 4.3.2000, lk 12.</w:t>
      </w:r>
    </w:p>
  </w:footnote>
  <w:footnote w:id="6">
    <w:p>
      <w:pPr>
        <w:pStyle w:val="FootnoteText"/>
      </w:pPr>
      <w:r>
        <w:rPr>
          <w:rStyle w:val="FootnoteReference"/>
        </w:rPr>
        <w:footnoteRef/>
      </w:r>
      <w:r>
        <w:tab/>
        <w:t>ELT L 123, 17.5.2003, lk 47.</w:t>
      </w:r>
    </w:p>
  </w:footnote>
  <w:footnote w:id="7">
    <w:p>
      <w:pPr>
        <w:pStyle w:val="FootnoteText"/>
      </w:pPr>
      <w:r>
        <w:rPr>
          <w:rStyle w:val="FootnoteReference"/>
        </w:rPr>
        <w:footnoteRef/>
      </w:r>
      <w:r>
        <w:tab/>
        <w:t>ELT L 357, 2.12.2004, lk 33.</w:t>
      </w:r>
    </w:p>
  </w:footnote>
  <w:footnote w:id="8">
    <w:p>
      <w:pPr>
        <w:pStyle w:val="FootnoteText"/>
      </w:pPr>
      <w:r>
        <w:rPr>
          <w:rStyle w:val="FootnoteReference"/>
        </w:rPr>
        <w:footnoteRef/>
      </w:r>
      <w:r>
        <w:tab/>
        <w:t>ELT L 319, 16.11.2012, lk 8.</w:t>
      </w:r>
    </w:p>
  </w:footnote>
  <w:footnote w:id="9">
    <w:p>
      <w:pPr>
        <w:pStyle w:val="FootnoteText"/>
      </w:pPr>
      <w:r>
        <w:rPr>
          <w:rStyle w:val="FootnoteReference"/>
        </w:rPr>
        <w:footnoteRef/>
      </w:r>
      <w:r>
        <w:tab/>
        <w:t>ELT L 334, 22.12.2015, lk 12.</w:t>
      </w:r>
    </w:p>
  </w:footnote>
  <w:footnote w:id="10">
    <w:p>
      <w:pPr>
        <w:pStyle w:val="FootnoteText"/>
      </w:pPr>
      <w:r>
        <w:rPr>
          <w:rStyle w:val="FootnoteReference"/>
        </w:rPr>
        <w:footnoteRef/>
      </w:r>
      <w:r>
        <w:tab/>
        <w:t>ELT L 329, 7.12.2018, lk 20.</w:t>
      </w:r>
    </w:p>
  </w:footnote>
  <w:footnote w:id="11">
    <w:p>
      <w:pPr>
        <w:pStyle w:val="FootnoteText"/>
      </w:pPr>
      <w:r>
        <w:rPr>
          <w:rStyle w:val="FootnoteReference"/>
        </w:rPr>
        <w:footnoteRef/>
      </w:r>
      <w:r>
        <w:tab/>
        <w:t>Nõukogu 2. oktoobri 2018. aasta rakendusotsus (EL) 2018/1487, millega muudetakse rakendusotsust 2009/1013/EL, mille kohaselt antakse Austria Vabariigile luba jätkuvalt kohaldada meedet, millega tehakse erand direktiivi 2006/112/EÜ (mis käsitleb ühist käibemaksusüsteemi) artiklitest 168 ja 168a (ELT L 251, 5.10.2018, lk 33–34.)</w:t>
      </w:r>
    </w:p>
  </w:footnote>
  <w:footnote w:id="12">
    <w:p>
      <w:pPr>
        <w:pStyle w:val="FootnoteText"/>
      </w:pPr>
      <w:r>
        <w:rPr>
          <w:rStyle w:val="FootnoteReference"/>
        </w:rPr>
        <w:footnoteRef/>
      </w:r>
      <w:r>
        <w:tab/>
        <w:t>Nõukogu 18. detsembri 2020. aasta rakendusotsus (EL) 2020/2189, mille kohaselt lubatakse Madalmaadel kehtestada erimeede, millega tehakse erand ühist käibemaksusüsteemi käsitleva direktiivi 2006/112/EÜ artiklitest 168 ja 168a (ELT L 434, 23.12.2020, lk 1‒2).</w:t>
      </w:r>
    </w:p>
  </w:footnote>
  <w:footnote w:id="13">
    <w:p>
      <w:pPr>
        <w:pStyle w:val="FootnoteText"/>
        <w:jc w:val="left"/>
      </w:pPr>
      <w:r>
        <w:rPr>
          <w:rStyle w:val="FootnoteReference"/>
        </w:rPr>
        <w:footnoteRef/>
      </w:r>
      <w:r>
        <w:tab/>
        <w:t xml:space="preserve">KOM(2004) 728 lõplik – Ettepanek Nõukogu direktiivi kohta, millega muudetakse direktiivi 77/388/EMÜ käibemaksukohustuse lihtsustamiseks (ELT C 24, 29.1.2005, lk 10), võetud tagasi 21. mail 2014 (ELT C 153, 21.5.2014, lk 3). </w:t>
      </w:r>
    </w:p>
  </w:footnote>
  <w:footnote w:id="14">
    <w:p>
      <w:pPr>
        <w:pStyle w:val="FootnoteText"/>
      </w:pPr>
      <w:r>
        <w:rPr>
          <w:rStyle w:val="FootnoteReference"/>
        </w:rPr>
        <w:footnoteRef/>
      </w:r>
      <w:r>
        <w:tab/>
        <w:t>ELT L 347, 11.12.2006, lk 1.</w:t>
      </w:r>
    </w:p>
  </w:footnote>
  <w:footnote w:id="15">
    <w:p>
      <w:pPr>
        <w:pStyle w:val="FootnoteText"/>
      </w:pPr>
      <w:r>
        <w:rPr>
          <w:rStyle w:val="FootnoteReference"/>
        </w:rPr>
        <w:footnoteRef/>
      </w:r>
      <w:r>
        <w:tab/>
        <w:t>Nõukogu 28. veebruari 2000. aasta otsus 2000/186/EÜ, millega antakse Saksamaale luba kohaldada meedet, mis kaldub kõrvale kuuenda direktiivi 77/388/EMÜ (kumuleeruvate käibemaksudega seotud liikmesriikide õigusaktide ühtlustamise kohta – ühine käibemaksusüsteem: ühtne maksubaas) artiklitest 6 ja 17 (EÜT L 59, 4.3.2000, lk 12).</w:t>
      </w:r>
    </w:p>
  </w:footnote>
  <w:footnote w:id="16">
    <w:p>
      <w:pPr>
        <w:pStyle w:val="FootnoteText"/>
      </w:pPr>
      <w:r>
        <w:rPr>
          <w:rStyle w:val="FootnoteReference"/>
        </w:rPr>
        <w:footnoteRef/>
      </w:r>
      <w:r>
        <w:tab/>
        <w:t>Nõukogu 17. mai 1977. aasta kuues direktiiv 77/388/EMÜ kumuleeruvate käibemaksudega seotud liikmesriikide õigusaktide ühtlustamise kohta – ühine käibemaksusüsteem: ühtne maksubaas (EÜT L 145, 13.6.1977, lk 1).</w:t>
      </w:r>
    </w:p>
  </w:footnote>
  <w:footnote w:id="17">
    <w:p>
      <w:pPr>
        <w:pStyle w:val="FootnoteText"/>
      </w:pPr>
      <w:r>
        <w:rPr>
          <w:rStyle w:val="FootnoteReference"/>
        </w:rPr>
        <w:footnoteRef/>
      </w:r>
      <w:r>
        <w:tab/>
        <w:t>Nõukogu 13. mai 2003. aasta otsus 2003/354/EÜ, millega antakse Saksamaale luba kohaldada meedet, mis kaldub kõrvale kuuenda direktiivi 77/388/EMÜ (kumuleeruvate käibemaksudega seotud liikmesriikide õigusaktide ühtlustamise kohta) artiklist 17 (ELT L 123, 17.5.2003, lk 47).</w:t>
      </w:r>
    </w:p>
  </w:footnote>
  <w:footnote w:id="18">
    <w:p>
      <w:pPr>
        <w:pStyle w:val="FootnoteText"/>
      </w:pPr>
      <w:r>
        <w:rPr>
          <w:rStyle w:val="FootnoteReference"/>
        </w:rPr>
        <w:footnoteRef/>
      </w:r>
      <w:r>
        <w:tab/>
        <w:t>Nõukogu 19. novembri 2004. aasta otsus 2004/817/EÜ, millega lubatakse Saksamaal kohaldada meedet, mis kaldub kõrvale kuuenda direktiivi 77/388/EMÜ (kumuleeruvate käibemaksudega seotud liikmesriikide õigusaktide ühtlustamise kohta) artiklist 17 (ELT L 357, 2.12.2004, lk 33).</w:t>
      </w:r>
    </w:p>
  </w:footnote>
  <w:footnote w:id="19">
    <w:p>
      <w:pPr>
        <w:pStyle w:val="FootnoteText"/>
      </w:pPr>
      <w:r>
        <w:rPr>
          <w:rStyle w:val="FootnoteReference"/>
        </w:rPr>
        <w:footnoteRef/>
      </w:r>
      <w:r>
        <w:tab/>
        <w:t>Nõukogu 20. oktoobri 2009. aasta otsus 2009/791/EÜ, mille kohaselt lubatakse Saksamaa Liitvabariigil jätkuvalt kohaldada meedet, millega tehakse erand direktiivi 2006/112/EÜ (mis käsitleb ühist käibemaksusüsteemi) artiklist 168 (ELT L 283, 30.10.2009, lk 55).</w:t>
      </w:r>
    </w:p>
  </w:footnote>
  <w:footnote w:id="20">
    <w:p>
      <w:pPr>
        <w:pStyle w:val="FootnoteText"/>
      </w:pPr>
      <w:r>
        <w:rPr>
          <w:rStyle w:val="FootnoteReference"/>
        </w:rPr>
        <w:footnoteRef/>
      </w:r>
      <w:r>
        <w:tab/>
        <w:t>Nõukogu 22. detsembri 2009. aasta direktiiv 2009/162/EL, millega muudetakse direktiivi 2006/112/EÜ (mis käsitleb ühist käibemaksusüsteemi) teatavaid sätteid (ELT L 10, 15.1.2010, lk 14‒18).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84E4FF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696634C"/>
    <w:lvl w:ilvl="0">
      <w:start w:val="1"/>
      <w:numFmt w:val="decimal"/>
      <w:pStyle w:val="ListNumber3"/>
      <w:lvlText w:val="%1."/>
      <w:lvlJc w:val="left"/>
      <w:pPr>
        <w:tabs>
          <w:tab w:val="num" w:pos="926"/>
        </w:tabs>
        <w:ind w:left="926" w:hanging="360"/>
      </w:pPr>
    </w:lvl>
  </w:abstractNum>
  <w:abstractNum w:abstractNumId="2">
    <w:nsid w:val="FFFFFF7F"/>
    <w:multiLevelType w:val="singleLevel"/>
    <w:tmpl w:val="AA226722"/>
    <w:lvl w:ilvl="0">
      <w:start w:val="1"/>
      <w:numFmt w:val="decimal"/>
      <w:pStyle w:val="ListNumber2"/>
      <w:lvlText w:val="%1."/>
      <w:lvlJc w:val="left"/>
      <w:pPr>
        <w:tabs>
          <w:tab w:val="num" w:pos="643"/>
        </w:tabs>
        <w:ind w:left="643" w:hanging="360"/>
      </w:pPr>
    </w:lvl>
  </w:abstractNum>
  <w:abstractNum w:abstractNumId="3">
    <w:nsid w:val="FFFFFF81"/>
    <w:multiLevelType w:val="singleLevel"/>
    <w:tmpl w:val="88E42FF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ADE3FF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5849F2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6A6F6FA"/>
    <w:lvl w:ilvl="0">
      <w:start w:val="1"/>
      <w:numFmt w:val="decimal"/>
      <w:pStyle w:val="ListNumber"/>
      <w:lvlText w:val="%1."/>
      <w:lvlJc w:val="left"/>
      <w:pPr>
        <w:tabs>
          <w:tab w:val="num" w:pos="360"/>
        </w:tabs>
        <w:ind w:left="360" w:hanging="360"/>
      </w:pPr>
    </w:lvl>
  </w:abstractNum>
  <w:abstractNum w:abstractNumId="7">
    <w:nsid w:val="FFFFFF89"/>
    <w:multiLevelType w:val="singleLevel"/>
    <w:tmpl w:val="0CAC717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2"/>
    <w:lvlOverride w:ilvl="0">
      <w:startOverride w:val="1"/>
    </w:lvlOverride>
  </w:num>
  <w:num w:numId="6">
    <w:abstractNumId w:val="6"/>
  </w:num>
  <w:num w:numId="7">
    <w:abstractNumId w:val="2"/>
  </w:num>
  <w:num w:numId="8">
    <w:abstractNumId w:val="1"/>
  </w:num>
  <w:num w:numId="9">
    <w:abstractNumId w:val="0"/>
  </w:num>
  <w:num w:numId="10">
    <w:abstractNumId w:val="19"/>
  </w:num>
  <w:num w:numId="11">
    <w:abstractNumId w:val="12"/>
  </w:num>
  <w:num w:numId="12">
    <w:abstractNumId w:val="21"/>
  </w:num>
  <w:num w:numId="13">
    <w:abstractNumId w:val="11"/>
  </w:num>
  <w:num w:numId="14">
    <w:abstractNumId w:val="13"/>
  </w:num>
  <w:num w:numId="15">
    <w:abstractNumId w:val="14"/>
  </w:num>
  <w:num w:numId="16">
    <w:abstractNumId w:val="9"/>
  </w:num>
  <w:num w:numId="17">
    <w:abstractNumId w:val="20"/>
  </w:num>
  <w:num w:numId="18">
    <w:abstractNumId w:val="8"/>
  </w:num>
  <w:num w:numId="19">
    <w:abstractNumId w:val="15"/>
  </w:num>
  <w:num w:numId="20">
    <w:abstractNumId w:val="17"/>
  </w:num>
  <w:num w:numId="21">
    <w:abstractNumId w:val="18"/>
  </w:num>
  <w:num w:numId="22">
    <w:abstractNumId w:val="10"/>
  </w:num>
  <w:num w:numId="23">
    <w:abstractNumId w:val="16"/>
  </w:num>
  <w:num w:numId="24">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ttachedTemplate r:id="rId1"/>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7-24 00:11:1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6AD6F42E-DA0C-4529-B611-2C07E2106740"/>
    <w:docVar w:name="LW_COVERPAGE_TYPE" w:val="1"/>
    <w:docVar w:name="LW_CROSSREFERENCE" w:val="&lt;UNUSED&gt;"/>
    <w:docVar w:name="LW_DocType" w:val="COM"/>
    <w:docVar w:name="LW_EMISSION" w:val="30.7.2021"/>
    <w:docVar w:name="LW_EMISSION_ISODATE" w:val="2021-07-30"/>
    <w:docVar w:name="LW_EMISSION_LOCATION" w:val="BRX"/>
    <w:docVar w:name="LW_EMISSION_PREFIX" w:val="Brüssel,"/>
    <w:docVar w:name="LW_EMISSION_SUFFIX" w:val=" "/>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ET"/>
    <w:docVar w:name="LW_LEVEL_OF_SENSITIVITY" w:val="Standard treatment"/>
    <w:docVar w:name="LW_NOM.INST" w:val="EUROOPA KOMISJON"/>
    <w:docVar w:name="LW_NOM.INST_JOINTDOC" w:val="&lt;EMPTY&gt;"/>
    <w:docVar w:name="LW_PART_NBR" w:val="1"/>
    <w:docVar w:name="LW_PART_NBR_TOTAL" w:val="1"/>
    <w:docVar w:name="LW_REF.II.NEW.CP" w:val="NLE"/>
    <w:docVar w:name="LW_REF.II.NEW.CP_NUMBER" w:val="0249"/>
    <w:docVar w:name="LW_REF.II.NEW.CP_YEAR" w:val="2021"/>
    <w:docVar w:name="LW_REF.INST.NEW" w:val="COM"/>
    <w:docVar w:name="LW_REF.INST.NEW_ADOPTED" w:val="final"/>
    <w:docVar w:name="LW_REF.INST.NEW_TEXT" w:val="(2021) 43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Ettepanek:"/>
    <w:docVar w:name="LW_SUPERTITRE" w:val="&lt;UNUSED&gt;"/>
    <w:docVar w:name="LW_TITRE.OBJ.CP" w:val="millega muudetakse otsust (EL) 2009/791/EÜ, millega lubatakse Saksamaal jätkuvalt kohaldada meedet, millega tehakse erand direktiivi 2006/112/EÜ (mis käsitleb ühist käibemaksusüsteemi) artiklist 168"/>
    <w:docVar w:name="LW_TYPE.DOC.CP" w:val="NÕUKOGU RAKENDUSOTSUS,"/>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t-EE"/>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7"/>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7"/>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7"/>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character" w:styleId="Emphasis">
    <w:name w:val="Emphasis"/>
    <w:basedOn w:val="DefaultParagraphFont"/>
    <w:uiPriority w:val="20"/>
    <w:qFormat/>
    <w:rPr>
      <w:i/>
      <w:iCs/>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t-E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t-E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t-E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t-E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t-E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t-EE"/>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t-EE"/>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t-EE"/>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t-EE"/>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t-EE"/>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t-EE"/>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t-EE"/>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Tiret5">
    <w:name w:val="Tiret 5"/>
    <w:basedOn w:val="Point5"/>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NumPar5">
    <w:name w:val="NumPar 5"/>
    <w:basedOn w:val="Normal"/>
    <w:next w:val="Text2"/>
    <w:pPr>
      <w:numPr>
        <w:ilvl w:val="4"/>
        <w:numId w:val="16"/>
      </w:numPr>
    </w:pPr>
  </w:style>
  <w:style w:type="paragraph" w:customStyle="1" w:styleId="NumPar6">
    <w:name w:val="NumPar 6"/>
    <w:basedOn w:val="Normal"/>
    <w:next w:val="Text2"/>
    <w:pPr>
      <w:numPr>
        <w:ilvl w:val="5"/>
        <w:numId w:val="16"/>
      </w:numPr>
    </w:pPr>
  </w:style>
  <w:style w:type="paragraph" w:customStyle="1" w:styleId="NumPar7">
    <w:name w:val="NumPar 7"/>
    <w:basedOn w:val="Normal"/>
    <w:next w:val="Text2"/>
    <w:pPr>
      <w:numPr>
        <w:ilvl w:val="6"/>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t-EE"/>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7"/>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7"/>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7"/>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character" w:styleId="Emphasis">
    <w:name w:val="Emphasis"/>
    <w:basedOn w:val="DefaultParagraphFont"/>
    <w:uiPriority w:val="20"/>
    <w:qFormat/>
    <w:rPr>
      <w:i/>
      <w:iCs/>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t-E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t-E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t-E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t-E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t-E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t-EE"/>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t-EE"/>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t-EE"/>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t-EE"/>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t-EE"/>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t-EE"/>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t-EE"/>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Tiret5">
    <w:name w:val="Tiret 5"/>
    <w:basedOn w:val="Point5"/>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NumPar5">
    <w:name w:val="NumPar 5"/>
    <w:basedOn w:val="Normal"/>
    <w:next w:val="Text2"/>
    <w:pPr>
      <w:numPr>
        <w:ilvl w:val="4"/>
        <w:numId w:val="16"/>
      </w:numPr>
    </w:pPr>
  </w:style>
  <w:style w:type="paragraph" w:customStyle="1" w:styleId="NumPar6">
    <w:name w:val="NumPar 6"/>
    <w:basedOn w:val="Normal"/>
    <w:next w:val="Text2"/>
    <w:pPr>
      <w:numPr>
        <w:ilvl w:val="5"/>
        <w:numId w:val="16"/>
      </w:numPr>
    </w:pPr>
  </w:style>
  <w:style w:type="paragraph" w:customStyle="1" w:styleId="NumPar7">
    <w:name w:val="NumPar 7"/>
    <w:basedOn w:val="Normal"/>
    <w:next w:val="Text2"/>
    <w:pPr>
      <w:numPr>
        <w:ilvl w:val="6"/>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2DF39-B93D-4D07-B7B2-145803224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1790</Words>
  <Characters>13161</Characters>
  <Application>Microsoft Office Word</Application>
  <DocSecurity>0</DocSecurity>
  <Lines>223</Lines>
  <Paragraphs>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36</cp:revision>
  <dcterms:created xsi:type="dcterms:W3CDTF">2021-07-14T10:36:00Z</dcterms:created>
  <dcterms:modified xsi:type="dcterms:W3CDTF">2021-07-23T22:11:00Z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20200226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