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8640308"/>
      <w:bookmarkStart w:id="1" w:name="_Toc358640576"/>
      <w:bookmarkStart w:id="2" w:name="_Toc358640627"/>
      <w:bookmarkStart w:id="3" w:name="_Toc358640725"/>
      <w:bookmarkStart w:id="4" w:name="_Toc385254771"/>
      <w:bookmarkStart w:id="5" w:name="_Toc415736037"/>
      <w:bookmarkStart w:id="6" w:name="_Toc415748654"/>
      <w:bookmarkStart w:id="7" w:name="_Toc417031771"/>
      <w:bookmarkStart w:id="8" w:name="_Toc449626267"/>
      <w:bookmarkStart w:id="9" w:name="_Toc449626494"/>
      <w:bookmarkStart w:id="10" w:name="_Toc477351964"/>
      <w:bookmarkStart w:id="11" w:name="_Toc477528171"/>
      <w:bookmarkStart w:id="12" w:name="_Toc477855448"/>
      <w:bookmarkStart w:id="13" w:name="_Toc3825650"/>
      <w:bookmarkStart w:id="14" w:name="_Toc449689407"/>
      <w:bookmarkStart w:id="1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3677106E-EC09-450D-AFDB-186603A17575" style="width:454.55pt;height:351.85pt">
            <v:imagedata r:id="rId12" o:title=""/>
          </v:shape>
        </w:pict>
      </w:r>
    </w:p>
    <w:bookmarkEnd w:id="15"/>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Pagedecouverture"/>
        <w:rPr>
          <w:noProof/>
        </w:rPr>
      </w:pPr>
      <w:bookmarkStart w:id="16" w:name="_GoBack"/>
      <w:bookmarkEnd w:id="16"/>
    </w:p>
    <w:sdt>
      <w:sdtPr>
        <w:rPr>
          <w:rFonts w:ascii="Times New Roman" w:eastAsia="Times New Roman" w:hAnsi="Times New Roman" w:cs="Times New Roman"/>
          <w:noProof/>
          <w:color w:val="auto"/>
          <w:sz w:val="20"/>
          <w:szCs w:val="20"/>
          <w:lang w:eastAsia="en-GB"/>
        </w:rPr>
        <w:id w:val="-735626870"/>
        <w:docPartObj>
          <w:docPartGallery w:val="Table of Contents"/>
          <w:docPartUnique/>
        </w:docPartObj>
      </w:sdtPr>
      <w:sdtEndPr>
        <w:rPr>
          <w:b/>
          <w:bCs/>
        </w:rPr>
      </w:sdtEndPr>
      <w:sdtContent>
        <w:p>
          <w:pPr>
            <w:pStyle w:val="TOCHeading"/>
            <w:jc w:val="center"/>
            <w:rPr>
              <w:rFonts w:ascii="Times New Roman" w:hAnsi="Times New Roman" w:cs="Times New Roman"/>
              <w:smallCaps/>
              <w:noProof/>
              <w:color w:val="auto"/>
            </w:rPr>
          </w:pPr>
          <w:r>
            <w:rPr>
              <w:rFonts w:ascii="Times New Roman" w:hAnsi="Times New Roman"/>
              <w:smallCaps/>
              <w:noProof/>
              <w:color w:val="auto"/>
            </w:rPr>
            <w:t>Съдържание</w:t>
          </w:r>
        </w:p>
        <w:p>
          <w:pPr>
            <w:rPr>
              <w:noProof/>
              <w:lang w:val="en-US" w:eastAsia="en-US"/>
            </w:rPr>
          </w:pPr>
        </w:p>
        <w:p>
          <w:pPr>
            <w:pStyle w:val="TOC1"/>
            <w:tabs>
              <w:tab w:val="left" w:pos="440"/>
              <w:tab w:val="right" w:leader="dot" w:pos="9062"/>
            </w:tabs>
            <w:rPr>
              <w:rFonts w:asciiTheme="minorHAnsi" w:eastAsiaTheme="minorEastAsia" w:hAnsiTheme="minorHAnsi" w:cstheme="minorBidi"/>
              <w:noProof/>
              <w:sz w:val="22"/>
              <w:szCs w:val="22"/>
              <w:lang w:val="en-US" w:eastAsia="en-US"/>
            </w:rPr>
          </w:pPr>
          <w:r>
            <w:rPr>
              <w:b/>
              <w:bCs/>
              <w:smallCaps/>
              <w:noProof/>
            </w:rPr>
            <w:fldChar w:fldCharType="begin"/>
          </w:r>
          <w:r>
            <w:rPr>
              <w:b/>
              <w:bCs/>
              <w:smallCaps/>
              <w:noProof/>
            </w:rPr>
            <w:instrText xml:space="preserve"> TOC \o "1-3" \h \z \u </w:instrText>
          </w:r>
          <w:r>
            <w:rPr>
              <w:b/>
              <w:bCs/>
              <w:smallCaps/>
              <w:noProof/>
            </w:rPr>
            <w:fldChar w:fldCharType="separate"/>
          </w:r>
          <w:hyperlink w:anchor="_Toc77857259" w:history="1">
            <w:r>
              <w:rPr>
                <w:rStyle w:val="Hyperlink"/>
                <w:noProof/>
              </w:rPr>
              <w:t>1.</w:t>
            </w:r>
            <w:r>
              <w:rPr>
                <w:rFonts w:asciiTheme="minorHAnsi" w:eastAsiaTheme="minorEastAsia" w:hAnsiTheme="minorHAnsi" w:cstheme="minorBidi"/>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_Toc77857259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77857260" w:history="1">
            <w:r>
              <w:rPr>
                <w:rStyle w:val="Hyperlink"/>
                <w:noProof/>
              </w:rPr>
              <w:t>2.</w:t>
            </w:r>
            <w:r>
              <w:rPr>
                <w:rFonts w:asciiTheme="minorHAnsi" w:eastAsiaTheme="minorEastAsia" w:hAnsiTheme="minorHAnsi" w:cstheme="minorBidi"/>
                <w:noProof/>
                <w:sz w:val="22"/>
                <w:szCs w:val="22"/>
                <w:lang w:val="en-US" w:eastAsia="en-US"/>
              </w:rPr>
              <w:tab/>
            </w:r>
            <w:r>
              <w:rPr>
                <w:rStyle w:val="Hyperlink"/>
                <w:noProof/>
              </w:rPr>
              <w:t>Оперативен контекст</w:t>
            </w:r>
            <w:r>
              <w:rPr>
                <w:noProof/>
                <w:webHidden/>
              </w:rPr>
              <w:tab/>
            </w:r>
            <w:r>
              <w:rPr>
                <w:noProof/>
                <w:webHidden/>
              </w:rPr>
              <w:fldChar w:fldCharType="begin"/>
            </w:r>
            <w:r>
              <w:rPr>
                <w:noProof/>
                <w:webHidden/>
              </w:rPr>
              <w:instrText xml:space="preserve"> PAGEREF _Toc77857260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77857261" w:history="1">
            <w:r>
              <w:rPr>
                <w:rStyle w:val="Hyperlink"/>
                <w:noProof/>
              </w:rPr>
              <w:t>3.</w:t>
            </w:r>
            <w:r>
              <w:rPr>
                <w:rFonts w:asciiTheme="minorHAnsi" w:eastAsiaTheme="minorEastAsia" w:hAnsiTheme="minorHAnsi" w:cstheme="minorBidi"/>
                <w:noProof/>
                <w:sz w:val="22"/>
                <w:szCs w:val="22"/>
                <w:lang w:val="en-US" w:eastAsia="en-US"/>
              </w:rPr>
              <w:tab/>
            </w:r>
            <w:r>
              <w:rPr>
                <w:rStyle w:val="Hyperlink"/>
                <w:noProof/>
              </w:rPr>
              <w:t>Финансови отчети и значими бюджетни операции през 2020 г.</w:t>
            </w:r>
            <w:r>
              <w:rPr>
                <w:noProof/>
                <w:webHidden/>
              </w:rPr>
              <w:tab/>
            </w:r>
            <w:r>
              <w:rPr>
                <w:noProof/>
                <w:webHidden/>
              </w:rPr>
              <w:fldChar w:fldCharType="begin"/>
            </w:r>
            <w:r>
              <w:rPr>
                <w:noProof/>
                <w:webHidden/>
              </w:rPr>
              <w:instrText xml:space="preserve"> PAGEREF _Toc77857261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2" w:history="1">
            <w:r>
              <w:rPr>
                <w:rStyle w:val="Hyperlink"/>
                <w:noProof/>
              </w:rPr>
              <w:t>3.1.</w:t>
            </w:r>
            <w:r>
              <w:rPr>
                <w:rFonts w:asciiTheme="minorHAnsi" w:eastAsiaTheme="minorEastAsia" w:hAnsiTheme="minorHAnsi" w:cstheme="minorBidi"/>
                <w:noProof/>
                <w:sz w:val="22"/>
                <w:szCs w:val="22"/>
                <w:lang w:val="en-US" w:eastAsia="en-US"/>
              </w:rPr>
              <w:tab/>
            </w:r>
            <w:r>
              <w:rPr>
                <w:rStyle w:val="Hyperlink"/>
                <w:noProof/>
              </w:rPr>
              <w:t>Финансово състояние на ГФЕФСИ към 31 декември 2020 г.</w:t>
            </w:r>
            <w:r>
              <w:rPr>
                <w:noProof/>
                <w:webHidden/>
              </w:rPr>
              <w:tab/>
            </w:r>
            <w:r>
              <w:rPr>
                <w:noProof/>
                <w:webHidden/>
              </w:rPr>
              <w:fldChar w:fldCharType="begin"/>
            </w:r>
            <w:r>
              <w:rPr>
                <w:noProof/>
                <w:webHidden/>
              </w:rPr>
              <w:instrText xml:space="preserve"> PAGEREF _Toc77857262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3" w:history="1">
            <w:r>
              <w:rPr>
                <w:rStyle w:val="Hyperlink"/>
                <w:noProof/>
              </w:rPr>
              <w:t>3.2.</w:t>
            </w:r>
            <w:r>
              <w:rPr>
                <w:rFonts w:asciiTheme="minorHAnsi" w:eastAsiaTheme="minorEastAsia" w:hAnsiTheme="minorHAnsi" w:cstheme="minorBidi"/>
                <w:noProof/>
                <w:sz w:val="22"/>
                <w:szCs w:val="22"/>
                <w:lang w:val="en-US" w:eastAsia="en-US"/>
              </w:rPr>
              <w:tab/>
            </w:r>
            <w:r>
              <w:rPr>
                <w:rStyle w:val="Hyperlink"/>
                <w:noProof/>
              </w:rPr>
              <w:t>Операции на ЕФСИ под гаранцията на ЕС</w:t>
            </w:r>
            <w:r>
              <w:rPr>
                <w:noProof/>
                <w:webHidden/>
              </w:rPr>
              <w:tab/>
            </w:r>
            <w:r>
              <w:rPr>
                <w:noProof/>
                <w:webHidden/>
              </w:rPr>
              <w:fldChar w:fldCharType="begin"/>
            </w:r>
            <w:r>
              <w:rPr>
                <w:noProof/>
                <w:webHidden/>
              </w:rPr>
              <w:instrText xml:space="preserve"> PAGEREF _Toc77857263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4" w:history="1">
            <w:r>
              <w:rPr>
                <w:rStyle w:val="Hyperlink"/>
                <w:noProof/>
              </w:rPr>
              <w:t>3.3.</w:t>
            </w:r>
            <w:r>
              <w:rPr>
                <w:rFonts w:asciiTheme="minorHAnsi" w:eastAsiaTheme="minorEastAsia" w:hAnsiTheme="minorHAnsi" w:cstheme="minorBidi"/>
                <w:noProof/>
                <w:sz w:val="22"/>
                <w:szCs w:val="22"/>
                <w:lang w:val="en-US" w:eastAsia="en-US"/>
              </w:rPr>
              <w:tab/>
            </w:r>
            <w:r>
              <w:rPr>
                <w:rStyle w:val="Hyperlink"/>
                <w:noProof/>
              </w:rPr>
              <w:t>Провизиране на ГФЕФСИ</w:t>
            </w:r>
            <w:r>
              <w:rPr>
                <w:noProof/>
                <w:webHidden/>
              </w:rPr>
              <w:tab/>
            </w:r>
            <w:r>
              <w:rPr>
                <w:noProof/>
                <w:webHidden/>
              </w:rPr>
              <w:fldChar w:fldCharType="begin"/>
            </w:r>
            <w:r>
              <w:rPr>
                <w:noProof/>
                <w:webHidden/>
              </w:rPr>
              <w:instrText xml:space="preserve"> PAGEREF _Toc77857264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5" w:history="1">
            <w:r>
              <w:rPr>
                <w:rStyle w:val="Hyperlink"/>
                <w:noProof/>
              </w:rPr>
              <w:t>3.4.</w:t>
            </w:r>
            <w:r>
              <w:rPr>
                <w:rFonts w:asciiTheme="minorHAnsi" w:eastAsiaTheme="minorEastAsia" w:hAnsiTheme="minorHAnsi" w:cstheme="minorBidi"/>
                <w:noProof/>
                <w:sz w:val="22"/>
                <w:szCs w:val="22"/>
                <w:lang w:val="en-US" w:eastAsia="en-US"/>
              </w:rPr>
              <w:tab/>
            </w:r>
            <w:r>
              <w:rPr>
                <w:rStyle w:val="Hyperlink"/>
                <w:noProof/>
              </w:rPr>
              <w:t>Искания за изпълнение и използване на гаранцията на ЕС</w:t>
            </w:r>
            <w:r>
              <w:rPr>
                <w:noProof/>
                <w:webHidden/>
              </w:rPr>
              <w:tab/>
            </w:r>
            <w:r>
              <w:rPr>
                <w:noProof/>
                <w:webHidden/>
              </w:rPr>
              <w:fldChar w:fldCharType="begin"/>
            </w:r>
            <w:r>
              <w:rPr>
                <w:noProof/>
                <w:webHidden/>
              </w:rPr>
              <w:instrText xml:space="preserve"> PAGEREF _Toc77857265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77857266" w:history="1">
            <w:r>
              <w:rPr>
                <w:rStyle w:val="Hyperlink"/>
                <w:noProof/>
              </w:rPr>
              <w:t>4.</w:t>
            </w:r>
            <w:r>
              <w:rPr>
                <w:rFonts w:asciiTheme="minorHAnsi" w:eastAsiaTheme="minorEastAsia" w:hAnsiTheme="minorHAnsi" w:cstheme="minorBidi"/>
                <w:noProof/>
                <w:sz w:val="22"/>
                <w:szCs w:val="22"/>
                <w:lang w:val="en-US" w:eastAsia="en-US"/>
              </w:rPr>
              <w:tab/>
            </w:r>
            <w:r>
              <w:rPr>
                <w:rStyle w:val="Hyperlink"/>
                <w:noProof/>
              </w:rPr>
              <w:t>Управление на ГФЕФСИ през 2020 г.</w:t>
            </w:r>
            <w:r>
              <w:rPr>
                <w:noProof/>
                <w:webHidden/>
              </w:rPr>
              <w:tab/>
            </w:r>
            <w:r>
              <w:rPr>
                <w:noProof/>
                <w:webHidden/>
              </w:rPr>
              <w:fldChar w:fldCharType="begin"/>
            </w:r>
            <w:r>
              <w:rPr>
                <w:noProof/>
                <w:webHidden/>
              </w:rPr>
              <w:instrText xml:space="preserve"> PAGEREF _Toc77857266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7" w:history="1">
            <w:r>
              <w:rPr>
                <w:rStyle w:val="Hyperlink"/>
                <w:noProof/>
              </w:rPr>
              <w:t>4.1.</w:t>
            </w:r>
            <w:r>
              <w:rPr>
                <w:rFonts w:asciiTheme="minorHAnsi" w:eastAsiaTheme="minorEastAsia" w:hAnsiTheme="minorHAnsi" w:cstheme="minorBidi"/>
                <w:noProof/>
                <w:sz w:val="22"/>
                <w:szCs w:val="22"/>
                <w:lang w:val="en-US" w:eastAsia="en-US"/>
              </w:rPr>
              <w:tab/>
            </w:r>
            <w:r>
              <w:rPr>
                <w:rStyle w:val="Hyperlink"/>
                <w:noProof/>
              </w:rPr>
              <w:t>Финансово управление</w:t>
            </w:r>
            <w:r>
              <w:rPr>
                <w:noProof/>
                <w:webHidden/>
              </w:rPr>
              <w:tab/>
            </w:r>
            <w:r>
              <w:rPr>
                <w:noProof/>
                <w:webHidden/>
              </w:rPr>
              <w:fldChar w:fldCharType="begin"/>
            </w:r>
            <w:r>
              <w:rPr>
                <w:noProof/>
                <w:webHidden/>
              </w:rPr>
              <w:instrText xml:space="preserve"> PAGEREF _Toc77857267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8" w:history="1">
            <w:r>
              <w:rPr>
                <w:rStyle w:val="Hyperlink"/>
                <w:noProof/>
              </w:rPr>
              <w:t>4.2.</w:t>
            </w:r>
            <w:r>
              <w:rPr>
                <w:rFonts w:asciiTheme="minorHAnsi" w:eastAsiaTheme="minorEastAsia" w:hAnsiTheme="minorHAnsi" w:cstheme="minorBidi"/>
                <w:noProof/>
                <w:sz w:val="22"/>
                <w:szCs w:val="22"/>
                <w:lang w:val="en-US" w:eastAsia="en-US"/>
              </w:rPr>
              <w:tab/>
            </w:r>
            <w:r>
              <w:rPr>
                <w:rStyle w:val="Hyperlink"/>
                <w:noProof/>
              </w:rPr>
              <w:t>Развитие на пазара през 2020 г.</w:t>
            </w:r>
            <w:r>
              <w:rPr>
                <w:noProof/>
                <w:webHidden/>
              </w:rPr>
              <w:tab/>
            </w:r>
            <w:r>
              <w:rPr>
                <w:noProof/>
                <w:webHidden/>
              </w:rPr>
              <w:fldChar w:fldCharType="begin"/>
            </w:r>
            <w:r>
              <w:rPr>
                <w:noProof/>
                <w:webHidden/>
              </w:rPr>
              <w:instrText xml:space="preserve"> PAGEREF _Toc77857268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69" w:history="1">
            <w:r>
              <w:rPr>
                <w:rStyle w:val="Hyperlink"/>
                <w:noProof/>
              </w:rPr>
              <w:t>4.3.</w:t>
            </w:r>
            <w:r>
              <w:rPr>
                <w:rFonts w:asciiTheme="minorHAnsi" w:eastAsiaTheme="minorEastAsia" w:hAnsiTheme="minorHAnsi" w:cstheme="minorBidi"/>
                <w:noProof/>
                <w:sz w:val="22"/>
                <w:szCs w:val="22"/>
                <w:lang w:val="en-US" w:eastAsia="en-US"/>
              </w:rPr>
              <w:tab/>
            </w:r>
            <w:r>
              <w:rPr>
                <w:rStyle w:val="Hyperlink"/>
                <w:noProof/>
              </w:rPr>
              <w:t>Състав на портфейла и ключови характеристики на риска за него</w:t>
            </w:r>
            <w:r>
              <w:rPr>
                <w:noProof/>
                <w:webHidden/>
              </w:rPr>
              <w:tab/>
            </w:r>
            <w:r>
              <w:rPr>
                <w:noProof/>
                <w:webHidden/>
              </w:rPr>
              <w:fldChar w:fldCharType="begin"/>
            </w:r>
            <w:r>
              <w:rPr>
                <w:noProof/>
                <w:webHidden/>
              </w:rPr>
              <w:instrText xml:space="preserve"> PAGEREF _Toc77857269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eastAsia="en-US"/>
            </w:rPr>
          </w:pPr>
          <w:hyperlink w:anchor="_Toc77857270" w:history="1">
            <w:r>
              <w:rPr>
                <w:rStyle w:val="Hyperlink"/>
                <w:noProof/>
              </w:rPr>
              <w:t>4.4.</w:t>
            </w:r>
            <w:r>
              <w:rPr>
                <w:rFonts w:asciiTheme="minorHAnsi" w:eastAsiaTheme="minorEastAsia" w:hAnsiTheme="minorHAnsi" w:cstheme="minorBidi"/>
                <w:noProof/>
                <w:sz w:val="22"/>
                <w:szCs w:val="22"/>
                <w:lang w:val="en-US" w:eastAsia="en-US"/>
              </w:rPr>
              <w:tab/>
            </w:r>
            <w:r>
              <w:rPr>
                <w:rStyle w:val="Hyperlink"/>
                <w:noProof/>
              </w:rPr>
              <w:t>Резултат</w:t>
            </w:r>
            <w:r>
              <w:rPr>
                <w:noProof/>
                <w:webHidden/>
              </w:rPr>
              <w:tab/>
            </w:r>
            <w:r>
              <w:rPr>
                <w:noProof/>
                <w:webHidden/>
              </w:rPr>
              <w:fldChar w:fldCharType="begin"/>
            </w:r>
            <w:r>
              <w:rPr>
                <w:noProof/>
                <w:webHidden/>
              </w:rPr>
              <w:instrText xml:space="preserve"> PAGEREF _Toc77857270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US" w:eastAsia="en-US"/>
            </w:rPr>
          </w:pPr>
          <w:hyperlink w:anchor="_Toc77857271" w:history="1">
            <w:r>
              <w:rPr>
                <w:rStyle w:val="Hyperlink"/>
                <w:noProof/>
              </w:rPr>
              <w:t>5.</w:t>
            </w:r>
            <w:r>
              <w:rPr>
                <w:rFonts w:asciiTheme="minorHAnsi" w:eastAsiaTheme="minorEastAsia" w:hAnsiTheme="minorHAnsi" w:cstheme="minorBidi"/>
                <w:noProof/>
                <w:sz w:val="22"/>
                <w:szCs w:val="22"/>
                <w:lang w:val="en-US" w:eastAsia="en-US"/>
              </w:rPr>
              <w:tab/>
            </w:r>
            <w:r>
              <w:rPr>
                <w:rStyle w:val="Hyperlink"/>
                <w:noProof/>
              </w:rPr>
              <w:t>Оценка на адекватността на целевия размер и равнището на ГФЕФСИ</w:t>
            </w:r>
            <w:r>
              <w:rPr>
                <w:noProof/>
                <w:webHidden/>
              </w:rPr>
              <w:tab/>
            </w:r>
            <w:r>
              <w:rPr>
                <w:noProof/>
                <w:webHidden/>
              </w:rPr>
              <w:fldChar w:fldCharType="begin"/>
            </w:r>
            <w:r>
              <w:rPr>
                <w:noProof/>
                <w:webHidden/>
              </w:rPr>
              <w:instrText xml:space="preserve"> PAGEREF _Toc77857271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smallCaps/>
              <w:noProof/>
            </w:rPr>
            <w:fldChar w:fldCharType="end"/>
          </w:r>
        </w:p>
      </w:sdtContent>
    </w:sdt>
    <w:p>
      <w:pPr>
        <w:rPr>
          <w:noProof/>
        </w:rPr>
      </w:pPr>
      <w:r>
        <w:rPr>
          <w:noProof/>
        </w:rPr>
        <w:br w:type="page"/>
      </w:r>
    </w:p>
    <w:p>
      <w:pPr>
        <w:pStyle w:val="Heading1"/>
        <w:rPr>
          <w:rFonts w:ascii="Times New Roman" w:hAnsi="Times New Roman" w:cs="Times New Roman"/>
          <w:noProof/>
        </w:rPr>
      </w:pPr>
      <w:bookmarkStart w:id="17" w:name="_Toc77857259"/>
      <w:r>
        <w:rPr>
          <w:rFonts w:ascii="Times New Roman" w:hAnsi="Times New Roman"/>
          <w:noProof/>
        </w:rPr>
        <w:lastRenderedPageBreak/>
        <w:t>Въведение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p>
    <w:bookmarkEnd w:id="14"/>
    <w:p>
      <w:pPr>
        <w:spacing w:before="240" w:after="240"/>
        <w:jc w:val="both"/>
        <w:rPr>
          <w:noProof/>
          <w:sz w:val="24"/>
          <w:szCs w:val="24"/>
        </w:rPr>
      </w:pPr>
      <w:r>
        <w:rPr>
          <w:noProof/>
          <w:sz w:val="24"/>
          <w:szCs w:val="24"/>
        </w:rPr>
        <w:t>С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(„Регламента за ЕФСИ“) бе създаден гаранционен фонд на ЕФСИ, чиито ресурси се управляват от Комисията</w:t>
      </w:r>
      <w:r>
        <w:rPr>
          <w:rStyle w:val="FootnoteReference"/>
          <w:noProof/>
          <w:sz w:val="24"/>
          <w:szCs w:val="24"/>
        </w:rPr>
        <w:footnoteReference w:id="2"/>
      </w:r>
      <w:r>
        <w:rPr>
          <w:noProof/>
          <w:sz w:val="24"/>
          <w:szCs w:val="24"/>
        </w:rPr>
        <w:t>.</w:t>
      </w:r>
    </w:p>
    <w:p>
      <w:pPr>
        <w:spacing w:before="240" w:after="240"/>
        <w:jc w:val="both"/>
        <w:rPr>
          <w:noProof/>
          <w:sz w:val="24"/>
          <w:szCs w:val="24"/>
        </w:rPr>
      </w:pPr>
      <w:r>
        <w:rPr>
          <w:noProof/>
          <w:sz w:val="24"/>
          <w:szCs w:val="24"/>
        </w:rPr>
        <w:t>С Регламент (ЕС) 2017/2396 на Европейския парламент и на Съвета от 13 декември 2017 г. Регламентът за ЕФСИ беше изменен така, че да се удължи срокът на действие на Европейския фонд за стратегически инвестиции, както и да се въведат редица технически подобрения за този фонд и за Европейския консултантски център по инвестиционни въпроси</w:t>
      </w:r>
      <w:r>
        <w:rPr>
          <w:rStyle w:val="FootnoteReference"/>
          <w:noProof/>
          <w:sz w:val="24"/>
          <w:szCs w:val="24"/>
        </w:rPr>
        <w:footnoteReference w:id="3"/>
      </w:r>
      <w:r>
        <w:rPr>
          <w:noProof/>
          <w:sz w:val="24"/>
          <w:szCs w:val="24"/>
        </w:rPr>
        <w:t xml:space="preserve"> („изменението ЕФСИ 2.0“). С изменението ЕФСИ 2.0 бе увеличен, </w:t>
      </w:r>
      <w:r>
        <w:rPr>
          <w:i/>
          <w:noProof/>
          <w:sz w:val="24"/>
          <w:szCs w:val="24"/>
        </w:rPr>
        <w:t>inter alia</w:t>
      </w:r>
      <w:r>
        <w:rPr>
          <w:noProof/>
          <w:sz w:val="24"/>
          <w:szCs w:val="24"/>
        </w:rPr>
        <w:t>, размерът на гаранцията на ЕС и бе коригиран целевият размер за провизирането на Фонда. На 22 юли 2015 г. Европейската комисия и Европейската инвестиционна банка (ЕИБ) подписаха Споразумението относно управлението на ЕФСИ и относно предоставянето на гаранцията на ЕС („Споразумението за ЕФСИ“)</w:t>
      </w:r>
      <w:r>
        <w:rPr>
          <w:rStyle w:val="FootnoteReference"/>
          <w:noProof/>
          <w:sz w:val="24"/>
          <w:szCs w:val="24"/>
        </w:rPr>
        <w:footnoteReference w:id="4"/>
      </w:r>
      <w:r>
        <w:rPr>
          <w:noProof/>
          <w:sz w:val="24"/>
          <w:szCs w:val="24"/>
        </w:rPr>
        <w:t xml:space="preserve">. </w:t>
      </w:r>
    </w:p>
    <w:p>
      <w:pPr>
        <w:spacing w:before="240" w:after="240"/>
        <w:jc w:val="both"/>
        <w:rPr>
          <w:noProof/>
          <w:sz w:val="24"/>
          <w:szCs w:val="24"/>
        </w:rPr>
      </w:pPr>
      <w:r>
        <w:rPr>
          <w:noProof/>
          <w:sz w:val="24"/>
          <w:szCs w:val="24"/>
        </w:rPr>
        <w:t>В член 16, параграф 6 от Регламента за ЕФСИ се предвижда, че до 31 май всяка година Комисията представя на Европейския парламент, Съвета и Сметната палата годишен доклад</w:t>
      </w:r>
      <w:r>
        <w:rPr>
          <w:rStyle w:val="FootnoteReference"/>
          <w:noProof/>
          <w:sz w:val="24"/>
          <w:szCs w:val="24"/>
        </w:rPr>
        <w:footnoteReference w:id="5"/>
      </w:r>
      <w:r>
        <w:rPr>
          <w:noProof/>
          <w:sz w:val="24"/>
          <w:szCs w:val="24"/>
        </w:rPr>
        <w:t xml:space="preserve"> за управлението на гаранционния фонд на ЕФСИ (ГФЕФСИ) през предходната календарна година, включително оценка на това доколко подходящи са целевият размер и равнището на ГФЕФСИ, както и на потенциалната необходимост от неговото попълване. В годишния доклад се представят финансовото състояние на ГФЕФСИ към края на предходната календарна година, финансовите потоци през предходната календарна година, списък на значимите сделки и съответната информация относно финансовите отчети. Докладът следва да съдържа и информация за финансовото управление, резултатите и свързания с ГФЕФСИ риск към края на предходната календарна година.</w:t>
      </w:r>
    </w:p>
    <w:p>
      <w:pPr>
        <w:spacing w:before="240" w:after="240"/>
        <w:jc w:val="both"/>
        <w:rPr>
          <w:noProof/>
          <w:sz w:val="24"/>
          <w:szCs w:val="24"/>
        </w:rPr>
      </w:pPr>
      <w:r>
        <w:rPr>
          <w:noProof/>
          <w:sz w:val="24"/>
          <w:szCs w:val="24"/>
        </w:rPr>
        <w:t>С Финансовия регламент 2018/1046</w:t>
      </w:r>
      <w:r>
        <w:rPr>
          <w:rStyle w:val="FootnoteReference"/>
          <w:noProof/>
          <w:sz w:val="24"/>
          <w:szCs w:val="24"/>
        </w:rPr>
        <w:footnoteReference w:id="6"/>
      </w:r>
      <w:r>
        <w:rPr>
          <w:noProof/>
          <w:sz w:val="24"/>
          <w:szCs w:val="24"/>
        </w:rPr>
        <w:t xml:space="preserve"> бе създаден общ фонд „Провизии“, в който се държи провизирането за покриване на финансовите пасиви, произтичащи от бюджетни гаранции и програми за финансова помощ от датата на прилагане на многогодишната финансова рамка (МФР)</w:t>
      </w:r>
      <w:r>
        <w:rPr>
          <w:rStyle w:val="FootnoteReference"/>
          <w:noProof/>
          <w:sz w:val="24"/>
          <w:szCs w:val="24"/>
        </w:rPr>
        <w:footnoteReference w:id="7"/>
      </w:r>
      <w:r>
        <w:rPr>
          <w:noProof/>
          <w:sz w:val="24"/>
          <w:szCs w:val="24"/>
        </w:rPr>
        <w:t xml:space="preserve"> за периода 2021—2027 г. Тези разпоредби влязоха в сила на 1 януари 2021 г., от която дата Гаранционният фонд на ЕФСИ представлява отделен компонент в рамките на общия фонд „Провизии“.</w:t>
      </w:r>
    </w:p>
    <w:p>
      <w:pPr>
        <w:pStyle w:val="Heading1"/>
        <w:rPr>
          <w:rFonts w:ascii="Times New Roman" w:hAnsi="Times New Roman" w:cs="Times New Roman"/>
          <w:noProof/>
        </w:rPr>
      </w:pPr>
      <w:bookmarkStart w:id="18" w:name="_Toc449689408"/>
      <w:bookmarkStart w:id="19" w:name="_Toc477351965"/>
      <w:bookmarkStart w:id="20" w:name="_Toc477528172"/>
      <w:bookmarkStart w:id="21" w:name="_Toc477855449"/>
      <w:bookmarkStart w:id="22" w:name="_Toc3825651"/>
      <w:bookmarkStart w:id="23" w:name="_Toc77857260"/>
      <w:r>
        <w:rPr>
          <w:rFonts w:ascii="Times New Roman" w:hAnsi="Times New Roman"/>
          <w:noProof/>
        </w:rPr>
        <w:lastRenderedPageBreak/>
        <w:t>Оперативен контекст</w:t>
      </w:r>
      <w:bookmarkEnd w:id="18"/>
      <w:bookmarkEnd w:id="19"/>
      <w:bookmarkEnd w:id="20"/>
      <w:bookmarkEnd w:id="21"/>
      <w:bookmarkEnd w:id="22"/>
      <w:bookmarkEnd w:id="23"/>
    </w:p>
    <w:p>
      <w:pPr>
        <w:spacing w:before="240" w:after="240"/>
        <w:jc w:val="both"/>
        <w:rPr>
          <w:noProof/>
          <w:sz w:val="24"/>
          <w:szCs w:val="24"/>
        </w:rPr>
      </w:pPr>
      <w:r>
        <w:rPr>
          <w:noProof/>
          <w:sz w:val="24"/>
          <w:szCs w:val="24"/>
        </w:rPr>
        <w:t>Гаранцията на ЕС</w:t>
      </w:r>
      <w:r>
        <w:rPr>
          <w:rStyle w:val="FootnoteReference"/>
          <w:noProof/>
          <w:sz w:val="24"/>
          <w:szCs w:val="24"/>
        </w:rPr>
        <w:footnoteReference w:id="8"/>
      </w:r>
      <w:r>
        <w:rPr>
          <w:noProof/>
          <w:sz w:val="24"/>
          <w:szCs w:val="24"/>
        </w:rPr>
        <w:t xml:space="preserve"> обхваща операциите по финансиране и инвестиране:</w:t>
      </w:r>
    </w:p>
    <w:p>
      <w:pPr>
        <w:pStyle w:val="ListParagraph"/>
        <w:numPr>
          <w:ilvl w:val="0"/>
          <w:numId w:val="3"/>
        </w:numPr>
        <w:spacing w:before="240" w:after="240"/>
        <w:jc w:val="both"/>
        <w:rPr>
          <w:noProof/>
          <w:sz w:val="24"/>
          <w:szCs w:val="24"/>
        </w:rPr>
      </w:pPr>
      <w:r>
        <w:rPr>
          <w:noProof/>
          <w:sz w:val="24"/>
          <w:szCs w:val="24"/>
        </w:rPr>
        <w:t>подписани от ЕИБ в рамките на основната част на компонента за инфраструктура и иновации (КИИ); и</w:t>
      </w:r>
    </w:p>
    <w:p>
      <w:pPr>
        <w:pStyle w:val="ListParagraph"/>
        <w:numPr>
          <w:ilvl w:val="0"/>
          <w:numId w:val="3"/>
        </w:numPr>
        <w:spacing w:before="240" w:after="240"/>
        <w:jc w:val="both"/>
        <w:rPr>
          <w:noProof/>
          <w:sz w:val="24"/>
          <w:szCs w:val="24"/>
        </w:rPr>
      </w:pPr>
      <w:r>
        <w:rPr>
          <w:noProof/>
          <w:sz w:val="24"/>
          <w:szCs w:val="24"/>
        </w:rPr>
        <w:t>подписани от Европейския инвестиционен фонд (ЕИФ) в рамките на компонента за МСП (КМСП) и на подкомпонента на КИИ за инвестиции във фонд за МСП/дружества със средна пазарна капитализация.</w:t>
      </w:r>
    </w:p>
    <w:p>
      <w:pPr>
        <w:spacing w:before="240" w:after="240"/>
        <w:jc w:val="both"/>
        <w:rPr>
          <w:noProof/>
          <w:sz w:val="24"/>
          <w:szCs w:val="24"/>
        </w:rPr>
      </w:pPr>
      <w:r>
        <w:rPr>
          <w:noProof/>
          <w:sz w:val="24"/>
          <w:szCs w:val="24"/>
        </w:rPr>
        <w:t>Гаранцията на ЕС покрива част от всички операции на ЕФСИ, а за част от тях рискът се поема от групата на ЕИБ</w:t>
      </w:r>
      <w:r>
        <w:rPr>
          <w:rStyle w:val="FootnoteReference"/>
          <w:noProof/>
          <w:sz w:val="24"/>
          <w:szCs w:val="24"/>
        </w:rPr>
        <w:footnoteReference w:id="9"/>
      </w:r>
      <w:r>
        <w:rPr>
          <w:noProof/>
          <w:sz w:val="24"/>
          <w:szCs w:val="24"/>
        </w:rPr>
        <w:t>.</w:t>
      </w:r>
    </w:p>
    <w:p>
      <w:pPr>
        <w:spacing w:before="240" w:after="240"/>
        <w:jc w:val="both"/>
        <w:rPr>
          <w:noProof/>
          <w:sz w:val="24"/>
          <w:szCs w:val="24"/>
        </w:rPr>
      </w:pPr>
      <w:r>
        <w:rPr>
          <w:noProof/>
          <w:sz w:val="24"/>
          <w:szCs w:val="24"/>
        </w:rPr>
        <w:t>Според член 12 от Регламента за ЕФСИ Гаранционният фонд на 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между ЕС и ЕИБ исканията се изплащат от ГФЕФСИ, ако поисканият размер надвишава средствата, които са на разпореждане на ЕИБ по сметката на ЕФСИ. Сметката на ЕФСИ, която се управлява от ЕИБ, бе създадена за събиране на приходите на ЕС и на възстановени суми, свързани с операции на ЕФСИ, покрити от гаранцията на ЕС, и до степента, до която наличността по сметката позволява — за плащане на искания за изпълнение по гаранцията на ЕС.</w:t>
      </w:r>
    </w:p>
    <w:p>
      <w:pPr>
        <w:spacing w:before="240" w:after="240"/>
        <w:jc w:val="both"/>
        <w:rPr>
          <w:noProof/>
          <w:sz w:val="24"/>
          <w:szCs w:val="24"/>
        </w:rPr>
      </w:pPr>
      <w:r>
        <w:rPr>
          <w:noProof/>
          <w:sz w:val="24"/>
          <w:szCs w:val="24"/>
        </w:rPr>
        <w:t>ГФЕФСИ е попълван постепенно, но това провизиране ще спре през 2022 г. Съгласно член 12, параграф 4 ресурсите на ГФЕФСИ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w:t>
      </w:r>
    </w:p>
    <w:p>
      <w:pPr>
        <w:spacing w:before="240" w:after="240"/>
        <w:jc w:val="both"/>
        <w:rPr>
          <w:noProof/>
          <w:sz w:val="24"/>
          <w:szCs w:val="24"/>
        </w:rPr>
      </w:pPr>
      <w:r>
        <w:rPr>
          <w:noProof/>
          <w:sz w:val="24"/>
          <w:szCs w:val="24"/>
        </w:rPr>
        <w:t>ЕИБ и ЕИФ отговарят за оценяването и наблюдаването на риска по отделните операции, обезпечени с гаранцията на ЕС, както и за представянето на доклади на Комисията в съответствие с член 16 от Регламента за ЕФСИ. Въз основа на това докладване и на последователни и разумни допускания за бъдещата дейност Комисията осигурява адекватността на целевия размер и равнището на ГФЕФСИ, който е предмет на преразглеждане.</w:t>
      </w:r>
    </w:p>
    <w:p>
      <w:pPr>
        <w:spacing w:before="240" w:after="240"/>
        <w:jc w:val="both"/>
        <w:rPr>
          <w:noProof/>
          <w:sz w:val="24"/>
          <w:szCs w:val="24"/>
        </w:rPr>
      </w:pPr>
      <w:r>
        <w:rPr>
          <w:noProof/>
          <w:sz w:val="24"/>
          <w:szCs w:val="24"/>
        </w:rPr>
        <w:t>Освен това в съответствие с член 16, параграф 2 от Регламента за ЕФСИ ЕИБ представя на Европейския парламент и на Съвета годишен доклад, който съдържа конкретна информация за общия риск, свързан с операциите по финансиране и инвестиране, извършвани по линия на ЕФСИ, както и за исканията за изпълнение по гаранцията.</w:t>
      </w:r>
    </w:p>
    <w:p>
      <w:pPr>
        <w:pStyle w:val="Heading1"/>
        <w:rPr>
          <w:rFonts w:ascii="Times New Roman" w:hAnsi="Times New Roman" w:cs="Times New Roman"/>
          <w:noProof/>
        </w:rPr>
      </w:pPr>
      <w:bookmarkStart w:id="24" w:name="_Toc449686525"/>
      <w:bookmarkStart w:id="25" w:name="_Toc449686556"/>
      <w:bookmarkStart w:id="26" w:name="_Toc449689409"/>
      <w:bookmarkStart w:id="27" w:name="_Toc449686526"/>
      <w:bookmarkStart w:id="28" w:name="_Toc449686557"/>
      <w:bookmarkStart w:id="29" w:name="_Toc449689410"/>
      <w:bookmarkStart w:id="30" w:name="_Toc449689411"/>
      <w:bookmarkStart w:id="31" w:name="_Toc477351966"/>
      <w:bookmarkStart w:id="32" w:name="_Toc477528173"/>
      <w:bookmarkStart w:id="33" w:name="_Toc477855450"/>
      <w:bookmarkStart w:id="34" w:name="_Toc3825652"/>
      <w:bookmarkStart w:id="35" w:name="_Toc77857261"/>
      <w:bookmarkEnd w:id="24"/>
      <w:bookmarkEnd w:id="25"/>
      <w:bookmarkEnd w:id="26"/>
      <w:bookmarkEnd w:id="27"/>
      <w:bookmarkEnd w:id="28"/>
      <w:bookmarkEnd w:id="29"/>
      <w:r>
        <w:rPr>
          <w:rFonts w:ascii="Times New Roman" w:hAnsi="Times New Roman"/>
          <w:noProof/>
        </w:rPr>
        <w:t>Финансови отчети</w:t>
      </w:r>
      <w:bookmarkEnd w:id="30"/>
      <w:bookmarkEnd w:id="31"/>
      <w:bookmarkEnd w:id="32"/>
      <w:bookmarkEnd w:id="33"/>
      <w:r>
        <w:rPr>
          <w:rFonts w:ascii="Times New Roman" w:hAnsi="Times New Roman"/>
          <w:noProof/>
        </w:rPr>
        <w:t xml:space="preserve"> и значими бюджетни операции през </w:t>
      </w:r>
      <w:bookmarkEnd w:id="34"/>
      <w:r>
        <w:rPr>
          <w:rFonts w:ascii="Times New Roman" w:hAnsi="Times New Roman"/>
          <w:noProof/>
        </w:rPr>
        <w:t>2020 г.</w:t>
      </w:r>
      <w:bookmarkEnd w:id="35"/>
    </w:p>
    <w:p>
      <w:pPr>
        <w:spacing w:before="240" w:after="240"/>
        <w:jc w:val="both"/>
        <w:rPr>
          <w:noProof/>
          <w:sz w:val="24"/>
          <w:szCs w:val="24"/>
        </w:rPr>
      </w:pPr>
      <w:bookmarkStart w:id="36" w:name="_Toc449689413"/>
      <w:bookmarkStart w:id="37" w:name="_Toc449689414"/>
      <w:bookmarkEnd w:id="36"/>
      <w:r>
        <w:rPr>
          <w:noProof/>
          <w:sz w:val="24"/>
          <w:szCs w:val="24"/>
        </w:rPr>
        <w:t>Финансовата информация относно ЕФСИ е представена по-долу, разбита на четири части:</w:t>
      </w:r>
    </w:p>
    <w:p>
      <w:pPr>
        <w:spacing w:before="240" w:after="240"/>
        <w:ind w:left="567"/>
        <w:jc w:val="both"/>
        <w:rPr>
          <w:noProof/>
          <w:sz w:val="24"/>
          <w:szCs w:val="24"/>
        </w:rPr>
      </w:pPr>
      <w:r>
        <w:rPr>
          <w:noProof/>
          <w:sz w:val="24"/>
          <w:szCs w:val="24"/>
        </w:rPr>
        <w:t>1) финансовото състояние на ГФЕФСИ към 31 декември 2020 г.;</w:t>
      </w:r>
    </w:p>
    <w:p>
      <w:pPr>
        <w:spacing w:before="240" w:after="240"/>
        <w:ind w:left="567"/>
        <w:jc w:val="both"/>
        <w:rPr>
          <w:noProof/>
          <w:sz w:val="24"/>
          <w:szCs w:val="24"/>
        </w:rPr>
      </w:pPr>
      <w:r>
        <w:rPr>
          <w:noProof/>
          <w:sz w:val="24"/>
          <w:szCs w:val="24"/>
        </w:rPr>
        <w:lastRenderedPageBreak/>
        <w:t xml:space="preserve">2) операциите на ЕФСИ под гаранцията на ЕС, извършени от групата на ЕИБ към 31 декември 2020 г.; </w:t>
      </w:r>
    </w:p>
    <w:p>
      <w:pPr>
        <w:spacing w:before="240" w:after="240"/>
        <w:ind w:left="567"/>
        <w:jc w:val="both"/>
        <w:rPr>
          <w:noProof/>
          <w:sz w:val="24"/>
          <w:szCs w:val="24"/>
        </w:rPr>
      </w:pPr>
      <w:r>
        <w:rPr>
          <w:noProof/>
          <w:sz w:val="24"/>
          <w:szCs w:val="24"/>
        </w:rPr>
        <w:t>3) провизирането на ГФЕФСИ; и</w:t>
      </w:r>
    </w:p>
    <w:p>
      <w:pPr>
        <w:spacing w:before="240" w:after="240"/>
        <w:ind w:left="567"/>
        <w:jc w:val="both"/>
        <w:rPr>
          <w:noProof/>
          <w:sz w:val="24"/>
          <w:szCs w:val="24"/>
        </w:rPr>
      </w:pPr>
      <w:r>
        <w:rPr>
          <w:noProof/>
          <w:sz w:val="24"/>
          <w:szCs w:val="24"/>
        </w:rPr>
        <w:t>4) исканията за изпълнение и използването на гаранцията на ЕС.</w:t>
      </w:r>
    </w:p>
    <w:p>
      <w:pPr>
        <w:spacing w:before="240" w:after="240"/>
        <w:ind w:left="567"/>
        <w:jc w:val="both"/>
        <w:rPr>
          <w:noProof/>
          <w:sz w:val="24"/>
          <w:szCs w:val="24"/>
        </w:rPr>
      </w:pPr>
    </w:p>
    <w:p>
      <w:pPr>
        <w:pStyle w:val="Heading2"/>
        <w:rPr>
          <w:rFonts w:ascii="Times New Roman" w:hAnsi="Times New Roman" w:cs="Times New Roman"/>
          <w:noProof/>
        </w:rPr>
      </w:pPr>
      <w:bookmarkStart w:id="38" w:name="_Toc477855451"/>
      <w:bookmarkStart w:id="39" w:name="_Toc3825653"/>
      <w:r>
        <w:rPr>
          <w:rFonts w:ascii="Times New Roman" w:hAnsi="Times New Roman"/>
          <w:noProof/>
        </w:rPr>
        <w:t xml:space="preserve"> </w:t>
      </w:r>
      <w:bookmarkStart w:id="40" w:name="_Toc477528174"/>
      <w:bookmarkStart w:id="41" w:name="_Toc77857262"/>
      <w:r>
        <w:rPr>
          <w:rFonts w:ascii="Times New Roman" w:hAnsi="Times New Roman"/>
          <w:noProof/>
        </w:rPr>
        <w:t xml:space="preserve">Финансово състояние на ГФЕФСИ към 31 декември </w:t>
      </w:r>
      <w:bookmarkEnd w:id="40"/>
      <w:bookmarkEnd w:id="38"/>
      <w:bookmarkEnd w:id="39"/>
      <w:r>
        <w:rPr>
          <w:rFonts w:ascii="Times New Roman" w:hAnsi="Times New Roman"/>
          <w:noProof/>
        </w:rPr>
        <w:t>2020 г.</w:t>
      </w:r>
      <w:bookmarkEnd w:id="41"/>
    </w:p>
    <w:p>
      <w:pPr>
        <w:spacing w:before="240" w:after="240"/>
        <w:jc w:val="both"/>
        <w:rPr>
          <w:noProof/>
          <w:sz w:val="24"/>
          <w:szCs w:val="24"/>
        </w:rPr>
      </w:pPr>
      <w:r>
        <w:rPr>
          <w:noProof/>
          <w:sz w:val="24"/>
          <w:szCs w:val="24"/>
        </w:rPr>
        <w:t>Към 31 декември 2020 г. общите активи на ГФЕФСИ</w:t>
      </w:r>
      <w:r>
        <w:rPr>
          <w:rStyle w:val="FootnoteReference"/>
          <w:noProof/>
        </w:rPr>
        <w:footnoteReference w:id="10"/>
      </w:r>
      <w:r>
        <w:rPr>
          <w:noProof/>
          <w:sz w:val="24"/>
          <w:szCs w:val="24"/>
        </w:rPr>
        <w:t xml:space="preserve"> възлизаха на 8 028 милиона евро. Активите обхващаха инвестиционния портфейл от ценни книжа, класифициран като обявен за продажба (7 526 милиона евро), валутна форуърд продажба на щатски долари с положителна нетна настояща стойност, класифицирана като финансови активи по справедлива стойност чрез излишъка или дефицита (6 милиона евро), и пари и парични еквиваленти (496 милиона евро).</w:t>
      </w:r>
    </w:p>
    <w:p>
      <w:pPr>
        <w:spacing w:before="240" w:after="240"/>
        <w:jc w:val="both"/>
        <w:rPr>
          <w:noProof/>
          <w:sz w:val="24"/>
          <w:szCs w:val="24"/>
        </w:rPr>
      </w:pPr>
      <w:r>
        <w:rPr>
          <w:noProof/>
          <w:sz w:val="24"/>
          <w:szCs w:val="24"/>
        </w:rPr>
        <w:t>По отношение на отчета за финансовия резултат за 2020 г.</w:t>
      </w:r>
      <w:r>
        <w:rPr>
          <w:rStyle w:val="FootnoteReference"/>
          <w:noProof/>
          <w:sz w:val="24"/>
          <w:szCs w:val="24"/>
        </w:rPr>
        <w:footnoteReference w:id="11"/>
      </w:r>
      <w:r>
        <w:rPr>
          <w:noProof/>
          <w:sz w:val="24"/>
          <w:szCs w:val="24"/>
        </w:rPr>
        <w:t xml:space="preserve"> ГФЕФСИ приключи годината с икономически резултат от 21,6 милиона евро. Той се дължи главно на положителни нетни приходи от лихви в размер на 17,0 милиона евро и нетни печалби от продажби на ценни книжа, обявени за продажба</w:t>
      </w:r>
      <w:r>
        <w:rPr>
          <w:rStyle w:val="FootnoteReference"/>
          <w:noProof/>
          <w:sz w:val="24"/>
          <w:szCs w:val="24"/>
        </w:rPr>
        <w:footnoteReference w:id="12"/>
      </w:r>
      <w:r>
        <w:rPr>
          <w:noProof/>
          <w:sz w:val="24"/>
          <w:szCs w:val="24"/>
        </w:rPr>
        <w:t xml:space="preserve"> (11,1 милиона евро). Това беше компенсирано от отрицателен резултат от валутна преоценка в размер на – 5,7 милиона евро</w:t>
      </w:r>
      <w:r>
        <w:rPr>
          <w:rStyle w:val="FootnoteReference"/>
          <w:noProof/>
          <w:sz w:val="24"/>
          <w:szCs w:val="24"/>
        </w:rPr>
        <w:footnoteReference w:id="13"/>
      </w:r>
      <w:r>
        <w:rPr>
          <w:noProof/>
          <w:sz w:val="24"/>
          <w:szCs w:val="24"/>
        </w:rPr>
        <w:t>. Останалите нетни разходи в размер на – 0,8 милиона евро се състояха главно от попечителски такси.</w:t>
      </w:r>
    </w:p>
    <w:p>
      <w:pPr>
        <w:pStyle w:val="Heading2"/>
        <w:rPr>
          <w:rFonts w:ascii="Times New Roman" w:hAnsi="Times New Roman" w:cs="Times New Roman"/>
          <w:noProof/>
        </w:rPr>
      </w:pPr>
      <w:r>
        <w:rPr>
          <w:rFonts w:ascii="Times New Roman" w:hAnsi="Times New Roman"/>
          <w:noProof/>
        </w:rPr>
        <w:t xml:space="preserve"> </w:t>
      </w:r>
      <w:bookmarkStart w:id="42" w:name="_Toc477528175"/>
      <w:bookmarkStart w:id="43" w:name="_Toc477855452"/>
      <w:bookmarkStart w:id="44" w:name="_Toc3825654"/>
      <w:bookmarkStart w:id="45" w:name="_Toc77857263"/>
      <w:r>
        <w:rPr>
          <w:rFonts w:ascii="Times New Roman" w:hAnsi="Times New Roman"/>
          <w:noProof/>
        </w:rPr>
        <w:t>Операции на ЕФСИ под гаранцията на ЕС</w:t>
      </w:r>
      <w:bookmarkEnd w:id="42"/>
      <w:bookmarkEnd w:id="43"/>
      <w:bookmarkEnd w:id="44"/>
      <w:bookmarkEnd w:id="45"/>
    </w:p>
    <w:p>
      <w:pPr>
        <w:spacing w:before="240" w:after="200"/>
        <w:jc w:val="both"/>
        <w:rPr>
          <w:noProof/>
          <w:sz w:val="24"/>
          <w:szCs w:val="24"/>
        </w:rPr>
      </w:pPr>
      <w:r>
        <w:rPr>
          <w:noProof/>
          <w:sz w:val="24"/>
          <w:szCs w:val="24"/>
        </w:rPr>
        <w:t>Към 31 декември 2020 г. експозицията по гаранцията на ЕС във връзка с изплатени от групата на ЕИБ операции на ЕФСИ, по които средствата не са възстановени, възлизаше на 18,9 милиарда евро от нетната налична гаранция на ЕС</w:t>
      </w:r>
      <w:r>
        <w:rPr>
          <w:rStyle w:val="FootnoteReference"/>
          <w:noProof/>
          <w:sz w:val="24"/>
          <w:szCs w:val="24"/>
        </w:rPr>
        <w:footnoteReference w:id="14"/>
      </w:r>
      <w:r>
        <w:rPr>
          <w:noProof/>
          <w:sz w:val="24"/>
          <w:szCs w:val="24"/>
        </w:rPr>
        <w:t xml:space="preserve"> в размер на 25,8 милиарда евро</w:t>
      </w:r>
      <w:r>
        <w:rPr>
          <w:rStyle w:val="FootnoteReference"/>
          <w:noProof/>
          <w:sz w:val="24"/>
          <w:szCs w:val="24"/>
        </w:rPr>
        <w:footnoteReference w:id="15"/>
      </w:r>
      <w:r>
        <w:rPr>
          <w:noProof/>
          <w:sz w:val="24"/>
          <w:szCs w:val="24"/>
        </w:rPr>
        <w:t>. Сумата от 18,6 милиарда евро е отчетена като условен пасив в бележките към финансовите отчети на ЕС за 2020 г., а за оставащата сума е призната провизия.</w:t>
      </w:r>
    </w:p>
    <w:p>
      <w:pPr>
        <w:spacing w:before="240" w:after="200"/>
        <w:jc w:val="both"/>
        <w:rPr>
          <w:noProof/>
          <w:sz w:val="24"/>
          <w:szCs w:val="24"/>
        </w:rPr>
      </w:pPr>
      <w:r>
        <w:rPr>
          <w:noProof/>
          <w:sz w:val="24"/>
          <w:szCs w:val="24"/>
        </w:rPr>
        <w:t>През 2020 г. операциите на ЕФСИ в рамките на компонента за инфраструктура и иновации генерираха нетни приходи в размер на 243,4 милиона евро за ЕС</w:t>
      </w:r>
      <w:r>
        <w:rPr>
          <w:rStyle w:val="FootnoteReference"/>
          <w:rFonts w:eastAsiaTheme="minorHAnsi"/>
          <w:noProof/>
          <w:sz w:val="24"/>
          <w:szCs w:val="24"/>
          <w:lang w:eastAsia="en-US"/>
        </w:rPr>
        <w:footnoteReference w:id="16"/>
      </w:r>
      <w:r>
        <w:rPr>
          <w:noProof/>
          <w:sz w:val="24"/>
          <w:szCs w:val="24"/>
        </w:rPr>
        <w:t>. От тази сума във финансовите отчети на ЕС за 2020 г. беше отчетено нетно вземане на Комисията от ЕИБ в размер на 76,8 милиона евро към 31 декември 2020.</w:t>
      </w:r>
    </w:p>
    <w:p>
      <w:pPr>
        <w:spacing w:before="240" w:after="200"/>
        <w:jc w:val="both"/>
        <w:rPr>
          <w:rFonts w:eastAsiaTheme="minorHAnsi"/>
          <w:noProof/>
          <w:sz w:val="24"/>
          <w:szCs w:val="24"/>
        </w:rPr>
      </w:pPr>
      <w:r>
        <w:rPr>
          <w:noProof/>
          <w:sz w:val="24"/>
          <w:szCs w:val="24"/>
        </w:rPr>
        <w:lastRenderedPageBreak/>
        <w:t>За операциите на ЕФСИ в рамките на компонента за МСП ЕС направи нетни разходи в размер на 295,2 милиона евро през 2020 г.</w:t>
      </w:r>
      <w:r>
        <w:rPr>
          <w:rStyle w:val="FootnoteReference"/>
          <w:rFonts w:eastAsiaTheme="minorHAnsi"/>
          <w:noProof/>
          <w:sz w:val="24"/>
          <w:szCs w:val="24"/>
          <w:lang w:eastAsia="en-US"/>
        </w:rPr>
        <w:footnoteReference w:id="17"/>
      </w:r>
    </w:p>
    <w:p>
      <w:pPr>
        <w:pStyle w:val="Heading2"/>
        <w:rPr>
          <w:rFonts w:ascii="Times New Roman" w:hAnsi="Times New Roman" w:cs="Times New Roman"/>
          <w:noProof/>
        </w:rPr>
      </w:pPr>
      <w:bookmarkStart w:id="46" w:name="_Toc3825655"/>
      <w:bookmarkStart w:id="47" w:name="_Toc449689412"/>
      <w:bookmarkStart w:id="48" w:name="_Toc477528176"/>
      <w:bookmarkStart w:id="49" w:name="_Toc477855453"/>
      <w:bookmarkStart w:id="50" w:name="_Toc77857264"/>
      <w:r>
        <w:rPr>
          <w:rFonts w:ascii="Times New Roman" w:hAnsi="Times New Roman"/>
          <w:noProof/>
        </w:rPr>
        <w:t xml:space="preserve">Провизиране на </w:t>
      </w:r>
      <w:bookmarkEnd w:id="46"/>
      <w:r>
        <w:rPr>
          <w:rFonts w:ascii="Times New Roman" w:hAnsi="Times New Roman"/>
          <w:noProof/>
        </w:rPr>
        <w:t>ГФЕФСИ</w:t>
      </w:r>
      <w:bookmarkEnd w:id="47"/>
      <w:bookmarkEnd w:id="48"/>
      <w:bookmarkEnd w:id="49"/>
      <w:bookmarkEnd w:id="50"/>
    </w:p>
    <w:p>
      <w:pPr>
        <w:spacing w:before="120" w:after="100"/>
        <w:jc w:val="both"/>
        <w:rPr>
          <w:noProof/>
          <w:sz w:val="24"/>
          <w:szCs w:val="24"/>
        </w:rPr>
      </w:pPr>
      <w:r>
        <w:rPr>
          <w:noProof/>
          <w:sz w:val="24"/>
          <w:szCs w:val="24"/>
        </w:rPr>
        <w:t xml:space="preserve">През 2020 г. бе поето задължение за бюджетен кредит на обща стойност 301 милиона евро във връзка с провизирането на ГФЕФСИ. От тази сума бе поето задължение за бюджетен кредит в размер на 153 милиона евро в съответствие с Решение C(2020) 451 на Комисията. </w:t>
      </w:r>
      <w:r>
        <w:rPr>
          <w:noProof/>
          <w:sz w:val="24"/>
        </w:rPr>
        <w:t>Допълнителни бюджетни кредити за поети задължения в размер на</w:t>
      </w:r>
      <w:r>
        <w:rPr>
          <w:noProof/>
          <w:sz w:val="24"/>
          <w:szCs w:val="24"/>
        </w:rPr>
        <w:t> </w:t>
      </w:r>
      <w:r>
        <w:rPr>
          <w:noProof/>
          <w:sz w:val="24"/>
        </w:rPr>
        <w:t>148</w:t>
      </w:r>
      <w:r>
        <w:rPr>
          <w:noProof/>
          <w:sz w:val="24"/>
          <w:szCs w:val="24"/>
        </w:rPr>
        <w:t> </w:t>
      </w:r>
      <w:r>
        <w:rPr>
          <w:noProof/>
          <w:sz w:val="24"/>
        </w:rPr>
        <w:t>милиона евро бяха заделени като целеви приходи</w:t>
      </w:r>
      <w:r>
        <w:rPr>
          <w:rStyle w:val="FootnoteReference"/>
          <w:noProof/>
          <w:sz w:val="24"/>
          <w:lang w:eastAsia="de-DE"/>
        </w:rPr>
        <w:footnoteReference w:id="18"/>
      </w:r>
      <w:r>
        <w:rPr>
          <w:noProof/>
          <w:sz w:val="24"/>
        </w:rPr>
        <w:t>.</w:t>
      </w:r>
    </w:p>
    <w:p>
      <w:pPr>
        <w:spacing w:before="100" w:after="200"/>
        <w:jc w:val="both"/>
        <w:rPr>
          <w:noProof/>
          <w:sz w:val="24"/>
        </w:rPr>
      </w:pPr>
      <w:r>
        <w:rPr>
          <w:noProof/>
          <w:sz w:val="24"/>
          <w:szCs w:val="24"/>
        </w:rPr>
        <w:t xml:space="preserve">През годината на ГФЕФСИ действително бе изплатена обща сума в размер на 1 249 милиона евро. По-голямата част от нея е от бюджетни кредити за плащания </w:t>
      </w:r>
      <w:r>
        <w:rPr>
          <w:noProof/>
          <w:sz w:val="24"/>
        </w:rPr>
        <w:t>от общия бюджет на ЕС</w:t>
      </w:r>
      <w:r>
        <w:rPr>
          <w:noProof/>
          <w:sz w:val="24"/>
          <w:szCs w:val="24"/>
        </w:rPr>
        <w:t xml:space="preserve">, а сума в размер на </w:t>
      </w:r>
      <w:r>
        <w:rPr>
          <w:noProof/>
          <w:sz w:val="24"/>
        </w:rPr>
        <w:t>156</w:t>
      </w:r>
      <w:r>
        <w:rPr>
          <w:noProof/>
          <w:sz w:val="24"/>
          <w:szCs w:val="24"/>
        </w:rPr>
        <w:t> </w:t>
      </w:r>
      <w:r>
        <w:rPr>
          <w:noProof/>
          <w:sz w:val="24"/>
        </w:rPr>
        <w:t>милиона евро беше събрана като целеви приход от ЕФСИ и сума в размер на</w:t>
      </w:r>
      <w:r>
        <w:rPr>
          <w:noProof/>
          <w:sz w:val="24"/>
          <w:szCs w:val="24"/>
        </w:rPr>
        <w:t xml:space="preserve"> </w:t>
      </w:r>
      <w:r>
        <w:rPr>
          <w:noProof/>
          <w:sz w:val="24"/>
        </w:rPr>
        <w:t>5</w:t>
      </w:r>
      <w:r>
        <w:rPr>
          <w:noProof/>
          <w:sz w:val="24"/>
          <w:szCs w:val="24"/>
        </w:rPr>
        <w:t> </w:t>
      </w:r>
      <w:r>
        <w:rPr>
          <w:noProof/>
          <w:sz w:val="24"/>
        </w:rPr>
        <w:t>милиона евро беше прехвърлена като допълнителен бюджетен кредит в края на бюджетната година.</w:t>
      </w:r>
    </w:p>
    <w:p>
      <w:pPr>
        <w:pStyle w:val="Heading2"/>
        <w:rPr>
          <w:rFonts w:ascii="Times New Roman" w:hAnsi="Times New Roman" w:cs="Times New Roman"/>
          <w:noProof/>
        </w:rPr>
      </w:pPr>
      <w:bookmarkStart w:id="51" w:name="_Toc3825656"/>
      <w:bookmarkStart w:id="52" w:name="_Toc77857265"/>
      <w:r>
        <w:rPr>
          <w:rFonts w:ascii="Times New Roman" w:hAnsi="Times New Roman"/>
          <w:noProof/>
        </w:rPr>
        <w:t>Искания за изпълнение и използване на гаранцията на ЕС</w:t>
      </w:r>
      <w:bookmarkEnd w:id="51"/>
      <w:bookmarkEnd w:id="52"/>
    </w:p>
    <w:p>
      <w:pPr>
        <w:spacing w:before="240" w:after="120"/>
        <w:jc w:val="both"/>
        <w:rPr>
          <w:noProof/>
          <w:sz w:val="24"/>
          <w:szCs w:val="24"/>
        </w:rPr>
      </w:pPr>
      <w:r>
        <w:rPr>
          <w:noProof/>
          <w:sz w:val="24"/>
        </w:rPr>
        <w:t xml:space="preserve">През 2020 г. не са отправяни искания за изпълнение поради неизпълнение на операции. Бяха отправени обаче </w:t>
      </w:r>
      <w:r>
        <w:rPr>
          <w:noProof/>
          <w:sz w:val="24"/>
          <w:szCs w:val="24"/>
        </w:rPr>
        <w:t xml:space="preserve">следните </w:t>
      </w:r>
      <w:r>
        <w:rPr>
          <w:noProof/>
          <w:sz w:val="24"/>
        </w:rPr>
        <w:t>искания за изпълнение по гаранцията на ЕС:</w:t>
      </w:r>
    </w:p>
    <w:p>
      <w:pPr>
        <w:pStyle w:val="ListParagraph"/>
        <w:numPr>
          <w:ilvl w:val="0"/>
          <w:numId w:val="2"/>
        </w:numPr>
        <w:spacing w:before="240" w:after="120"/>
        <w:jc w:val="both"/>
        <w:rPr>
          <w:noProof/>
          <w:sz w:val="24"/>
          <w:szCs w:val="24"/>
        </w:rPr>
      </w:pPr>
      <w:r>
        <w:rPr>
          <w:noProof/>
          <w:sz w:val="24"/>
          <w:szCs w:val="24"/>
        </w:rPr>
        <w:t>33,1 милиона евро за корекции на стойността</w:t>
      </w:r>
      <w:r>
        <w:rPr>
          <w:rStyle w:val="FootnoteReference"/>
          <w:noProof/>
          <w:sz w:val="24"/>
          <w:szCs w:val="24"/>
        </w:rPr>
        <w:footnoteReference w:id="19"/>
      </w:r>
      <w:r>
        <w:rPr>
          <w:noProof/>
          <w:sz w:val="24"/>
          <w:szCs w:val="24"/>
        </w:rPr>
        <w:t xml:space="preserve"> в рамките на КИИ;</w:t>
      </w:r>
    </w:p>
    <w:p>
      <w:pPr>
        <w:pStyle w:val="ListParagraph"/>
        <w:numPr>
          <w:ilvl w:val="0"/>
          <w:numId w:val="2"/>
        </w:numPr>
        <w:spacing w:before="240" w:after="120"/>
        <w:jc w:val="both"/>
        <w:rPr>
          <w:noProof/>
          <w:sz w:val="24"/>
          <w:szCs w:val="24"/>
        </w:rPr>
      </w:pPr>
      <w:r>
        <w:rPr>
          <w:noProof/>
          <w:sz w:val="24"/>
          <w:szCs w:val="24"/>
        </w:rPr>
        <w:t>2,3 милиона евро за разходи на ЕИБ за финансиране</w:t>
      </w:r>
      <w:r>
        <w:rPr>
          <w:rStyle w:val="FootnoteReference"/>
          <w:noProof/>
          <w:sz w:val="24"/>
          <w:szCs w:val="24"/>
        </w:rPr>
        <w:footnoteReference w:id="20"/>
      </w:r>
      <w:r>
        <w:rPr>
          <w:noProof/>
          <w:sz w:val="24"/>
          <w:szCs w:val="24"/>
        </w:rPr>
        <w:t xml:space="preserve"> в рамките на КИИ;</w:t>
      </w:r>
    </w:p>
    <w:p>
      <w:pPr>
        <w:pStyle w:val="ListParagraph"/>
        <w:numPr>
          <w:ilvl w:val="0"/>
          <w:numId w:val="2"/>
        </w:numPr>
        <w:spacing w:before="240" w:after="120"/>
        <w:jc w:val="both"/>
        <w:rPr>
          <w:noProof/>
          <w:sz w:val="24"/>
          <w:szCs w:val="24"/>
        </w:rPr>
      </w:pPr>
      <w:r>
        <w:rPr>
          <w:noProof/>
          <w:sz w:val="24"/>
          <w:szCs w:val="24"/>
        </w:rPr>
        <w:t>2,1 милиона евро за разходи по събирането</w:t>
      </w:r>
      <w:r>
        <w:rPr>
          <w:rStyle w:val="FootnoteReference"/>
          <w:noProof/>
          <w:sz w:val="24"/>
          <w:szCs w:val="24"/>
        </w:rPr>
        <w:footnoteReference w:id="21"/>
      </w:r>
      <w:r>
        <w:rPr>
          <w:noProof/>
          <w:sz w:val="24"/>
          <w:szCs w:val="24"/>
        </w:rPr>
        <w:t xml:space="preserve"> в рамките на КИИ;</w:t>
      </w:r>
    </w:p>
    <w:p>
      <w:pPr>
        <w:pStyle w:val="ListParagraph"/>
        <w:numPr>
          <w:ilvl w:val="0"/>
          <w:numId w:val="2"/>
        </w:numPr>
        <w:spacing w:before="240" w:after="120"/>
        <w:jc w:val="both"/>
        <w:rPr>
          <w:noProof/>
          <w:sz w:val="24"/>
          <w:szCs w:val="24"/>
        </w:rPr>
      </w:pPr>
      <w:r>
        <w:rPr>
          <w:noProof/>
          <w:sz w:val="24"/>
          <w:szCs w:val="24"/>
        </w:rPr>
        <w:t>37,5 милиона евро за хеджиране на експозиции във валута, различна от еврото, в рамките на КМСП.</w:t>
      </w:r>
    </w:p>
    <w:p>
      <w:pPr>
        <w:spacing w:before="240"/>
        <w:jc w:val="both"/>
        <w:rPr>
          <w:noProof/>
          <w:sz w:val="24"/>
        </w:rPr>
      </w:pPr>
      <w:r>
        <w:rPr>
          <w:noProof/>
          <w:sz w:val="24"/>
          <w:szCs w:val="24"/>
        </w:rPr>
        <w:t>Всички искания за изпълнение бяха изплатени от наличните средства по сметката на ЕФСИ, с изключение на едно искане, което беше частично изплатено от ГФЕФСИ (0,5 милиона евро).</w:t>
      </w:r>
    </w:p>
    <w:p>
      <w:pPr>
        <w:pStyle w:val="Heading1"/>
        <w:rPr>
          <w:rFonts w:ascii="Times New Roman" w:hAnsi="Times New Roman" w:cs="Times New Roman"/>
          <w:noProof/>
        </w:rPr>
      </w:pPr>
      <w:bookmarkStart w:id="53" w:name="_Toc477351967"/>
      <w:bookmarkStart w:id="54" w:name="_Toc477528177"/>
      <w:bookmarkStart w:id="55" w:name="_Toc477855454"/>
      <w:bookmarkStart w:id="56" w:name="_Toc3825657"/>
      <w:bookmarkStart w:id="57" w:name="_Toc77857266"/>
      <w:r>
        <w:rPr>
          <w:rFonts w:ascii="Times New Roman" w:hAnsi="Times New Roman"/>
          <w:noProof/>
        </w:rPr>
        <w:t xml:space="preserve">Управление на ГФЕФСИ през </w:t>
      </w:r>
      <w:bookmarkEnd w:id="37"/>
      <w:bookmarkEnd w:id="53"/>
      <w:bookmarkEnd w:id="54"/>
      <w:bookmarkEnd w:id="55"/>
      <w:bookmarkEnd w:id="56"/>
      <w:r>
        <w:rPr>
          <w:rFonts w:ascii="Times New Roman" w:hAnsi="Times New Roman"/>
          <w:noProof/>
        </w:rPr>
        <w:t>2020 г.</w:t>
      </w:r>
      <w:bookmarkEnd w:id="57"/>
    </w:p>
    <w:p>
      <w:pPr>
        <w:pStyle w:val="Heading2"/>
        <w:rPr>
          <w:rFonts w:ascii="Times New Roman" w:hAnsi="Times New Roman" w:cs="Times New Roman"/>
          <w:noProof/>
        </w:rPr>
      </w:pPr>
      <w:bookmarkStart w:id="58" w:name="_Toc477528178"/>
      <w:bookmarkStart w:id="59" w:name="_Toc477855455"/>
      <w:bookmarkStart w:id="60" w:name="_Toc3825658"/>
      <w:bookmarkStart w:id="61" w:name="_Toc77857267"/>
      <w:r>
        <w:rPr>
          <w:rFonts w:ascii="Times New Roman" w:hAnsi="Times New Roman"/>
          <w:noProof/>
        </w:rPr>
        <w:t>Финансово управление</w:t>
      </w:r>
      <w:bookmarkEnd w:id="58"/>
      <w:bookmarkEnd w:id="59"/>
      <w:bookmarkEnd w:id="60"/>
      <w:bookmarkEnd w:id="61"/>
    </w:p>
    <w:p>
      <w:pPr>
        <w:spacing w:before="240" w:after="240"/>
        <w:jc w:val="both"/>
        <w:rPr>
          <w:noProof/>
          <w:sz w:val="24"/>
          <w:szCs w:val="24"/>
        </w:rPr>
      </w:pPr>
      <w:r>
        <w:rPr>
          <w:noProof/>
          <w:sz w:val="24"/>
          <w:szCs w:val="24"/>
        </w:rPr>
        <w:t xml:space="preserve">Инвестиционният портфейл на ГФЕФСИ се инвестира в съответствие с управленските принципи, заложени в Решение C(2016) 165 </w:t>
      </w:r>
      <w:r>
        <w:rPr>
          <w:noProof/>
          <w:sz w:val="24"/>
        </w:rPr>
        <w:t>на Комисията</w:t>
      </w:r>
      <w:r>
        <w:rPr>
          <w:noProof/>
          <w:sz w:val="24"/>
          <w:szCs w:val="24"/>
        </w:rPr>
        <w:t xml:space="preserve"> от 21 януари 2016 г. за одобряване на насоките за управление на активите на ГФЕФСИ.</w:t>
      </w:r>
    </w:p>
    <w:p>
      <w:pPr>
        <w:spacing w:before="240" w:after="240"/>
        <w:jc w:val="both"/>
        <w:rPr>
          <w:noProof/>
          <w:sz w:val="24"/>
          <w:szCs w:val="24"/>
        </w:rPr>
      </w:pPr>
      <w:r>
        <w:rPr>
          <w:noProof/>
          <w:sz w:val="24"/>
          <w:szCs w:val="24"/>
        </w:rPr>
        <w:t xml:space="preserve">В тези насоки е предвидено, че активите в инвестиционния портфейл трябва да осигуряват достатъчна ликвидност по отношение на потенциалните искания за плащания по гаранцията, като същевременно се цели оптимизиране на нивата на </w:t>
      </w:r>
      <w:r>
        <w:rPr>
          <w:noProof/>
          <w:sz w:val="24"/>
          <w:szCs w:val="24"/>
        </w:rPr>
        <w:lastRenderedPageBreak/>
        <w:t>възвръщаемост и на риск, съвместими с поддържането на висока степен на сигурност и стабилност.</w:t>
      </w:r>
    </w:p>
    <w:p>
      <w:pPr>
        <w:spacing w:before="240" w:after="240"/>
        <w:jc w:val="both"/>
        <w:rPr>
          <w:noProof/>
          <w:sz w:val="24"/>
          <w:szCs w:val="24"/>
        </w:rPr>
      </w:pPr>
      <w:r>
        <w:rPr>
          <w:noProof/>
          <w:sz w:val="24"/>
          <w:szCs w:val="24"/>
        </w:rPr>
        <w:t>Бяха приети стратегии за управление на инвестициите и на риска, отразяващи инвестиционните цели и пазарните перспективи. С инвестиционния подход се целеше засилване на диверсификацията на различните класове активи с фиксиран доход.</w:t>
      </w:r>
    </w:p>
    <w:p>
      <w:pPr>
        <w:pStyle w:val="Heading2"/>
        <w:rPr>
          <w:rFonts w:ascii="Times New Roman" w:hAnsi="Times New Roman" w:cs="Times New Roman"/>
          <w:noProof/>
        </w:rPr>
      </w:pPr>
      <w:bookmarkStart w:id="62" w:name="_Toc477855456"/>
      <w:bookmarkStart w:id="63" w:name="_Toc3825659"/>
      <w:r>
        <w:rPr>
          <w:rFonts w:ascii="Times New Roman" w:hAnsi="Times New Roman"/>
          <w:noProof/>
        </w:rPr>
        <w:t xml:space="preserve"> </w:t>
      </w:r>
      <w:bookmarkStart w:id="64" w:name="_Toc477528179"/>
      <w:bookmarkStart w:id="65" w:name="_Toc77857268"/>
      <w:r>
        <w:rPr>
          <w:rFonts w:ascii="Times New Roman" w:hAnsi="Times New Roman"/>
          <w:noProof/>
        </w:rPr>
        <w:t xml:space="preserve">Развитие на пазара през </w:t>
      </w:r>
      <w:bookmarkEnd w:id="64"/>
      <w:bookmarkEnd w:id="62"/>
      <w:bookmarkEnd w:id="63"/>
      <w:r>
        <w:rPr>
          <w:rFonts w:ascii="Times New Roman" w:hAnsi="Times New Roman"/>
          <w:noProof/>
        </w:rPr>
        <w:t>2020 г.</w:t>
      </w:r>
      <w:bookmarkEnd w:id="65"/>
    </w:p>
    <w:p>
      <w:pPr>
        <w:spacing w:before="240" w:after="240"/>
        <w:jc w:val="both"/>
        <w:rPr>
          <w:noProof/>
          <w:sz w:val="24"/>
          <w:szCs w:val="24"/>
        </w:rPr>
      </w:pPr>
      <w:r>
        <w:rPr>
          <w:noProof/>
          <w:sz w:val="24"/>
          <w:szCs w:val="24"/>
        </w:rPr>
        <w:t>Развитието на пазара през 2020 г. се определяше от вируса COVID-19, неговото опустошително въздействие върху общественото здраве и глобалната икономика и бързите и силни ответни мерки на политиката от страна на правителствата и централните банки.</w:t>
      </w:r>
    </w:p>
    <w:p>
      <w:pPr>
        <w:spacing w:before="240" w:after="240"/>
        <w:jc w:val="both"/>
        <w:rPr>
          <w:noProof/>
          <w:sz w:val="24"/>
          <w:szCs w:val="24"/>
        </w:rPr>
      </w:pPr>
      <w:r>
        <w:rPr>
          <w:noProof/>
          <w:sz w:val="24"/>
          <w:szCs w:val="24"/>
        </w:rPr>
        <w:t>Пазарите с фиксиран доход започнаха годината оптимистично благодарение на напредъка в търговските отношения между САЩ и Китай и като цяло положителните икономически нагласи. Доходността по 10-годишната германска държавна облигация (Bund) достигна максимална стойност от – 0,16 % в средата на януари, която се оказа най-високото ниво за цялата година.</w:t>
      </w:r>
    </w:p>
    <w:p>
      <w:pPr>
        <w:spacing w:before="240" w:after="240"/>
        <w:jc w:val="both"/>
        <w:rPr>
          <w:noProof/>
          <w:sz w:val="24"/>
          <w:szCs w:val="24"/>
        </w:rPr>
      </w:pPr>
      <w:r>
        <w:rPr>
          <w:noProof/>
          <w:sz w:val="24"/>
          <w:szCs w:val="24"/>
        </w:rPr>
        <w:t>Около март повече от половината население на света беше ефективно поставено в изолация, когато заплахата от вируса стана все по-ясна. Това създаде глобален шок както за предлагането, така и за търсенето, особено при услугите с пряк контакт.</w:t>
      </w:r>
    </w:p>
    <w:p>
      <w:pPr>
        <w:spacing w:before="240" w:after="240"/>
        <w:jc w:val="both"/>
        <w:rPr>
          <w:noProof/>
          <w:sz w:val="24"/>
          <w:szCs w:val="24"/>
        </w:rPr>
      </w:pPr>
      <w:r>
        <w:rPr>
          <w:noProof/>
          <w:sz w:val="24"/>
          <w:szCs w:val="24"/>
        </w:rPr>
        <w:t>Финансовите пазари в световен мащаб преживяха внезапен шок, който беше съпроводен от съществено повишаване на степента на избягване на риск и на нестабилността. Последвалото „стремглаво търсене на парични средства“ доведе до спешна продажба на активи, причинявайки обърквания и застрашавайки стабилността на финансовите пазари.</w:t>
      </w:r>
    </w:p>
    <w:p>
      <w:pPr>
        <w:spacing w:before="240" w:after="240"/>
        <w:jc w:val="both"/>
        <w:rPr>
          <w:noProof/>
          <w:sz w:val="24"/>
          <w:szCs w:val="24"/>
        </w:rPr>
      </w:pPr>
      <w:r>
        <w:rPr>
          <w:noProof/>
          <w:sz w:val="24"/>
          <w:szCs w:val="24"/>
        </w:rPr>
        <w:t>Капиталовите пазари отбелязаха рязък спад и инвеститорите се насочиха към сигурни активи, като например германската държавна облигация (Bund), чиято доходност бързо падна до най-ниското си нивото за годината (– 0,86 %) до средата на март. Доходността по държавните облигации на САЩ спадна още повече, подхранвана от две извънредни намаления на лихвените проценти, предприети от Федералния резерв на САЩ, с общ размер 150 базисни пункта, в началото на март. След това доходността на активите убежища се обърна и заедно с останалата част от активите с фиксиран доход се повиши в ситуация на пазарна несигурност и ограничена ликвидност. Германската държавна облигация (Bund) се върна към – 0,20 % десет дни след достигане на дъното за годината. Спредовете на други европейски държавни облигации спрямо германската държавна облигация (Bund) се увеличиха значително, както и спредовете на всички други класове активи с фиксиран доход.</w:t>
      </w:r>
    </w:p>
    <w:p>
      <w:pPr>
        <w:spacing w:before="240" w:after="240"/>
        <w:jc w:val="both"/>
        <w:rPr>
          <w:noProof/>
          <w:sz w:val="24"/>
          <w:szCs w:val="24"/>
        </w:rPr>
      </w:pPr>
      <w:r>
        <w:rPr>
          <w:noProof/>
          <w:sz w:val="24"/>
          <w:szCs w:val="24"/>
        </w:rPr>
        <w:t xml:space="preserve">За да възстановят доверието, правителствата приложиха пакети от спасителни мерки, а централните банки разхлабиха паричните политики (напр. намаляване на лихвените проценти и/или закупуване на активи) в безпрецедентен мащаб. Това помогна за успокояване на пазарите и за възстановяване на оценките на активите като цяло. След нестабилност през март спредовете се стабилизираха от април нататък, преминавайки към най-общо низходяща траектория. Обявяването на безпрецедентни пакети с фискални мерки в световен мащаб и в Европа, по-специално Next Generation EU в размер на 750 милиарда евро, доведе до слабо увеличаване на общите нива на доходност през юни, но централните банки продължиха да осигуряват благоприятни условия за финансиране в ситуация на запазващи се низходящи рискове. Като цяло през </w:t>
      </w:r>
      <w:r>
        <w:rPr>
          <w:noProof/>
          <w:sz w:val="24"/>
          <w:szCs w:val="24"/>
        </w:rPr>
        <w:lastRenderedPageBreak/>
        <w:t>останалата част от годината доходността и спредовете в еврозоната постепенно намаляваха, като същевременно доверието на инвеститорите продължаваше да се подобрява на фона на напредъка в областта на ваксинацията и перспективата за допълнителни стимули след изборите в САЩ през ноември. Германската държавна облигация (Bund) завърши годината на около – 0,57 %.</w:t>
      </w:r>
    </w:p>
    <w:p>
      <w:pPr>
        <w:spacing w:before="240" w:after="240"/>
        <w:jc w:val="both"/>
        <w:rPr>
          <w:noProof/>
          <w:sz w:val="24"/>
          <w:szCs w:val="24"/>
        </w:rPr>
      </w:pPr>
      <w:r>
        <w:rPr>
          <w:noProof/>
          <w:sz w:val="24"/>
          <w:szCs w:val="24"/>
        </w:rPr>
        <w:t>Като цяло, въпреки че се характеризираха с много висока нестабилност, пазарите с фиксиран доход предоставяха привлекателни възможности за инвестиции, което от своя страна допринесе за положителната възвръщаемост на ГФЕФСИ в края на годината.</w:t>
      </w:r>
      <w:bookmarkStart w:id="66" w:name="_Toc477528181"/>
      <w:bookmarkStart w:id="67" w:name="_Toc477855458"/>
      <w:bookmarkStart w:id="68" w:name="_Toc3825660"/>
    </w:p>
    <w:p>
      <w:pPr>
        <w:pStyle w:val="Heading2"/>
        <w:rPr>
          <w:rFonts w:ascii="Times New Roman" w:hAnsi="Times New Roman" w:cs="Times New Roman"/>
          <w:noProof/>
        </w:rPr>
      </w:pPr>
      <w:r>
        <w:rPr>
          <w:rFonts w:ascii="Times New Roman" w:hAnsi="Times New Roman"/>
          <w:noProof/>
        </w:rPr>
        <w:t xml:space="preserve"> </w:t>
      </w:r>
      <w:bookmarkStart w:id="69" w:name="_Toc77857269"/>
      <w:r>
        <w:rPr>
          <w:rFonts w:ascii="Times New Roman" w:hAnsi="Times New Roman"/>
          <w:noProof/>
        </w:rPr>
        <w:t>Състав на портфейла и ключови характеристики на риска за него</w:t>
      </w:r>
      <w:bookmarkEnd w:id="66"/>
      <w:bookmarkEnd w:id="67"/>
      <w:bookmarkEnd w:id="68"/>
      <w:bookmarkEnd w:id="69"/>
    </w:p>
    <w:p>
      <w:pPr>
        <w:spacing w:before="240" w:after="240"/>
        <w:jc w:val="both"/>
        <w:rPr>
          <w:noProof/>
          <w:sz w:val="24"/>
          <w:szCs w:val="24"/>
        </w:rPr>
      </w:pPr>
      <w:r>
        <w:rPr>
          <w:noProof/>
          <w:sz w:val="24"/>
          <w:szCs w:val="24"/>
        </w:rPr>
        <w:t>Данните за портфейла на ГФЕФСИ в края на годината показват, че диверсификацията на портфейла е добра по отношение на класовете активи и категориите рейтинги. Освен това диверсификация има и при ценните книжа, деноминирани във валута, различна от еврото (щатски долари), под формата на разпределение на около 6 % от портфейла в държавни облигации на САЩ и други емитенти от САЩ (напр. наднационални субекти, други държавни субекти или агенции) и парични средства. Валутният риск е хеджиран.</w:t>
      </w:r>
    </w:p>
    <w:p>
      <w:pPr>
        <w:spacing w:before="240" w:after="240"/>
        <w:jc w:val="both"/>
        <w:rPr>
          <w:noProof/>
          <w:sz w:val="24"/>
          <w:szCs w:val="24"/>
        </w:rPr>
      </w:pPr>
      <w:r>
        <w:rPr>
          <w:noProof/>
          <w:sz w:val="24"/>
          <w:szCs w:val="24"/>
        </w:rPr>
        <w:t>В края на 2020 г. делът на облигациите, които отговарят на екологични, социални и свързани с управлението критерии, бе 9,5 %, в сравнение с 6,9 % в края на 2019 г. Дюрацията на портфейла</w:t>
      </w:r>
      <w:r>
        <w:rPr>
          <w:rStyle w:val="FootnoteReference"/>
          <w:noProof/>
          <w:sz w:val="24"/>
          <w:szCs w:val="24"/>
        </w:rPr>
        <w:footnoteReference w:id="22"/>
      </w:r>
      <w:r>
        <w:rPr>
          <w:noProof/>
          <w:sz w:val="24"/>
          <w:szCs w:val="24"/>
        </w:rPr>
        <w:t xml:space="preserve"> в края на 2020 г. беше 3,19 години. Средният кредитен рейтинг е BBB+.</w:t>
      </w:r>
    </w:p>
    <w:p>
      <w:pPr>
        <w:spacing w:before="240" w:after="240"/>
        <w:jc w:val="both"/>
        <w:rPr>
          <w:noProof/>
          <w:sz w:val="24"/>
          <w:szCs w:val="24"/>
        </w:rPr>
      </w:pPr>
      <w:r>
        <w:rPr>
          <w:noProof/>
          <w:sz w:val="24"/>
          <w:szCs w:val="24"/>
        </w:rPr>
        <w:t>Около 33 % от портфейла се състоеше от облигации със срок до падежа под 1 година, облигации с плаващ лихвен процент и краткосрочни инструменти на паричния пазар, които осигуряват допълнителен ликвиден буфер за портфейла.</w:t>
      </w:r>
    </w:p>
    <w:p>
      <w:pPr>
        <w:spacing w:before="240" w:after="240"/>
        <w:jc w:val="both"/>
        <w:rPr>
          <w:noProof/>
          <w:sz w:val="24"/>
          <w:szCs w:val="24"/>
        </w:rPr>
      </w:pPr>
      <w:r>
        <w:rPr>
          <w:noProof/>
          <w:sz w:val="24"/>
          <w:szCs w:val="24"/>
        </w:rPr>
        <w:t>Профилът на портфейла от гледна точка на дюрацията, кредитния риск и ликвидността беше калибриран в съответствие с прогнозираните парични потоци, произтичащи от операциите на ЕФСИ, покрити от гаранцията на ЕС (напр. прогнозни искания за изпълнение по гаранцията, приходи).</w:t>
      </w:r>
    </w:p>
    <w:p>
      <w:pPr>
        <w:pStyle w:val="Heading2"/>
        <w:rPr>
          <w:rFonts w:ascii="Times New Roman" w:hAnsi="Times New Roman" w:cs="Times New Roman"/>
          <w:noProof/>
        </w:rPr>
      </w:pPr>
      <w:bookmarkStart w:id="70" w:name="_Toc477528182"/>
      <w:bookmarkStart w:id="71" w:name="_Toc477855459"/>
      <w:bookmarkStart w:id="72" w:name="_Toc3825661"/>
      <w:r>
        <w:rPr>
          <w:rFonts w:ascii="Times New Roman" w:hAnsi="Times New Roman"/>
          <w:noProof/>
        </w:rPr>
        <w:t xml:space="preserve"> </w:t>
      </w:r>
      <w:bookmarkStart w:id="73" w:name="_Toc77857270"/>
      <w:r>
        <w:rPr>
          <w:rFonts w:ascii="Times New Roman" w:hAnsi="Times New Roman"/>
          <w:noProof/>
        </w:rPr>
        <w:t>Резултат</w:t>
      </w:r>
      <w:bookmarkEnd w:id="70"/>
      <w:bookmarkEnd w:id="71"/>
      <w:bookmarkEnd w:id="72"/>
      <w:bookmarkEnd w:id="73"/>
    </w:p>
    <w:p>
      <w:pPr>
        <w:spacing w:before="240" w:after="240"/>
        <w:jc w:val="both"/>
        <w:rPr>
          <w:noProof/>
          <w:sz w:val="24"/>
          <w:szCs w:val="24"/>
        </w:rPr>
      </w:pPr>
      <w:r>
        <w:rPr>
          <w:noProof/>
          <w:sz w:val="24"/>
          <w:szCs w:val="24"/>
        </w:rPr>
        <w:t>Годишният резултат е изчислен на претеглена като функция на времето основа, за да не бъде повлиян от размера на портфейла, който продължи да нараства през годината.</w:t>
      </w:r>
    </w:p>
    <w:p>
      <w:pPr>
        <w:spacing w:before="240" w:after="240"/>
        <w:jc w:val="both"/>
        <w:rPr>
          <w:noProof/>
          <w:sz w:val="24"/>
          <w:szCs w:val="24"/>
        </w:rPr>
      </w:pPr>
      <w:r>
        <w:rPr>
          <w:noProof/>
          <w:sz w:val="24"/>
          <w:szCs w:val="24"/>
        </w:rPr>
        <w:t>В пазарна среда, характеризираща се със свързана със здравето нестабилност и исторически ниска доходност, Фондът постигна годишен абсолютен резултат от 1,246 % през 2020 г. Тази възвръщаемост е в съответствие с годишния резултат на референтната стойност на ЕФСИ (1,23 %). Въпреки това в основата на резултатите за 2020 г., както на референтната стойност, така и на портфейла, до голяма степен беше положителната крива на възвръщаемостта. Предвид исторически ниските нива, достигнати от доходността в ЕС и САЩ, през следващите години отрицателно влияние върху портфейла и референтната стойност може да окажат противоположни движения на кривата (т.е. нарастващи доходности).</w:t>
      </w:r>
    </w:p>
    <w:p>
      <w:pPr>
        <w:pStyle w:val="Heading1"/>
        <w:rPr>
          <w:rFonts w:ascii="Times New Roman" w:hAnsi="Times New Roman" w:cs="Times New Roman"/>
          <w:noProof/>
        </w:rPr>
      </w:pPr>
      <w:bookmarkStart w:id="74" w:name="_Toc449689415"/>
      <w:bookmarkStart w:id="75" w:name="_Toc477351968"/>
      <w:bookmarkStart w:id="76" w:name="_Toc477528183"/>
      <w:bookmarkStart w:id="77" w:name="_Toc477855460"/>
      <w:bookmarkStart w:id="78" w:name="_Toc3825662"/>
      <w:bookmarkStart w:id="79" w:name="_Toc77857271"/>
      <w:r>
        <w:rPr>
          <w:rFonts w:ascii="Times New Roman" w:hAnsi="Times New Roman"/>
          <w:noProof/>
        </w:rPr>
        <w:lastRenderedPageBreak/>
        <w:t>Оценка на адекватността на целевия размер и равнището на ГФЕФСИ</w:t>
      </w:r>
      <w:bookmarkEnd w:id="74"/>
      <w:bookmarkEnd w:id="75"/>
      <w:bookmarkEnd w:id="76"/>
      <w:bookmarkEnd w:id="77"/>
      <w:bookmarkEnd w:id="78"/>
      <w:bookmarkEnd w:id="79"/>
    </w:p>
    <w:p>
      <w:pPr>
        <w:spacing w:before="200" w:after="180"/>
        <w:jc w:val="both"/>
        <w:rPr>
          <w:noProof/>
          <w:sz w:val="24"/>
          <w:szCs w:val="24"/>
        </w:rPr>
      </w:pPr>
      <w:r>
        <w:rPr>
          <w:noProof/>
          <w:sz w:val="24"/>
          <w:szCs w:val="24"/>
        </w:rPr>
        <w:t>Към 31 декември 2020 г. общата стойност на подписаните договори по линия на ЕФСИ възлизаше на 82,7 милиарда евро и обхващаше всички държави членки, от които по КИИ бяха подписани договори на стойност 57,2 милиарда евро (629 операции), а по КМСП бяха подписани договори на стойност 25,5 милиарда евро (792 операции). Като цяло това представлява значително увеличение в сравнение с 31 декември 2019 г., когато общата стойност на подписаните договори възлизаше на 68,7 милиарда евро. Тези стойности представляват общите суми, за които групата на ЕИБ е подписала договори от създаването на ЕФСИ, като експозицията към непогасени суми е покрита само частично от гаранцията на ЕС по линия на ЕФСИ. Последната е описана подробно в следващите параграфи на настоящия раздел, както и в раздел 3 по-горе. Към 31 декември 2020 г. общата експозиция към непогасени изплатени суми, покрита от гаранцията на ЕС, възлизаше на 18,9 милиарда евро (съответно 16,5 милиарда евро за КИИ и 2,4 милиарда евро за КМСП), което представлява увеличение в сравнение с 18,4 милиарда евро през 2019 г.</w:t>
      </w:r>
    </w:p>
    <w:p>
      <w:pPr>
        <w:spacing w:before="200" w:after="180"/>
        <w:jc w:val="both"/>
        <w:rPr>
          <w:noProof/>
          <w:sz w:val="24"/>
          <w:szCs w:val="24"/>
        </w:rPr>
      </w:pPr>
      <w:r>
        <w:rPr>
          <w:noProof/>
          <w:sz w:val="24"/>
          <w:szCs w:val="24"/>
        </w:rPr>
        <w:t>Експозицията на бюджета на ЕС към възможни бъдещи плащания по гаранцията на ЕС от гледна точка на подписаните операции (изплатени и неизплатени) възлизаше на 24,1 милиарда евро (18,5 милиарда евро за КИИ и 5,6 милиарда евро за КМСП).</w:t>
      </w:r>
    </w:p>
    <w:p>
      <w:pPr>
        <w:spacing w:before="200" w:after="180"/>
        <w:jc w:val="both"/>
        <w:rPr>
          <w:noProof/>
          <w:sz w:val="24"/>
          <w:szCs w:val="24"/>
        </w:rPr>
      </w:pPr>
      <w:r>
        <w:rPr>
          <w:noProof/>
          <w:sz w:val="24"/>
          <w:szCs w:val="24"/>
        </w:rPr>
        <w:t>В рамките на КИИ експозицията към непогасени изплатени суми, покрита от гаранцията на ЕС, възлизаше на 16,5 милиарда евро, от които 15,2 милиарда евро за дългови операции и 1,3 милиарда евро за капиталови операции.</w:t>
      </w:r>
    </w:p>
    <w:p>
      <w:pPr>
        <w:spacing w:before="200" w:after="180"/>
        <w:jc w:val="both"/>
        <w:rPr>
          <w:noProof/>
          <w:sz w:val="24"/>
          <w:szCs w:val="24"/>
        </w:rPr>
      </w:pPr>
      <w:r>
        <w:rPr>
          <w:noProof/>
          <w:sz w:val="24"/>
          <w:szCs w:val="24"/>
        </w:rPr>
        <w:t xml:space="preserve">Ако тези операции по КИИ доведат до загуби, те ще бъдат покрити от гаранцията на ЕС в съответствие с условията, предвидени в Споразумението за ЕФСИ. По-специално гаранцията на ЕС в рамките на КИИ се предоставя под формата на покритие на транш за първа загуба за операции по дълговите портфейли и капиталовия портфейл — национални насърчителни банки, в рамките на КИИ. По стандартния капиталов портфейл в рамките на КИИ гаранцията на ЕС е под формата на пълна гаранция, при условие че ЕИБ инвестира същите ресурси на собствен риск на база </w:t>
      </w:r>
      <w:r>
        <w:rPr>
          <w:i/>
          <w:noProof/>
          <w:sz w:val="24"/>
          <w:szCs w:val="24"/>
        </w:rPr>
        <w:t>pari passu</w:t>
      </w:r>
      <w:r>
        <w:rPr>
          <w:noProof/>
          <w:sz w:val="24"/>
          <w:szCs w:val="24"/>
        </w:rPr>
        <w:t>.</w:t>
      </w:r>
    </w:p>
    <w:p>
      <w:pPr>
        <w:spacing w:before="200" w:after="180"/>
        <w:jc w:val="both"/>
        <w:rPr>
          <w:noProof/>
          <w:sz w:val="24"/>
          <w:szCs w:val="24"/>
        </w:rPr>
      </w:pPr>
      <w:r>
        <w:rPr>
          <w:noProof/>
          <w:sz w:val="24"/>
          <w:szCs w:val="24"/>
        </w:rPr>
        <w:t>Към 31 декември 2020 г. общият размер на експозицията към непогасени изплатени суми по КМСП, покрита от гаранцията на ЕС, беше 2,4 милиарда евро, от които 1,7 милиарда евро за операции за гарантиране и 0,7 милиарда евро за капиталови операции</w:t>
      </w:r>
      <w:r>
        <w:rPr>
          <w:rStyle w:val="FootnoteReference"/>
          <w:noProof/>
          <w:sz w:val="24"/>
          <w:szCs w:val="24"/>
        </w:rPr>
        <w:footnoteReference w:id="23"/>
      </w:r>
      <w:r>
        <w:rPr>
          <w:noProof/>
          <w:sz w:val="24"/>
          <w:szCs w:val="24"/>
        </w:rPr>
        <w:t>.</w:t>
      </w:r>
    </w:p>
    <w:p>
      <w:pPr>
        <w:spacing w:before="200" w:after="180"/>
        <w:jc w:val="both"/>
        <w:rPr>
          <w:noProof/>
          <w:sz w:val="24"/>
          <w:szCs w:val="24"/>
        </w:rPr>
      </w:pPr>
      <w:r>
        <w:rPr>
          <w:noProof/>
          <w:sz w:val="24"/>
          <w:szCs w:val="24"/>
        </w:rPr>
        <w:t>Ако операциите за гарантиране по КМСП доведат до загуби, те ще бъдат покрити главно със средствата, предоставени от механизма за гаранции за МСП в рамките на InnovFin, механизма за гарантиране на заеми по COSME, гаранционния механизъм за секторите на културата и творчеството и финансовия инструмент „Гаранция по Програмата на Европейския съюз за заетост и социални иновации“. По КМСП по линия на ЕФСИ се осигурява първостепенно покритие за загуби над участието на ЕС. По продукта на ЕФСИ за комбиниране ЕФСИ покрива транша за втора загуба за операции след държавата членка или управляващия орган, а ЕИФ осигурява допълнителното първостепенно покритие за риск. По продукта „Умения и образование“ по КМСП ЕФСИ предоставя гаранция в размер на 80 % от всяка операция, за която е подписан договор.</w:t>
      </w:r>
    </w:p>
    <w:p>
      <w:pPr>
        <w:spacing w:before="200" w:after="180"/>
        <w:jc w:val="both"/>
        <w:rPr>
          <w:noProof/>
          <w:sz w:val="24"/>
          <w:szCs w:val="24"/>
        </w:rPr>
      </w:pPr>
      <w:r>
        <w:rPr>
          <w:noProof/>
          <w:sz w:val="24"/>
          <w:szCs w:val="24"/>
        </w:rPr>
        <w:lastRenderedPageBreak/>
        <w:t>Що се отнася до подкомпонентите на капиталовите продукти по КМСП, всички загуби ще бъдат покрити пропорционално от гаранцията на ЕС по линия на ЕФСИ и от ЕИФ в зависимост от техните участия, посочени в гаранционното споразумение за ЕФСИ. Що се отнася до подкомпонент 2 на капиталовия продукт, InnovFin ще покрива транша за първа загуба на капиталовия финансов инструмент. По продукта „Кредити за частния сектор“ по КМСП ЕФСИ осигурява покритие на транша за първа загуба, а в рамките на действието за увеличаване на рисковия капитал по КМСП предоставя пълна гаранция.</w:t>
      </w:r>
    </w:p>
    <w:p>
      <w:pPr>
        <w:spacing w:before="200" w:after="180"/>
        <w:jc w:val="both"/>
        <w:rPr>
          <w:noProof/>
          <w:sz w:val="24"/>
          <w:szCs w:val="24"/>
        </w:rPr>
      </w:pPr>
      <w:r>
        <w:rPr>
          <w:noProof/>
          <w:sz w:val="24"/>
          <w:szCs w:val="24"/>
        </w:rPr>
        <w:t>Целевият размер на ГФЕФСИ беше определен на 35 % от общите задължения по гаранцията на ЕС</w:t>
      </w:r>
      <w:r>
        <w:rPr>
          <w:rStyle w:val="FootnoteReference"/>
          <w:noProof/>
          <w:sz w:val="24"/>
          <w:szCs w:val="24"/>
        </w:rPr>
        <w:footnoteReference w:id="24"/>
      </w:r>
      <w:r>
        <w:rPr>
          <w:noProof/>
          <w:sz w:val="24"/>
          <w:szCs w:val="24"/>
        </w:rPr>
        <w:t>. Оценката на риска на различните продукти, подкрепяни чрез гаранцията на ЕС, показва, че при този целеви размер бюджетът на Съюза ще бъде като цяло адекватно защитен от потенциални искания за изпълнение по гаранцията на ЕС, като се вземат предвид събраните суми, приходите и обратните постъпления от операциите на ЕИБ. Поради това целеви размер от 35 % се смята за адекватен.</w:t>
      </w:r>
    </w:p>
    <w:p>
      <w:pPr>
        <w:spacing w:before="200" w:after="180"/>
        <w:jc w:val="both"/>
        <w:rPr>
          <w:noProof/>
          <w:sz w:val="24"/>
          <w:szCs w:val="24"/>
        </w:rPr>
      </w:pPr>
      <w:r>
        <w:rPr>
          <w:noProof/>
          <w:sz w:val="24"/>
          <w:szCs w:val="24"/>
        </w:rPr>
        <w:t>Тъй като ГФЕФСИ — като част от компонента на общ фонд „Провизии“ от януари 2021 г. — е в етап на изграждане до 2022 г., необходимостта от попълване ще бъде оценена на по-късен етап.</w:t>
      </w: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rPr>
    </w:pPr>
  </w:p>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9</w:t>
    </w:r>
    <w:r>
      <w:rPr>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Регламент, изменящ регламенти (ЕС) № 1291/2013 и (ЕС) № 1316/2013 — Европейски фонд за стратегически инвестиции („Регламент за ЕФСИ“). ОВ L 169, 1.7.2015 г., стр. 1.</w:t>
      </w:r>
    </w:p>
  </w:footnote>
  <w:footnote w:id="3">
    <w:p>
      <w:pPr>
        <w:pStyle w:val="FootnoteText"/>
        <w:ind w:left="426" w:hanging="426"/>
      </w:pPr>
      <w:r>
        <w:rPr>
          <w:rStyle w:val="FootnoteReference"/>
        </w:rPr>
        <w:footnoteRef/>
      </w:r>
      <w:r>
        <w:t xml:space="preserve"> ОВ L 345, 27.12.2017 г., стр. 34.</w:t>
      </w:r>
    </w:p>
  </w:footnote>
  <w:footnote w:id="4">
    <w:p>
      <w:pPr>
        <w:pStyle w:val="FootnoteText"/>
      </w:pPr>
      <w:r>
        <w:rPr>
          <w:rStyle w:val="FootnoteReference"/>
        </w:rPr>
        <w:footnoteRef/>
      </w:r>
      <w:r>
        <w:t> Споразумението за ЕФСИ беше по-късно изменено и отново потвърдено, по-конкретно на 21 юли 2016 г., 21 ноември 2017 г., 9 март 2018 г., 20 декември 2018 г., 27 март 2020 г. и 27 април 2020 г.</w:t>
      </w:r>
    </w:p>
  </w:footnote>
  <w:footnote w:id="5">
    <w:p>
      <w:pPr>
        <w:jc w:val="both"/>
      </w:pPr>
      <w:r>
        <w:rPr>
          <w:rStyle w:val="FootnoteReference"/>
        </w:rPr>
        <w:footnoteRef/>
      </w:r>
      <w:r>
        <w:t> Настоящият доклад е шестият доклад за ГФЕФСИ. За предходните доклади вж. COM(2016) 353 final, COM(2017) 326 final, COM(2018) 345 final, COM(2019) 244 final и COM(2020) 385</w:t>
      </w:r>
      <w:r>
        <w:rPr>
          <w:sz w:val="24"/>
          <w:szCs w:val="24"/>
        </w:rPr>
        <w:t> </w:t>
      </w:r>
      <w:r>
        <w:t>final.</w:t>
      </w:r>
    </w:p>
  </w:footnote>
  <w:footnote w:id="6">
    <w:p>
      <w:pPr>
        <w:pStyle w:val="FootnoteText"/>
      </w:pPr>
      <w:r>
        <w:rPr>
          <w:rStyle w:val="FootnoteReference"/>
        </w:rPr>
        <w:footnoteRef/>
      </w:r>
      <w:r>
        <w:t>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(„Финансовият регламент“).</w:t>
      </w:r>
    </w:p>
  </w:footnote>
  <w:footnote w:id="7">
    <w:p>
      <w:pPr>
        <w:pStyle w:val="FootnoteText"/>
      </w:pPr>
      <w:r>
        <w:rPr>
          <w:rStyle w:val="FootnoteReference"/>
        </w:rPr>
        <w:footnoteRef/>
      </w:r>
      <w:r>
        <w:t xml:space="preserve"> Регламент (ЕС, Евратом) 2020/2093 на Съвета от 17 декември 2020 г. за определяне на многогодишната финансова рамка за годините 2021—2027 (</w:t>
      </w:r>
      <w:hyperlink r:id="rId1" w:history="1">
        <w:r>
          <w:rPr>
            <w:rStyle w:val="Hyperlink"/>
          </w:rPr>
          <w:t>ОВ L 433I, 22.12.2020 г.</w:t>
        </w:r>
      </w:hyperlink>
      <w:r>
        <w:t>).</w:t>
      </w:r>
    </w:p>
  </w:footnote>
  <w:footnote w:id="8">
    <w:p>
      <w:pPr>
        <w:pStyle w:val="FootnoteText"/>
        <w:jc w:val="both"/>
      </w:pPr>
      <w:r>
        <w:rPr>
          <w:rStyle w:val="FootnoteReference"/>
        </w:rPr>
        <w:footnoteRef/>
      </w:r>
      <w:r>
        <w:t> С изменението ЕФСИ 2.0 размерът на гаранцията на ЕС бе увеличен от 16 милиарда евро на 26 милиарда евро.</w:t>
      </w:r>
    </w:p>
  </w:footnote>
  <w:footnote w:id="9">
    <w:p>
      <w:pPr>
        <w:pStyle w:val="FootnoteText"/>
      </w:pPr>
      <w:r>
        <w:rPr>
          <w:rStyle w:val="FootnoteReference"/>
        </w:rPr>
        <w:footnoteRef/>
      </w:r>
      <w:r>
        <w:t> С изменението ЕФСИ 2.0 вноската от собствените ресурси на групата на ЕИБ бе увеличена от 5 милиарда евро на 7,5 милиарда евро.</w:t>
      </w:r>
    </w:p>
  </w:footnote>
  <w:footnote w:id="10">
    <w:p>
      <w:pPr>
        <w:pStyle w:val="FootnoteText"/>
        <w:jc w:val="both"/>
      </w:pPr>
      <w:r>
        <w:rPr>
          <w:rStyle w:val="FootnoteReference"/>
        </w:rPr>
        <w:footnoteRef/>
      </w:r>
      <w:r>
        <w:rPr>
          <w:rStyle w:val="FootnoteReference"/>
        </w:rPr>
        <w:t xml:space="preserve"> </w:t>
      </w:r>
      <w:r>
        <w:t>Одитираните финансови отчети на гаранционния фонд на ЕФСИ са оповестени в работния документ на службите на Комисията, придружаващ доклада за ГФЕФСИ.</w:t>
      </w:r>
    </w:p>
  </w:footnote>
  <w:footnote w:id="11">
    <w:p>
      <w:pPr>
        <w:pStyle w:val="FootnoteText"/>
        <w:jc w:val="both"/>
      </w:pPr>
      <w:r>
        <w:rPr>
          <w:rStyle w:val="FootnoteReference"/>
        </w:rPr>
        <w:footnoteRef/>
      </w:r>
      <w:r>
        <w:t> Вж. раздел 3 „ФИНАНСОВИ ОТЧЕТИ НА ГФЕФСИ“ от работния документ на службите на Комисията, придружаващ доклада за ГФЕФСИ.</w:t>
      </w:r>
    </w:p>
  </w:footnote>
  <w:footnote w:id="12">
    <w:p>
      <w:pPr>
        <w:pStyle w:val="FootnoteText"/>
        <w:ind w:left="426" w:hanging="426"/>
        <w:jc w:val="both"/>
      </w:pPr>
      <w:r>
        <w:rPr>
          <w:rStyle w:val="FootnoteReference"/>
        </w:rPr>
        <w:footnoteRef/>
      </w:r>
      <w:r>
        <w:t> Нетната стойност е съставена от печалби от 12,7 милиона евро и загуби от 1,6 милиона евро.</w:t>
      </w:r>
    </w:p>
  </w:footnote>
  <w:footnote w:id="13">
    <w:p>
      <w:pPr>
        <w:pStyle w:val="FootnoteText"/>
        <w:jc w:val="both"/>
      </w:pPr>
      <w:r>
        <w:rPr>
          <w:rStyle w:val="FootnoteReference"/>
        </w:rPr>
        <w:footnoteRef/>
      </w:r>
      <w:r>
        <w:t> След хеджиране на валутния риск за частта от портфейла в щатски долари, представена във финансовите отчети като промени в дериватите по справедлива стойност.</w:t>
      </w:r>
    </w:p>
  </w:footnote>
  <w:footnote w:id="14">
    <w:p>
      <w:pPr>
        <w:pStyle w:val="FootnoteText"/>
        <w:jc w:val="both"/>
      </w:pPr>
      <w:r>
        <w:rPr>
          <w:rStyle w:val="FootnoteReference"/>
        </w:rPr>
        <w:footnoteRef/>
      </w:r>
      <w:r>
        <w:t> Според член 11 от изменението ЕФСИ 2.0 размерът на гаранцията на ЕС не може в нито един момент да надхвърля 26 милиарда евро. Исканията за изпълнение и използването на гаранцията на ЕС и провизиите за продукти за портфейлна гаранция в рамките на компонента за МСП се приспадат от максималния размер на гаранцията на ЕС.</w:t>
      </w:r>
    </w:p>
  </w:footnote>
  <w:footnote w:id="15">
    <w:p>
      <w:pPr>
        <w:pStyle w:val="FootnoteText"/>
      </w:pPr>
      <w:r>
        <w:rPr>
          <w:rStyle w:val="FootnoteReference"/>
        </w:rPr>
        <w:footnoteRef/>
      </w:r>
      <w:r>
        <w:t> В бележките към годишните счетоводни отчети на ЕС за 2020 г. тази сума е представена без финансовите провизии в размер на 0,3 милиарда евро.</w:t>
      </w:r>
    </w:p>
  </w:footnote>
  <w:footnote w:id="16">
    <w:p>
      <w:pPr>
        <w:pStyle w:val="FootnoteText"/>
      </w:pPr>
      <w:r>
        <w:rPr>
          <w:rStyle w:val="FootnoteReference"/>
        </w:rPr>
        <w:footnoteRef/>
      </w:r>
      <w:r>
        <w:t> Тази сума включва 18,4 милиона евро нереализирани приходи, свързани с възходящото движение на справедливата стойност на капиталовите портфейли на КИИ към 31 декември 2020 г., в сравнение с 31 декември 2019 г.</w:t>
      </w:r>
    </w:p>
  </w:footnote>
  <w:footnote w:id="17">
    <w:p>
      <w:pPr>
        <w:pStyle w:val="FootnoteText"/>
      </w:pPr>
      <w:r>
        <w:rPr>
          <w:rStyle w:val="FootnoteReference"/>
        </w:rPr>
        <w:footnoteRef/>
      </w:r>
      <w:r>
        <w:t> Тази сума включва 216,5 милиона евро финансови провизии по дълговите портфейли на KМСП, както и нереализирани приходи в размер на 23,4 милиона евро, свързани с възходящото движение на справедливата стойност на капиталовите портфейли на КМСП към 31 декември 2020 г., в сравнение с 31 декември 2019 г.</w:t>
      </w:r>
    </w:p>
  </w:footnote>
  <w:footnote w:id="18">
    <w:p>
      <w:pPr>
        <w:pStyle w:val="FootnoteText"/>
      </w:pPr>
      <w:r>
        <w:rPr>
          <w:rStyle w:val="FootnoteReference"/>
        </w:rPr>
        <w:footnoteRef/>
      </w:r>
      <w:r>
        <w:t> Целеви приходи тук означава средствата, които обикновено се наричат „обратни постъпления“. Те се състоят например от доходност от ЕФСИ, дивиденти, капиталови печалби или годишни изплащания, включително изплащания на главници, освободени гаранции и изплащания на главницата във връзка със заеми, събрани от ЕИБ.</w:t>
      </w:r>
    </w:p>
  </w:footnote>
  <w:footnote w:id="19">
    <w:p>
      <w:pPr>
        <w:pStyle w:val="FootnoteText"/>
        <w:ind w:left="426" w:hanging="426"/>
      </w:pPr>
      <w:r>
        <w:rPr>
          <w:rStyle w:val="FootnoteReference"/>
        </w:rPr>
        <w:footnoteRef/>
      </w:r>
      <w:r>
        <w:t> Вж. член 8.1, буква б) от Споразумението за ЕФСИ.</w:t>
      </w:r>
    </w:p>
  </w:footnote>
  <w:footnote w:id="20">
    <w:p>
      <w:pPr>
        <w:pStyle w:val="FootnoteText"/>
        <w:ind w:left="426" w:hanging="426"/>
        <w:jc w:val="both"/>
      </w:pPr>
      <w:r>
        <w:rPr>
          <w:rStyle w:val="FootnoteReference"/>
        </w:rPr>
        <w:footnoteRef/>
      </w:r>
      <w:r>
        <w:t> Вж. член 8.1, буква г) от Споразумението за ЕФСИ.</w:t>
      </w:r>
    </w:p>
  </w:footnote>
  <w:footnote w:id="21">
    <w:p>
      <w:pPr>
        <w:pStyle w:val="FootnoteText"/>
        <w:ind w:left="426" w:hanging="426"/>
      </w:pPr>
      <w:r>
        <w:rPr>
          <w:rStyle w:val="FootnoteReference"/>
        </w:rPr>
        <w:footnoteRef/>
      </w:r>
      <w:r>
        <w:t> Вж. член 8.1, буква г) и член 11.7 от Споразумението за ЕФСИ.</w:t>
      </w:r>
    </w:p>
  </w:footnote>
  <w:footnote w:id="22">
    <w:p>
      <w:pPr>
        <w:pStyle w:val="FootnoteText"/>
        <w:jc w:val="both"/>
      </w:pPr>
      <w:r>
        <w:rPr>
          <w:rStyle w:val="FootnoteReference"/>
        </w:rPr>
        <w:footnoteRef/>
      </w:r>
      <w:r>
        <w:t> Стойността на дюрацията изразява „модифицираната дюрация“, с която се измерва чувствителността на цената на облигацията към движенията на лихвените проценти. Тази стойност се основава на концепцията, че цените на ценните книжа и лихвените проценти са свързани обратнопропорционално.</w:t>
      </w:r>
    </w:p>
  </w:footnote>
  <w:footnote w:id="23">
    <w:p>
      <w:pPr>
        <w:pStyle w:val="FootnoteText"/>
        <w:jc w:val="both"/>
        <w:rPr>
          <w:rStyle w:val="FootnoteReference"/>
        </w:rPr>
      </w:pPr>
      <w:r>
        <w:rPr>
          <w:rStyle w:val="FootnoteReference"/>
        </w:rPr>
        <w:footnoteRef/>
      </w:r>
      <w:r>
        <w:rPr>
          <w:rStyle w:val="FootnoteReference"/>
        </w:rPr>
        <w:t xml:space="preserve"> </w:t>
      </w:r>
      <w:r>
        <w:t>Както е видно от финансовите отчети на ЕС към 31 декември 2020 г., без да се включват договорите за гаранция, чийто период на предоставяне започва през 2021 г.</w:t>
      </w:r>
    </w:p>
  </w:footnote>
  <w:footnote w:id="24">
    <w:p>
      <w:pPr>
        <w:pStyle w:val="FootnoteText"/>
        <w:ind w:left="426" w:hanging="426"/>
        <w:jc w:val="both"/>
      </w:pPr>
      <w:r>
        <w:rPr>
          <w:rStyle w:val="FootnoteReference"/>
        </w:rPr>
        <w:footnoteRef/>
      </w:r>
      <w:r>
        <w:t xml:space="preserve"> Вж. член 12, параграф 5 от </w:t>
      </w:r>
      <w:hyperlink r:id="rId2" w:history="1">
        <w:r>
          <w:rPr>
            <w:rStyle w:val="Hyperlink"/>
            <w:color w:val="auto"/>
            <w:u w:val="none"/>
          </w:rPr>
          <w:t>Регламента за ЕФСИ</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4AD42D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B94908"/>
    <w:multiLevelType w:val="hybridMultilevel"/>
    <w:tmpl w:val="F2427282"/>
    <w:lvl w:ilvl="0" w:tplc="96F82D9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427287"/>
    <w:multiLevelType w:val="hybridMultilevel"/>
    <w:tmpl w:val="C7AE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77106E-EC09-450D-AFDB-186603A17575"/>
    <w:docVar w:name="LW_COVERPAGE_TYPE" w:val="1"/>
    <w:docVar w:name="LW_CROSSREFERENCE" w:val="{SWD(2021) 209 final}"/>
    <w:docVar w:name="LW_DocType" w:val="NORMAL"/>
    <w:docVar w:name="LW_EMISSION" w:val="28.7.2021"/>
    <w:docVar w:name="LW_EMISSION_ISODATE" w:val="2021-07-28"/>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 \u1057?\u1066?\u1042?\u1045?\u1058?\u1040? \u1048? \u1057?\u1052?\u1045?\u1058?\u1053?\u1040?\u1058?\u1040? \u1055?\u1040?\u1051?\u1040?\u1058?\u1040?_x000d__x000d__x000d__x000d__x000d__x000d__x000d__x000b__x000d__x000d__x000d__x000d__x000d__x000d__x000b_\u1047?\u1040? \u1059?\u1055?\u1056?\u1040?\u1042?\u1051?\u1045?\u1053?\u1048?\u1045?\u1058?\u1054? \u1053?\u1040? \u1043?\u1040?\u1056?\u1040?\u1053?\u1062?\u1048?\u1054?\u1053?\u1053?\u1048?\u1071? \u1060?\u1054?\u1053?\u1044? \u1053?\u1040? \u1045?\u1042?\u1056?\u1054?\u1055?\u1045?\u1049?\u1057?\u1050?\u1048?\u1071? \u1060?\u1054?\u1053?\u1044? \u1047?\u1040? \u1057?\u1058?\u1056?\u1040?\u1058?\u1045?\u1043?\u1048?\u1063?\u1045?\u1057?\u1050?\u1048? \u1048?\u1053?\u1042?\u1045?\u1057?\u1058?\u1048?\u1062?\u1048?\u1048? \u1055?\u1056?\u1045?\u1047? 2020 \u1043?."/>
    <w:docVar w:name="LW_TYPE.DOC.CP" w:val="\u1044?\u1054?\u1050?\u1051?\u1040?\u1044? \u1053?\u1040? \u1050?\u1054?\u1052?\u1048?\u1057?\u1048?\u1071?\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bg-BG"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bg-B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bg-BG"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bg-B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bg-BG"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bg-B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bg-BG"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bg-B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7654">
      <w:bodyDiv w:val="1"/>
      <w:marLeft w:val="0"/>
      <w:marRight w:val="0"/>
      <w:marTop w:val="0"/>
      <w:marBottom w:val="0"/>
      <w:divBdr>
        <w:top w:val="none" w:sz="0" w:space="0" w:color="auto"/>
        <w:left w:val="none" w:sz="0" w:space="0" w:color="auto"/>
        <w:bottom w:val="none" w:sz="0" w:space="0" w:color="auto"/>
        <w:right w:val="none" w:sz="0" w:space="0" w:color="auto"/>
      </w:divBdr>
    </w:div>
    <w:div w:id="1340350954">
      <w:bodyDiv w:val="1"/>
      <w:marLeft w:val="0"/>
      <w:marRight w:val="0"/>
      <w:marTop w:val="0"/>
      <w:marBottom w:val="0"/>
      <w:divBdr>
        <w:top w:val="none" w:sz="0" w:space="0" w:color="auto"/>
        <w:left w:val="none" w:sz="0" w:space="0" w:color="auto"/>
        <w:bottom w:val="none" w:sz="0" w:space="0" w:color="auto"/>
        <w:right w:val="none" w:sz="0" w:space="0" w:color="auto"/>
      </w:divBdr>
    </w:div>
    <w:div w:id="17898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15/1017/2017-12-30" TargetMode="External"/><Relationship Id="rId1" Type="http://schemas.openxmlformats.org/officeDocument/2006/relationships/hyperlink" Target="https://eur-lex.europa.eu/legal-content/BG/TXT/?uri=CELEX:32020R2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5C464C136E7974B8034E32407973D6E" ma:contentTypeVersion="0" ma:contentTypeDescription="Create a new document in this library." ma:contentTypeScope="" ma:versionID="f3f500019cf63071a7ed92f0fde1fd5f">
  <xsd:schema xmlns:xsd="http://www.w3.org/2001/XMLSchema" xmlns:xs="http://www.w3.org/2001/XMLSchema" xmlns:p="http://schemas.microsoft.com/office/2006/metadata/properties" xmlns:ns2="http://schemas.microsoft.com/sharepoint/v3/fields" xmlns:ns3="98cca94f-156d-4b14-a569-5c3c901c1eca" targetNamespace="http://schemas.microsoft.com/office/2006/metadata/properties" ma:root="true" ma:fieldsID="0c4e639397778a1d4f9a48cdd6727842" ns2:_="" ns3:_="">
    <xsd:import namespace="http://schemas.microsoft.com/sharepoint/v3/fields"/>
    <xsd:import namespace="98cca94f-156d-4b14-a569-5c3c901c1ec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8cca94f-156d-4b14-a569-5c3c901c1ec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98cca94f-156d-4b14-a569-5c3c901c1eca">Not Started</EC_Collab_Status>
    <_Status xmlns="http://schemas.microsoft.com/sharepoint/v3/fields">Not Started</_Status>
    <EC_Collab_DocumentLanguage xmlns="98cca94f-156d-4b14-a569-5c3c901c1eca">EN</EC_Collab_DocumentLanguage>
    <EC_Collab_Reference xmlns="98cca94f-156d-4b14-a569-5c3c901c1e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EDFB53-BC53-41FE-A757-C0417BAA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8cca94f-156d-4b14-a569-5c3c901c1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76FFF-04FA-401A-9C72-5FB9E074762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8cca94f-156d-4b14-a569-5c3c901c1eca"/>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3F6425D-F2AD-40AF-B368-08BAC6B720B6}">
  <ds:schemaRefs>
    <ds:schemaRef ds:uri="http://schemas.microsoft.com/sharepoint/v3/contenttype/forms"/>
  </ds:schemaRefs>
</ds:datastoreItem>
</file>

<file path=customXml/itemProps4.xml><?xml version="1.0" encoding="utf-8"?>
<ds:datastoreItem xmlns:ds="http://schemas.openxmlformats.org/officeDocument/2006/customXml" ds:itemID="{22D1D108-7F03-449A-A532-9CBD609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3182</Words>
  <Characters>17251</Characters>
  <Application>Microsoft Office Word</Application>
  <DocSecurity>0</DocSecurity>
  <Lines>308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49</cp:revision>
  <cp:lastPrinted>2019-05-03T14:46:00Z</cp:lastPrinted>
  <dcterms:created xsi:type="dcterms:W3CDTF">2021-07-07T08:49:00Z</dcterms:created>
  <dcterms:modified xsi:type="dcterms:W3CDTF">2021-07-24T17:46:00Z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20200226</vt:lpwstr>
  </property>
  <property fmtid="{D5CDD505-2E9C-101B-9397-08002B2CF9AE}" pid="8" name="CPTemplateID">
    <vt:lpwstr>CP-003</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0x010100258AA79CEB83498886A3A0868112325000C5C464C136E7974B8034E32407973D6E</vt:lpwstr>
  </property>
</Properties>
</file>