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AD90BB17-7214-4FA1-9114-E2A984EAA07E" style="width:455.25pt;height:383.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keepNext/>
        <w:tabs>
          <w:tab w:val="left" w:pos="850"/>
        </w:tabs>
        <w:spacing w:before="360"/>
        <w:jc w:val="center"/>
        <w:outlineLvl w:val="0"/>
        <w:rPr>
          <w:rFonts w:ascii="Times New Roman" w:hAnsi="Times New Roman"/>
          <w:b/>
          <w:bCs/>
          <w:smallCaps/>
          <w:noProof/>
          <w:sz w:val="24"/>
          <w:szCs w:val="24"/>
        </w:rPr>
      </w:pPr>
      <w:bookmarkStart w:id="1" w:name="_GoBack"/>
      <w:bookmarkEnd w:id="1"/>
      <w:r>
        <w:rPr>
          <w:rFonts w:ascii="Times New Roman" w:hAnsi="Times New Roman"/>
          <w:b/>
          <w:bCs/>
          <w:smallCaps/>
          <w:noProof/>
          <w:sz w:val="24"/>
          <w:szCs w:val="24"/>
        </w:rPr>
        <w:lastRenderedPageBreak/>
        <w:t>PŘÍLOHA</w:t>
      </w:r>
    </w:p>
    <w:p>
      <w:pPr>
        <w:rPr>
          <w:noProof/>
        </w:rPr>
      </w:pPr>
    </w:p>
    <w:p>
      <w:pPr>
        <w:keepNext/>
        <w:tabs>
          <w:tab w:val="left" w:pos="850"/>
        </w:tabs>
        <w:jc w:val="both"/>
        <w:outlineLvl w:val="0"/>
        <w:rPr>
          <w:rStyle w:val="IntenseEmphasis"/>
          <w:rFonts w:ascii="Times New Roman" w:hAnsi="Times New Roman"/>
          <w:b/>
          <w:bCs/>
          <w:i w:val="0"/>
          <w:iCs w:val="0"/>
          <w:smallCaps/>
          <w:noProof/>
          <w:color w:val="auto"/>
          <w:sz w:val="24"/>
          <w:szCs w:val="24"/>
        </w:rPr>
      </w:pPr>
      <w:r>
        <w:rPr>
          <w:rFonts w:ascii="Times New Roman" w:hAnsi="Times New Roman"/>
          <w:b/>
          <w:bCs/>
          <w:smallCaps/>
          <w:noProof/>
          <w:sz w:val="24"/>
          <w:szCs w:val="24"/>
        </w:rPr>
        <w:t>A. KOMPONENTA č. 1.1: Digitální služby občanům a firmám</w:t>
      </w:r>
    </w:p>
    <w:p>
      <w:pPr>
        <w:jc w:val="both"/>
        <w:rPr>
          <w:rStyle w:val="IntenseEmphasis"/>
          <w:rFonts w:ascii="Times New Roman" w:hAnsi="Times New Roman"/>
          <w:i w:val="0"/>
          <w:iCs w:val="0"/>
          <w:noProof/>
          <w:color w:val="auto"/>
          <w:sz w:val="24"/>
          <w:szCs w:val="24"/>
        </w:rPr>
      </w:pPr>
      <w:r>
        <w:rPr>
          <w:rStyle w:val="IntenseEmphasis"/>
          <w:rFonts w:ascii="Times New Roman" w:hAnsi="Times New Roman"/>
          <w:i w:val="0"/>
          <w:iCs w:val="0"/>
          <w:noProof/>
          <w:color w:val="auto"/>
          <w:sz w:val="24"/>
          <w:szCs w:val="24"/>
        </w:rPr>
        <w:t xml:space="preserve">Tato komponenta českého plánu podpoří řešení výzvy, která spočívá v nadcházejícím poskytování digitálních veřejných služeb, a to zvýšením počtu a zlepšením uživatelské vstřícnosti digitálních veřejných služeb poskytovaných občanům a podnikům a zajišťováním jednotné a vysoce kvalitní správy dat v sektoru veřejné správy. Podle výsledků indexu digitální ekonomiky a společnosti (DESI 2020) Česko vykazuje podprůměrnou úroveň poskytování digitálních veřejných služeb občanům a podnikům. </w:t>
      </w:r>
    </w:p>
    <w:p>
      <w:pPr>
        <w:jc w:val="both"/>
        <w:rPr>
          <w:rStyle w:val="IntenseEmphasis"/>
          <w:rFonts w:ascii="Times New Roman" w:eastAsia="Times New Roman" w:hAnsi="Times New Roman"/>
          <w:i w:val="0"/>
          <w:iCs w:val="0"/>
          <w:noProof/>
          <w:color w:val="000000"/>
          <w:sz w:val="24"/>
          <w:szCs w:val="24"/>
        </w:rPr>
      </w:pPr>
      <w:r>
        <w:rPr>
          <w:rStyle w:val="IntenseEmphasis"/>
          <w:rFonts w:ascii="Times New Roman" w:hAnsi="Times New Roman"/>
          <w:i w:val="0"/>
          <w:iCs w:val="0"/>
          <w:noProof/>
          <w:color w:val="000000"/>
          <w:sz w:val="24"/>
          <w:szCs w:val="24"/>
        </w:rPr>
        <w:t>Cílem této komponenty je zřídit portály zaměřené na klienta (Portál občana, Portál justice, Portál podnikatele, Portál zdravotnictví) a podporovat usnadnění sdílení a správy dat v rámci veřejné správy tak, aby bylo dosaženo souladu se zásadou „pouze jednou“.</w:t>
      </w:r>
    </w:p>
    <w:p>
      <w:pPr>
        <w:jc w:val="both"/>
        <w:rPr>
          <w:rStyle w:val="IntenseEmphasis"/>
          <w:rFonts w:ascii="Times New Roman" w:eastAsia="Times New Roman" w:hAnsi="Times New Roman"/>
          <w:i w:val="0"/>
          <w:iCs w:val="0"/>
          <w:noProof/>
          <w:color w:val="000000"/>
          <w:sz w:val="24"/>
          <w:szCs w:val="24"/>
        </w:rPr>
      </w:pPr>
      <w:r>
        <w:rPr>
          <w:rStyle w:val="IntenseEmphasis"/>
          <w:rFonts w:ascii="Times New Roman" w:hAnsi="Times New Roman"/>
          <w:i w:val="0"/>
          <w:iCs w:val="0"/>
          <w:noProof/>
          <w:color w:val="000000"/>
          <w:sz w:val="24"/>
          <w:szCs w:val="24"/>
        </w:rPr>
        <w:t xml:space="preserve">Provádění reforem v rámci této komponenty </w:t>
      </w:r>
      <w:bookmarkStart w:id="2" w:name="_Toc71885520"/>
      <w:r>
        <w:rPr>
          <w:rStyle w:val="IntenseEmphasis"/>
          <w:rFonts w:ascii="Times New Roman" w:hAnsi="Times New Roman"/>
          <w:i w:val="0"/>
          <w:iCs w:val="0"/>
          <w:noProof/>
          <w:color w:val="000000"/>
          <w:sz w:val="24"/>
          <w:szCs w:val="24"/>
        </w:rPr>
        <w:t>zajistí</w:t>
      </w:r>
      <w:r>
        <w:rPr>
          <w:rFonts w:ascii="Times New Roman" w:hAnsi="Times New Roman"/>
          <w:noProof/>
          <w:sz w:val="24"/>
          <w:szCs w:val="24"/>
        </w:rPr>
        <w:t xml:space="preserve"> podmínky pro řádnou správu databází a pro řízený přístup k datům</w:t>
      </w:r>
      <w:bookmarkEnd w:id="2"/>
      <w:r>
        <w:rPr>
          <w:rFonts w:ascii="Times New Roman" w:hAnsi="Times New Roman"/>
          <w:noProof/>
          <w:sz w:val="24"/>
          <w:szCs w:val="24"/>
        </w:rPr>
        <w:t>. Rovněž usnadní poskytování řešení v oblasti elektronického zdravotnictví, včetně vývoje portálu elektronického zdravotnictví, většího vzájemného propojení a interoperability poskytovatelů zdravotní péče a centrálních záznamů, telemedicíny a druhotného využívání údajů o zdravotním stavu.</w:t>
      </w:r>
    </w:p>
    <w:p>
      <w:pPr>
        <w:pStyle w:val="Text1"/>
        <w:spacing w:line="256" w:lineRule="auto"/>
        <w:ind w:left="0"/>
        <w:rPr>
          <w:rStyle w:val="IntenseEmphasis"/>
          <w:rFonts w:eastAsia="Times New Roman"/>
          <w:i w:val="0"/>
          <w:iCs w:val="0"/>
          <w:noProof/>
          <w:color w:val="000000"/>
          <w:szCs w:val="24"/>
        </w:rPr>
      </w:pPr>
      <w:r>
        <w:rPr>
          <w:rStyle w:val="IntenseEmphasis"/>
          <w:i w:val="0"/>
          <w:iCs w:val="0"/>
          <w:noProof/>
          <w:color w:val="000000"/>
          <w:szCs w:val="24"/>
        </w:rPr>
        <w:t>Cílem investic je realizace 22 projektů zaměřených na zlepšení služeb eGovernmentu poskytovaných koncovým uživatelům a pěti projektů zaměřených na zlepšení přístupu k veřejně přístupným datům v oblasti veřejné správy. Komponenta rovněž zvýší digitalizaci systému soudnictví vybavením soudů audiovizuálními zařízeními pro záznam a produkci údajů a vytvořením Portálu justice, který bude dotčeným stranám poskytovat snadný přístup a digitální služby.</w:t>
      </w:r>
    </w:p>
    <w:p>
      <w:pPr>
        <w:pStyle w:val="Text1"/>
        <w:ind w:left="0"/>
        <w:rPr>
          <w:noProof/>
        </w:rPr>
      </w:pPr>
      <w:r>
        <w:rPr>
          <w:noProof/>
        </w:rPr>
        <w:t xml:space="preserve">Komponenta podporuje plnění doporučení pro zemi č. 3 na rok 2019, podle něhož má Česko zaměřit hospodářskou politiku v oblasti investic na digitální infrastrukturu, doporučení pro zemi č. 1 na rok 2020, podle něhož má Česko </w:t>
      </w:r>
      <w:r>
        <w:rPr>
          <w:rStyle w:val="IntenseEmphasis"/>
          <w:i w:val="0"/>
          <w:iCs w:val="0"/>
          <w:noProof/>
          <w:color w:val="000000"/>
        </w:rPr>
        <w:t xml:space="preserve">posílit zavádění služeb elektronického zdravotnictví, a </w:t>
      </w:r>
      <w:r>
        <w:rPr>
          <w:noProof/>
        </w:rPr>
        <w:t>doporučení pro zemi č. 3 na rok 2020</w:t>
      </w:r>
      <w:r>
        <w:rPr>
          <w:noProof/>
          <w:color w:val="000000"/>
        </w:rPr>
        <w:t>, podle něhož má Česko</w:t>
      </w:r>
      <w:r>
        <w:rPr>
          <w:rStyle w:val="IntenseEmphasis"/>
          <w:i w:val="0"/>
          <w:iCs w:val="0"/>
          <w:noProof/>
          <w:color w:val="000000"/>
        </w:rPr>
        <w:t xml:space="preserve"> </w:t>
      </w:r>
      <w:r>
        <w:rPr>
          <w:noProof/>
          <w:color w:val="000000"/>
        </w:rPr>
        <w:t>podpořit malé a střední podniky snížením administrativní zátěže a zaměřit investice na digitální transformaci</w:t>
      </w:r>
      <w:r>
        <w:rPr>
          <w:noProof/>
        </w:rPr>
        <w:t>.</w:t>
      </w:r>
    </w:p>
    <w:p>
      <w:pPr>
        <w:pStyle w:val="Text1"/>
        <w:ind w:left="0"/>
        <w:rPr>
          <w:rFonts w:eastAsia="Times New Roman"/>
          <w:noProof/>
        </w:rPr>
      </w:pPr>
      <w:r>
        <w:rPr>
          <w:noProof/>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pStyle w:val="Text1"/>
        <w:ind w:left="0"/>
        <w:rPr>
          <w:noProof/>
          <w:lang w:eastAsia="en-IE"/>
        </w:rPr>
      </w:pPr>
    </w:p>
    <w:p>
      <w:pPr>
        <w:pStyle w:val="Text1"/>
        <w:ind w:left="0"/>
        <w:rPr>
          <w:b/>
          <w:bCs/>
          <w:noProof/>
          <w:u w:val="single"/>
        </w:rPr>
      </w:pPr>
      <w:r>
        <w:rPr>
          <w:b/>
          <w:bCs/>
          <w:noProof/>
          <w:u w:val="single"/>
        </w:rPr>
        <w:t>A.1 Popis reforem a investic pro nevratnou finanční podporu</w:t>
      </w:r>
    </w:p>
    <w:p>
      <w:pPr>
        <w:pStyle w:val="Text1"/>
        <w:ind w:left="0"/>
        <w:jc w:val="left"/>
        <w:rPr>
          <w:b/>
          <w:bCs/>
          <w:noProof/>
        </w:rPr>
      </w:pPr>
      <w:r>
        <w:rPr>
          <w:b/>
          <w:bCs/>
          <w:noProof/>
        </w:rPr>
        <w:t>Reforma č. 1: Podmínky pro kvalitní správu datových fondů a zajištění řízeného přístupu k datům</w:t>
      </w:r>
    </w:p>
    <w:p>
      <w:pPr>
        <w:pStyle w:val="Text1"/>
        <w:ind w:left="0"/>
        <w:rPr>
          <w:noProof/>
        </w:rPr>
      </w:pPr>
      <w:r>
        <w:rPr>
          <w:noProof/>
        </w:rPr>
        <w:t>Reforma umožní vytvoření komplexního legislativního, normalizačního a organizačního rámce pro vysoce kvalitní správu údajů v oblasti řízení a veřejné správy. Reforma povede k vytvoření nástroje pro sdílení dat („řízený přístup“), který ostatním částem veřejné správy i oprávněným třetím subjektům umožní přístup k neveřejným údajům státní správy v souladu se zásadami „dohledatelnosti, dostupnosti, interoperability a znovupoužitelnosti“ („Findability, Accessibility, Interoperability and Reusability“, FAIR). Reforma začlení do českého právního řádu zásady řádné správy dat.</w:t>
      </w:r>
    </w:p>
    <w:p>
      <w:pPr>
        <w:jc w:val="both"/>
        <w:rPr>
          <w:rFonts w:ascii="Times New Roman" w:hAnsi="Times New Roman"/>
          <w:noProof/>
          <w:color w:val="000000"/>
          <w:sz w:val="24"/>
          <w:szCs w:val="24"/>
        </w:rPr>
      </w:pPr>
      <w:r>
        <w:rPr>
          <w:rFonts w:ascii="Times New Roman" w:hAnsi="Times New Roman"/>
          <w:noProof/>
          <w:sz w:val="24"/>
          <w:szCs w:val="24"/>
        </w:rPr>
        <w:t>Provádění tohoto opatření bude dokončeno do 31. prosince 2025.</w:t>
      </w:r>
    </w:p>
    <w:p>
      <w:pPr>
        <w:pStyle w:val="Text1"/>
        <w:ind w:left="0"/>
        <w:rPr>
          <w:b/>
          <w:bCs/>
          <w:noProof/>
        </w:rPr>
      </w:pPr>
      <w:r>
        <w:rPr>
          <w:b/>
          <w:bCs/>
          <w:noProof/>
        </w:rPr>
        <w:lastRenderedPageBreak/>
        <w:t>Reforma č. 2: Služby elektronického zdravotnictví</w:t>
      </w:r>
    </w:p>
    <w:p>
      <w:pPr>
        <w:pStyle w:val="Text1"/>
        <w:ind w:left="0"/>
        <w:rPr>
          <w:noProof/>
        </w:rPr>
      </w:pPr>
      <w:r>
        <w:rPr>
          <w:noProof/>
        </w:rPr>
        <w:t>Tato reforma zvýší digitalizaci zdravotnictví provedením následujících činností:</w:t>
      </w:r>
    </w:p>
    <w:p>
      <w:pPr>
        <w:pStyle w:val="Text1"/>
        <w:numPr>
          <w:ilvl w:val="0"/>
          <w:numId w:val="64"/>
        </w:numPr>
        <w:ind w:left="360"/>
        <w:rPr>
          <w:noProof/>
        </w:rPr>
      </w:pPr>
      <w:r>
        <w:rPr>
          <w:noProof/>
        </w:rPr>
        <w:t>definicí norem interoperability v souladu s Evropským rámcem interoperability pro elektronické zdravotnictví a definicí pravidel pro telemedicínu,</w:t>
      </w:r>
    </w:p>
    <w:p>
      <w:pPr>
        <w:pStyle w:val="Text1"/>
        <w:numPr>
          <w:ilvl w:val="0"/>
          <w:numId w:val="64"/>
        </w:numPr>
        <w:ind w:left="360"/>
        <w:rPr>
          <w:noProof/>
        </w:rPr>
      </w:pPr>
      <w:r>
        <w:rPr>
          <w:noProof/>
        </w:rPr>
        <w:t>vytvořením katalogu služeb, včetně následujících nových služeb elektronického zdravotnictví: i) katalogu norem; ii) katalogu digitálních služeb; iii) referenčního registru zdravotnických pracovníků; iv) referenčního registru pacientů; v) identifikačních/autentizačních služeb pro pacienty a zdravotnické pracovníky; vi) služeb pacientských souhrnů; vii) služeb elektronických objednávek,</w:t>
      </w:r>
    </w:p>
    <w:p>
      <w:pPr>
        <w:pStyle w:val="Text1"/>
        <w:numPr>
          <w:ilvl w:val="0"/>
          <w:numId w:val="64"/>
        </w:numPr>
        <w:ind w:left="360"/>
        <w:rPr>
          <w:noProof/>
        </w:rPr>
      </w:pPr>
      <w:r>
        <w:rPr>
          <w:noProof/>
        </w:rPr>
        <w:t>rozšířením funkcí Národního zdravotnického informačního portálu tak, aby zahrnoval další funkce pro veřejnost, pacienty, poskytovatele zdravotních služeb a další oprávněné subjekty,</w:t>
      </w:r>
    </w:p>
    <w:p>
      <w:pPr>
        <w:pStyle w:val="Text1"/>
        <w:numPr>
          <w:ilvl w:val="0"/>
          <w:numId w:val="64"/>
        </w:numPr>
        <w:ind w:left="360"/>
        <w:rPr>
          <w:noProof/>
        </w:rPr>
      </w:pPr>
      <w:r>
        <w:rPr>
          <w:noProof/>
        </w:rPr>
        <w:t>propojením nejdůležitějších poskytovatelů zdravotních služeb se službami elektronického zdravotnictví podle pravidel pro interoperabilitu a úplným zprovozněním portálu elektronického zdravotnictví se zlepšenou funkčností a katalogem služeb,</w:t>
      </w:r>
    </w:p>
    <w:p>
      <w:pPr>
        <w:pStyle w:val="Text1"/>
        <w:numPr>
          <w:ilvl w:val="0"/>
          <w:numId w:val="64"/>
        </w:numPr>
        <w:ind w:left="360"/>
        <w:rPr>
          <w:noProof/>
        </w:rPr>
      </w:pPr>
      <w:r>
        <w:rPr>
          <w:noProof/>
        </w:rPr>
        <w:t>posílením kybernetické bezpečnosti poskytovatelů zdravotní péče ve smyslu zákona č. 372/2011 v Praze a kybernetické bezpečnosti vládních orgánů v rámci Ministerstva zdravotnictví.</w:t>
      </w:r>
    </w:p>
    <w:p>
      <w:pPr>
        <w:pStyle w:val="Text1"/>
        <w:ind w:left="0"/>
        <w:rPr>
          <w:noProof/>
        </w:rPr>
      </w:pPr>
      <w:r>
        <w:rPr>
          <w:noProof/>
        </w:rPr>
        <w:t>Reforma bude dokončena do 31. prosince 2025.</w:t>
      </w:r>
    </w:p>
    <w:p>
      <w:pPr>
        <w:pStyle w:val="Text1"/>
        <w:ind w:left="0"/>
        <w:rPr>
          <w:b/>
          <w:bCs/>
          <w:noProof/>
        </w:rPr>
      </w:pPr>
      <w:r>
        <w:rPr>
          <w:b/>
          <w:bCs/>
          <w:noProof/>
        </w:rPr>
        <w:t>Investice č. 1: Digitální služby pro koncové uživatele</w:t>
      </w:r>
    </w:p>
    <w:p>
      <w:pPr>
        <w:pStyle w:val="Text1"/>
        <w:ind w:left="0"/>
        <w:rPr>
          <w:noProof/>
        </w:rPr>
      </w:pPr>
      <w:r>
        <w:rPr>
          <w:noProof/>
        </w:rPr>
        <w:t>Investice bude realizovat vzájemně propojené projekty s cílem zvýšit počet služeb elektronické veřejné správy (eGovernment) dostupných prostřednictvím Portálu občana a Portálu firem a počet formulářů předem vyplňovaných na základě údajů uložených v informačním systému v rámci veřejné správy.  Investice povede ke snazšímu a jednoduššímu přístupu občanů a podniků k digitálním veřejným službám prostřednictvím jednotné platformy sdružených portálů a k propojení informačních systémů včetně systémů podporujících hygienická opatření v souvislosti s pandemií COVID-19. V důsledku toho bude koncovým uživatelům k dispozici větší počet digitálních služeb prostřednictvím jednotného přihlašovacího prostředí a zvýší se počet předem vyplněných formulářů a elektronických podání veřejné správě.</w:t>
      </w:r>
    </w:p>
    <w:p>
      <w:pPr>
        <w:pStyle w:val="Text1"/>
        <w:ind w:left="0"/>
        <w:rPr>
          <w:noProof/>
        </w:rPr>
      </w:pPr>
      <w:r>
        <w:rPr>
          <w:noProof/>
        </w:rPr>
        <w:t>Tato investice bude dokončena do 31. března 2026.</w:t>
      </w:r>
    </w:p>
    <w:p>
      <w:pPr>
        <w:pStyle w:val="Text1"/>
        <w:ind w:left="0"/>
        <w:rPr>
          <w:b/>
          <w:bCs/>
          <w:noProof/>
        </w:rPr>
      </w:pPr>
      <w:r>
        <w:rPr>
          <w:b/>
          <w:bCs/>
          <w:noProof/>
        </w:rPr>
        <w:t>Investice č. 2: Rozvoj otevřených dat a veřejného datového fondu</w:t>
      </w:r>
    </w:p>
    <w:p>
      <w:pPr>
        <w:pStyle w:val="Text1"/>
        <w:ind w:left="0"/>
        <w:rPr>
          <w:noProof/>
        </w:rPr>
      </w:pPr>
      <w:r>
        <w:rPr>
          <w:noProof/>
        </w:rPr>
        <w:t>Investice zahrnuje jeden program se čtyřmi vzájemně propojenými projekty zaměřenými na podporu zveřejňování nových otevřených a veřejných souborů dat. K těmto projektům patří zveřejnění číselníků používaných ve veřejné správě ve veřejných databázích, rozvoj národního katalogu otevřených dat, zlepšení nástrojů pro přístup ke statistickým informacím a vytvoření moderního metainformačního systému pro orgány státní statistické služby.</w:t>
      </w:r>
    </w:p>
    <w:p>
      <w:pPr>
        <w:pStyle w:val="Text1"/>
        <w:ind w:left="0"/>
        <w:rPr>
          <w:noProof/>
        </w:rPr>
      </w:pPr>
      <w:r>
        <w:rPr>
          <w:noProof/>
        </w:rPr>
        <w:t>Tato investice bude realizována do 31. prosince 2024.</w:t>
      </w:r>
    </w:p>
    <w:p>
      <w:pPr>
        <w:pStyle w:val="Text1"/>
        <w:ind w:left="0"/>
        <w:rPr>
          <w:b/>
          <w:bCs/>
          <w:noProof/>
        </w:rPr>
      </w:pPr>
      <w:r>
        <w:rPr>
          <w:b/>
          <w:bCs/>
          <w:noProof/>
        </w:rPr>
        <w:t>Investice č. 3: Digitální služby v resortu justice</w:t>
      </w:r>
    </w:p>
    <w:p>
      <w:pPr>
        <w:pStyle w:val="Text1"/>
        <w:ind w:left="0"/>
        <w:rPr>
          <w:noProof/>
        </w:rPr>
      </w:pPr>
      <w:r>
        <w:rPr>
          <w:noProof/>
        </w:rPr>
        <w:t>Cílem investice je zvýšit transparentnost vnitrostátního systému soudnictví vytvořením portálu eJustice, který bude splňovat požadavky na kybernetickou bezpečnost a poskytovat koncovým uživatelům on-line služby a přístup k informacím. Tento portál bude propojen s Portálem občana. Kromě toho se digitalizací záznamů soudních jednání a vybavením soudních síní audiovizuálními záznamníky dat dále zvýší transparentnost a efektivnost.</w:t>
      </w:r>
    </w:p>
    <w:p>
      <w:pPr>
        <w:pStyle w:val="Text1"/>
        <w:pBdr>
          <w:top w:val="nil"/>
          <w:left w:val="nil"/>
          <w:bottom w:val="nil"/>
          <w:right w:val="nil"/>
          <w:between w:val="nil"/>
        </w:pBdr>
        <w:ind w:left="0"/>
        <w:jc w:val="left"/>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8" w:bottom="1134" w:left="1418" w:header="709" w:footer="709" w:gutter="0"/>
          <w:cols w:space="720"/>
          <w:docGrid w:linePitch="360"/>
        </w:sectPr>
      </w:pPr>
      <w:r>
        <w:rPr>
          <w:noProof/>
        </w:rPr>
        <w:t>Tato investice bude realizována do 31. prosince 2023.</w:t>
      </w: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A.2 Milníky, cíle, ukazatele a harmonogram monitorování a provádění nevratné finanční podpory </w:t>
      </w:r>
    </w:p>
    <w:p>
      <w:pPr>
        <w:pBdr>
          <w:top w:val="nil"/>
          <w:left w:val="nil"/>
          <w:bottom w:val="nil"/>
          <w:right w:val="nil"/>
          <w:between w:val="nil"/>
        </w:pBdr>
        <w:rPr>
          <w:noProof/>
          <w:color w:val="000000"/>
        </w:rPr>
      </w:pPr>
    </w:p>
    <w:tbl>
      <w:tblPr>
        <w:tblW w:w="14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
        <w:gridCol w:w="1300"/>
        <w:gridCol w:w="992"/>
        <w:gridCol w:w="1843"/>
        <w:gridCol w:w="1134"/>
        <w:gridCol w:w="850"/>
        <w:gridCol w:w="851"/>
        <w:gridCol w:w="850"/>
        <w:gridCol w:w="851"/>
        <w:gridCol w:w="850"/>
        <w:gridCol w:w="4361"/>
      </w:tblGrid>
      <w:tr>
        <w:trPr>
          <w:trHeight w:val="331"/>
          <w:tblHeader/>
          <w:jc w:val="center"/>
        </w:trPr>
        <w:tc>
          <w:tcPr>
            <w:tcW w:w="682" w:type="dxa"/>
            <w:vMerge w:val="restart"/>
            <w:tcBorders>
              <w:top w:val="single" w:sz="8" w:space="0" w:color="000000"/>
              <w:left w:val="single" w:sz="8" w:space="0" w:color="000000"/>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Poř. č.</w:t>
            </w:r>
          </w:p>
        </w:tc>
        <w:tc>
          <w:tcPr>
            <w:tcW w:w="1300" w:type="dxa"/>
            <w:vMerge w:val="restart"/>
            <w:tcBorders>
              <w:top w:val="single" w:sz="8" w:space="0" w:color="000000"/>
              <w:left w:val="single" w:sz="8" w:space="0" w:color="000000"/>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2" w:type="dxa"/>
            <w:vMerge w:val="restart"/>
            <w:tcBorders>
              <w:top w:val="single" w:sz="8" w:space="0" w:color="000000"/>
              <w:left w:val="single" w:sz="8" w:space="0" w:color="000000"/>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843" w:type="dxa"/>
            <w:vMerge w:val="restart"/>
            <w:tcBorders>
              <w:top w:val="single" w:sz="8" w:space="0" w:color="000000"/>
              <w:left w:val="single" w:sz="8" w:space="0" w:color="000000"/>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134" w:type="dxa"/>
            <w:vMerge w:val="restart"/>
            <w:tcBorders>
              <w:top w:val="single" w:sz="8" w:space="0" w:color="000000"/>
              <w:left w:val="single" w:sz="8" w:space="0" w:color="000000"/>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701" w:type="dxa"/>
            <w:gridSpan w:val="2"/>
            <w:tcBorders>
              <w:top w:val="single" w:sz="8" w:space="0" w:color="000000"/>
              <w:left w:val="nil"/>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361" w:type="dxa"/>
            <w:vMerge w:val="restart"/>
            <w:tcBorders>
              <w:top w:val="single" w:sz="8" w:space="0" w:color="000000"/>
              <w:left w:val="nil"/>
              <w:bottom w:val="single" w:sz="4" w:space="0" w:color="000000"/>
              <w:right w:val="single" w:sz="8" w:space="0" w:color="000000"/>
            </w:tcBorders>
            <w:shd w:val="clear" w:color="auto" w:fill="BDD7EE"/>
            <w:vAlign w:val="center"/>
            <w:hideMark/>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416"/>
          <w:tblHeader/>
          <w:jc w:val="center"/>
        </w:trPr>
        <w:tc>
          <w:tcPr>
            <w:tcW w:w="682" w:type="dxa"/>
            <w:vMerge/>
            <w:vAlign w:val="center"/>
            <w:hideMark/>
          </w:tcPr>
          <w:p>
            <w:pPr>
              <w:spacing w:before="0" w:after="0"/>
              <w:rPr>
                <w:rFonts w:ascii="Times New Roman" w:eastAsia="Times New Roman" w:hAnsi="Times New Roman"/>
                <w:noProof/>
                <w:sz w:val="18"/>
                <w:szCs w:val="18"/>
              </w:rPr>
            </w:pPr>
          </w:p>
        </w:tc>
        <w:tc>
          <w:tcPr>
            <w:tcW w:w="1300" w:type="dxa"/>
            <w:vMerge/>
            <w:vAlign w:val="center"/>
            <w:hideMark/>
          </w:tcPr>
          <w:p>
            <w:pPr>
              <w:spacing w:before="0" w:after="0"/>
              <w:rPr>
                <w:rFonts w:ascii="Times New Roman" w:eastAsia="Times New Roman" w:hAnsi="Times New Roman"/>
                <w:noProof/>
                <w:sz w:val="18"/>
                <w:szCs w:val="18"/>
              </w:rPr>
            </w:pPr>
          </w:p>
        </w:tc>
        <w:tc>
          <w:tcPr>
            <w:tcW w:w="992" w:type="dxa"/>
            <w:vMerge/>
            <w:vAlign w:val="center"/>
            <w:hideMark/>
          </w:tcPr>
          <w:p>
            <w:pPr>
              <w:spacing w:before="0" w:after="0"/>
              <w:rPr>
                <w:rFonts w:ascii="Times New Roman" w:eastAsia="Times New Roman" w:hAnsi="Times New Roman"/>
                <w:noProof/>
                <w:sz w:val="18"/>
                <w:szCs w:val="18"/>
              </w:rPr>
            </w:pPr>
          </w:p>
        </w:tc>
        <w:tc>
          <w:tcPr>
            <w:tcW w:w="1843" w:type="dxa"/>
            <w:vMerge/>
            <w:vAlign w:val="center"/>
            <w:hideMark/>
          </w:tcPr>
          <w:p>
            <w:pPr>
              <w:spacing w:before="0" w:after="0"/>
              <w:rPr>
                <w:rFonts w:ascii="Times New Roman" w:eastAsia="Times New Roman" w:hAnsi="Times New Roman"/>
                <w:noProof/>
                <w:sz w:val="18"/>
                <w:szCs w:val="18"/>
              </w:rPr>
            </w:pPr>
          </w:p>
        </w:tc>
        <w:tc>
          <w:tcPr>
            <w:tcW w:w="1134" w:type="dxa"/>
            <w:vMerge/>
            <w:vAlign w:val="center"/>
            <w:hideMark/>
          </w:tcPr>
          <w:p>
            <w:pPr>
              <w:spacing w:before="0" w:after="0"/>
              <w:rPr>
                <w:rFonts w:ascii="Times New Roman" w:eastAsia="Times New Roman" w:hAnsi="Times New Roman"/>
                <w:noProof/>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851" w:type="dxa"/>
            <w:tcBorders>
              <w:top w:val="nil"/>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850" w:type="dxa"/>
            <w:tcBorders>
              <w:top w:val="nil"/>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851" w:type="dxa"/>
            <w:tcBorders>
              <w:top w:val="single" w:sz="8" w:space="0" w:color="000000"/>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850" w:type="dxa"/>
            <w:tcBorders>
              <w:top w:val="nil"/>
              <w:left w:val="single" w:sz="8" w:space="0" w:color="000000"/>
              <w:bottom w:val="single" w:sz="8" w:space="0" w:color="000000"/>
              <w:right w:val="single" w:sz="8" w:space="0" w:color="000000"/>
            </w:tcBorders>
            <w:shd w:val="clear" w:color="auto" w:fill="BDD7EE"/>
            <w:vAlign w:val="center"/>
            <w:hideMark/>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361" w:type="dxa"/>
            <w:vMerge/>
            <w:vAlign w:val="center"/>
            <w:hideMark/>
          </w:tcPr>
          <w:p>
            <w:pPr>
              <w:spacing w:before="0" w:after="0"/>
              <w:rPr>
                <w:rFonts w:ascii="Times New Roman" w:eastAsia="Times New Roman" w:hAnsi="Times New Roman"/>
                <w:noProof/>
                <w:sz w:val="18"/>
                <w:szCs w:val="18"/>
              </w:rPr>
            </w:pP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Podmínky pro kvalitní správu datových fondů a zajištění řízeného přístupu k datům</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auditu dat na úrovních ústředních vládních institucí a vládní přijetí koncepčního dokumentu týkajícího se strategie řízeného přístupu k datům za účelem zajištění podmínek pro řízení kvality shromažďování dat veřejné správy, který bude základem pro nové právní předpisy v oblasti správy dat</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Závěr auditu dat ústředních vládních orgánů (celkem 32 orgánů) a přijetí koncepčního dokumentu strategie vládou.</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Audit dat a následná strategie budou sloužit jako základ pro přípravu legislativních změn za účelem začlenění řádné správy dat do veřejné správy v souladu se zásadami FAIR a v souladu s předpokládaným aktem o evropské správě dat.</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Podmínky pro kvalitní správu datových fondů a zajištění řízeného přístupu k datům</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Zavedení nových metodik správy údajů ve veřejné správě</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orgánů veřejné správy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 xml:space="preserve">Normy pro řádnou správu údajů v souladu se zásadou FAIR, které mají být vypracovány pro použití ve veřejné správě a které orgány přijmou a provedou. </w:t>
            </w:r>
          </w:p>
        </w:tc>
      </w:tr>
      <w:tr>
        <w:trPr>
          <w:trHeight w:val="373"/>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Elektronické zdravotnictví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Definice norem interoperability v souladu s Evropským rámcem interoperability pro elektronické zdravotnictví a definice pravidel pro telemedicínu</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Přijetí norem a pravidel Ministerstvem zdravotnictví</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Q1</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 xml:space="preserve">Opatření stanoví normy, pravidla a požadavky upravující interoperabilitu poskytovatelů zdravotní péče a bude sloužit jako základ pro úpravu systémů zdravotní péče. Budou stanovena pravidla upravující služby v oblasti telemedicíny, která vymezí podmínky poskytování těchto služeb. </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Elektronické zdravotnictví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line="259" w:lineRule="auto"/>
              <w:rPr>
                <w:rFonts w:ascii="Times New Roman" w:eastAsia="Times New Roman" w:hAnsi="Times New Roman"/>
                <w:noProof/>
                <w:color w:val="006100"/>
                <w:sz w:val="18"/>
                <w:szCs w:val="18"/>
              </w:rPr>
            </w:pPr>
            <w:r>
              <w:rPr>
                <w:rFonts w:ascii="Times New Roman" w:hAnsi="Times New Roman"/>
                <w:noProof/>
                <w:color w:val="006100"/>
                <w:sz w:val="18"/>
                <w:szCs w:val="18"/>
              </w:rPr>
              <w:t>Počet nových služeb v oblasti telemedicíny, které budou zavedeny a zpřístupněny pacientům</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5</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line="259" w:lineRule="auto"/>
              <w:rPr>
                <w:rFonts w:ascii="Times New Roman" w:eastAsia="Times New Roman" w:hAnsi="Times New Roman"/>
                <w:noProof/>
                <w:color w:val="006100"/>
                <w:sz w:val="18"/>
                <w:szCs w:val="18"/>
              </w:rPr>
            </w:pPr>
            <w:r>
              <w:rPr>
                <w:rFonts w:ascii="Times New Roman" w:hAnsi="Times New Roman"/>
                <w:noProof/>
                <w:color w:val="006100"/>
                <w:sz w:val="18"/>
                <w:szCs w:val="18"/>
              </w:rPr>
              <w:t>Nové služby v oblasti telemedicíny vyvinuté a zpřístupněné pacientům po schválení realizace projektu Ministerstvem zdravotnictví.</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5</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Elektronické zdravotnictví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Dokončení projektů vedoucích k zavedení nových digitálních zdravotnických služeb</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Dokončené projekty zahrnují projekt Chytrá karanténa 2.0; prosazování digitálních zdravotnických služeb; řešení portálu elektronického zdravotnictví a druhotné využívání údajů o zdravotním stavu. Uvedené projekty povedou k zavedení těchto služeb:</w:t>
            </w:r>
            <w:r>
              <w:rPr>
                <w:rFonts w:ascii="Times New Roman" w:hAnsi="Times New Roman"/>
                <w:noProof/>
                <w:sz w:val="18"/>
                <w:szCs w:val="18"/>
              </w:rPr>
              <w:br/>
            </w:r>
            <w:r>
              <w:rPr>
                <w:rFonts w:ascii="Times New Roman" w:hAnsi="Times New Roman"/>
                <w:noProof/>
                <w:color w:val="006100"/>
                <w:sz w:val="18"/>
                <w:szCs w:val="18"/>
              </w:rPr>
              <w:t>1) katalog norem; 2) katalog digitálních služeb; 3) referenční registr zdravotnických pracovníků; 4) referenční registr pacientů; 5) identifikační/autentizační služby pro pacienty a zdravotnické pracovníky; 6) služby pacientských souhrnů; 7) služby elektronických objednávek.</w:t>
            </w:r>
          </w:p>
        </w:tc>
      </w:tr>
      <w:tr>
        <w:trPr>
          <w:trHeight w:val="338"/>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6</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Elektronické zdravotnictví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Propojení poskytovatelů zdravotních služeb / zdravotnických zařízení se službami elektronického zdravotnictví podle pravidel pro interoperabilitu a úplné zprovoznění portálu elektronického zdravotnictví se zlepšenou funkčností a katalogem služeb</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Opatření by mělo vést k propojení poskytovatelů zdravotní péče do interoperabilního systému s portálem elektronického zdravotnictví, který budou tito poskytovatelé moci využívat pro vkládání informací a komunikaci mimo jiné s občany, poskytovateli zdravotních služeb a zdravotními pojišťovnami.</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Digitální služby pro koncové uživatele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Úplné fungování jednotné digitální brány</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Uvedení do provozu jednotné digitální brány poskytující služby občanům a firmám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Jednotná platforma pro občany a firmy umožňující alespoň: podání počáteční žádosti o přijetí na veřejnou vysokoškolskou instituci; žádost o stanovení použitelných právních předpisů v souladu s nařízením (ES) č. 883/2004 o koordinaci systémů sociálního zabezpečení; žádost o důchod a předdůchodové dávky z povinných systémů; žádost o financování vysokoškolského vzdělávání, například formou stipendia a půjčky od veřejného orgánu nebo instituce.</w:t>
            </w:r>
          </w:p>
        </w:tc>
      </w:tr>
      <w:tr>
        <w:trPr>
          <w:trHeight w:val="573"/>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Digitální služby pro koncové uživatele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Propojení systému Neschopenka s krajskými hygienickými stanicemi a projektem Chytrá karanténa vytvořeným v rámci boje proti onemocnění COVID-19 v populaci a dokončení vývoje tří informačních systémů</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Úspěšné propojení stávajících systémů a vývoj nových systémů</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both"/>
              <w:rPr>
                <w:rFonts w:ascii="Times New Roman" w:eastAsia="Times New Roman" w:hAnsi="Times New Roman"/>
                <w:noProof/>
                <w:color w:val="006100"/>
                <w:sz w:val="18"/>
                <w:szCs w:val="18"/>
              </w:rPr>
            </w:pPr>
            <w:r>
              <w:rPr>
                <w:rFonts w:ascii="Times New Roman" w:hAnsi="Times New Roman"/>
                <w:noProof/>
                <w:color w:val="006100"/>
                <w:sz w:val="18"/>
                <w:szCs w:val="18"/>
              </w:rPr>
              <w:t>Dokončené propojení projektu Neschopenka, krajských hygienických stanic a projektu Chytrá karanténa za účelem zjednodušení administrativy a zlepšení systémů vyvinutých během pandemie COVID-19 a vývoj a zdokonalení dalších tří informačních systémů: DIP – Databáze informací o povinnostech; Globální distribuční systém v cestovním ruchu; rozšíření služeb Správy státních hmotných rezerv (SSHR).</w:t>
            </w:r>
          </w:p>
        </w:tc>
      </w:tr>
      <w:tr>
        <w:trPr>
          <w:trHeight w:val="339"/>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9</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Digitální služby pro koncové uživatele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Plný provoz čtyř informačních systémů</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Zahájení provozu čtyř vyvinutých informačních systémů poskytujících služby koncovým uživatelům</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lang w:eastAsia="en-GB"/>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lang w:eastAsia="en-GB"/>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line="259" w:lineRule="auto"/>
              <w:rPr>
                <w:rFonts w:ascii="Times New Roman" w:eastAsia="Times New Roman" w:hAnsi="Times New Roman"/>
                <w:noProof/>
                <w:color w:val="006100"/>
                <w:sz w:val="18"/>
                <w:szCs w:val="18"/>
              </w:rPr>
            </w:pPr>
            <w:r>
              <w:rPr>
                <w:rFonts w:ascii="Times New Roman" w:hAnsi="Times New Roman"/>
                <w:noProof/>
                <w:color w:val="006100"/>
                <w:sz w:val="18"/>
                <w:szCs w:val="18"/>
              </w:rPr>
              <w:t>Budou dokončeny tyto projekty: rozvoj digitálních registrů; Jednotný portál pro evidenci kontrol (JePEK); SIS_2 Nástroje pro centrální zpracování statistických úkolů; Elektronický cestovní ruch.</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line="259" w:lineRule="auto"/>
              <w:jc w:val="center"/>
              <w:rPr>
                <w:rFonts w:ascii="Times New Roman" w:eastAsia="Times New Roman" w:hAnsi="Times New Roman"/>
                <w:noProof/>
                <w:color w:val="006100"/>
                <w:sz w:val="18"/>
                <w:szCs w:val="18"/>
              </w:rPr>
            </w:pPr>
            <w:r>
              <w:rPr>
                <w:rFonts w:ascii="Times New Roman" w:hAnsi="Times New Roman"/>
                <w:noProof/>
                <w:color w:val="006100"/>
                <w:sz w:val="18"/>
                <w:szCs w:val="18"/>
              </w:rPr>
              <w:t>10</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Digitální služby pro koncové uživatele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vyjmenovaných projektů, které povede k zvýšení počtu vyplněných formulářů zaslaných fyzickými a právnickými osobami státním orgánům digitálně (prostřednictvím portálů nebo digitálních schránek)</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b/>
                <w:bCs/>
                <w:noProof/>
                <w:color w:val="006100"/>
                <w:sz w:val="18"/>
                <w:szCs w:val="18"/>
              </w:rPr>
              <w:t> </w:t>
            </w:r>
            <w:r>
              <w:rPr>
                <w:rFonts w:ascii="Times New Roman" w:hAnsi="Times New Roman"/>
                <w:noProof/>
                <w:color w:val="006100"/>
                <w:sz w:val="18"/>
                <w:szCs w:val="18"/>
              </w:rPr>
              <w:t>26 839 874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w:t>
            </w:r>
          </w:p>
          <w:p>
            <w:pPr>
              <w:spacing w:before="0" w:after="0"/>
              <w:jc w:val="center"/>
              <w:rPr>
                <w:rFonts w:ascii="Times New Roman" w:eastAsia="Times New Roman" w:hAnsi="Times New Roman"/>
                <w:noProof/>
                <w:color w:val="006100"/>
                <w:sz w:val="18"/>
                <w:szCs w:val="18"/>
              </w:rPr>
            </w:pPr>
            <w:r>
              <w:rPr>
                <w:rFonts w:ascii="Times New Roman" w:hAnsi="Times New Roman"/>
                <w:noProof/>
                <w:color w:val="006100"/>
                <w:sz w:val="18"/>
                <w:szCs w:val="18"/>
              </w:rPr>
              <w:t>53 679 748</w:t>
            </w:r>
          </w:p>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Q1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2026 </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Opatření povedou ke 100% nárůstu počtu elektronicky vyplněných formulářů podaných prostřednictvím portálů a datových schránek mezi 1. lednem 2025 a 31. prosincem 2025 oproti referenčnímu období, kterým je rok 2019. Tohoto cíle bude dosaženo realizací těchto souvisejících projektů: provedení legislativních změn v informačním systému katastru nemovitostí (ISKN); nové digitální služby pro malé organizace; digitální služby v rámci integrovaného informačního systému České správy sociálního zabezpečení (IIS ČSSZ); systém prověřování investic; nDIS – vytvoření nového daňového informačního systému; Portál podnikatele; Portál veřejné správy 2.0 (Portál občana); SIS1 – Jedno sběrné místo – Jednotné rozhraní pro poskytování údajů; služby systému technických a patentových informací; elektronické podávání dokumentů na Ministerstvo životního prostředí; rozvoj podávání dokumentů České správě sociálního zabezpečení a odkaz na digitální služby veřejné správy; další rozvoj České správy sociálního zabezpečení – informační a komunikační rozhraní – řešení v podobě jednotného portálu pro pracovní a sociální záležitosti a jeho propojení s digitálními službami veřejné správy; vývoj nových internetových prezentací pro Ministerstvo zemědělství.</w:t>
            </w:r>
          </w:p>
        </w:tc>
      </w:tr>
      <w:tr>
        <w:trPr>
          <w:trHeight w:val="450"/>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11</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Rozvoj otevřených dat a veřejného datového fondu</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FF0000"/>
                <w:sz w:val="18"/>
                <w:szCs w:val="18"/>
              </w:rPr>
            </w:pPr>
            <w:r>
              <w:rPr>
                <w:rFonts w:ascii="Times New Roman" w:hAnsi="Times New Roman"/>
                <w:noProof/>
                <w:color w:val="006100"/>
                <w:sz w:val="18"/>
                <w:szCs w:val="18"/>
              </w:rPr>
              <w:t xml:space="preserve">Rozšíření Národního katalogu otevřených dat s pokročilými funkcemi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Plně funkční Národní katalog otevřených dat s pokročilými funkcemi a službami, včetně dokončení uvedených projektů.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2022 </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line="259" w:lineRule="auto"/>
              <w:rPr>
                <w:rFonts w:ascii="Times New Roman" w:eastAsia="Times New Roman" w:hAnsi="Times New Roman"/>
                <w:noProof/>
                <w:color w:val="006100"/>
                <w:sz w:val="18"/>
                <w:szCs w:val="18"/>
              </w:rPr>
            </w:pPr>
            <w:r>
              <w:rPr>
                <w:rFonts w:ascii="Times New Roman" w:hAnsi="Times New Roman"/>
                <w:noProof/>
                <w:color w:val="006100"/>
                <w:sz w:val="18"/>
                <w:szCs w:val="18"/>
              </w:rPr>
              <w:t>V Národním katalogu otevřených dat budou na jednom místě zaregistrována a zveřejněna otevřená a veřejná data a informace z celé veřejné správy. Katalog bude mít pokročilé funkce pro vyhledávání, dojde k zvýšení počtu katalogizovaných dat a služeb, včetně zveřejnění číselníků ve fondu veřejných dat; budou k dispozici nové nástroje pro přístup ke statistickým údajům a meta-systém pro státní statistické služby.</w:t>
            </w:r>
          </w:p>
        </w:tc>
      </w:tr>
      <w:tr>
        <w:trPr>
          <w:trHeight w:val="287"/>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12</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Rozvoj otevřených dat a veřejného datového fondu</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Zvýšení počtu subjektů zveřejňujících otevřená data ve veřejné správě, které otevřená data zveřejňují v Národním katalogu otevřených dat.</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nových veřejných subjektů</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23 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100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 2024</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 Investice povedou ke zvýšení počtu nových subjektů zveřejňujících otevřená data ve veřejné správě o 77.</w:t>
            </w:r>
          </w:p>
        </w:tc>
      </w:tr>
      <w:tr>
        <w:trPr>
          <w:trHeight w:val="514"/>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13</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Digitální služby v resortu justice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Zavedení nové technologické platformy Portálu justice, která občanům zpřístupní digitální služby a bude napojena na centrální Portál občana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Aktualizace a úplné fungování Portálu justice s rozšířenými funkcemi</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highlight w:val="yellow"/>
              </w:rPr>
            </w:pPr>
            <w:r>
              <w:rPr>
                <w:rFonts w:ascii="Times New Roman" w:hAnsi="Times New Roman"/>
                <w:noProof/>
                <w:color w:val="006100"/>
                <w:sz w:val="18"/>
                <w:szCs w:val="18"/>
              </w:rPr>
              <w:t xml:space="preserve">Opatření povede k vytvoření nového Portálu justice, který bude napojen na Portál občana. Funkce a návrh budou definovány na základě posouzení potřeb a průzkumů mezi uživateli. Přepracování portálu justice.cz bude realizováno v rámci osmi balíčků tematicky podobných stránek. Každý balíček se bude skládat z fáze průzkumu zaměřeného na uživatele a fáze návrhu obsahu. </w:t>
            </w:r>
          </w:p>
        </w:tc>
      </w:tr>
      <w:tr>
        <w:trPr>
          <w:trHeight w:val="945"/>
          <w:jc w:val="center"/>
        </w:trPr>
        <w:tc>
          <w:tcPr>
            <w:tcW w:w="68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w:t>
            </w:r>
          </w:p>
        </w:tc>
        <w:tc>
          <w:tcPr>
            <w:tcW w:w="130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Digitální služby v resortu justice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843"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spacing w:before="0"/>
              <w:rPr>
                <w:rFonts w:ascii="Times New Roman" w:eastAsia="Times New Roman" w:hAnsi="Times New Roman"/>
                <w:noProof/>
                <w:color w:val="006100"/>
                <w:sz w:val="18"/>
                <w:szCs w:val="18"/>
              </w:rPr>
            </w:pPr>
            <w:r>
              <w:rPr>
                <w:rFonts w:ascii="Times New Roman" w:hAnsi="Times New Roman"/>
                <w:noProof/>
                <w:color w:val="006100"/>
                <w:sz w:val="18"/>
                <w:szCs w:val="18"/>
              </w:rPr>
              <w:t>Vybavení soudních síní audiovizuálními záznamníky dat</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soudních síní</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370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1100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361" w:type="dxa"/>
            <w:tcBorders>
              <w:top w:val="single" w:sz="8" w:space="0" w:color="000000"/>
              <w:left w:val="single" w:sz="8" w:space="0" w:color="000000"/>
              <w:bottom w:val="single" w:sz="8" w:space="0" w:color="000000"/>
              <w:right w:val="single" w:sz="8" w:space="0" w:color="000000"/>
            </w:tcBorders>
            <w:shd w:val="clear" w:color="auto" w:fill="C6EFCE"/>
            <w:vAlign w:val="center"/>
            <w:hideMark/>
          </w:tcPr>
          <w:p>
            <w:pPr>
              <w:rPr>
                <w:rFonts w:ascii="Times New Roman" w:eastAsia="Times New Roman" w:hAnsi="Times New Roman"/>
                <w:noProof/>
                <w:color w:val="006100"/>
                <w:sz w:val="18"/>
                <w:szCs w:val="18"/>
              </w:rPr>
            </w:pPr>
            <w:r>
              <w:rPr>
                <w:rFonts w:ascii="Times New Roman" w:hAnsi="Times New Roman"/>
                <w:noProof/>
                <w:color w:val="006100"/>
                <w:sz w:val="18"/>
                <w:szCs w:val="18"/>
              </w:rPr>
              <w:t>Opatření zajistí audiovizuální vybavení soudních síní, které umožní digitální záznam soudních slyšení a řízení pro větší transparentnost.</w:t>
            </w:r>
          </w:p>
        </w:tc>
      </w:tr>
    </w:tbl>
    <w:p>
      <w:pPr>
        <w:pStyle w:val="Text1"/>
        <w:ind w:left="0"/>
        <w:rPr>
          <w:noProof/>
        </w:rPr>
        <w:sectPr>
          <w:headerReference w:type="even" r:id="rId22"/>
          <w:headerReference w:type="default" r:id="rId23"/>
          <w:footerReference w:type="even" r:id="rId24"/>
          <w:footerReference w:type="default" r:id="rId25"/>
          <w:headerReference w:type="first" r:id="rId26"/>
          <w:footerReference w:type="first" r:id="rId27"/>
          <w:pgSz w:w="16839" w:h="11907" w:orient="landscape"/>
          <w:pgMar w:top="993" w:right="1134" w:bottom="1418" w:left="1134" w:header="709" w:footer="709" w:gutter="0"/>
          <w:cols w:space="720"/>
          <w:docGrid w:linePitch="360"/>
        </w:sectPr>
      </w:pPr>
    </w:p>
    <w:p>
      <w:pPr>
        <w:keepNext/>
        <w:tabs>
          <w:tab w:val="left" w:pos="850"/>
        </w:tabs>
        <w:spacing w:before="360"/>
        <w:jc w:val="both"/>
        <w:outlineLvl w:val="0"/>
        <w:rPr>
          <w:rFonts w:ascii="Times New Roman" w:hAnsi="Times New Roman"/>
          <w:b/>
          <w:smallCaps/>
          <w:noProof/>
          <w:sz w:val="24"/>
          <w:szCs w:val="24"/>
        </w:rPr>
      </w:pPr>
      <w:r>
        <w:rPr>
          <w:rFonts w:ascii="Times New Roman" w:hAnsi="Times New Roman"/>
          <w:b/>
          <w:bCs/>
          <w:smallCaps/>
          <w:noProof/>
          <w:sz w:val="24"/>
          <w:szCs w:val="24"/>
        </w:rPr>
        <w:t>B. KOMPONENTA č. 1.2: Digitální systémy veřejné správy</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si klade za cíl řešit výzvu spočívající v urychlení digitální transformace v české veřejné správě a podpoře spolupráce a výměny mezi veřejnými institucemi.</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Zaměřuje se na zajištění rozvoje přístupu k propojenému datovému fondu IT systémů veřejné správy, na podporu a umožnění činnosti komponenty č. 1.1, jež podporuje rozšiřování služeb eGovernmentu poskytovaných koncovým uživatelům. </w:t>
      </w:r>
      <w:r>
        <w:rPr>
          <w:rFonts w:ascii="Times New Roman" w:hAnsi="Times New Roman"/>
          <w:noProof/>
          <w:sz w:val="24"/>
          <w:szCs w:val="24"/>
        </w:rPr>
        <w:t>Komponenta bude rozvíjet základní registry, včetně zdravotnických registrů, a propojí databáze veřejné správy s příslušnými informačními systémy za účelem zjednodušení postupů pro podniky a občany a zajištění bezpečné výměny dat v rámci veřejné správy.</w:t>
      </w:r>
      <w:r>
        <w:rPr>
          <w:rFonts w:ascii="Times New Roman" w:hAnsi="Times New Roman"/>
          <w:noProof/>
          <w:color w:val="000000"/>
          <w:sz w:val="24"/>
          <w:szCs w:val="24"/>
        </w:rPr>
        <w:t xml:space="preserve"> </w:t>
      </w:r>
    </w:p>
    <w:p>
      <w:pPr>
        <w:jc w:val="both"/>
        <w:rPr>
          <w:rFonts w:ascii="Times New Roman" w:hAnsi="Times New Roman"/>
          <w:noProof/>
          <w:color w:val="000000"/>
          <w:sz w:val="24"/>
          <w:szCs w:val="24"/>
        </w:rPr>
      </w:pPr>
      <w:r>
        <w:rPr>
          <w:rFonts w:ascii="Times New Roman" w:hAnsi="Times New Roman"/>
          <w:noProof/>
          <w:color w:val="000000"/>
          <w:sz w:val="24"/>
          <w:szCs w:val="24"/>
        </w:rPr>
        <w:t>Realizace reforem v rámci této komponenty má zajistit standardizovaný a jednotný přístup k rozvoji informačních systémů dané agendy v rámci veřejné správy. Zajistí poskytování odborných a konzultačních služeb prostřednictvím kompetenčních center. Reformy také zajistí rozvoj a konsolidaci roztříštěných zdravotnických registrů, aby byly připraveny poskytovat sdílené služby a výměnu informací.</w:t>
      </w:r>
    </w:p>
    <w:p>
      <w:pPr>
        <w:jc w:val="both"/>
        <w:rPr>
          <w:rFonts w:ascii="Times New Roman" w:hAnsi="Times New Roman"/>
          <w:noProof/>
          <w:color w:val="000000"/>
          <w:sz w:val="24"/>
          <w:szCs w:val="24"/>
        </w:rPr>
      </w:pPr>
      <w:r>
        <w:rPr>
          <w:rFonts w:ascii="Times New Roman" w:hAnsi="Times New Roman"/>
          <w:noProof/>
          <w:color w:val="000000"/>
          <w:sz w:val="24"/>
          <w:szCs w:val="24"/>
        </w:rPr>
        <w:t>Investice se zaměří na rozvoj a propojení hlavních registrů, na podporu vzájemného propojení a aktualizace agendových informačních systémů, na investice do vybavení a infrastruktury pro služby eJustice a na zlepšení kybernetické bezpečnosti veřejné správy.</w:t>
      </w:r>
    </w:p>
    <w:p>
      <w:pPr>
        <w:pStyle w:val="Text1"/>
        <w:ind w:left="0"/>
        <w:rPr>
          <w:noProof/>
        </w:rPr>
      </w:pPr>
      <w:r>
        <w:rPr>
          <w:noProof/>
        </w:rPr>
        <w:t xml:space="preserve">Komponenta podporuje plnění doporučení pro zemi č. 3 na rok 2019, podle něhož má Česko zaměřit investiční hospodářskou politiku na digitální infrastrukturu, doporučení pro zemi č. 1 na rok 2020, podle něhož má Česko </w:t>
      </w:r>
      <w:r>
        <w:rPr>
          <w:noProof/>
          <w:color w:val="000000"/>
        </w:rPr>
        <w:t xml:space="preserve">posílit zavádění služeb elektronického zdravotnictví, a </w:t>
      </w:r>
      <w:r>
        <w:rPr>
          <w:noProof/>
        </w:rPr>
        <w:t>doporučení pro zemi č. 3 na rok 2020</w:t>
      </w:r>
      <w:r>
        <w:rPr>
          <w:noProof/>
          <w:color w:val="000000"/>
        </w:rPr>
        <w:t>, podle něhož má Česko podpořit malé a střední podniky snížením administrativní zátěže a zaměřit investice na digitální transformaci</w:t>
      </w:r>
      <w:r>
        <w:rPr>
          <w:noProof/>
        </w:rPr>
        <w:t>.</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jc w:val="both"/>
        <w:rPr>
          <w:rFonts w:ascii="Times New Roman" w:eastAsia="Times New Roman" w:hAnsi="Times New Roman"/>
          <w:noProof/>
          <w:lang w:eastAsia="en-IE"/>
        </w:rPr>
      </w:pPr>
    </w:p>
    <w:p>
      <w:pPr>
        <w:jc w:val="both"/>
        <w:rPr>
          <w:rFonts w:ascii="Times New Roman" w:hAnsi="Times New Roman"/>
          <w:b/>
          <w:i/>
          <w:noProof/>
          <w:sz w:val="24"/>
          <w:szCs w:val="24"/>
        </w:rPr>
      </w:pPr>
      <w:r>
        <w:rPr>
          <w:rFonts w:ascii="Times New Roman" w:hAnsi="Times New Roman"/>
          <w:b/>
          <w:noProof/>
          <w:color w:val="000000"/>
          <w:sz w:val="24"/>
          <w:szCs w:val="24"/>
          <w:u w:val="single"/>
        </w:rPr>
        <w:t>B.1 Popis reforem a investic pro nevratnou finanční podporu</w:t>
      </w:r>
    </w:p>
    <w:p>
      <w:pPr>
        <w:spacing w:before="0" w:after="0"/>
        <w:rPr>
          <w:rFonts w:ascii="Times New Roman" w:eastAsia="Times New Roman" w:hAnsi="Times New Roman"/>
          <w:noProof/>
          <w:color w:val="004300"/>
          <w:sz w:val="15"/>
          <w:szCs w:val="15"/>
        </w:rPr>
      </w:pPr>
      <w:r>
        <w:rPr>
          <w:rFonts w:ascii="Times New Roman" w:hAnsi="Times New Roman"/>
          <w:b/>
          <w:bCs/>
          <w:noProof/>
          <w:color w:val="000000"/>
          <w:sz w:val="24"/>
          <w:szCs w:val="24"/>
        </w:rPr>
        <w:t>Reforma č. 1:</w:t>
      </w:r>
      <w:r>
        <w:rPr>
          <w:rFonts w:ascii="Times New Roman" w:hAnsi="Times New Roman"/>
          <w:noProof/>
          <w:color w:val="004300"/>
          <w:sz w:val="15"/>
          <w:szCs w:val="15"/>
        </w:rPr>
        <w:t xml:space="preserve"> </w:t>
      </w:r>
      <w:r>
        <w:rPr>
          <w:rFonts w:ascii="Times New Roman" w:hAnsi="Times New Roman"/>
          <w:b/>
          <w:bCs/>
          <w:noProof/>
          <w:color w:val="000000"/>
          <w:sz w:val="24"/>
          <w:szCs w:val="24"/>
        </w:rPr>
        <w:t>Kompetenční centra pro podporu eGovernmentu, kybernetické bezpečnosti a elektronického zdravotnictví</w:t>
      </w:r>
    </w:p>
    <w:p>
      <w:pPr>
        <w:jc w:val="both"/>
        <w:rPr>
          <w:rFonts w:ascii="Times New Roman" w:hAnsi="Times New Roman"/>
          <w:noProof/>
          <w:color w:val="000000"/>
          <w:sz w:val="24"/>
          <w:szCs w:val="24"/>
        </w:rPr>
      </w:pPr>
      <w:r>
        <w:rPr>
          <w:rFonts w:ascii="Times New Roman" w:hAnsi="Times New Roman"/>
          <w:noProof/>
          <w:color w:val="000000"/>
          <w:sz w:val="24"/>
          <w:szCs w:val="24"/>
        </w:rPr>
        <w:t>Reforma zřídí kompetenční centra na podporu eGovernmentu, která budou poskytovat pokyny, odborné znalosti, konzultační služby a společné normy v rámci veřejné správy za účelem zajištění jednotného provádění opatření zaměřených na digitalizaci a modernizaci informačních systémů plánovaných v rámci jak komponenty č. 1.1, tak komponenty č. 1.2. To se uskuteční prostřednictvím tří kompetenčních center (kompetenční centra pro kybernetickou bezpečnost, elektronické zdravotnictví, kompetenční centra pro podporu eGovernmentu), která budou zakotvena ve veřejné správě a budou poskytovat podporu orgánům veřejné správy v oblastech analýzy, architektury systémů, uživatelských zkušeností a návrhu uživatelského rozhraní, řešení otázek kybernetické bezpečnosti nebo portálu a řízení projektů.</w:t>
      </w:r>
    </w:p>
    <w:p>
      <w:pPr>
        <w:jc w:val="both"/>
        <w:rPr>
          <w:rFonts w:ascii="Times New Roman" w:hAnsi="Times New Roman"/>
          <w:b/>
          <w:bCs/>
          <w:noProof/>
          <w:color w:val="000000"/>
          <w:sz w:val="24"/>
          <w:szCs w:val="24"/>
        </w:rPr>
      </w:pPr>
      <w:r>
        <w:rPr>
          <w:rFonts w:ascii="Times New Roman" w:hAnsi="Times New Roman"/>
          <w:noProof/>
          <w:color w:val="000000"/>
          <w:sz w:val="24"/>
          <w:szCs w:val="24"/>
        </w:rPr>
        <w:t>Tato reforma se provede do 31. prosince 2025.</w:t>
      </w:r>
    </w:p>
    <w:p>
      <w:pPr>
        <w:jc w:val="both"/>
        <w:rPr>
          <w:rFonts w:ascii="Times New Roman" w:hAnsi="Times New Roman"/>
          <w:b/>
          <w:bCs/>
          <w:noProof/>
          <w:color w:val="000000"/>
          <w:sz w:val="24"/>
          <w:szCs w:val="24"/>
        </w:rPr>
      </w:pPr>
      <w:r>
        <w:rPr>
          <w:rFonts w:ascii="Times New Roman" w:hAnsi="Times New Roman"/>
          <w:b/>
          <w:noProof/>
          <w:color w:val="000000"/>
          <w:sz w:val="24"/>
          <w:szCs w:val="24"/>
        </w:rPr>
        <w:t>Reforma č. 2: Budování a rozvoj systémů podporujících digitalizaci zdravotnictví</w:t>
      </w:r>
    </w:p>
    <w:p>
      <w:pPr>
        <w:jc w:val="both"/>
        <w:rPr>
          <w:rFonts w:ascii="Times New Roman" w:hAnsi="Times New Roman"/>
          <w:noProof/>
          <w:color w:val="000000"/>
          <w:sz w:val="24"/>
          <w:szCs w:val="24"/>
        </w:rPr>
      </w:pPr>
      <w:r>
        <w:rPr>
          <w:rFonts w:ascii="Times New Roman" w:hAnsi="Times New Roman"/>
          <w:noProof/>
          <w:color w:val="000000"/>
          <w:sz w:val="24"/>
          <w:szCs w:val="24"/>
        </w:rPr>
        <w:t>Reforma urychlí a usnadní vytvoření soudržné infrastruktury elektronického zdravotnictví, včetně stabilizace a standardizace datového fondu zdravotnictví. Opatření je rozděleno do několika vzájemně propojených projektů k zavedení referenčních registrů poskytovatelů zdravotních služeb, zdravotnických pracovníků a pacientů propojených s referenčními registry elektronické veřejné správy; dále zdravotních registrů hygienické služby a zdravotních registrů onkologických, kardiovaskulárních a jiných nemocí.  Projekt na vybudování informačního systému na podporu řízení hygienických služeb v Česku. Rozšíření stávajících funkcí systému eRecept na předpisy pro narkotika a psychotropní látky a zavedení služby elektronických poukázek, budování infrastruktury na podporu systému péče o pacienty se vzácnými onemocněními.</w:t>
      </w:r>
    </w:p>
    <w:p>
      <w:pPr>
        <w:jc w:val="both"/>
        <w:rPr>
          <w:rFonts w:ascii="Times New Roman" w:hAnsi="Times New Roman"/>
          <w:noProof/>
          <w:color w:val="000000"/>
          <w:sz w:val="24"/>
          <w:szCs w:val="24"/>
        </w:rPr>
      </w:pPr>
      <w:r>
        <w:rPr>
          <w:rFonts w:ascii="Times New Roman" w:hAnsi="Times New Roman"/>
          <w:noProof/>
          <w:color w:val="000000"/>
          <w:sz w:val="24"/>
          <w:szCs w:val="24"/>
        </w:rPr>
        <w:t>Opatření rovněž zahrnuje poskytování programů zaškolení s cílem rozšířit využívání elektronického zdravotnictví a digitálních služeb ve zdravotnictví, které jsou zaměřeny především na zdravotnické pracovníky.</w:t>
      </w:r>
    </w:p>
    <w:p>
      <w:pPr>
        <w:jc w:val="both"/>
        <w:rPr>
          <w:rFonts w:ascii="Times New Roman" w:hAnsi="Times New Roman"/>
          <w:noProof/>
          <w:color w:val="000000"/>
          <w:sz w:val="24"/>
          <w:szCs w:val="24"/>
        </w:rPr>
      </w:pPr>
      <w:r>
        <w:rPr>
          <w:rFonts w:ascii="Times New Roman" w:hAnsi="Times New Roman"/>
          <w:noProof/>
          <w:color w:val="000000"/>
          <w:sz w:val="24"/>
          <w:szCs w:val="24"/>
        </w:rPr>
        <w:t>Reforma bude provedena do 31. prosince 2025.</w:t>
      </w:r>
    </w:p>
    <w:p>
      <w:pPr>
        <w:jc w:val="both"/>
        <w:rPr>
          <w:rFonts w:ascii="Times New Roman" w:hAnsi="Times New Roman"/>
          <w:b/>
          <w:noProof/>
          <w:color w:val="000000"/>
          <w:sz w:val="24"/>
          <w:szCs w:val="24"/>
        </w:rPr>
      </w:pPr>
      <w:r>
        <w:rPr>
          <w:rFonts w:ascii="Times New Roman" w:hAnsi="Times New Roman"/>
          <w:b/>
          <w:noProof/>
          <w:color w:val="000000"/>
          <w:sz w:val="24"/>
          <w:szCs w:val="24"/>
        </w:rPr>
        <w:t>Investice č. 1: Budování a rozvoj jednotlivých informačních systémů</w:t>
      </w:r>
    </w:p>
    <w:p>
      <w:pPr>
        <w:jc w:val="both"/>
        <w:rPr>
          <w:rFonts w:ascii="Times New Roman" w:hAnsi="Times New Roman"/>
          <w:noProof/>
          <w:color w:val="000000"/>
          <w:sz w:val="24"/>
          <w:szCs w:val="24"/>
        </w:rPr>
      </w:pPr>
      <w:r>
        <w:rPr>
          <w:rFonts w:ascii="Times New Roman" w:hAnsi="Times New Roman"/>
          <w:noProof/>
          <w:color w:val="000000"/>
          <w:sz w:val="24"/>
          <w:szCs w:val="24"/>
        </w:rPr>
        <w:t>Investice se skládá z projektů zaměřených na aktualizaci, vylepšení a propojení backendových agendových informačních systémů, které umožní poskytování nových a rozšířených služeb občanům a firmám v oblastech politiky zaměstnanosti, sociálního zabezpečení, lékařského posouzení, statistiky, pasů a víz a služeb předpokládaných v rámci komponenty č. 1.1. Tyto projekty povedou ke zlepšení celkem deseti informačních systémů.</w:t>
      </w:r>
    </w:p>
    <w:p>
      <w:pPr>
        <w:jc w:val="both"/>
        <w:rPr>
          <w:rFonts w:ascii="Times New Roman" w:hAnsi="Times New Roman"/>
          <w:noProof/>
          <w:color w:val="000000"/>
          <w:sz w:val="24"/>
          <w:szCs w:val="24"/>
        </w:rPr>
      </w:pPr>
      <w:r>
        <w:rPr>
          <w:rFonts w:ascii="Times New Roman" w:hAnsi="Times New Roman"/>
          <w:noProof/>
          <w:color w:val="000000"/>
          <w:sz w:val="24"/>
          <w:szCs w:val="24"/>
        </w:rPr>
        <w:t>Investice bude realizována do 31. prosince 2025.</w:t>
      </w:r>
    </w:p>
    <w:p>
      <w:pPr>
        <w:jc w:val="both"/>
        <w:rPr>
          <w:rFonts w:ascii="Times New Roman" w:hAnsi="Times New Roman"/>
          <w:b/>
          <w:bCs/>
          <w:noProof/>
          <w:color w:val="000000"/>
          <w:sz w:val="24"/>
          <w:szCs w:val="24"/>
        </w:rPr>
      </w:pPr>
      <w:r>
        <w:rPr>
          <w:rFonts w:ascii="Times New Roman" w:hAnsi="Times New Roman"/>
          <w:b/>
          <w:bCs/>
          <w:noProof/>
          <w:color w:val="000000"/>
          <w:sz w:val="24"/>
          <w:szCs w:val="24"/>
        </w:rPr>
        <w:t>Investice č. 2: Budování a rozvoj základních registrů a zázemí pro eGovernment</w:t>
      </w:r>
    </w:p>
    <w:p>
      <w:pPr>
        <w:jc w:val="both"/>
        <w:rPr>
          <w:rFonts w:ascii="Times New Roman" w:hAnsi="Times New Roman"/>
          <w:noProof/>
          <w:color w:val="000000"/>
          <w:sz w:val="24"/>
          <w:szCs w:val="24"/>
        </w:rPr>
      </w:pPr>
      <w:r>
        <w:rPr>
          <w:rFonts w:ascii="Times New Roman" w:hAnsi="Times New Roman"/>
          <w:noProof/>
          <w:color w:val="000000"/>
          <w:sz w:val="24"/>
          <w:szCs w:val="24"/>
        </w:rPr>
        <w:t>Investice umožní vytvoření a aktualizaci základních registrů v Česku, zejména registr osob, registr obyvatel, registr práv a povinností, registr územní identifikace, adres a nemovitostí, informační systém ORG, a zahrnuje i vývoj informačního systému sdílené služby, který bude propojovat data z různých informačních systémů do propojeného datového fondu. Toho bude dosaženo prostřednictvím dvaceti vzájemně propojených projektů. Kromě registrů bude nové vybavení zahrnovat i nové datové centrum a rozvoj projektu eGovernment cloud pro počítačové služby a rozvoj technologické infrastruktury veřejné správy.</w:t>
      </w:r>
    </w:p>
    <w:p>
      <w:pPr>
        <w:jc w:val="both"/>
        <w:rPr>
          <w:rFonts w:ascii="Times New Roman" w:hAnsi="Times New Roman"/>
          <w:strike/>
          <w:noProof/>
          <w:color w:val="000000"/>
          <w:sz w:val="24"/>
          <w:szCs w:val="24"/>
        </w:rPr>
      </w:pPr>
      <w:r>
        <w:rPr>
          <w:rFonts w:ascii="Times New Roman" w:hAnsi="Times New Roman"/>
          <w:noProof/>
          <w:color w:val="000000"/>
          <w:sz w:val="24"/>
          <w:szCs w:val="24"/>
        </w:rPr>
        <w:t>Tato investice bude realizována do 31. března 2026.</w:t>
      </w:r>
    </w:p>
    <w:p>
      <w:pPr>
        <w:jc w:val="both"/>
        <w:rPr>
          <w:rFonts w:ascii="Times New Roman" w:hAnsi="Times New Roman"/>
          <w:b/>
          <w:noProof/>
          <w:color w:val="000000"/>
          <w:sz w:val="24"/>
          <w:szCs w:val="24"/>
        </w:rPr>
      </w:pPr>
      <w:r>
        <w:rPr>
          <w:rFonts w:ascii="Times New Roman" w:hAnsi="Times New Roman"/>
          <w:b/>
          <w:noProof/>
          <w:color w:val="000000"/>
          <w:sz w:val="24"/>
          <w:szCs w:val="24"/>
        </w:rPr>
        <w:t>Investice č. 3: Kybernetická bezpečnost</w:t>
      </w:r>
    </w:p>
    <w:p>
      <w:pPr>
        <w:jc w:val="both"/>
        <w:rPr>
          <w:rFonts w:ascii="Times New Roman" w:hAnsi="Times New Roman"/>
          <w:noProof/>
          <w:color w:val="000000"/>
          <w:sz w:val="24"/>
          <w:szCs w:val="24"/>
        </w:rPr>
      </w:pPr>
      <w:r>
        <w:rPr>
          <w:rFonts w:ascii="Times New Roman" w:hAnsi="Times New Roman"/>
          <w:noProof/>
          <w:color w:val="000000"/>
          <w:sz w:val="24"/>
          <w:szCs w:val="24"/>
        </w:rPr>
        <w:t>Cílem investice je zvýšení kybernetické bezpečnosti infrastruktury IKT a informačních systémů veřejné správy a zdravotnictví podle aktu o kybernetické bezpečnosti a v souladu s Národní strategií kybernetické bezpečnosti. Opatření zahrnuje projekty, které povedou k i) modernizaci a rozšíření možností policejních sil v Česku odhalovat, identifikovat a reagovat na bezpečnostní incidenty a incidenty v oblasti IKT a ii) zvýšení kybernetické bezpečnosti nejméně deseti informačních systémů.</w:t>
      </w:r>
    </w:p>
    <w:p>
      <w:pPr>
        <w:jc w:val="both"/>
        <w:rPr>
          <w:rFonts w:ascii="Times New Roman" w:hAnsi="Times New Roman"/>
          <w:noProof/>
          <w:color w:val="000000"/>
          <w:sz w:val="24"/>
          <w:szCs w:val="24"/>
        </w:rPr>
      </w:pPr>
      <w:r>
        <w:rPr>
          <w:rFonts w:ascii="Times New Roman" w:hAnsi="Times New Roman"/>
          <w:noProof/>
          <w:color w:val="000000"/>
          <w:sz w:val="24"/>
          <w:szCs w:val="24"/>
        </w:rPr>
        <w:t>Investice bude realizována do 31. prosince 2025.</w:t>
      </w:r>
    </w:p>
    <w:p>
      <w:pPr>
        <w:jc w:val="both"/>
        <w:rPr>
          <w:rFonts w:ascii="Times New Roman" w:hAnsi="Times New Roman"/>
          <w:b/>
          <w:noProof/>
          <w:color w:val="000000"/>
          <w:sz w:val="24"/>
          <w:szCs w:val="24"/>
        </w:rPr>
      </w:pPr>
      <w:r>
        <w:rPr>
          <w:rFonts w:ascii="Times New Roman" w:hAnsi="Times New Roman"/>
          <w:b/>
          <w:noProof/>
          <w:color w:val="000000"/>
          <w:sz w:val="24"/>
          <w:szCs w:val="24"/>
        </w:rPr>
        <w:t>Investice č. 4: Vytvoření předpokladů pro digitální justici</w:t>
      </w:r>
    </w:p>
    <w:p>
      <w:pPr>
        <w:jc w:val="both"/>
        <w:rPr>
          <w:rFonts w:ascii="Times New Roman" w:hAnsi="Times New Roman"/>
          <w:noProof/>
          <w:color w:val="000000"/>
          <w:sz w:val="24"/>
          <w:szCs w:val="24"/>
        </w:rPr>
      </w:pPr>
      <w:r>
        <w:rPr>
          <w:rFonts w:ascii="Times New Roman" w:hAnsi="Times New Roman"/>
          <w:noProof/>
          <w:color w:val="000000"/>
          <w:sz w:val="24"/>
          <w:szCs w:val="24"/>
        </w:rPr>
        <w:t>Investice povede k modernizaci pracovního prostředí justice a umožní pokračování práce v době, kdy jsou omezeny fyzické kontakty, čímž se zvýší odolnost vnitrostátního systému soudnictví. Investice se skládá ze tří vzájemně propojených projektů, ke kterým patří i) analýza využívání dat a mapování potřeb digitalizace v oblasti justice, jakož i zavedení datového skladu a zvýšení kapacity úložiště; ii) zvýšení kapacity infrastruktury umožňující vzdálený přístup a iii) zvýšení počtu vybavených videokonferenčních místností pro justici.</w:t>
      </w:r>
    </w:p>
    <w:p>
      <w:pPr>
        <w:pBdr>
          <w:top w:val="nil"/>
          <w:left w:val="nil"/>
          <w:bottom w:val="nil"/>
          <w:right w:val="nil"/>
          <w:between w:val="nil"/>
        </w:pBdr>
        <w:rPr>
          <w:rFonts w:ascii="Times New Roman" w:hAnsi="Times New Roman"/>
          <w:noProof/>
          <w:color w:val="000000"/>
          <w:sz w:val="24"/>
          <w:szCs w:val="24"/>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20"/>
        </w:sectPr>
      </w:pPr>
      <w:r>
        <w:rPr>
          <w:rFonts w:ascii="Times New Roman" w:hAnsi="Times New Roman"/>
          <w:noProof/>
          <w:color w:val="000000"/>
          <w:sz w:val="24"/>
          <w:szCs w:val="24"/>
        </w:rPr>
        <w:t>Investice bude realizována do 31. prosince 2024.</w:t>
      </w:r>
    </w:p>
    <w:p>
      <w:pPr>
        <w:pBdr>
          <w:top w:val="nil"/>
          <w:left w:val="nil"/>
          <w:bottom w:val="nil"/>
          <w:right w:val="nil"/>
          <w:between w:val="nil"/>
        </w:pBdr>
        <w:rPr>
          <w:rFonts w:ascii="Times New Roman" w:hAnsi="Times New Roman"/>
          <w:b/>
          <w:noProof/>
          <w:color w:val="000000"/>
          <w:sz w:val="24"/>
          <w:szCs w:val="24"/>
          <w:u w:val="single"/>
        </w:rPr>
      </w:pPr>
      <w:r>
        <w:rPr>
          <w:rFonts w:ascii="Times New Roman" w:hAnsi="Times New Roman"/>
          <w:b/>
          <w:noProof/>
          <w:color w:val="000000"/>
          <w:sz w:val="24"/>
          <w:szCs w:val="24"/>
          <w:u w:val="single"/>
        </w:rPr>
        <w:t>B.2 Milníky, cíle, ukazatele a harmonogram monitorování a provádění nevratné finanční podpory</w:t>
      </w:r>
    </w:p>
    <w:p>
      <w:pPr>
        <w:pBdr>
          <w:top w:val="nil"/>
          <w:left w:val="nil"/>
          <w:bottom w:val="nil"/>
          <w:right w:val="nil"/>
          <w:between w:val="nil"/>
        </w:pBdr>
        <w:rPr>
          <w:rFonts w:ascii="Times New Roman" w:hAnsi="Times New Roman"/>
          <w:b/>
          <w:noProof/>
          <w:color w:val="000000"/>
          <w:sz w:val="24"/>
          <w:szCs w:val="24"/>
          <w:u w:val="single"/>
        </w:rPr>
      </w:pPr>
    </w:p>
    <w:tbl>
      <w:tblPr>
        <w:tblW w:w="14621" w:type="dxa"/>
        <w:jc w:val="center"/>
        <w:tblLayout w:type="fixed"/>
        <w:tblLook w:val="0400" w:firstRow="0" w:lastRow="0" w:firstColumn="0" w:lastColumn="0" w:noHBand="0" w:noVBand="1"/>
      </w:tblPr>
      <w:tblGrid>
        <w:gridCol w:w="704"/>
        <w:gridCol w:w="1448"/>
        <w:gridCol w:w="992"/>
        <w:gridCol w:w="1701"/>
        <w:gridCol w:w="1843"/>
        <w:gridCol w:w="992"/>
        <w:gridCol w:w="850"/>
        <w:gridCol w:w="709"/>
        <w:gridCol w:w="992"/>
        <w:gridCol w:w="709"/>
        <w:gridCol w:w="3681"/>
      </w:tblGrid>
      <w:tr>
        <w:trPr>
          <w:trHeight w:val="62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Poř. č.</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Související opatření (reforma nebo investice)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Milník/cíl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Název</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bCs/>
                <w:noProof/>
                <w:sz w:val="18"/>
                <w:szCs w:val="18"/>
              </w:rPr>
            </w:pPr>
            <w:r>
              <w:rPr>
                <w:rFonts w:ascii="Times New Roman" w:hAnsi="Times New Roman"/>
                <w:b/>
                <w:bCs/>
                <w:noProof/>
                <w:sz w:val="18"/>
                <w:szCs w:val="18"/>
              </w:rPr>
              <w:t xml:space="preserve">Kvalitativní ukazatele </w:t>
            </w:r>
            <w:r>
              <w:rPr>
                <w:noProof/>
                <w:sz w:val="18"/>
                <w:szCs w:val="18"/>
              </w:rPr>
              <w:br/>
            </w:r>
            <w:r>
              <w:rPr>
                <w:rFonts w:ascii="Times New Roman" w:hAnsi="Times New Roman"/>
                <w:b/>
                <w:bCs/>
                <w:noProof/>
                <w:sz w:val="18"/>
                <w:szCs w:val="18"/>
              </w:rPr>
              <w:t>(pro milníky)</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bCs/>
                <w:noProof/>
                <w:sz w:val="18"/>
                <w:szCs w:val="18"/>
              </w:rPr>
            </w:pPr>
            <w:r>
              <w:rPr>
                <w:rFonts w:ascii="Times New Roman" w:hAnsi="Times New Roman"/>
                <w:b/>
                <w:bCs/>
                <w:noProof/>
                <w:sz w:val="18"/>
                <w:szCs w:val="18"/>
              </w:rPr>
              <w:t xml:space="preserve">Kvantitativní ukazatele </w:t>
            </w:r>
            <w:r>
              <w:rPr>
                <w:noProof/>
                <w:sz w:val="18"/>
                <w:szCs w:val="18"/>
              </w:rPr>
              <w:br/>
            </w:r>
            <w:r>
              <w:rPr>
                <w:rFonts w:ascii="Times New Roman" w:hAnsi="Times New Roman"/>
                <w:b/>
                <w:bCs/>
                <w:noProof/>
                <w:sz w:val="18"/>
                <w:szCs w:val="18"/>
              </w:rPr>
              <w:t>(pro cíle)</w:t>
            </w:r>
          </w:p>
        </w:tc>
        <w:tc>
          <w:tcPr>
            <w:tcW w:w="1701" w:type="dxa"/>
            <w:gridSpan w:val="2"/>
            <w:tcBorders>
              <w:top w:val="single" w:sz="4" w:space="0" w:color="000000"/>
              <w:left w:val="single" w:sz="4" w:space="0" w:color="auto"/>
              <w:bottom w:val="single" w:sz="4" w:space="0" w:color="000000"/>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Orientační harmonogram dokončení</w:t>
            </w:r>
          </w:p>
        </w:tc>
        <w:tc>
          <w:tcPr>
            <w:tcW w:w="36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Popis každého milníku a cíle</w:t>
            </w:r>
          </w:p>
        </w:tc>
      </w:tr>
      <w:tr>
        <w:trPr>
          <w:trHeight w:val="558"/>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Měrná jednotka</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 xml:space="preserve">Výchozí stav </w:t>
            </w:r>
          </w:p>
        </w:tc>
        <w:tc>
          <w:tcPr>
            <w:tcW w:w="709" w:type="dxa"/>
            <w:tcBorders>
              <w:top w:val="nil"/>
              <w:left w:val="single" w:sz="4" w:space="0" w:color="auto"/>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 xml:space="preserve">Cíl </w:t>
            </w:r>
          </w:p>
        </w:tc>
        <w:tc>
          <w:tcPr>
            <w:tcW w:w="992" w:type="dxa"/>
            <w:tcBorders>
              <w:top w:val="nil"/>
              <w:left w:val="nil"/>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Čtvrtletí</w:t>
            </w:r>
          </w:p>
        </w:tc>
        <w:tc>
          <w:tcPr>
            <w:tcW w:w="709" w:type="dxa"/>
            <w:tcBorders>
              <w:top w:val="nil"/>
              <w:left w:val="nil"/>
              <w:bottom w:val="single" w:sz="4" w:space="0" w:color="000000"/>
              <w:right w:val="single" w:sz="4" w:space="0" w:color="auto"/>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Rok</w:t>
            </w:r>
          </w:p>
        </w:tc>
        <w:tc>
          <w:tcPr>
            <w:tcW w:w="3681"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r>
      <w:tr>
        <w:trPr>
          <w:trHeight w:val="309"/>
          <w:jc w:val="center"/>
        </w:trPr>
        <w:tc>
          <w:tcPr>
            <w:tcW w:w="704" w:type="dxa"/>
            <w:tcBorders>
              <w:top w:val="single" w:sz="4" w:space="0" w:color="auto"/>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15</w:t>
            </w:r>
          </w:p>
        </w:tc>
        <w:tc>
          <w:tcPr>
            <w:tcW w:w="1448"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informačních systémů</w:t>
            </w:r>
          </w:p>
        </w:tc>
        <w:tc>
          <w:tcPr>
            <w:tcW w:w="992"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4" w:space="0" w:color="auto"/>
              <w:left w:val="nil"/>
              <w:bottom w:val="single" w:sz="4" w:space="0" w:color="000000"/>
              <w:right w:val="single" w:sz="4" w:space="0" w:color="000000"/>
            </w:tcBorders>
            <w:shd w:val="clear" w:color="auto" w:fill="C6EFCE"/>
            <w:vAlign w:val="center"/>
          </w:tcPr>
          <w:p>
            <w:pPr>
              <w:spacing w:before="0" w:after="0"/>
              <w:rPr>
                <w:rFonts w:ascii="Times New Roman" w:hAnsi="Times New Roman"/>
                <w:noProof/>
                <w:color w:val="004300"/>
                <w:sz w:val="18"/>
                <w:szCs w:val="18"/>
              </w:rPr>
            </w:pPr>
            <w:r>
              <w:rPr>
                <w:rFonts w:ascii="Times New Roman" w:hAnsi="Times New Roman"/>
                <w:noProof/>
                <w:color w:val="004300"/>
                <w:sz w:val="18"/>
                <w:szCs w:val="18"/>
              </w:rPr>
              <w:t>Úspěšné zřízení a fungování univerzálního kontaktního místa umožňujícího klientům komunikovat s veřejnou správou na jednom místě</w:t>
            </w:r>
          </w:p>
          <w:p>
            <w:pPr>
              <w:spacing w:before="0" w:after="0"/>
              <w:rPr>
                <w:rFonts w:ascii="Times New Roman" w:eastAsia="Times New Roman" w:hAnsi="Times New Roman"/>
                <w:noProof/>
                <w:color w:val="004300"/>
                <w:sz w:val="18"/>
                <w:szCs w:val="18"/>
              </w:rPr>
            </w:pPr>
          </w:p>
        </w:tc>
        <w:tc>
          <w:tcPr>
            <w:tcW w:w="1843"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Zprovozněny mají být dva klíčové systémy české veřejné správy, a to systém CzechPOINT 2.0 (ve vztahu k občanům a úředníkům) a Centrální ověřovací místo pro veřejnou správu, tzv. CAAIS (pro úředníky).</w:t>
            </w:r>
          </w:p>
        </w:tc>
        <w:tc>
          <w:tcPr>
            <w:tcW w:w="992" w:type="dxa"/>
            <w:tcBorders>
              <w:top w:val="single" w:sz="4" w:space="0" w:color="auto"/>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single" w:sz="4" w:space="0" w:color="auto"/>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 rámci milníku bude zaveden systém CzechPOINT 2.0, který bude veřejnosti poskytovat řadu asistenčních služeb, výňatky z informačních systémů veřejné správy a možnost podávat vyplněné formuláře státní správě nebo s ní komunikovat. Milník zahrnuje také informační systém pro centrální ověřování (CAAIS). Milník se považuje za splněný, jakmile budou provedeny obě části a budou dostupné koncovým uživatelům.</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jc w:val="center"/>
              <w:rPr>
                <w:rFonts w:ascii="Times New Roman" w:hAnsi="Times New Roman"/>
                <w:noProof/>
                <w:color w:val="004300"/>
                <w:sz w:val="18"/>
                <w:szCs w:val="18"/>
              </w:rPr>
            </w:pPr>
            <w:r>
              <w:rPr>
                <w:rFonts w:ascii="Times New Roman" w:hAnsi="Times New Roman"/>
                <w:noProof/>
                <w:color w:val="004300"/>
                <w:sz w:val="18"/>
                <w:szCs w:val="18"/>
              </w:rPr>
              <w:t>16</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informačních systémů</w:t>
            </w:r>
          </w:p>
        </w:tc>
        <w:tc>
          <w:tcPr>
            <w:tcW w:w="992" w:type="dxa"/>
            <w:tcBorders>
              <w:top w:val="nil"/>
              <w:left w:val="nil"/>
              <w:bottom w:val="single" w:sz="4" w:space="0" w:color="000000"/>
              <w:right w:val="single" w:sz="4" w:space="0" w:color="000000"/>
            </w:tcBorders>
            <w:shd w:val="clear" w:color="auto" w:fill="C6EFCE"/>
            <w:vAlign w:val="center"/>
            <w:hideMark/>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rPr>
                <w:rFonts w:ascii="Times New Roman" w:hAnsi="Times New Roman"/>
                <w:noProof/>
                <w:color w:val="004300"/>
                <w:sz w:val="18"/>
                <w:szCs w:val="18"/>
              </w:rPr>
            </w:pPr>
            <w:r>
              <w:rPr>
                <w:rFonts w:ascii="Times New Roman" w:hAnsi="Times New Roman"/>
                <w:noProof/>
                <w:color w:val="004300"/>
                <w:sz w:val="18"/>
                <w:szCs w:val="18"/>
              </w:rPr>
              <w:t>Úspěšná modernizace a provoz elektronického systému pro pasy (ePasy) a víza (EVC2)</w:t>
            </w:r>
          </w:p>
        </w:tc>
        <w:tc>
          <w:tcPr>
            <w:tcW w:w="1843" w:type="dxa"/>
            <w:tcBorders>
              <w:top w:val="nil"/>
              <w:left w:val="nil"/>
              <w:bottom w:val="single" w:sz="4" w:space="0" w:color="000000"/>
              <w:right w:val="single" w:sz="4" w:space="0" w:color="000000"/>
            </w:tcBorders>
            <w:shd w:val="clear" w:color="auto" w:fill="C6EFCE"/>
            <w:vAlign w:val="center"/>
            <w:hideMark/>
          </w:tcPr>
          <w:p>
            <w:pPr>
              <w:rPr>
                <w:rFonts w:ascii="Times New Roman" w:eastAsia="Times New Roman" w:hAnsi="Times New Roman"/>
                <w:noProof/>
                <w:color w:val="004300"/>
                <w:sz w:val="18"/>
                <w:szCs w:val="18"/>
              </w:rPr>
            </w:pPr>
            <w:r>
              <w:rPr>
                <w:rFonts w:ascii="Times New Roman" w:hAnsi="Times New Roman"/>
                <w:noProof/>
                <w:color w:val="004300"/>
                <w:sz w:val="18"/>
                <w:szCs w:val="18"/>
              </w:rPr>
              <w:t>Modernizovaný systém ePasy je propojen s hlavními registry, EVC2 zavedl funkci krátkodobých a dlouhodobých víz v souladu se Systémem vstupu/výstupu (EES) a oba systémy jsou k dispozici koncovým uživatelům.</w:t>
            </w:r>
          </w:p>
        </w:tc>
        <w:tc>
          <w:tcPr>
            <w:tcW w:w="992" w:type="dxa"/>
            <w:tcBorders>
              <w:top w:val="nil"/>
              <w:left w:val="nil"/>
              <w:bottom w:val="single" w:sz="4" w:space="0" w:color="000000"/>
              <w:right w:val="single" w:sz="4"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rPr>
                <w:rFonts w:ascii="Times New Roman" w:eastAsia="Times New Roman" w:hAnsi="Times New Roman"/>
                <w:noProof/>
                <w:color w:val="004300"/>
                <w:sz w:val="18"/>
                <w:szCs w:val="18"/>
              </w:rPr>
            </w:pPr>
            <w:r>
              <w:rPr>
                <w:rFonts w:ascii="Times New Roman" w:hAnsi="Times New Roman"/>
                <w:noProof/>
                <w:color w:val="004300"/>
                <w:sz w:val="18"/>
                <w:szCs w:val="18"/>
              </w:rPr>
              <w:t>Propojením systému ePasy s hlavními registry a vízovým systémem EVC2 byla zavedena funkce krátkodobých a dlouhodobých víz v souladu se systémem EES.</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17</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 Rozvoj informačních systémů</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Úspěšné fungování integrovaného cizineckého systému snižujícího administrativní zátěž cizinců i státních zaměstnanců</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Nový integrovaný cizinecký systém je funkční a poskytuje služby koncovým uživatelům</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Milník opatření zavede nový integrovaný cizinecký systém (ICAS, integrovaný cizinecký agendový systém), který cizím státním příslušníkům registrovaným v Česku umožní správu záležitostí souvisejících s jejich pobytem prostřednictvím nových digitálních služeb pro klienty veřejné správy v daném oddíle.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18</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informačních systémů</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Uzavření smlouvy na realizaci vyjmenovaných projektů informačních systémů, které tvoří backendový základ vývoje informačních systémů pro veřejnou správu:</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8</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Q2 </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 xml:space="preserve">Cíle je dosaženo při uzavření smluv na tyto projekty: </w:t>
            </w:r>
          </w:p>
          <w:p>
            <w:pPr>
              <w:spacing w:before="0" w:after="0"/>
              <w:rPr>
                <w:rFonts w:ascii="Times New Roman" w:hAnsi="Times New Roman"/>
                <w:noProof/>
                <w:color w:val="004300"/>
                <w:sz w:val="18"/>
                <w:szCs w:val="18"/>
              </w:rPr>
            </w:pPr>
            <w:r>
              <w:rPr>
                <w:rFonts w:ascii="Times New Roman" w:hAnsi="Times New Roman"/>
                <w:noProof/>
                <w:color w:val="004300"/>
                <w:sz w:val="18"/>
                <w:szCs w:val="18"/>
              </w:rPr>
              <w:t>1. Centralizace systému pro osoby samostatně výdělečně činné</w:t>
            </w:r>
          </w:p>
          <w:p>
            <w:pPr>
              <w:spacing w:before="0" w:after="0"/>
              <w:rPr>
                <w:rFonts w:ascii="Times New Roman" w:hAnsi="Times New Roman"/>
                <w:noProof/>
                <w:color w:val="004300"/>
                <w:sz w:val="18"/>
                <w:szCs w:val="18"/>
              </w:rPr>
            </w:pPr>
            <w:r>
              <w:rPr>
                <w:rFonts w:ascii="Times New Roman" w:hAnsi="Times New Roman"/>
                <w:noProof/>
                <w:color w:val="004300"/>
                <w:sz w:val="18"/>
                <w:szCs w:val="18"/>
              </w:rPr>
              <w:t>2. Elektronická výměna informací o sociálním zabezpečení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3. Grantový informační systém</w:t>
            </w:r>
          </w:p>
          <w:p>
            <w:pPr>
              <w:spacing w:before="0" w:after="0"/>
              <w:rPr>
                <w:rFonts w:ascii="Times New Roman" w:hAnsi="Times New Roman"/>
                <w:noProof/>
                <w:color w:val="004300"/>
                <w:sz w:val="18"/>
                <w:szCs w:val="18"/>
              </w:rPr>
            </w:pPr>
            <w:r>
              <w:rPr>
                <w:rFonts w:ascii="Times New Roman" w:hAnsi="Times New Roman"/>
                <w:noProof/>
                <w:color w:val="004300"/>
                <w:sz w:val="18"/>
                <w:szCs w:val="18"/>
              </w:rPr>
              <w:t>4. Posudková lékařská služba</w:t>
            </w:r>
          </w:p>
          <w:p>
            <w:pPr>
              <w:spacing w:before="0" w:after="0"/>
              <w:rPr>
                <w:rFonts w:ascii="Times New Roman" w:hAnsi="Times New Roman"/>
                <w:noProof/>
                <w:color w:val="004300"/>
                <w:sz w:val="18"/>
                <w:szCs w:val="18"/>
              </w:rPr>
            </w:pPr>
            <w:r>
              <w:rPr>
                <w:rFonts w:ascii="Times New Roman" w:hAnsi="Times New Roman"/>
                <w:noProof/>
                <w:color w:val="004300"/>
                <w:sz w:val="18"/>
                <w:szCs w:val="18"/>
              </w:rPr>
              <w:t>5. Optimalizace datového úložiště pro správu sociálního zabezpečení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6. Systém poboček pro služby elektronického podání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 xml:space="preserve">7. Centrální ověřovací místo pro Český statistický úřad a integrace statistických registrů do propojeného datového fondu </w:t>
            </w:r>
          </w:p>
          <w:p>
            <w:pPr>
              <w:spacing w:before="0" w:after="0"/>
              <w:rPr>
                <w:rFonts w:ascii="Times New Roman" w:hAnsi="Times New Roman"/>
                <w:noProof/>
                <w:color w:val="004300"/>
                <w:sz w:val="18"/>
                <w:szCs w:val="18"/>
              </w:rPr>
            </w:pPr>
            <w:r>
              <w:rPr>
                <w:rFonts w:ascii="Times New Roman" w:hAnsi="Times New Roman"/>
                <w:noProof/>
                <w:color w:val="004300"/>
                <w:sz w:val="18"/>
                <w:szCs w:val="18"/>
              </w:rPr>
              <w:t>8. Informační systém muzejních sbírek</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19</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informačních systémů</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Úspěšné fungování nových nebo zmodernizovaných informačních systémů veřejné správy, což zahrnuje dokončení projektů, na které byly zadány zakázky v rámci cíle č. 16 </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Počet</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8</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U tohoto opatření se do cíle započítá počet nových nebo zmodernizovaných informačních systémů a projektů realizovaných v rámci této investice. Všechny tyto nové nebo modernizované informační systémy a projekty realizované v rámci investice budou funkční a budou zlepšovat komunikaci ve veřejné správě a kvalitu služeb pro klienty veřejné správy. K modernizovaným informačním systémům a dokončeným projektům patří: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1. Centralizace systému pro osoby samostatně výdělečně činné</w:t>
            </w:r>
          </w:p>
          <w:p>
            <w:pPr>
              <w:spacing w:before="0" w:after="0"/>
              <w:rPr>
                <w:rFonts w:ascii="Times New Roman" w:hAnsi="Times New Roman"/>
                <w:noProof/>
                <w:color w:val="004300"/>
                <w:sz w:val="18"/>
                <w:szCs w:val="18"/>
              </w:rPr>
            </w:pPr>
            <w:r>
              <w:rPr>
                <w:rFonts w:ascii="Times New Roman" w:hAnsi="Times New Roman"/>
                <w:noProof/>
                <w:color w:val="004300"/>
                <w:sz w:val="18"/>
                <w:szCs w:val="18"/>
              </w:rPr>
              <w:t>2. Elektronická výměna informací o sociálním zabezpečení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3. Grantový informační systém</w:t>
            </w:r>
          </w:p>
          <w:p>
            <w:pPr>
              <w:spacing w:before="0" w:after="0"/>
              <w:rPr>
                <w:rFonts w:ascii="Times New Roman" w:hAnsi="Times New Roman"/>
                <w:noProof/>
                <w:color w:val="004300"/>
                <w:sz w:val="18"/>
                <w:szCs w:val="18"/>
              </w:rPr>
            </w:pPr>
            <w:r>
              <w:rPr>
                <w:rFonts w:ascii="Times New Roman" w:hAnsi="Times New Roman"/>
                <w:noProof/>
                <w:color w:val="004300"/>
                <w:sz w:val="18"/>
                <w:szCs w:val="18"/>
              </w:rPr>
              <w:t>4. Posudková lékařská služba</w:t>
            </w:r>
          </w:p>
          <w:p>
            <w:pPr>
              <w:spacing w:before="0" w:after="0"/>
              <w:rPr>
                <w:rFonts w:ascii="Times New Roman" w:hAnsi="Times New Roman"/>
                <w:noProof/>
                <w:color w:val="004300"/>
                <w:sz w:val="18"/>
                <w:szCs w:val="18"/>
              </w:rPr>
            </w:pPr>
            <w:r>
              <w:rPr>
                <w:rFonts w:ascii="Times New Roman" w:hAnsi="Times New Roman"/>
                <w:noProof/>
                <w:color w:val="004300"/>
                <w:sz w:val="18"/>
                <w:szCs w:val="18"/>
              </w:rPr>
              <w:t>5. Optimalizace datového úložiště pro správu sociálního zabezpečení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6. Systém poboček pro služby elektronického podání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 xml:space="preserve">7. Centrální ověřovací místo pro Český statistický úřad a integrace statistických registrů do propojeného datového fondu </w:t>
            </w:r>
          </w:p>
          <w:p>
            <w:pPr>
              <w:spacing w:before="0" w:after="0"/>
              <w:rPr>
                <w:rFonts w:ascii="Times New Roman" w:hAnsi="Times New Roman"/>
                <w:noProof/>
                <w:color w:val="004300"/>
                <w:sz w:val="18"/>
                <w:szCs w:val="18"/>
              </w:rPr>
            </w:pPr>
            <w:r>
              <w:rPr>
                <w:rFonts w:ascii="Times New Roman" w:hAnsi="Times New Roman"/>
                <w:noProof/>
                <w:color w:val="004300"/>
                <w:sz w:val="18"/>
                <w:szCs w:val="18"/>
              </w:rPr>
              <w:t>8. Informační systém muzejních sbírek</w:t>
            </w:r>
          </w:p>
          <w:p>
            <w:pPr>
              <w:spacing w:before="0" w:after="0"/>
              <w:rPr>
                <w:rFonts w:ascii="Times New Roman" w:hAnsi="Times New Roman"/>
                <w:noProof/>
                <w:color w:val="004300"/>
                <w:sz w:val="18"/>
                <w:szCs w:val="18"/>
              </w:rPr>
            </w:pP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 20</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2:</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Budování a rozvoj základních registrů a zázemí pro eGovernment</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Dokončení plně funkčního softwarově definovaného datového centra, včetně datových kontejnerů</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Úspěšné testování a převzetí dodávky nového datového centra Ministerstvem práce a sociálních věcí</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 se považuje za dosažený, jakmile bude nové datové centrum plně v provozu a bude zpřístupněno koncovým uživatelům.</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21</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2:</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Budování a rozvoj základních registrů a zázemí pro eGovernment</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Dokončení vyjmenovaných projektů, které zvýší přenosovou kapacitu centrálního místa služeb a zajistí modernizaci a optimalizaci komunikační a informační infrastruktury a informačních systémů</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Milník se považuje za dosažený, jakmile bude aktualizováno centrální místo služeb a zvýšena jeho kapacita a bezpečnost a jakmile budou zadavatelem/prováděcím subjektem dokončeny projekty na zlepšení komunikačních a informačních systémů základních registrů. </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Opatření představuje rozvoj základních registrů a rozvoj technologické infrastruktury veřejné správy, včetně zvýšení její přenosové kapacity a zavedení nových zákaznických služeb a služeb s vysokou kapacitou přenosu. Milník se považuje za dosažený při dokončení těchto projektů:</w:t>
            </w:r>
          </w:p>
          <w:p>
            <w:pPr>
              <w:spacing w:before="0" w:after="0"/>
              <w:rPr>
                <w:rFonts w:ascii="Times New Roman" w:hAnsi="Times New Roman"/>
                <w:noProof/>
                <w:color w:val="004300"/>
                <w:sz w:val="18"/>
                <w:szCs w:val="18"/>
              </w:rPr>
            </w:pPr>
            <w:r>
              <w:rPr>
                <w:rFonts w:ascii="Times New Roman" w:hAnsi="Times New Roman"/>
                <w:noProof/>
                <w:color w:val="004300"/>
                <w:sz w:val="18"/>
                <w:szCs w:val="18"/>
              </w:rPr>
              <w:t>1. Rozvoj kapacity a bezpečnosti centrálního místa služeb</w:t>
            </w:r>
          </w:p>
          <w:p>
            <w:pPr>
              <w:spacing w:before="0" w:after="0"/>
              <w:rPr>
                <w:rFonts w:ascii="Times New Roman" w:hAnsi="Times New Roman"/>
                <w:noProof/>
                <w:color w:val="004300"/>
                <w:sz w:val="18"/>
                <w:szCs w:val="18"/>
              </w:rPr>
            </w:pPr>
            <w:r>
              <w:rPr>
                <w:rFonts w:ascii="Times New Roman" w:hAnsi="Times New Roman"/>
                <w:noProof/>
                <w:color w:val="004300"/>
                <w:sz w:val="18"/>
                <w:szCs w:val="18"/>
              </w:rPr>
              <w:t>2. Modernizace a optimalizace komunikační a informační infrastruktury na bázi protokolu MPLS (Multi-Protocol Label Switching)</w:t>
            </w:r>
          </w:p>
          <w:p>
            <w:pPr>
              <w:spacing w:before="0" w:after="0"/>
              <w:rPr>
                <w:rFonts w:ascii="Times New Roman" w:hAnsi="Times New Roman"/>
                <w:noProof/>
                <w:color w:val="004300"/>
                <w:sz w:val="18"/>
                <w:szCs w:val="18"/>
              </w:rPr>
            </w:pPr>
            <w:r>
              <w:rPr>
                <w:rFonts w:ascii="Times New Roman" w:hAnsi="Times New Roman"/>
                <w:noProof/>
                <w:color w:val="004300"/>
                <w:sz w:val="18"/>
                <w:szCs w:val="18"/>
              </w:rPr>
              <w:t>3. Zajištění vydávání certifikací subjektům veřejné správy vnitrostátním certifikačním orgánem</w:t>
            </w:r>
          </w:p>
          <w:p>
            <w:pPr>
              <w:spacing w:before="0" w:after="0"/>
              <w:rPr>
                <w:rFonts w:ascii="Times New Roman" w:hAnsi="Times New Roman"/>
                <w:noProof/>
                <w:color w:val="004300"/>
                <w:sz w:val="18"/>
                <w:szCs w:val="18"/>
              </w:rPr>
            </w:pPr>
            <w:r>
              <w:rPr>
                <w:rFonts w:ascii="Times New Roman" w:hAnsi="Times New Roman"/>
                <w:noProof/>
                <w:color w:val="004300"/>
                <w:sz w:val="18"/>
                <w:szCs w:val="18"/>
              </w:rPr>
              <w:t>4. Zvýšení kapacity datových center a datových úložišť</w:t>
            </w:r>
          </w:p>
          <w:p>
            <w:pPr>
              <w:spacing w:before="0" w:after="0"/>
              <w:rPr>
                <w:rFonts w:ascii="Times New Roman" w:hAnsi="Times New Roman"/>
                <w:noProof/>
                <w:color w:val="004300"/>
                <w:sz w:val="18"/>
                <w:szCs w:val="18"/>
              </w:rPr>
            </w:pPr>
            <w:r>
              <w:rPr>
                <w:rFonts w:ascii="Times New Roman" w:hAnsi="Times New Roman"/>
                <w:noProof/>
                <w:color w:val="004300"/>
                <w:sz w:val="18"/>
                <w:szCs w:val="18"/>
              </w:rPr>
              <w:t>5. Výměna hardwaru a softwaru základních registrů</w:t>
            </w:r>
          </w:p>
          <w:p>
            <w:pPr>
              <w:spacing w:before="0" w:after="0"/>
              <w:rPr>
                <w:rFonts w:ascii="Times New Roman" w:hAnsi="Times New Roman"/>
                <w:noProof/>
                <w:color w:val="004300"/>
                <w:sz w:val="18"/>
                <w:szCs w:val="18"/>
              </w:rPr>
            </w:pPr>
            <w:r>
              <w:rPr>
                <w:rFonts w:ascii="Times New Roman" w:hAnsi="Times New Roman"/>
                <w:noProof/>
                <w:color w:val="004300"/>
                <w:sz w:val="18"/>
                <w:szCs w:val="18"/>
              </w:rPr>
              <w:t>6. Aktualizace a vylepšení základních registrů, včetně následujících: registr osob, registr obyvatel, registr práv a povinností, registr územní identifikace, adres a nemovitostí, informační systém ORG</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7. Související rozvoj a vylepšení integrovaného systému základních registrů a informačního systému sdílené služby</w:t>
            </w:r>
          </w:p>
          <w:p>
            <w:pPr>
              <w:spacing w:before="0" w:after="0"/>
              <w:rPr>
                <w:noProof/>
                <w:sz w:val="18"/>
                <w:szCs w:val="18"/>
              </w:rPr>
            </w:pPr>
            <w:r>
              <w:rPr>
                <w:rFonts w:ascii="Times New Roman" w:hAnsi="Times New Roman"/>
                <w:noProof/>
                <w:color w:val="004300"/>
                <w:sz w:val="18"/>
                <w:szCs w:val="18"/>
              </w:rPr>
              <w:t>8. Zdokonalení národního bodu pro identifikaci a autentizaci</w:t>
            </w:r>
          </w:p>
          <w:p>
            <w:pPr>
              <w:spacing w:before="0" w:after="0"/>
              <w:rPr>
                <w:rFonts w:ascii="Times New Roman" w:eastAsia="Times New Roman" w:hAnsi="Times New Roman"/>
                <w:noProof/>
                <w:color w:val="008080"/>
                <w:sz w:val="18"/>
                <w:szCs w:val="18"/>
                <w:u w:val="single"/>
              </w:rPr>
            </w:pPr>
            <w:r>
              <w:rPr>
                <w:rFonts w:ascii="Times New Roman" w:hAnsi="Times New Roman"/>
                <w:noProof/>
                <w:color w:val="004300"/>
                <w:sz w:val="18"/>
                <w:szCs w:val="18"/>
              </w:rPr>
              <w:t>9. Vývoj konsolidovaného rozhraní pro základní registry</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22</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2:</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Budování a rozvoj základních registrů a zázemí pro eGovernment</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sz w:val="18"/>
                <w:szCs w:val="18"/>
              </w:rPr>
            </w:pPr>
            <w:r>
              <w:rPr>
                <w:rFonts w:ascii="Times New Roman" w:hAnsi="Times New Roman"/>
                <w:noProof/>
                <w:color w:val="004300"/>
                <w:sz w:val="18"/>
                <w:szCs w:val="18"/>
              </w:rPr>
              <w:t>Poskytování služeb cloud computingu orgánům veřejné správy</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eGovernment cloud je zpřístupněn koncovým uživatelům a schopen poskytovat služby cloud computingu veřejné správě </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Q2</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Projekt vytvoří komunikační a informační infrastrukturu a softwarové aplikace pro rozšířené datové centrum v Zelenči (Česko) a informační systémy cloud computingu a Portálu elektronické veřejné správy (eGovernment) s cílem poskytovat datové služby eGovernment cloudu pro umožnění služeb cloud computingu (IaaS, SaaS) orgánům veřejné správy. Milník se považuje za dosažený, jakmile bude možné provozovat služby cloud computingu.</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23</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3:</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Kybernetická bezpečnost</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Modernizace bezpečnostního informačního systému a systému správy událostí policie ČR a rozšíření jeho využití na ochranu kybernetické bezpečnosti dalších pěti informačních systémů, které budou vybrány na základě studie rizik a proveditelnosti</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Uvedení do provozu plně funkčního a modernizovaného bezpečnostního informačního systému a systému správy událostí a dalších pěti informačních systémů vybraných na základě studie rizik a proveditelnosti.</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zvýší dostupnost infrastruktury monitorování bezpečnosti v rámci bezpečnostního informačního systému a systému správy událostí, která bude schopna zaznamenávat a vyhodnocovat bezpečnostních incidenty, a rozšíří kapacity a schopnosti policie a Ministerstva vnitra v Česku identifikovat bezpečnostní incidenty a incidenty IKT a reagovat na ně i na dálku, je-li omezen přístup ke kancelářské infrastruktuře.</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24</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3:</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Kybernetická bezpečnost</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sz w:val="18"/>
                <w:szCs w:val="18"/>
              </w:rPr>
            </w:pPr>
            <w:r>
              <w:rPr>
                <w:rFonts w:ascii="Times New Roman" w:hAnsi="Times New Roman"/>
                <w:noProof/>
                <w:color w:val="004300"/>
                <w:sz w:val="18"/>
                <w:szCs w:val="18"/>
              </w:rPr>
              <w:t>Dokončení projektů vedoucích ke zvýšení počtu informačních systémů, jejichž kybernetická bezpečnost byla posílena v souladu se zákonem č. 181/2014 Sb., o kybernetické bezpečnosti</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10</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3681"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hAnsi="Times New Roman"/>
                <w:noProof/>
                <w:color w:val="004300"/>
                <w:sz w:val="18"/>
                <w:szCs w:val="18"/>
              </w:rPr>
            </w:pPr>
            <w:r>
              <w:rPr>
                <w:rFonts w:ascii="Times New Roman" w:hAnsi="Times New Roman"/>
                <w:noProof/>
                <w:color w:val="004300"/>
                <w:sz w:val="18"/>
                <w:szCs w:val="18"/>
              </w:rPr>
              <w:t>Opatření zvýší kybernetickou bezpečnost vybraných informačních systémů v souladu s požadavky zákona č. 181/2014 Sb., o kybernetické bezpečnosti.</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Milník se považuje za dosažený poté, co Národní úřad pro kybernetickou a informační bezpečnost (NÚKIB) provede úspěšné a zdokumentované otestování nejméně deseti vybraných informačních systémů a ověření jejich souladu s požadavky kybernetické bezpečnosti, a orgány, které příslušné systémy vlastní, schválí dodání projektů.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25</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Reforma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Kompetenční centra pro podporu eGovernmentu, kybernetické bezpečnosti a elektronického zdravotnictví</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Úplné fungování tří kompetenčních center poskytujících konzultační služby orgánům, které provádějí změny v informačních systémech a v ekosystému eGovernmentu předpokládané v rámci reforem a investic podle bodu A komponenty č. 1.1 a bodu B komponenty č. 1.2 plánu pro oživení</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Kompetenční centra budou považována za plně funkční, jakmile začnou orgány veřejné správy předkládat a kompetenční centra schvalovat oficiální žádosti o konzultační služby</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Tři kompetenční centra pro eGovernment, kybernetickou bezpečnost a elektronické zdravotnictví budou poskytovat konzultační a poradenské služby orgánům při realizaci projektů v rámci reforem podle komponenty č. 1.1 a 1.2 a investic podle bodu A komponenty č. 1.1 a bodu B komponenty č. 1.2 plánu oživení.</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26</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Reforma č. 1:</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Kompetenční centra pro podporu eGovernmentu, kybernetické bezpečnosti a elektronického zdravotnictví</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Konzultace a pomoc týkající se témat souvisejících s opatřeními v rámci reforem podle komponenty č. 1.1 a 1.2 a investic podle bodu A komponenty č. 1.1 a bodu B komponenty č. 1.2 plánu oživení v rozsahu nejméně 5 člověkodnů, které budou poskytnuty konkrétním orgánům veřejné správy</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 poskytnutých konzultací v rozsahu nejméně 5 člověkodnů</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50</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 rámci opatření budou orgánům veřejné správy poskytovány odborné znalosti v oblasti provádění investic a reforem v rámci komponent č. 1.1 a 1.2. Do cíle se započítají pouze konzultace vyžadující nejméně pět člověkodnů.</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27</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Reforma č. 2:</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systémů podporujících elektronické zdravotnictví</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Rozšíření systému sdíleného lékového záznamu (eReceptu) o narkotika a psychotropní látky a o elektronické poukazy na zdravotnické prostředky</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Funkce systému eRecept jsou rozšířeny o předpisy na narkotika a psychotropní látky a o předpisy poukazů na zdravotnické prostředky</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Tímto opatřením se rozšíří stávající funkce systému eRecept, přičemž bude umožněno předepisování narkotik a psychotropních látek a poukazů na nákup zdravotnických prostředků.</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28</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Reforma č. 2:</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Rozvoj systémů podporujících elektronické zdravotnictví</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hAnsi="Times New Roman"/>
                <w:noProof/>
                <w:color w:val="004300"/>
                <w:sz w:val="18"/>
                <w:szCs w:val="18"/>
              </w:rPr>
            </w:pPr>
            <w:r>
              <w:rPr>
                <w:rFonts w:ascii="Times New Roman" w:hAnsi="Times New Roman"/>
                <w:noProof/>
                <w:color w:val="004300"/>
                <w:sz w:val="18"/>
                <w:szCs w:val="18"/>
              </w:rPr>
              <w:t>Dokončení projektů pro konsolidaci a rozvoj infrastruktury elektronického zdravotnictví s cílem vytvořit propojené databáze a zlepšit digitální zdravotnické služby</w:t>
            </w:r>
          </w:p>
          <w:p>
            <w:pPr>
              <w:spacing w:before="0" w:after="0"/>
              <w:rPr>
                <w:rFonts w:ascii="Times New Roman" w:eastAsia="Times New Roman" w:hAnsi="Times New Roman"/>
                <w:noProof/>
                <w:color w:val="004300"/>
                <w:sz w:val="18"/>
                <w:szCs w:val="18"/>
              </w:rPr>
            </w:pP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Koncoví uživatelé používají konsolidované nové služby vytvořené v rámci projektů a registry jsou propojeny</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Projekty zahrnuté do tohoto opatření budou konsolidovat systém zdravotnických registrů tohoto resortu, včetně informačních systémů krajských hygienických stanic, hygienických registrů, Národního zdravotnického informačního systému a integrované vzdělávací platformy. Příslušné zdravotnické registry budou propojeny se službami eGovernmentu. Dosažení tohoto milníku se ověří úspěšným testováním provedeným a zdokumentovaným vývojářem a schválením dodání projektu veřejným zadavatelem po úspěšné pilotní fázi. K projektům patří: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1. Optimalizace systému zdravotní péče pro pacienty se vzácnými onemocněními</w:t>
            </w:r>
          </w:p>
          <w:p>
            <w:pPr>
              <w:spacing w:before="0" w:after="0"/>
              <w:rPr>
                <w:rFonts w:ascii="Times New Roman" w:hAnsi="Times New Roman"/>
                <w:noProof/>
                <w:color w:val="004300"/>
                <w:sz w:val="18"/>
                <w:szCs w:val="18"/>
              </w:rPr>
            </w:pPr>
            <w:r>
              <w:rPr>
                <w:rFonts w:ascii="Times New Roman" w:hAnsi="Times New Roman"/>
                <w:noProof/>
                <w:color w:val="004300"/>
                <w:sz w:val="18"/>
                <w:szCs w:val="18"/>
              </w:rPr>
              <w:t>2. Rozvoj hygienických registrů zlepšením stávajících registrů hygienických služeb a informačních systémů souvisejících s řízením pandemických situací</w:t>
            </w:r>
          </w:p>
          <w:p>
            <w:pPr>
              <w:spacing w:before="0" w:after="0"/>
              <w:rPr>
                <w:rFonts w:ascii="Times New Roman" w:hAnsi="Times New Roman"/>
                <w:noProof/>
                <w:color w:val="004300"/>
                <w:sz w:val="18"/>
                <w:szCs w:val="18"/>
              </w:rPr>
            </w:pPr>
            <w:r>
              <w:rPr>
                <w:rFonts w:ascii="Times New Roman" w:hAnsi="Times New Roman"/>
                <w:noProof/>
                <w:color w:val="004300"/>
                <w:sz w:val="18"/>
                <w:szCs w:val="18"/>
              </w:rPr>
              <w:t>3. Rozvoj integrovaného informačního systému na podporu řízení hygienických služeb ve čtrnácti regionech Česka</w:t>
            </w:r>
          </w:p>
          <w:p>
            <w:pPr>
              <w:spacing w:before="0" w:after="0"/>
              <w:rPr>
                <w:rFonts w:ascii="Times New Roman" w:hAnsi="Times New Roman"/>
                <w:noProof/>
                <w:color w:val="004300"/>
                <w:sz w:val="18"/>
                <w:szCs w:val="18"/>
              </w:rPr>
            </w:pPr>
            <w:r>
              <w:rPr>
                <w:rFonts w:ascii="Times New Roman" w:hAnsi="Times New Roman"/>
                <w:noProof/>
                <w:color w:val="004300"/>
                <w:sz w:val="18"/>
                <w:szCs w:val="18"/>
              </w:rPr>
              <w:t>4. Rozvoj infrastruktury odvětvových referenčních registrů elektronického zdravotnictví, a to registrů poskytovatelů zdravotních služeb, zdravotnických pracovníků a pacientů, a podpůrných systémů</w:t>
            </w:r>
          </w:p>
          <w:p>
            <w:pPr>
              <w:spacing w:before="0" w:after="0"/>
              <w:rPr>
                <w:rFonts w:ascii="Times New Roman" w:hAnsi="Times New Roman"/>
                <w:noProof/>
                <w:color w:val="004300"/>
                <w:sz w:val="18"/>
                <w:szCs w:val="18"/>
              </w:rPr>
            </w:pPr>
            <w:r>
              <w:rPr>
                <w:rFonts w:ascii="Times New Roman" w:hAnsi="Times New Roman"/>
                <w:noProof/>
                <w:color w:val="004300"/>
                <w:sz w:val="18"/>
                <w:szCs w:val="18"/>
              </w:rPr>
              <w:t>5. Modernizace a zvýšení kapacity Národního zdravotnického informačního systému</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6. Vzdělávací program pro zdravotnické pracovníky týkající se používání systémů elektronického zdravotnictví.</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29</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Investice č. 4:</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Vytvoření předpokladů pro digitální justici</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Analýza správy dat a využívání dat v oblasti soudnictví a zavedení datového skladu</w:t>
            </w:r>
          </w:p>
        </w:tc>
        <w:tc>
          <w:tcPr>
            <w:tcW w:w="184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Analýza je schválena Ministerstvem spravedlnosti a datový sklad je zaveden</w:t>
            </w:r>
          </w:p>
        </w:tc>
        <w:tc>
          <w:tcPr>
            <w:tcW w:w="992"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850"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Q2</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 zahrnuje analýzu mapující potřeby v oblasti využívání dat a správy dat v soudnictví a na Ministerstvu spravedlnosti, jež bude sloužit jako základ pro přípravu budoucích projektů zaměřených na digitalizaci tohoto sektoru, a bude zahrnovat i zavedení datového skladu pro Ministerstvo spravedlnosti.</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30</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4:</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Vytvoření předpokladů pro digitální justici</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hAnsi="Times New Roman"/>
                <w:noProof/>
                <w:color w:val="004300"/>
                <w:sz w:val="18"/>
                <w:szCs w:val="18"/>
              </w:rPr>
            </w:pPr>
            <w:r>
              <w:rPr>
                <w:rFonts w:ascii="Times New Roman" w:hAnsi="Times New Roman"/>
                <w:noProof/>
                <w:color w:val="004300"/>
                <w:sz w:val="18"/>
                <w:szCs w:val="18"/>
              </w:rPr>
              <w:t>Zvýšení počtu konferenčních místností v systému soudnictví, které budou nově vybaveny a připojeny tak, aby umožnily videokonference</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 konferenčních místností</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170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470</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Opatření zvýší počet konferenčních místností vybavených videokonferenčními zařízeními.</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31</w:t>
            </w:r>
          </w:p>
        </w:tc>
        <w:tc>
          <w:tcPr>
            <w:tcW w:w="1448"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4:</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Vytvoření předpokladů pro digitální justici</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Zvýšení kapacity pro ukládání dat</w:t>
            </w:r>
          </w:p>
        </w:tc>
        <w:tc>
          <w:tcPr>
            <w:tcW w:w="1843"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Petabyte</w:t>
            </w:r>
          </w:p>
        </w:tc>
        <w:tc>
          <w:tcPr>
            <w:tcW w:w="850"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w:t>
            </w:r>
          </w:p>
        </w:tc>
        <w:tc>
          <w:tcPr>
            <w:tcW w:w="992"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368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Opatření zvýší kapacitu pro ukládání dat Ministerstva spravedlnosti, čímž bude posílena infrastruktura pro digitální pracoviště a práci na dálku.</w:t>
            </w:r>
          </w:p>
        </w:tc>
      </w:tr>
    </w:tbl>
    <w:p>
      <w:pPr>
        <w:pBdr>
          <w:top w:val="nil"/>
          <w:left w:val="nil"/>
          <w:bottom w:val="nil"/>
          <w:right w:val="nil"/>
          <w:between w:val="nil"/>
        </w:pBdr>
        <w:rPr>
          <w:b/>
          <w:noProof/>
          <w:color w:val="000000"/>
          <w:u w:val="single"/>
        </w:rPr>
        <w:sectPr>
          <w:headerReference w:type="even" r:id="rId34"/>
          <w:headerReference w:type="default" r:id="rId35"/>
          <w:footerReference w:type="even" r:id="rId36"/>
          <w:footerReference w:type="default" r:id="rId37"/>
          <w:headerReference w:type="first" r:id="rId38"/>
          <w:footerReference w:type="first" r:id="rId39"/>
          <w:pgSz w:w="16839" w:h="11907" w:orient="landscape"/>
          <w:pgMar w:top="1417" w:right="1134" w:bottom="1417" w:left="1134" w:header="709" w:footer="709" w:gutter="0"/>
          <w:cols w:space="720"/>
          <w:docGrid w:linePitch="299"/>
        </w:sectPr>
      </w:pPr>
    </w:p>
    <w:p>
      <w:pPr>
        <w:keepNext/>
        <w:tabs>
          <w:tab w:val="left" w:pos="850"/>
        </w:tabs>
        <w:spacing w:before="360"/>
        <w:jc w:val="both"/>
        <w:outlineLvl w:val="0"/>
        <w:rPr>
          <w:rFonts w:ascii="Times New Roman" w:hAnsi="Times New Roman"/>
          <w:b/>
          <w:bCs/>
          <w:smallCaps/>
          <w:noProof/>
          <w:sz w:val="24"/>
          <w:szCs w:val="24"/>
        </w:rPr>
      </w:pPr>
      <w:r>
        <w:rPr>
          <w:rFonts w:ascii="Times New Roman" w:hAnsi="Times New Roman"/>
          <w:b/>
          <w:bCs/>
          <w:smallCaps/>
          <w:noProof/>
          <w:sz w:val="24"/>
          <w:szCs w:val="24"/>
        </w:rPr>
        <w:t xml:space="preserve">C. KOMPONENTA č. 1.3: Digitální vysokokapacitní sítě </w:t>
      </w:r>
    </w:p>
    <w:p>
      <w:pPr>
        <w:jc w:val="both"/>
        <w:rPr>
          <w:rStyle w:val="normaltextrun"/>
          <w:rFonts w:ascii="Times New Roman" w:hAnsi="Times New Roman"/>
          <w:b/>
          <w:bCs/>
          <w:smallCaps/>
          <w:noProof/>
          <w:color w:val="000000"/>
          <w:sz w:val="24"/>
          <w:szCs w:val="24"/>
        </w:rPr>
      </w:pPr>
      <w:r>
        <w:rPr>
          <w:rStyle w:val="normaltextrun"/>
          <w:rFonts w:ascii="Times New Roman" w:hAnsi="Times New Roman"/>
          <w:noProof/>
          <w:color w:val="000000"/>
          <w:sz w:val="24"/>
          <w:szCs w:val="24"/>
          <w:shd w:val="clear" w:color="auto" w:fill="FFFFFF"/>
        </w:rPr>
        <w:t>Tato komponenta Plánu pro oživení a odolnost České republiky podporuje řešení otázky budování sítí s velmi vysokou kapacitou (very high capacity networks, dále jen „sítě VHCN“) s cílem maximalizovat přístup k datovým službám prostřednictvím internetového připojení pro občany, podniky, orgány veřejné správy a instituce, a to zejména ve venkovských oblastech. Komponenta je také zaměřena na vytvoření podmínek podporujících rozvoj sítí a služeb 5G.</w:t>
      </w:r>
    </w:p>
    <w:p>
      <w:pPr>
        <w:jc w:val="both"/>
        <w:textAlignment w:val="baseline"/>
        <w:rPr>
          <w:rFonts w:ascii="Times New Roman" w:eastAsia="Times New Roman" w:hAnsi="Times New Roman"/>
          <w:noProof/>
          <w:sz w:val="24"/>
          <w:szCs w:val="24"/>
        </w:rPr>
      </w:pPr>
      <w:r>
        <w:rPr>
          <w:rFonts w:ascii="Times New Roman" w:hAnsi="Times New Roman"/>
          <w:noProof/>
          <w:sz w:val="24"/>
          <w:szCs w:val="24"/>
        </w:rPr>
        <w:t xml:space="preserve">Komponenta přispívá k plnění doporučení pro zemi, podle něhož má Česko zaměřit investiční hospodářskou politiku na digitální infrastrukturu </w:t>
      </w:r>
      <w:r>
        <w:rPr>
          <w:rFonts w:ascii="Times New Roman" w:hAnsi="Times New Roman"/>
          <w:noProof/>
          <w:color w:val="000000"/>
          <w:sz w:val="24"/>
          <w:szCs w:val="24"/>
        </w:rPr>
        <w:t>(doporučení pro zemi č. 3 na rok 2019), a doporučení pro zemi, podle něhož má Česko zaměřit investice na digitální transformaci, zejména na vysokokapacitní digitální infrastrukturu a technologie (doporučení pro zemi č. 3 na rok 2020).</w:t>
      </w:r>
    </w:p>
    <w:p>
      <w:pPr>
        <w:jc w:val="both"/>
        <w:textAlignment w:val="baseline"/>
        <w:rPr>
          <w:rFonts w:ascii="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V souladu s technickými pokyny k uplatňování zásady „významně nepoškozovat“ (2021/C58/01) bude u všech investic do infrastruktury alespoň 70 % stavebního a demoličního odpadu připraveno k opětovnému použití nebo recyklaci.</w:t>
      </w:r>
      <w:r>
        <w:rPr>
          <w:rStyle w:val="FootnoteReference"/>
          <w:rFonts w:ascii="Times New Roman" w:hAnsi="Times New Roman"/>
          <w:noProof/>
          <w:sz w:val="24"/>
          <w:szCs w:val="24"/>
        </w:rPr>
        <w:footnoteReference w:id="2"/>
      </w:r>
    </w:p>
    <w:p>
      <w:pPr>
        <w:jc w:val="both"/>
        <w:textAlignment w:val="baseline"/>
        <w:rPr>
          <w:rFonts w:ascii="Times New Roman" w:eastAsia="Times New Roman" w:hAnsi="Times New Roman"/>
          <w:noProof/>
          <w:sz w:val="24"/>
          <w:szCs w:val="24"/>
          <w:lang w:eastAsia="en-IE"/>
        </w:rPr>
      </w:pPr>
    </w:p>
    <w:p>
      <w:pPr>
        <w:pBdr>
          <w:top w:val="nil"/>
          <w:left w:val="nil"/>
          <w:bottom w:val="nil"/>
          <w:right w:val="nil"/>
          <w:between w:val="nil"/>
        </w:pBdr>
        <w:rPr>
          <w:rFonts w:ascii="Times New Roman" w:hAnsi="Times New Roman"/>
          <w:b/>
          <w:i/>
          <w:noProof/>
          <w:sz w:val="24"/>
          <w:szCs w:val="24"/>
        </w:rPr>
      </w:pPr>
      <w:r>
        <w:rPr>
          <w:rFonts w:ascii="Times New Roman" w:hAnsi="Times New Roman"/>
          <w:b/>
          <w:noProof/>
          <w:color w:val="000000"/>
          <w:sz w:val="24"/>
          <w:szCs w:val="24"/>
          <w:u w:val="single"/>
        </w:rPr>
        <w:t>C.1 Popis reforem a investic pro nevratnou finanční podporu</w:t>
      </w:r>
    </w:p>
    <w:p>
      <w:pPr>
        <w:pBdr>
          <w:top w:val="nil"/>
          <w:left w:val="nil"/>
          <w:bottom w:val="nil"/>
          <w:right w:val="nil"/>
          <w:between w:val="nil"/>
        </w:pBdr>
        <w:rPr>
          <w:rFonts w:ascii="Times New Roman" w:hAnsi="Times New Roman"/>
          <w:noProof/>
          <w:color w:val="000000"/>
          <w:sz w:val="24"/>
          <w:szCs w:val="24"/>
        </w:rPr>
      </w:pPr>
      <w:r>
        <w:rPr>
          <w:rFonts w:ascii="Times New Roman" w:hAnsi="Times New Roman"/>
          <w:b/>
          <w:noProof/>
          <w:color w:val="000000"/>
          <w:sz w:val="24"/>
          <w:szCs w:val="24"/>
        </w:rPr>
        <w:t>Reforma č. 1: Zlepšení prostředí pro budování sítí elektronických komunikací</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Cílem této reformy je zlepšit schopnost shromažďovat informace o aktivní a pasivní infrastruktuře elektronické komunikace. Reforma je sladěna s cíli odvětvových právních předpisů Unie zaměřených na snížení nákladů na budování sítí, včetně směrnice 2014/61/EU o opatřeních ke snížení nákladů na budování vysokorychlostních sítí elektronických komunikací, jakož i cílům směrnice (EU) 2018/1972 (evropský kodex pro elektronické komunikace).</w:t>
      </w:r>
      <w:r>
        <w:rPr>
          <w:rFonts w:ascii="Times New Roman" w:hAnsi="Times New Roman"/>
          <w:noProof/>
          <w:sz w:val="24"/>
          <w:szCs w:val="24"/>
        </w:rPr>
        <w:t xml:space="preserve"> </w:t>
      </w:r>
    </w:p>
    <w:p>
      <w:pPr>
        <w:pBdr>
          <w:top w:val="nil"/>
          <w:left w:val="nil"/>
          <w:bottom w:val="nil"/>
          <w:right w:val="nil"/>
          <w:between w:val="nil"/>
        </w:pBdr>
        <w:tabs>
          <w:tab w:val="left" w:pos="6823"/>
        </w:tabs>
        <w:rPr>
          <w:rFonts w:ascii="Times New Roman" w:hAnsi="Times New Roman"/>
          <w:noProof/>
          <w:color w:val="000000"/>
          <w:sz w:val="24"/>
          <w:szCs w:val="24"/>
        </w:rPr>
      </w:pPr>
      <w:r>
        <w:rPr>
          <w:rFonts w:ascii="Times New Roman" w:hAnsi="Times New Roman"/>
          <w:noProof/>
          <w:color w:val="000000"/>
          <w:sz w:val="24"/>
          <w:szCs w:val="24"/>
        </w:rPr>
        <w:t xml:space="preserve">Reforma zahrnuje mimo jiné: </w:t>
      </w:r>
      <w:r>
        <w:rPr>
          <w:noProof/>
        </w:rPr>
        <w:tab/>
      </w:r>
    </w:p>
    <w:p>
      <w:pPr>
        <w:numPr>
          <w:ilvl w:val="0"/>
          <w:numId w:val="29"/>
        </w:num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Provádění opatření, včetně vstupu v platnost nezbytných legislativních úprav a dokončení technických specifikací, jejichž cílem je vytvoření databází plánovaných projektů.   </w:t>
      </w:r>
    </w:p>
    <w:p>
      <w:pPr>
        <w:numPr>
          <w:ilvl w:val="0"/>
          <w:numId w:val="29"/>
        </w:num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sz w:val="24"/>
          <w:szCs w:val="24"/>
        </w:rPr>
        <w:t>Dokončení objektů digitálních technických map (DTM), které umožňují přístup k přesným informacím o poloze a technické infrastruktuře veřejných a soukromých subjektů.</w:t>
      </w:r>
      <w:r>
        <w:rPr>
          <w:rFonts w:ascii="Times New Roman" w:hAnsi="Times New Roman"/>
          <w:noProof/>
          <w:color w:val="000000"/>
          <w:sz w:val="24"/>
          <w:szCs w:val="24"/>
        </w:rPr>
        <w:t xml:space="preserve"> </w:t>
      </w:r>
      <w:r>
        <w:rPr>
          <w:rFonts w:ascii="Times New Roman" w:hAnsi="Times New Roman"/>
          <w:noProof/>
          <w:sz w:val="24"/>
          <w:szCs w:val="24"/>
        </w:rPr>
        <w:t>Cílem opatření je digitalizace nejméně 161 000 hektarů základní prostorové situace a 55 000 km dopravních sítí a sítí technické infrastruktury.</w:t>
      </w:r>
      <w:r>
        <w:rPr>
          <w:rFonts w:ascii="Times New Roman" w:hAnsi="Times New Roman"/>
          <w:noProof/>
          <w:color w:val="000000"/>
          <w:sz w:val="24"/>
          <w:szCs w:val="24"/>
        </w:rPr>
        <w:t xml:space="preserve"> </w:t>
      </w:r>
    </w:p>
    <w:p>
      <w:pPr>
        <w:numPr>
          <w:ilvl w:val="0"/>
          <w:numId w:val="29"/>
        </w:numPr>
        <w:pBdr>
          <w:top w:val="nil"/>
          <w:left w:val="nil"/>
          <w:bottom w:val="nil"/>
          <w:right w:val="nil"/>
          <w:between w:val="nil"/>
        </w:pBdr>
        <w:jc w:val="both"/>
        <w:rPr>
          <w:noProof/>
          <w:color w:val="000000"/>
          <w:sz w:val="24"/>
          <w:szCs w:val="24"/>
        </w:rPr>
      </w:pPr>
      <w:r>
        <w:rPr>
          <w:rFonts w:ascii="Times New Roman" w:hAnsi="Times New Roman"/>
          <w:noProof/>
          <w:color w:val="000000"/>
          <w:sz w:val="24"/>
          <w:szCs w:val="24"/>
        </w:rPr>
        <w:t xml:space="preserve">Dokončení měření kvality sítě pro všech 76 okresů Česka a hlavního města s cílem poskytnout lepší informace o kvalitě 5G a pevné sítě a zkrátit dobu ověřování pokrytí sítí. Měření musí být v souladu s parametry kvality služby, definicemi a metodami měření uvedenými v příloze X směrnice (EU) 2018/1972 a musí se řídit pokyny sdružení BEREC, které parametry kvality služby podrobně popisují.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Dostupnost informací o stávající fyzické infrastruktuře a stavebních inženýrských pracích financovaných z veřejných prostředků zvýší účinnost sdílení fyzické infrastruktury pro budování vysokorychlostních sítí elektronických komunikací.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Opatření bude dokončeno do 31. prosince 2025. </w:t>
      </w:r>
    </w:p>
    <w:p>
      <w:pPr>
        <w:pBdr>
          <w:top w:val="nil"/>
          <w:left w:val="nil"/>
          <w:bottom w:val="nil"/>
          <w:right w:val="nil"/>
          <w:between w:val="nil"/>
        </w:pBdr>
        <w:rPr>
          <w:rFonts w:ascii="Times New Roman" w:hAnsi="Times New Roman"/>
          <w:b/>
          <w:bCs/>
          <w:noProof/>
          <w:color w:val="000000"/>
          <w:sz w:val="24"/>
          <w:szCs w:val="24"/>
        </w:rPr>
      </w:pPr>
      <w:r>
        <w:rPr>
          <w:rFonts w:ascii="Times New Roman" w:hAnsi="Times New Roman"/>
          <w:b/>
          <w:bCs/>
          <w:noProof/>
          <w:color w:val="000000"/>
          <w:sz w:val="24"/>
          <w:szCs w:val="24"/>
        </w:rPr>
        <w:t xml:space="preserve">Reforma č. 2: Podpora rozvoje ekosystému sítí 5G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Cílem tohoto opatření je vypracování strategického rámce na podporu sdílení infrastruktury pro sítě 5G, zejména v komerčně méně atraktivních oblastech, což umožní snížit spotřebu energie, rádiové emise i náklady na výstavbu a provoz sítě.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Opatření podpoří dokončení 25 studií, jejichž cílem je: </w:t>
      </w:r>
    </w:p>
    <w:p>
      <w:pPr>
        <w:numPr>
          <w:ilvl w:val="0"/>
          <w:numId w:val="28"/>
        </w:numPr>
        <w:pBdr>
          <w:top w:val="nil"/>
          <w:left w:val="nil"/>
          <w:bottom w:val="nil"/>
          <w:right w:val="nil"/>
          <w:between w:val="nil"/>
        </w:pBdr>
        <w:jc w:val="both"/>
        <w:rPr>
          <w:rFonts w:ascii="Times New Roman" w:eastAsia="Times New Roman" w:hAnsi="Times New Roman"/>
          <w:noProof/>
        </w:rPr>
      </w:pPr>
      <w:r>
        <w:rPr>
          <w:rFonts w:ascii="Times New Roman" w:hAnsi="Times New Roman"/>
          <w:noProof/>
          <w:sz w:val="24"/>
          <w:szCs w:val="24"/>
        </w:rPr>
        <w:t>přezkum národního plánu využití rádiového spektra a vyhodnocení stávajících procesů přidělování práv k využívání rádiového spektra a strategických plánů týkajících se tohoto přidělování s cílem co nejdříve využívat harmonizovaná kmitočtová pásma pro komerční účely v návaznosti na kritéria stanovená ve společném souboru nástrojů Unie pro konektivitu</w:t>
      </w:r>
      <w:r>
        <w:rPr>
          <w:rFonts w:ascii="Times New Roman" w:hAnsi="Times New Roman"/>
          <w:noProof/>
          <w:color w:val="000000"/>
          <w:sz w:val="24"/>
          <w:szCs w:val="24"/>
          <w:vertAlign w:val="superscript"/>
        </w:rPr>
        <w:footnoteReference w:id="3"/>
      </w:r>
      <w:r>
        <w:rPr>
          <w:rFonts w:ascii="Times New Roman" w:hAnsi="Times New Roman"/>
          <w:noProof/>
          <w:sz w:val="24"/>
          <w:szCs w:val="24"/>
        </w:rPr>
        <w:t>,</w:t>
      </w:r>
      <w:r>
        <w:rPr>
          <w:rFonts w:ascii="Times New Roman" w:hAnsi="Times New Roman"/>
          <w:noProof/>
          <w:color w:val="000000"/>
          <w:sz w:val="24"/>
          <w:szCs w:val="24"/>
        </w:rPr>
        <w:t xml:space="preserve"> </w:t>
      </w:r>
    </w:p>
    <w:p>
      <w:pPr>
        <w:numPr>
          <w:ilvl w:val="0"/>
          <w:numId w:val="28"/>
        </w:num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analýza proveditelnosti možnosti, že by provozovatelé hradili poplatky za přidělení rádiového spektra ve splátkách s cílem usnadnit investice do infrastruktury 5G,</w:t>
      </w:r>
    </w:p>
    <w:p>
      <w:pPr>
        <w:numPr>
          <w:ilvl w:val="0"/>
          <w:numId w:val="28"/>
        </w:num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identifikace a formulování výzev vyplývajících z kybernetické bezpečnosti, výstavba sítí elektronických komunikací v obcích a městech a rozvoj menších i velkých měst.</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Na základě těchto studií vypracuje platforma 5G aliance návrhy možností dalšího rozvoje ekosystému 5G. Tyto návrhy budou základem pokynů týkajících se sdílení pasivní a aktivní infrastruktury elektronických komunikací s cílem usnadnit zavádění sítí 5G, které budou v souladu se společným souborem nástrojů Unie na podporu konektivity a budou zohledňovat směrnici 2014/61/EU o opatřeních ke snížení nákladů na zavádění sítí vysokorychlostních elektronických komunikací, závěrečnou zprávu RSPG21-016 o sdílení spektra a zákon č. 143/2001 o ochraně hospodářské soutěže. Opatření rovněž předpokládá dokončení pilotního projektu využití frekvence 26 GHz v síti 5G zaměřeného na vypracování pokynů a algoritmů pro koordinaci postupů sdílení sítí 5G a rádiového spektra s dalšími službami v pásmu 26 GHz.</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Reforma bude dokončena do 31. prosince 2025. </w:t>
      </w:r>
    </w:p>
    <w:p>
      <w:pPr>
        <w:rPr>
          <w:rFonts w:ascii="Times New Roman" w:hAnsi="Times New Roman"/>
          <w:b/>
          <w:bCs/>
          <w:noProof/>
          <w:color w:val="000000"/>
          <w:sz w:val="24"/>
          <w:szCs w:val="24"/>
        </w:rPr>
      </w:pPr>
      <w:r>
        <w:rPr>
          <w:noProof/>
        </w:rPr>
        <w:br w:type="page"/>
      </w:r>
      <w:r>
        <w:rPr>
          <w:rFonts w:ascii="Times New Roman" w:hAnsi="Times New Roman"/>
          <w:b/>
          <w:bCs/>
          <w:noProof/>
          <w:color w:val="000000"/>
          <w:sz w:val="24"/>
          <w:szCs w:val="24"/>
        </w:rPr>
        <w:t xml:space="preserve">Investice č. 1: Vybudování vysokokapacitního připojení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Cílem tohoto opatření je podpořit výstavbu sítí pro připojení s velmi vysokou kapacitou (VHCN) se zvláštním zaměřením na venkovské oblasti, kde tržní řešení nejsou rentabilní a pro jejich zavádění existuje jen malá obchodní motivace. Tyto oblasti intervence budou určeny v souladu s platnými pravidly pro státní podporu a předloženy k veřejné konzultaci.</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U tohoto opatření bude zveřejněna alespoň jedna výzva k podávání návrhů na vybudování připojení s velmi vysokou kapacitou a její výsledek musí být zveřejněn do 31. prosince 2024. Při realizaci vybraných projektů se počet adresních míst připojených k síti VHCN, jak je stanoveno v pokynech sdružení BEREC k sítím s velmi vysokou kapacitou (připojení nejméně 1 Gb/s), zvýší alespoň o 23 000 jednotek.</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března 2026. </w:t>
      </w:r>
    </w:p>
    <w:p>
      <w:pPr>
        <w:jc w:val="both"/>
        <w:rPr>
          <w:rFonts w:ascii="Times New Roman" w:hAnsi="Times New Roman"/>
          <w:b/>
          <w:bCs/>
          <w:noProof/>
          <w:sz w:val="24"/>
          <w:szCs w:val="24"/>
        </w:rPr>
      </w:pPr>
      <w:r>
        <w:rPr>
          <w:rFonts w:ascii="Times New Roman" w:hAnsi="Times New Roman"/>
          <w:b/>
          <w:bCs/>
          <w:noProof/>
          <w:sz w:val="24"/>
          <w:szCs w:val="24"/>
        </w:rPr>
        <w:t xml:space="preserve">Investice č. 2: Dokrytí 5G koridorů a podpora rozvoje 5G </w:t>
      </w:r>
    </w:p>
    <w:p>
      <w:pPr>
        <w:jc w:val="both"/>
        <w:rPr>
          <w:rFonts w:ascii="Times New Roman" w:hAnsi="Times New Roman"/>
          <w:noProof/>
          <w:sz w:val="24"/>
          <w:szCs w:val="24"/>
        </w:rPr>
      </w:pPr>
      <w:r>
        <w:rPr>
          <w:rFonts w:ascii="Times New Roman" w:hAnsi="Times New Roman"/>
          <w:noProof/>
          <w:sz w:val="24"/>
          <w:szCs w:val="24"/>
        </w:rPr>
        <w:t>Cílem tohoto opatření je zlepšit pokrytí dopravních koridorů signálem 5G prostřednictvím investic do zařízení i do výzkumu a vývoje.</w:t>
      </w:r>
    </w:p>
    <w:p>
      <w:pPr>
        <w:jc w:val="both"/>
        <w:rPr>
          <w:rFonts w:ascii="Times New Roman" w:hAnsi="Times New Roman"/>
          <w:noProof/>
          <w:sz w:val="24"/>
          <w:szCs w:val="24"/>
        </w:rPr>
      </w:pPr>
      <w:r>
        <w:rPr>
          <w:rFonts w:ascii="Times New Roman" w:hAnsi="Times New Roman"/>
          <w:noProof/>
          <w:sz w:val="24"/>
          <w:szCs w:val="24"/>
        </w:rPr>
        <w:t xml:space="preserve">Při plnění tohoto cíle budou provedena tato opatření: </w:t>
      </w:r>
    </w:p>
    <w:p>
      <w:pPr>
        <w:numPr>
          <w:ilvl w:val="0"/>
          <w:numId w:val="27"/>
        </w:num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Zvýšení pokrytí železničních koridorů lepší úrovní signálu 5G. </w:t>
      </w:r>
      <w:r>
        <w:rPr>
          <w:rFonts w:ascii="Times New Roman" w:hAnsi="Times New Roman"/>
          <w:noProof/>
          <w:sz w:val="24"/>
          <w:szCs w:val="24"/>
        </w:rPr>
        <w:t>Na základě mapování pokrytí 4G provedeného Českým telekomunikačním úřadem budou do 30. září 2021 navrženy intervenční oblasti, čímž se zajistí, že tyto oblasti nebudou do tří let pokryty telekomunikačními operátory působícími na trhu.</w:t>
      </w:r>
      <w:r>
        <w:rPr>
          <w:rFonts w:ascii="Times New Roman" w:hAnsi="Times New Roman"/>
          <w:noProof/>
          <w:color w:val="000000"/>
          <w:sz w:val="24"/>
          <w:szCs w:val="24"/>
        </w:rPr>
        <w:t xml:space="preserve"> Budou pokryty tyto železniční koridory: Praha – Česká Třebová – Ostrava, Praha – Ústí nad Labem, Praha – Plzeň, Praha – České Budějovice a Česká Třebová – Brno.</w:t>
      </w:r>
    </w:p>
    <w:p>
      <w:pPr>
        <w:numPr>
          <w:ilvl w:val="0"/>
          <w:numId w:val="27"/>
        </w:num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Vybavení nejméně 350 železničních vagonů opakovači signálu nebo pasivními stěnami pro 5G. Dodavatelé budou vybráni na základě výzvy k podávání návrhů podle studie rozsahu a proveditelnosti projektu.</w:t>
      </w:r>
    </w:p>
    <w:p>
      <w:pPr>
        <w:numPr>
          <w:ilvl w:val="0"/>
          <w:numId w:val="27"/>
        </w:num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Vybudování a otestování kooperativního inteligentního dopravního systému pro železniční koridory (C-ITS) v sítích 5G. Čtvrtletní zprávy o zkouškách a získaných zkušenostech se zpřístupní ostatním dopravcům působícím ve výše uvedených železničních koridorech.</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Tato investice bude dokončena do 31. prosince 2025.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b/>
          <w:bCs/>
          <w:noProof/>
          <w:color w:val="000000"/>
          <w:sz w:val="24"/>
          <w:szCs w:val="24"/>
        </w:rPr>
        <w:t>Investice č. 3: Podpora rozvoje mobilní infrastruktury sítí 5G v investičně náročných bílých místech na venkově</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Cílem tohoto opatření je zlepšit pokrytí sítí 5G v tzv. „bílých místech“, tedy v oblastech, které doposud nikdy nebyly pokryty mobilním signálem vyšším než 3G a u kterých lze předpokládat, že v budoucnu nebudou pokryty základními sítěmi 5G z důvodu nízké předpokládané ziskovosti investice. </w:t>
      </w:r>
      <w:r>
        <w:rPr>
          <w:rFonts w:ascii="Times New Roman" w:hAnsi="Times New Roman"/>
          <w:noProof/>
          <w:sz w:val="24"/>
          <w:szCs w:val="24"/>
        </w:rPr>
        <w:t xml:space="preserve">Tato definice vychází z platných pravidel státní podpory a Národního plánu rozvoje sítí VHCN. </w:t>
      </w:r>
      <w:r>
        <w:rPr>
          <w:rFonts w:ascii="Times New Roman" w:hAnsi="Times New Roman"/>
          <w:noProof/>
          <w:color w:val="000000"/>
          <w:sz w:val="24"/>
          <w:szCs w:val="24"/>
        </w:rPr>
        <w:t xml:space="preserve">Tyto oblasti budou stanoveny na základě posouzení bílých základních sídelních jednotek, které provede Český telekomunikační úřad, a budou předloženy k veřejné konzultaci.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Pro dosažení tohoto cíle je třeba zveřejnit výzvy k podávání návrhů na výstavbu a zprovoznění základnových stanic (BTS) pro signály 5G. Ministerstvo průmyslu a obchodu navrhne oblasti intervence do 30. září 2021 a musí být zajištěno, že navrhované oblasti intervence nebudou po dobu tří let pokryty poskytovateli tržních telekomunikačních služeb. Výsledek těchto výzev k podávání návrhů bude zveřejněn do 31. prosince 2024.</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Realizací vybraných projektů se počet BTS zvýší o 120.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března 2026. </w:t>
      </w:r>
    </w:p>
    <w:p>
      <w:pPr>
        <w:jc w:val="both"/>
        <w:rPr>
          <w:rFonts w:ascii="Times New Roman" w:hAnsi="Times New Roman"/>
          <w:b/>
          <w:bCs/>
          <w:noProof/>
          <w:sz w:val="24"/>
          <w:szCs w:val="24"/>
        </w:rPr>
      </w:pPr>
      <w:r>
        <w:rPr>
          <w:rFonts w:ascii="Times New Roman" w:hAnsi="Times New Roman"/>
          <w:b/>
          <w:bCs/>
          <w:noProof/>
          <w:sz w:val="24"/>
          <w:szCs w:val="24"/>
        </w:rPr>
        <w:t>Investice č. 4: Vědeckovýzkumné činnosti související s rozvojem sítí a služeb 5G</w:t>
      </w:r>
    </w:p>
    <w:p>
      <w:pPr>
        <w:jc w:val="both"/>
        <w:rPr>
          <w:rFonts w:ascii="Times New Roman" w:hAnsi="Times New Roman"/>
          <w:noProof/>
          <w:sz w:val="24"/>
          <w:szCs w:val="24"/>
        </w:rPr>
      </w:pPr>
      <w:r>
        <w:rPr>
          <w:rFonts w:ascii="Times New Roman" w:hAnsi="Times New Roman"/>
          <w:noProof/>
          <w:sz w:val="24"/>
          <w:szCs w:val="24"/>
        </w:rPr>
        <w:t>Toto opatření je zaměřeno na podporu veřejných a soukromých subjektů působících v oblasti výzkumu, vývoje a inovací souvisejících se sítěmi a službami 5G.</w:t>
      </w:r>
    </w:p>
    <w:p>
      <w:pPr>
        <w:jc w:val="both"/>
        <w:rPr>
          <w:rFonts w:ascii="Times New Roman" w:hAnsi="Times New Roman"/>
          <w:noProof/>
          <w:color w:val="000000"/>
        </w:rPr>
      </w:pPr>
      <w:r>
        <w:rPr>
          <w:rFonts w:ascii="Times New Roman" w:hAnsi="Times New Roman"/>
          <w:noProof/>
          <w:sz w:val="24"/>
          <w:szCs w:val="24"/>
        </w:rPr>
        <w:t xml:space="preserve">Při plnění tohoto cíle je třeba vyhlásit výzvu k podávání návrhů na projekty vědeckého výzkumu týkající se technologického rozvoje sítí 5G a aplikací pro ekosystém 5G. Projekty budou zaměřeny na využití aplikací 5G v průmyslu a službách, zejména na využívání nových technologií ve výrobních procesech automobilového průmyslu a dalších klíčových odvětvích se zohledněním zásad oběhového hospodářství získáváním druhotných surovin. Podporu je třeba rovněž zaměřit na projekty podporující rozvoj a šíření automatizace, robotizace, umělé inteligence a virtuální nebo rozšířené reality. K potenciálním příjemcům patří podniky nebo veřejné výzkumné organizace. Nejméně dvacet projektů musí být vybráno do 31. prosince 2024. </w:t>
      </w:r>
      <w:r>
        <w:rPr>
          <w:rFonts w:ascii="Times New Roman" w:hAnsi="Times New Roman"/>
          <w:noProof/>
          <w:color w:val="000000"/>
          <w:sz w:val="24"/>
          <w:szCs w:val="24"/>
        </w:rPr>
        <w:t>Během následné prováděcí fáze musí být nejméně dvacet vybraných projektů dokončeno.</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2025. </w:t>
      </w:r>
    </w:p>
    <w:p>
      <w:pPr>
        <w:pBdr>
          <w:top w:val="nil"/>
          <w:left w:val="nil"/>
          <w:bottom w:val="nil"/>
          <w:right w:val="nil"/>
          <w:between w:val="nil"/>
        </w:pBdr>
        <w:rPr>
          <w:rFonts w:ascii="Times New Roman" w:hAnsi="Times New Roman"/>
          <w:b/>
          <w:noProof/>
          <w:sz w:val="24"/>
          <w:u w:val="single"/>
        </w:rPr>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8" w:bottom="1134" w:left="1418" w:header="709" w:footer="709" w:gutter="0"/>
          <w:cols w:space="720"/>
          <w:docGrid w:linePitch="360"/>
        </w:sectPr>
      </w:pPr>
    </w:p>
    <w:p>
      <w:pPr>
        <w:pBdr>
          <w:top w:val="nil"/>
          <w:left w:val="nil"/>
          <w:bottom w:val="nil"/>
          <w:right w:val="nil"/>
          <w:between w:val="nil"/>
        </w:pBdr>
        <w:rPr>
          <w:rFonts w:ascii="Times New Roman" w:hAnsi="Times New Roman"/>
          <w:b/>
          <w:bCs/>
          <w:noProof/>
          <w:sz w:val="24"/>
          <w:u w:val="single"/>
        </w:rPr>
      </w:pPr>
      <w:r>
        <w:rPr>
          <w:rFonts w:ascii="Times New Roman" w:hAnsi="Times New Roman"/>
          <w:b/>
          <w:noProof/>
          <w:sz w:val="24"/>
          <w:u w:val="single"/>
        </w:rPr>
        <w:t>C.2 Milníky, cíle, ukazatele a harmonogram monitorování a provádění nevratné finanční podpory</w:t>
      </w:r>
      <w:r>
        <w:rPr>
          <w:rFonts w:ascii="Times New Roman" w:hAnsi="Times New Roman"/>
          <w:b/>
          <w:bCs/>
          <w:noProof/>
          <w:sz w:val="24"/>
          <w:u w:val="single"/>
        </w:rPr>
        <w:t xml:space="preserve"> </w:t>
      </w:r>
    </w:p>
    <w:p>
      <w:pPr>
        <w:pBdr>
          <w:top w:val="nil"/>
          <w:left w:val="nil"/>
          <w:bottom w:val="nil"/>
          <w:right w:val="nil"/>
          <w:between w:val="nil"/>
        </w:pBdr>
        <w:rPr>
          <w:rFonts w:ascii="Times New Roman" w:hAnsi="Times New Roman"/>
          <w:b/>
          <w:bCs/>
          <w:noProof/>
          <w:sz w:val="24"/>
          <w:u w:val="single"/>
        </w:rPr>
      </w:pPr>
    </w:p>
    <w:tbl>
      <w:tblPr>
        <w:tblW w:w="14564" w:type="dxa"/>
        <w:jc w:val="center"/>
        <w:tblLayout w:type="fixed"/>
        <w:tblLook w:val="0400" w:firstRow="0" w:lastRow="0" w:firstColumn="0" w:lastColumn="0" w:noHBand="0" w:noVBand="1"/>
      </w:tblPr>
      <w:tblGrid>
        <w:gridCol w:w="675"/>
        <w:gridCol w:w="1449"/>
        <w:gridCol w:w="992"/>
        <w:gridCol w:w="1701"/>
        <w:gridCol w:w="1276"/>
        <w:gridCol w:w="850"/>
        <w:gridCol w:w="709"/>
        <w:gridCol w:w="709"/>
        <w:gridCol w:w="992"/>
        <w:gridCol w:w="709"/>
        <w:gridCol w:w="4502"/>
      </w:tblGrid>
      <w:tr>
        <w:trPr>
          <w:trHeight w:val="615"/>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Název</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Orientační harmonogram dokončení</w:t>
            </w:r>
          </w:p>
        </w:tc>
        <w:tc>
          <w:tcPr>
            <w:tcW w:w="450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159"/>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49" w:type="dxa"/>
            <w:vMerge/>
            <w:tcBorders>
              <w:top w:val="single" w:sz="4" w:space="0" w:color="auto"/>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276" w:type="dxa"/>
            <w:vMerge/>
            <w:tcBorders>
              <w:top w:val="single" w:sz="4" w:space="0" w:color="auto"/>
              <w:lef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0" w:type="dxa"/>
            <w:tcBorders>
              <w:top w:val="single" w:sz="4" w:space="0" w:color="auto"/>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Měrná jednotka</w:t>
            </w:r>
          </w:p>
        </w:tc>
        <w:tc>
          <w:tcPr>
            <w:tcW w:w="709" w:type="dxa"/>
            <w:tcBorders>
              <w:top w:val="single" w:sz="4" w:space="0" w:color="auto"/>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Výchozí stav</w:t>
            </w:r>
          </w:p>
        </w:tc>
        <w:tc>
          <w:tcPr>
            <w:tcW w:w="709" w:type="dxa"/>
            <w:tcBorders>
              <w:top w:val="single" w:sz="4" w:space="0" w:color="auto"/>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Cíl</w:t>
            </w:r>
          </w:p>
        </w:tc>
        <w:tc>
          <w:tcPr>
            <w:tcW w:w="992" w:type="dxa"/>
            <w:tcBorders>
              <w:top w:val="single" w:sz="4" w:space="0" w:color="auto"/>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Čtvrtletí</w:t>
            </w:r>
          </w:p>
        </w:tc>
        <w:tc>
          <w:tcPr>
            <w:tcW w:w="709" w:type="dxa"/>
            <w:tcBorders>
              <w:top w:val="single" w:sz="4" w:space="0" w:color="auto"/>
              <w:left w:val="single" w:sz="8" w:space="0" w:color="000000"/>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Rok</w:t>
            </w:r>
          </w:p>
        </w:tc>
        <w:tc>
          <w:tcPr>
            <w:tcW w:w="4502" w:type="dxa"/>
            <w:vMerge/>
            <w:tcBorders>
              <w:top w:val="single" w:sz="4" w:space="0" w:color="auto"/>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675"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32</w:t>
            </w:r>
          </w:p>
        </w:tc>
        <w:tc>
          <w:tcPr>
            <w:tcW w:w="1449"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1: Zlepšení prostředí pro budování sítí elektronických komunikací </w:t>
            </w:r>
          </w:p>
        </w:tc>
        <w:tc>
          <w:tcPr>
            <w:tcW w:w="99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Milník </w:t>
            </w:r>
          </w:p>
        </w:tc>
        <w:tc>
          <w:tcPr>
            <w:tcW w:w="170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Vstup v platnost opatření připravených Ministerstvem průmyslu a obchodu, jejichž cílem je vytvořit databázi plánů investičních projektů a zvýšit počet měření kvality sítě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Ustanovení zákonů s uvedením vstupu v platnost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Q2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2023 </w:t>
            </w:r>
          </w:p>
        </w:tc>
        <w:tc>
          <w:tcPr>
            <w:tcW w:w="450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Vstoupí v platnost nezbytné legislativní úpravy a budou dokončeny technické specifikace zaměřené na zřízení databází záměrů investičních projektů ve smyslu zákona č. 194/2017 Sb., odst. 11, bodu 2 a zvýšení počtu měření kvality sítí elektronických komunikací. Vnitrostátní regulační orgán provádí nabídková řízení a pořizuje nezbytné vybavení. Kvalita a použitelnost poskytovaných informací musí být v souladu se závaznými technickými parametry.</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33</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1: Zlepšení prostředí pro budování sítí elektronických komunikací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 xml:space="preserve">Dokončení digitálních technických map (DTM) objektů pro základní prostorovou situaci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Hektary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161 000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Musí být doplněny digitální technické mapy (DTM) objektů umožňující přístup k přesným informacím o umístění objektů základní prostorové situace ve vlastnictví veřejných a soukromých subjektů. Bude digitalizováno 161 000 ha objektů základní prostorové situace. Výsledné objekty DTM musí být veřejně přístupné.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34 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1: Zlepšení prostředí pro budování sítí elektronických komunikací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Dokončení digitálních technických map (DTM) objektů pro dopravní sítě a sítě technické infrastruktury</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km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55 000 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Musí být doplněny digitální technické mapy (DTM) objektů, které umožňují přístup k přesným informacím o umístění a technických specifikacích sítí fyzické infrastruktury ve vlastnictví veřejných a soukromých subjektů. Bude digitalizováno 55 000 km sítí dopravní a technické infrastruktury. Výsledné objekty DTM musí být veřejně přístupné.</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35 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1: Zlepšení prostředí pro budování sítí elektronických komunikací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Dokončení měření kvality elektronické komunikace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Počet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eastAsia="Times New Roman" w:hAnsi="Times New Roman"/>
                <w:noProof/>
                <w:sz w:val="18"/>
                <w:szCs w:val="18"/>
              </w:rPr>
            </w:pPr>
            <w:r>
              <w:rPr>
                <w:rFonts w:ascii="Times New Roman" w:hAnsi="Times New Roman"/>
                <w:noProof/>
                <w:color w:val="006100"/>
                <w:sz w:val="18"/>
                <w:szCs w:val="18"/>
              </w:rPr>
              <w:t>77</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Bude dokončeno měření kvality sítě ve všech 76 okresech Česka a hlavního města.</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36 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2: Podpora rozvoje ekosystému sítí 5G</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Zveřejnění studií zaměřených na zlepšení zavádění sítí 5G Ministerstvem průmyslu a obchodu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Počet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2024 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before="0" w:after="0"/>
              <w:textAlignment w:val="baseline"/>
              <w:rPr>
                <w:rFonts w:ascii="Times New Roman" w:eastAsia="Times New Roman" w:hAnsi="Times New Roman"/>
                <w:noProof/>
                <w:color w:val="004300"/>
                <w:sz w:val="18"/>
                <w:szCs w:val="18"/>
              </w:rPr>
            </w:pPr>
            <w:r>
              <w:rPr>
                <w:rFonts w:ascii="Times New Roman" w:hAnsi="Times New Roman"/>
                <w:noProof/>
                <w:color w:val="004300"/>
                <w:sz w:val="18"/>
                <w:szCs w:val="18"/>
              </w:rPr>
              <w:t>Studie budou mít tyto cíle:</w:t>
            </w:r>
          </w:p>
          <w:p>
            <w:pPr>
              <w:numPr>
                <w:ilvl w:val="0"/>
                <w:numId w:val="46"/>
              </w:numPr>
              <w:spacing w:before="0" w:after="0"/>
              <w:textAlignment w:val="baseline"/>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přezkum národního plánu využití rádiového spektra a vyhodnocení stávajících procesů udělování práv k využívání rádiového spektra a strategických plánů týkajících se tohoto udělování s cílem co nejdříve využívat harmonizovaná pásma pro komerční účely, </w:t>
            </w:r>
          </w:p>
          <w:p>
            <w:pPr>
              <w:numPr>
                <w:ilvl w:val="0"/>
                <w:numId w:val="46"/>
              </w:numPr>
              <w:spacing w:before="0" w:after="0"/>
              <w:textAlignment w:val="baseline"/>
              <w:rPr>
                <w:rFonts w:ascii="Times New Roman" w:eastAsia="Times New Roman" w:hAnsi="Times New Roman"/>
                <w:noProof/>
                <w:color w:val="006100"/>
                <w:sz w:val="18"/>
                <w:szCs w:val="18"/>
              </w:rPr>
            </w:pPr>
            <w:r>
              <w:rPr>
                <w:rFonts w:ascii="Times New Roman" w:hAnsi="Times New Roman"/>
                <w:noProof/>
                <w:color w:val="004300"/>
                <w:sz w:val="18"/>
                <w:szCs w:val="18"/>
              </w:rPr>
              <w:t>analýza proveditelnosti možnosti, že by provozovatelé hradili poplatky za přidělení rádiového spektra ve splátkách s cílem usnadnit investice do infrastruktury 5G,</w:t>
            </w:r>
          </w:p>
          <w:p>
            <w:pPr>
              <w:numPr>
                <w:ilvl w:val="0"/>
                <w:numId w:val="46"/>
              </w:numPr>
              <w:spacing w:before="0" w:after="0"/>
              <w:textAlignment w:val="baseline"/>
              <w:rPr>
                <w:rFonts w:ascii="Times New Roman" w:eastAsia="Times New Roman" w:hAnsi="Times New Roman"/>
                <w:noProof/>
                <w:color w:val="006100"/>
                <w:sz w:val="18"/>
                <w:szCs w:val="18"/>
              </w:rPr>
            </w:pPr>
            <w:r>
              <w:rPr>
                <w:rFonts w:ascii="Times New Roman" w:hAnsi="Times New Roman"/>
                <w:noProof/>
                <w:color w:val="004300"/>
                <w:sz w:val="18"/>
                <w:szCs w:val="18"/>
              </w:rPr>
              <w:t xml:space="preserve">určení výzev vyplývajících z kybernetické bezpečnosti, </w:t>
            </w:r>
          </w:p>
          <w:p>
            <w:pPr>
              <w:numPr>
                <w:ilvl w:val="0"/>
                <w:numId w:val="46"/>
              </w:numPr>
              <w:spacing w:before="0" w:after="0"/>
              <w:textAlignment w:val="baseline"/>
              <w:rPr>
                <w:rFonts w:ascii="Times New Roman" w:eastAsia="Times New Roman" w:hAnsi="Times New Roman"/>
                <w:noProof/>
                <w:color w:val="006100"/>
                <w:sz w:val="18"/>
                <w:szCs w:val="18"/>
              </w:rPr>
            </w:pPr>
            <w:r>
              <w:rPr>
                <w:rFonts w:ascii="Times New Roman" w:hAnsi="Times New Roman"/>
                <w:noProof/>
                <w:color w:val="004300"/>
                <w:sz w:val="18"/>
                <w:szCs w:val="18"/>
              </w:rPr>
              <w:t>výstavba sítí elektronických komunikací v obcích a městech a rozvoj měst.</w:t>
            </w:r>
          </w:p>
          <w:p>
            <w:pPr>
              <w:spacing w:before="0" w:after="0"/>
              <w:textAlignment w:val="baseline"/>
              <w:rPr>
                <w:rFonts w:ascii="Times New Roman" w:eastAsia="Times New Roman" w:hAnsi="Times New Roman"/>
                <w:noProof/>
                <w:color w:val="004300"/>
                <w:sz w:val="18"/>
                <w:szCs w:val="18"/>
                <w:lang w:eastAsia="en-IE"/>
              </w:rPr>
            </w:pPr>
          </w:p>
          <w:p>
            <w:pPr>
              <w:spacing w:before="0" w:after="0"/>
              <w:textAlignment w:val="baseline"/>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Studie se zaměří konkrétně na tyto otázky: </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aplikovatelnost 5G prvků a standardů v jednotlivých sektorech a návrhy technického provedení a regulačních opatření,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koncept a použití digitálního dvojčete síťové infrastruktury 5G,</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satelitní komunikace pro 5G – koexistenci a kooperaci pozemních a satelitních 5G sítí,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aplikovatelnost technologie FeMBMS (Further evolved Multimedia Broadcast Multicast Service) v 5G sítích pro televizní vysílání a audiovizuální mediální služby včetně strategie budoucího využití kmitočtového pásma 600 MHz pro televizní vysílání,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systémů FRMCS (Future Railway Mobile Communication Systems) v železniční dopravě včetně vyhrazených kanálů v pásmech 900 MHz a 1900 MHz,</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kvantové technologie pro vyšší zabezpečení 5G sítí a služeb,</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možnosti sdílení spektra využitelného pro 5G sítě,</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kmitočtového pásma 26 GHz pro 5G sítě,</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moderních informačních systémů včetně sdílení software prostřednictvím zdrojů „open source“ nebo jinými formami sdílení (například cloud serverů) v 5G sítích,</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systému plátkování 5G sítí pro veřejné a neveřejné 5G sítě,</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propojení prvků komunikace internetu věcí (IoT) a 5G sítí,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využití 5G sítí pro FWA (pevný bezdrátový přístup),</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dopady přístupů Open RAN (rádiová přístupová síť) a Open Core na bezpečnost 5G sítí,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létající komunikační platformy (drony, bezpilotní vzdušné prostředky, balóny) a jejich dopad do regulace elektronických komunikací,</w:t>
            </w:r>
          </w:p>
          <w:p>
            <w:pPr>
              <w:pStyle w:val="K-TextInfo"/>
              <w:numPr>
                <w:ilvl w:val="0"/>
                <w:numId w:val="45"/>
              </w:numPr>
              <w:spacing w:before="0" w:after="0"/>
              <w:rPr>
                <w:rFonts w:eastAsia="Times New Roman"/>
                <w:i w:val="0"/>
                <w:iCs w:val="0"/>
                <w:noProof/>
                <w:color w:val="004300"/>
                <w:sz w:val="18"/>
                <w:szCs w:val="18"/>
              </w:rPr>
            </w:pPr>
            <w:r>
              <w:rPr>
                <w:i w:val="0"/>
                <w:iCs w:val="0"/>
                <w:noProof/>
                <w:color w:val="004300"/>
                <w:sz w:val="18"/>
                <w:szCs w:val="18"/>
              </w:rPr>
              <w:t>inteligentní radiová prostředí, kde jsou aplikovány prvky on-line měření elektromagnetického záření a užití inteligentních odrazných povrchů,</w:t>
            </w:r>
          </w:p>
          <w:p>
            <w:pPr>
              <w:pStyle w:val="K-TextInfo"/>
              <w:numPr>
                <w:ilvl w:val="0"/>
                <w:numId w:val="45"/>
              </w:numPr>
              <w:spacing w:before="0" w:after="0"/>
              <w:rPr>
                <w:rFonts w:eastAsia="Times New Roman"/>
                <w:b/>
                <w:noProof/>
                <w:color w:val="006100"/>
                <w:sz w:val="18"/>
                <w:szCs w:val="18"/>
              </w:rPr>
            </w:pPr>
            <w:r>
              <w:rPr>
                <w:i w:val="0"/>
                <w:iCs w:val="0"/>
                <w:noProof/>
                <w:color w:val="004300"/>
                <w:sz w:val="18"/>
                <w:szCs w:val="18"/>
              </w:rPr>
              <w:t>vývoj 6G sítí v pásmech nad 100 GHz.</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37 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Reforma č. 2: Podpora rozvoje ekosystému sítí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Milník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Zveřejnění pokynů týkajících se zavádění sítí 5G Ministerstvem průmyslu a obchodu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Zveřejnění pokynů Ministerstvem průmyslu a obchodu</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 xml:space="preserve">Budou zveřejněny pokyny týkající se sdílení pasivní a aktivní infrastruktury s cílem usnadnit zavádění sítí 5G, které budou v souladu se společným souborem nástrojů Unie na podporu konektivity a budou zohledňovat směrnici 2014/61/EU o opatřeních ke snížení nákladů na zavádění sítí vysokorychlostních elektronických komunikací, závěrečnou zprávu RSPG21-016 o sdílení spektra a zákon č. 143/2001 o ochraně hospodářské soutěže. Pokyny budou vycházet ze studií zveřejněných v rámci téhož opatření. Opatření předpokládá zejména vypracování pokynů a algoritmů pro postupy koordinace rádiového spektra 5G a sdílení spektra s dalšími službami v pásmu 26 GHz.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38 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1: Vybudování vysokokapacitního připojení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Milník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Vydání všech rozhodnutí o udělení grantu na připojení adresních míst k síti s velmi vysokou kapacitou (VHCN) ministerstvem průmyslu a obchodu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Oznámení všech rozhodnutí o udělení grantu na připojení adresních míst k síti s velmi vysokou kapacitou (VHCN) ministerstvem průmyslu a obchodu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2024 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Oznámení všech rozhodnutí o udělení grantu na připojení adresních míst k síti s velmi vysokou kapacitou (VHCN) ministerstvem průmyslu a obchodu Výzvy k podávání návrhů musí obsahovat vymezení způsobilých výdajů, modely hodnocení a kritéria výběru a hodnocení projektů, pravidla pro žadatele a příjemce a pokyny pro velkoobchodní nabídky.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39 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1: Vybudování vysokokapacitního připojení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Dokončení adresních míst připojených k síti s velmi vysokou kapacitou (VHCN)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Počet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23 000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Q1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2026 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Bude vybudována infrastruktura pro zvýšení počtu adresních míst připojených k síti s velmi vysokou kapacitou (VHCN), čímž se počet připojených adresních míst zvýší o 23 000. Síť s velmi vysokou kapacitou musí být v souladu s pokyny sdružení BEREC k sítím s velmi vysokou kapacitou.</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40</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2: Dokrytí 5G koridorů a podpora rozvoje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Dokončení pokrytí zvýšenou úrovní signálu 5G ve vybraných železničních koridorech</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km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Opatření zvýší kvalitu pokrytí signálem 5G (nad rámec již stanovených kritérií pokrytí získaných z aukcí spektra) na úseku v délce alespoň 210 km v těchto železničních koridorech: Praha – Česká Třebová – Ostrava, Praha – Ústí nad Labem, Praha – Plzeň, Praha – České Budějovice a Česká Třebová – Brno.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41 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2: Dokrytí 5G koridorů a podpora rozvoje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Dokončení vybavení železničních vagonů opakovači pro pokrytí mobilním signálem a pasivními stěnami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Počet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350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Stávající vagony musí být vybaveny funkčními opakovači 5G nebo pasivními stěnami pro kvalitní poskytování mobilních datových služeb.</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42 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2: Dokrytí 5G koridorů a podpora rozvoje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Milník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4300"/>
                <w:sz w:val="18"/>
                <w:szCs w:val="18"/>
              </w:rPr>
              <w:t>Instalace a otestování inteligentního dopravního systému (C-ITS)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Dokončení instalace a testování systému C-ITS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2025 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Podpora ekosystémových aplikací 5G v koridorech zahrnuje vybudování a testování inteligentního dopravního systému pro železniční koridory (C-ITS). Ministerstvo průmyslu a obchodu spolu s Ministerstvem dopravy zveřejní zprávu o výsledcích tohoto projektu.</w:t>
            </w:r>
          </w:p>
        </w:tc>
      </w:tr>
      <w:tr>
        <w:trPr>
          <w:trHeight w:val="486"/>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43 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Investice č. 3: Podpora rozvoje mobilní infrastruktury sítí 5G v investičně náročných bílých místech na venkově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Milník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Vydání všech rozhodnutí o udělení grantu na připojení obcí k sítím s velmi vysokou kapacitou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Oznámení všech rozhodnutí o udělení grantu na připojení obcí k síti s velmi vysokou kapacitou ministerstvem průmyslu a obchodu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4300"/>
                <w:sz w:val="18"/>
                <w:szCs w:val="18"/>
              </w:rPr>
              <w: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4300"/>
                <w:sz w:val="18"/>
                <w:szCs w:val="18"/>
              </w:rPr>
              <w:t>2024 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Oznámení všech rozhodnutí o udělení grantu na připojení obcí k síti s velmi vysokou kapacitou ministerstvem průmyslu a obchodu Výzvy k podávání návrhů musí obsahovat vymezení způsobilých výdajů, modely hodnocení a kritéria výběru a hodnocení projektů, pravidla pro žadatele a příjemce a pokyny pro velkoobchodní nabídky. Kritéria výběru musí být mimo jiné v souladu s pokyny sdružení BEREC k sítím s velmi vysokou kapacitou. </w:t>
            </w:r>
          </w:p>
          <w:p>
            <w:pPr>
              <w:rPr>
                <w:rFonts w:ascii="Times New Roman" w:hAnsi="Times New Roman"/>
                <w:noProof/>
                <w:color w:val="004300"/>
                <w:sz w:val="18"/>
                <w:szCs w:val="18"/>
              </w:rPr>
            </w:pPr>
            <w:r>
              <w:rPr>
                <w:rFonts w:ascii="Times New Roman" w:hAnsi="Times New Roman"/>
                <w:noProof/>
                <w:color w:val="004300"/>
                <w:sz w:val="18"/>
                <w:szCs w:val="18"/>
              </w:rPr>
              <w:t>Obce se musí nacházet výhradně v oblastech, které dosud nikdy nebyly pokryty mobilním signálem vyšším než 3G a u kterých lze předpokládat, že v budoucnu nebudou pokryty základními sítěmi 5G z důvodu nízké předpokládané ziskovosti investice. Tyto oblasti budou určeny v souladu s platnými pravidly pro státní podporu a Národním plánem rozvoje sítí VHCN.</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44 </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3: Podpora rozvoje mobilní infrastruktury sítí 5G v investičně náročných bílých místech na venkově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Dokončení základnových stanic pro signál 5G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Bude vybudována a uvedena do provozu infrastruktura (zahrnující 120 základnových stanic), která zajistí pokrytí signálem 5G pro obce v investičně náročných venkovských oblastech, určených v rámci investice č. 3.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45</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4: Vědeckovýzkumné činnosti související s rozvojem sítí a služeb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Vydání všech rozhodnutí o udělení grantu na projekty vědeckého výzkumu týkající se sítí 5G </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Oznámení všech rozhodnutí o udělení grantu na projekty vědeckého výzkumu týkající se sítí 5G ministerstvem průmyslu a obchodu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lang w:eastAsia="en-IE"/>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2024 </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Oznámení všech rozhodnutí o udělení grantu na projekty vědeckého výzkumu týkající se sítí 5G ministerstvem průmyslu a obchodu Projekty budou zaměřeny na využití aplikací 5G v průmyslu a službách, zejména na využívání nových technologií ve výrobních procesech automobilového průmyslu a dalších klíčových odvětvích se zohledněním zásad oběhového hospodářství získáváním druhotných surovin. Podporu je třeba rovněž zaměřit na projekty podporující rozvoj a šíření automatizace, robotizace, umělé inteligence a virtuální nebo rozšířené reality. K potenciálním příjemcům patří podniky nebo veřejné výzkumné organizace. </w:t>
            </w:r>
          </w:p>
        </w:tc>
      </w:tr>
      <w:tr>
        <w:trPr>
          <w:trHeight w:val="3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46</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4: Vědeckovýzkumné činnosti související s rozvojem sítí a služeb 5G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Dokončení projektů vědeckého výzkumu souvisejících se sítěmi 5G</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lang w:eastAsia="en-IE"/>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podpořených projektů</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0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Bude dokončeno nejméně dvacet z dříve vybraných projektů vědeckého výzkumu týkajících se potenciálního dalšího rozvoje sítí a služeb 5G. Ministerstvo průmyslu a obchodu zveřejní výsledné studie.</w:t>
            </w:r>
          </w:p>
        </w:tc>
      </w:tr>
    </w:tbl>
    <w:p>
      <w:pPr>
        <w:rPr>
          <w:rFonts w:ascii="Times New Roman" w:hAnsi="Times New Roman"/>
          <w:b/>
          <w:smallCaps/>
          <w:noProof/>
          <w:sz w:val="24"/>
        </w:rPr>
        <w:sectPr>
          <w:headerReference w:type="even" r:id="rId46"/>
          <w:headerReference w:type="default" r:id="rId47"/>
          <w:footerReference w:type="even" r:id="rId48"/>
          <w:footerReference w:type="default" r:id="rId49"/>
          <w:headerReference w:type="first" r:id="rId50"/>
          <w:footerReference w:type="first" r:id="rId51"/>
          <w:pgSz w:w="16839" w:h="11907" w:orient="landscape"/>
          <w:pgMar w:top="993" w:right="1134" w:bottom="1418" w:left="1134" w:header="709" w:footer="709" w:gutter="0"/>
          <w:cols w:space="720"/>
          <w:docGrid w:linePitch="36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D. KOMPONENTA č. 1.4: Digitální ekonomika a společnost, inovativní start-upy a nové technologie</w:t>
      </w:r>
    </w:p>
    <w:p>
      <w:pPr>
        <w:jc w:val="both"/>
        <w:rPr>
          <w:rStyle w:val="IntenseEmphasis"/>
          <w:rFonts w:ascii="Times New Roman" w:hAnsi="Times New Roman"/>
          <w:i w:val="0"/>
          <w:iCs w:val="0"/>
          <w:noProof/>
          <w:color w:val="auto"/>
          <w:sz w:val="24"/>
          <w:szCs w:val="24"/>
        </w:rPr>
      </w:pPr>
      <w:r>
        <w:rPr>
          <w:rStyle w:val="IntenseEmphasis"/>
          <w:rFonts w:ascii="Times New Roman" w:hAnsi="Times New Roman"/>
          <w:i w:val="0"/>
          <w:iCs w:val="0"/>
          <w:noProof/>
          <w:color w:val="auto"/>
          <w:sz w:val="24"/>
          <w:szCs w:val="24"/>
        </w:rPr>
        <w:t>Tato komponenta Plánu pro oživení a odolnost České republiky přispívá k řešení otázky digitalizace a osvojování nových technologií společnostmi, včetně malých a středních podniků. Dalším cílem je zřízení orgánu, který bude koordinovat projekty zaměřené na digitální transformaci ekonomiky, podporovat rozvoj a využívání vybraných strategických technologií, včetně umělé inteligence, a zlepšovat inovační ekosystém, zejména u začínajících podniků, a to i posílením vazeb mezi akademickým prostředím a podniky. Očekává se, že plánované investice v rámci přispění k zavádění nových digitálních technologií podpoří přístup inovativních začínajících podniků a malých a středních podniků k financování, mimo jiné prostřednictvím řešení, jako jsou finanční technologie a financování v rané fázi i přístup ke školení a zkušebním zařízením. Komponenta je synergická s komponentami č. 1.3 [Digitální vysokokapacitní sítě] a 1.5 [Digitální transformace podniků] českého plánu pro oživení, které přispívají k řešení problematiky přístupu k vysokokapacitním sítím a digitalizace podnikání.</w:t>
      </w:r>
    </w:p>
    <w:p>
      <w:pPr>
        <w:pStyle w:val="Text1"/>
        <w:ind w:left="0"/>
        <w:rPr>
          <w:rFonts w:eastAsia="Times New Roman"/>
          <w:noProof/>
        </w:rPr>
      </w:pPr>
      <w:r>
        <w:rPr>
          <w:noProof/>
        </w:rPr>
        <w:t>Komponenta podporuje plnění doporučení pro zemi č. 3 na rok 2019, podle něhož má Česko zaměřit investiční hospodářskou politiku na digitální infrastrukturu a odstranit překážky bránící rozvoji plně funkčního inovačního ekosystému, a doporučení pro zemi č. 3 na rok 2020, podle něhož má Česko</w:t>
      </w:r>
      <w:r>
        <w:rPr>
          <w:rStyle w:val="IntenseEmphasis"/>
          <w:noProof/>
        </w:rPr>
        <w:t xml:space="preserve"> </w:t>
      </w:r>
      <w:r>
        <w:rPr>
          <w:noProof/>
        </w:rPr>
        <w:t>podpořit malé a střední podniky větším využíváním finančních nástrojů k zajištění podpory likvidity s cílem zaměřit investice na digitální transformaci, zejména na vysokokapacitní digitální infrastrukturu a technologie, a zajistit inovativním podnikům přístup k financování a zlepšit spolupráci veřejného a soukromého sektoru v oblasti výzkumu a vývoje.</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Zejména výsledky procesu výzkumu a inovací budou na úrovni uplatňování technologicky neutrální (tj. budou uplatňovány u všech dostupných technologií, včetně těch šetrných) a z opatření je předem vyloučen výzkum a vývoj zaměřený na prvky „hnědého výzkumu a inovací“ (tj. na černé a hnědé uhlí, olej/ropu, zemní plyn, na který se nevztahuje příloha III technických pokynů k uplatňování zásady „významně nepoškozovat“, modrý a šedý vodík, spalovací zařízení a skládky).</w:t>
      </w:r>
    </w:p>
    <w:p>
      <w:pPr>
        <w:pStyle w:val="Text1"/>
        <w:ind w:left="0"/>
        <w:rPr>
          <w:noProof/>
          <w:lang w:eastAsia="en-IE"/>
        </w:rPr>
      </w:pPr>
    </w:p>
    <w:p>
      <w:pPr>
        <w:pStyle w:val="Text1"/>
        <w:ind w:left="0"/>
        <w:rPr>
          <w:b/>
          <w:noProof/>
          <w:u w:val="single"/>
        </w:rPr>
      </w:pPr>
      <w:r>
        <w:rPr>
          <w:b/>
          <w:noProof/>
          <w:u w:val="single"/>
        </w:rPr>
        <w:t xml:space="preserve">D.1 </w:t>
      </w:r>
      <w:r>
        <w:rPr>
          <w:b/>
          <w:noProof/>
          <w:u w:val="single"/>
        </w:rPr>
        <w:tab/>
        <w:t>Popis reforem a investic pro nevratnou finanční podporu</w:t>
      </w:r>
    </w:p>
    <w:p>
      <w:pPr>
        <w:pStyle w:val="Text1"/>
        <w:ind w:left="0"/>
        <w:rPr>
          <w:rFonts w:eastAsia="Times New Roman"/>
          <w:b/>
          <w:bCs/>
          <w:noProof/>
          <w:szCs w:val="24"/>
        </w:rPr>
      </w:pPr>
      <w:r>
        <w:rPr>
          <w:b/>
          <w:noProof/>
        </w:rPr>
        <w:t xml:space="preserve">Reforma č. 1: </w:t>
      </w:r>
      <w:r>
        <w:rPr>
          <w:b/>
          <w:bCs/>
          <w:noProof/>
          <w:szCs w:val="24"/>
        </w:rPr>
        <w:t>Institucionální reforma systému koordinace a podpory digitální agendy a digitální transformace, vč. strategie RIS 3</w:t>
      </w:r>
    </w:p>
    <w:p>
      <w:pPr>
        <w:pStyle w:val="Text1"/>
        <w:ind w:left="0"/>
        <w:rPr>
          <w:rFonts w:eastAsia="Times New Roman"/>
          <w:noProof/>
        </w:rPr>
      </w:pPr>
      <w:r>
        <w:rPr>
          <w:noProof/>
        </w:rPr>
        <w:t xml:space="preserve">Cílem institucionální reformy je zjednodušit organizační strukturu, která dohlíží na digitální transformaci. Nově zřízený Výbor pro digitální transformaci úzce spolupracuje s národní inovační strategií pro inteligentní specializaci, přičemž vede subjekty, které určují a šíří klíčové technologie a příslušné oblasti výzkumu a inovací. Zajistí propojení a koordinaci subjektů v celém digitálním ekosystému bude zahrnovat zástupce zúčastněných stran ze soukromého i veřejného sektoru. Na podporu této činnosti zadá analytické studie a zajistí odborné podpůrné služby a bude rovněž zvyšovat povědomí podniků a občanů o možnostech využití nových digitálních technologií. </w:t>
      </w:r>
    </w:p>
    <w:p>
      <w:pPr>
        <w:pStyle w:val="Text1"/>
        <w:ind w:left="0"/>
        <w:rPr>
          <w:rFonts w:eastAsia="Times New Roman"/>
          <w:noProof/>
        </w:rPr>
      </w:pPr>
      <w:r>
        <w:rPr>
          <w:noProof/>
        </w:rPr>
        <w:t>Další zlepšení digitálního a inovačního ekosystému (včetně firem typu start-up, spin-off a strategických technologií) zahrnuje zřízení koordinačního orgánu v rámci Výboru pro digitální transformaci, který bude odpovědný za provádění programů na podporu podnikání v rámci této komponenty v souladu se standardem EU pro startupové národy, a očekává se, že zadá právní analýzy a návrhy, posouzení dopadů a poskytne doporučení a poradenství ohledně provádění reformy a souvisejících investic. Reforma povede k navázání spolupráce mezi veřejným a soukromým sektorem a k podpoře tří pilotních fondů společného investování, programů podnikání a podpory podnikavosti, činností zaměřených na posílení internacionalizace začínajících podniků a regulačních pískovišť testujících inovativní řešení v praxi, jak je navrženo v rámci této komponenty.</w:t>
      </w:r>
    </w:p>
    <w:p>
      <w:pPr>
        <w:pStyle w:val="Text1"/>
        <w:ind w:left="0"/>
        <w:rPr>
          <w:rFonts w:eastAsia="Times New Roman"/>
          <w:noProof/>
        </w:rPr>
      </w:pPr>
      <w:r>
        <w:rPr>
          <w:noProof/>
        </w:rPr>
        <w:t>Reforma bude provedena do 31. prosince 2025.</w:t>
      </w:r>
    </w:p>
    <w:p>
      <w:pPr>
        <w:pStyle w:val="Text1"/>
        <w:ind w:left="0"/>
        <w:rPr>
          <w:rFonts w:eastAsia="Times New Roman"/>
          <w:b/>
          <w:bCs/>
          <w:noProof/>
          <w:color w:val="000000"/>
          <w:szCs w:val="24"/>
        </w:rPr>
      </w:pPr>
      <w:r>
        <w:rPr>
          <w:b/>
          <w:noProof/>
          <w:szCs w:val="24"/>
        </w:rPr>
        <w:t xml:space="preserve">Reforma č. 2: </w:t>
      </w:r>
      <w:r>
        <w:rPr>
          <w:b/>
          <w:bCs/>
          <w:noProof/>
          <w:color w:val="000000"/>
          <w:szCs w:val="24"/>
        </w:rPr>
        <w:t>Skupina pro podporu a certifikaci společných strategických technologií s Radou pro strategické technologie</w:t>
      </w:r>
    </w:p>
    <w:p>
      <w:pPr>
        <w:pStyle w:val="Text1"/>
        <w:ind w:left="0"/>
        <w:rPr>
          <w:rFonts w:eastAsia="Times New Roman"/>
          <w:noProof/>
          <w:color w:val="000000"/>
        </w:rPr>
      </w:pPr>
      <w:r>
        <w:rPr>
          <w:noProof/>
          <w:color w:val="000000"/>
        </w:rPr>
        <w:t>Cílem reformy je vytvoření orgánů pro řízení kvality a certifikaci výrobků a zajištění sítě akreditovaných laboratoří s dostatečnou kapacitou pro testování a certifikaci, což povede ke zlepšení kvality výrobků a usnadnění řízení výrobních procesů i zvýšení konkurenceschopnosti českých podniků. Tím se zvýší potřebná kapacita a sníží náklady na schvalující instituce, čímž se certifikace stane přístupnější zejména ve strategických odvětvích, jako je letectví a kosmonautika a odvětví zdravotnických prostředků. Reforma podpoří činnosti, jako je dovybavení laboratoří, usnadnění akreditačních procesů a nákup vybavení se zaměřením na: pokročilé materiály a technologie (kompozity, aditivní výroba, laserové aplikace), ekologické technologie (hybridní/elektrický pohon, dekarbonizace, snížení hluku, biopaliva, udržitelnost letecké dopravy), automatizace a digitalizace, systémy bezpilotních vzdušných prostředků (UAV) / bezpilotní systémy (UAS), městská letecká mobilita (UAM), softwarové aplikace, iniciativa Průmysl 4.0 v letectví a kosmonautice (umělá inteligence, internet věcí, data velkého objemu). Součástí komponenty jsou rovněž konzultační a poradenské služby podnikům při přípravě na získání certifikace a při šíření výrobních postupů.</w:t>
      </w:r>
    </w:p>
    <w:p>
      <w:pPr>
        <w:pStyle w:val="Text1"/>
        <w:ind w:left="0"/>
        <w:rPr>
          <w:rFonts w:eastAsia="Times New Roman"/>
          <w:noProof/>
          <w:color w:val="000000"/>
        </w:rPr>
      </w:pPr>
      <w:r>
        <w:rPr>
          <w:noProof/>
          <w:color w:val="000000"/>
        </w:rPr>
        <w:t>Reforma bude provedena do 31. prosince 2024.</w:t>
      </w:r>
    </w:p>
    <w:p>
      <w:pPr>
        <w:pStyle w:val="Text1"/>
        <w:ind w:left="0"/>
        <w:rPr>
          <w:rFonts w:eastAsia="Times New Roman"/>
          <w:b/>
          <w:noProof/>
          <w:szCs w:val="24"/>
        </w:rPr>
      </w:pPr>
      <w:r>
        <w:rPr>
          <w:b/>
          <w:noProof/>
          <w:szCs w:val="24"/>
        </w:rPr>
        <w:t xml:space="preserve">Investice č. 1: </w:t>
      </w:r>
      <w:r>
        <w:rPr>
          <w:b/>
          <w:noProof/>
        </w:rPr>
        <w:t>Zahájení činnosti Evropského centra excelence v AI „pro bezpečnější společnost“</w:t>
      </w:r>
    </w:p>
    <w:p>
      <w:pPr>
        <w:pStyle w:val="Text1"/>
        <w:ind w:left="0"/>
        <w:rPr>
          <w:rFonts w:eastAsia="Times New Roman"/>
          <w:noProof/>
        </w:rPr>
      </w:pPr>
      <w:r>
        <w:rPr>
          <w:noProof/>
        </w:rPr>
        <w:t>Účelem investice je vytvořit další síť evropských středisek excelence v oblasti umělé inteligence, od níž se očekává, že získá pečeť excelence v rámci programu Horizont Evropa. Cílem centra je zajistit dostatečnou výzkumnou kapacitu, která umožní zavádění a používání technologií umělé inteligence ve vymezené oblasti.</w:t>
      </w:r>
    </w:p>
    <w:p>
      <w:pPr>
        <w:pStyle w:val="Text1"/>
        <w:ind w:left="0"/>
        <w:rPr>
          <w:rFonts w:eastAsia="Times New Roman"/>
          <w:noProof/>
          <w:szCs w:val="24"/>
        </w:rPr>
      </w:pPr>
      <w:r>
        <w:rPr>
          <w:noProof/>
        </w:rPr>
        <w:t>Svou činnost zaměří na aplikace umělé inteligence zvyšující bezpečnost a bude přispívat k vědeckému výzkumu v této oblasti se zvláštním zaměřením na segmenty, v nichž lze dosáhnout komparativní výhody na základě národní a regionální specializace. Činnost centra musí být v souladu s koordinovaným plánem pro umělou inteligenci</w:t>
      </w:r>
      <w:r>
        <w:rPr>
          <w:rStyle w:val="FootnoteReference"/>
          <w:rFonts w:eastAsia="Times New Roman"/>
          <w:noProof/>
          <w:szCs w:val="24"/>
        </w:rPr>
        <w:footnoteReference w:id="4"/>
      </w:r>
      <w:r>
        <w:rPr>
          <w:noProof/>
        </w:rPr>
        <w:t xml:space="preserve"> a investice se mají řídit doporučeními odborné skupiny Evropské komise na vysoké úrovni pro umělou inteligenci. </w:t>
      </w:r>
    </w:p>
    <w:p>
      <w:pPr>
        <w:pStyle w:val="Text1"/>
        <w:ind w:left="0"/>
        <w:rPr>
          <w:rFonts w:eastAsia="Times New Roman"/>
          <w:noProof/>
        </w:rPr>
      </w:pPr>
      <w:r>
        <w:rPr>
          <w:noProof/>
        </w:rPr>
        <w:t>Investice bude realizována do 31. prosince 2022.</w:t>
      </w:r>
    </w:p>
    <w:p>
      <w:pPr>
        <w:pStyle w:val="Text1"/>
        <w:ind w:left="0"/>
        <w:rPr>
          <w:b/>
          <w:bCs/>
          <w:iCs/>
          <w:noProof/>
          <w:szCs w:val="24"/>
        </w:rPr>
      </w:pPr>
      <w:r>
        <w:rPr>
          <w:b/>
          <w:noProof/>
          <w:szCs w:val="24"/>
        </w:rPr>
        <w:t xml:space="preserve">Investice č. 2: </w:t>
      </w:r>
      <w:r>
        <w:rPr>
          <w:b/>
          <w:bCs/>
          <w:iCs/>
          <w:noProof/>
          <w:szCs w:val="24"/>
        </w:rPr>
        <w:t>Evropské středisko pro sledování digitálních médií (EDMO)</w:t>
      </w:r>
    </w:p>
    <w:p>
      <w:pPr>
        <w:pStyle w:val="Text1"/>
        <w:ind w:left="0"/>
        <w:rPr>
          <w:noProof/>
        </w:rPr>
      </w:pPr>
      <w:r>
        <w:rPr>
          <w:noProof/>
        </w:rPr>
        <w:t>Tato investice zřídí Středoevropské středisko pro sledování digitálních médií (Central European Digital Media Observatory, dále jen „CEDMO“), regionální instituci pod vedením Univerzity Karlovy ve spolupráci s ČVUT a webem pro kontrolu faktických tvrzení demagog.cz. Středisko CEDMO bude propojeno s Evropským střediskem digitálních médií a bude se řídit akčním plánem proti dezinformacím vydaným Evropskou komisí a vysokým představitelem Unie pro zahraniční věci a bezpečnostní politiku. Ve spolupráci s Evropským centrem excelence v oblasti umělé inteligence bude poskytovat nástroje a metodiku umělé inteligence pro nestranný boj proti falešným zprávám v digitálním prostoru a metodiku pro odhalování, analýzu a zveřejňování dezinformačních kampaní na národní, nadnárodní a evropské úrovni a analyzovat dopad dezinformačních kampaní na společnost a demokracii, podporovat mediální gramotnost a ve spolupráci s vnitrostátními orgány sledovat pravidla ekosystému on-line platforem a digitálních médií. Investice bude rovněž zahrnovat dlouhodobý výzkum s měsíčními výstupy na základě statisticky významného panelu obsahujícího nejméně 2 000 obyvatel Česka, který povede k vypracování zpráv o digitální a mediální gramotnosti a o odolnosti obyvatelstva vůči dezinformacím a zavádějícím informacím v Česku.</w:t>
      </w:r>
    </w:p>
    <w:p>
      <w:pPr>
        <w:jc w:val="both"/>
        <w:rPr>
          <w:rFonts w:ascii="Times New Roman" w:eastAsia="Times New Roman" w:hAnsi="Times New Roman"/>
          <w:noProof/>
          <w:sz w:val="24"/>
          <w:szCs w:val="24"/>
        </w:rPr>
      </w:pPr>
      <w:r>
        <w:rPr>
          <w:rFonts w:ascii="Times New Roman" w:hAnsi="Times New Roman"/>
          <w:noProof/>
          <w:sz w:val="24"/>
          <w:szCs w:val="24"/>
        </w:rPr>
        <w:t>Investice bude realizována do 31. prosince 2025.</w:t>
      </w:r>
    </w:p>
    <w:p>
      <w:pPr>
        <w:pStyle w:val="Text1"/>
        <w:ind w:left="0"/>
        <w:rPr>
          <w:b/>
          <w:bCs/>
          <w:noProof/>
        </w:rPr>
      </w:pPr>
      <w:r>
        <w:rPr>
          <w:b/>
          <w:bCs/>
          <w:noProof/>
        </w:rPr>
        <w:t>Investice č. 3: Přenos zahraniční nejlepší praxe a know-how pro digitální transformaci, monitoring a výzkum socio-ekonomických dopadů krize (Samuel Neaman Institute)</w:t>
      </w:r>
    </w:p>
    <w:p>
      <w:pPr>
        <w:pStyle w:val="Text1"/>
        <w:ind w:left="0"/>
        <w:rPr>
          <w:noProof/>
        </w:rPr>
      </w:pPr>
      <w:r>
        <w:rPr>
          <w:noProof/>
        </w:rPr>
        <w:t>Tato investice povede k vytvoření a budování kapacity strategické skupiny expertů Institutu Samuela Neamana v České republice, která bude zřízena jako nezávislá organizace a přímo napojena na Výbor pro digitální transformaci (zřízený v rámci reformy č. 1). Jejím cílem je propojit podnikatelské svazy, zástupce zaměstnavatelů, akademickou obec a další zúčastněné strany s veřejnou správou za účelem záštity a koordinace digitální transformace české ekonomiky a současně sledování a hodnocení jejího sociálně-ekonomického dopadu. Institut má vypracovat memoranda o mezinárodní spolupráci pro přenos nejlepší praxe v oblasti digitální transformace s alespoň pěti předními institucemi na celosvětové úrovni.</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2024. </w:t>
      </w:r>
    </w:p>
    <w:p>
      <w:pPr>
        <w:pStyle w:val="Text1"/>
        <w:ind w:left="0"/>
        <w:rPr>
          <w:b/>
          <w:bCs/>
          <w:iCs/>
          <w:noProof/>
          <w:szCs w:val="24"/>
        </w:rPr>
      </w:pPr>
      <w:r>
        <w:rPr>
          <w:b/>
          <w:bCs/>
          <w:iCs/>
          <w:noProof/>
          <w:szCs w:val="24"/>
        </w:rPr>
        <w:t>Investice č. 4: Platforma pro vzdělávání managementu SME pro post-COVID-19 digitální transformaci</w:t>
      </w:r>
    </w:p>
    <w:p>
      <w:pPr>
        <w:jc w:val="both"/>
        <w:rPr>
          <w:rFonts w:eastAsia="Times New Roman"/>
          <w:noProof/>
        </w:rPr>
      </w:pPr>
      <w:r>
        <w:rPr>
          <w:rFonts w:ascii="Times New Roman" w:hAnsi="Times New Roman"/>
          <w:noProof/>
          <w:sz w:val="24"/>
          <w:szCs w:val="24"/>
        </w:rPr>
        <w:t>Cílem tohoto opatření je vytvořit Platformu pro digitální transformaci, která bude sloužit jako jediné kontaktní místo pro společnosti, jež hledají informace o aplikaci nových digitálních technologií, jako např. umělá inteligence, technologie blockchain, cloud computing, robotizace a automatizace, kybernetická bezpečnost a vysoce výkonná výpočetní technika, a rovněž podpořit tvůrce politik při přijímání rozhodnutí v oblasti digitální transformace hospodářství založeném na datech a důkazech. Ve druhé fázi bude vytvořena vzdělávací platforma, která bude poskytovat řešení pro nové digitální technologie založená na elektronickém vzdělávání v souladu se zásadami celoživotního učení. Její realizaci bude doprovázet shromažďování a analýza dat s cílem stanovit překážky a bariéry, které společnostem brání v zavádění nových digitálních řešení. Realizace bude koordinována Výborem pro digitální transformaci a bude se vzájemně doplňovat s ostatními investicemi do digitalizace koordinovanými Výborem.</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2024. </w:t>
      </w:r>
    </w:p>
    <w:p>
      <w:pPr>
        <w:pStyle w:val="Text1"/>
        <w:ind w:left="0"/>
        <w:rPr>
          <w:b/>
          <w:bCs/>
          <w:iCs/>
          <w:noProof/>
          <w:szCs w:val="24"/>
        </w:rPr>
      </w:pPr>
      <w:r>
        <w:rPr>
          <w:b/>
          <w:bCs/>
          <w:iCs/>
          <w:noProof/>
          <w:szCs w:val="24"/>
        </w:rPr>
        <w:t>Investice č. 5: Evropský projekt pro DLT financování digitalizace SME pro překonání krize (evropská infrastruktura blockchainových služeb – EBSI)</w:t>
      </w:r>
    </w:p>
    <w:p>
      <w:pPr>
        <w:jc w:val="both"/>
        <w:rPr>
          <w:rFonts w:eastAsia="Times New Roman"/>
          <w:noProof/>
        </w:rPr>
      </w:pPr>
      <w:r>
        <w:rPr>
          <w:rFonts w:ascii="Times New Roman" w:hAnsi="Times New Roman"/>
          <w:noProof/>
          <w:sz w:val="24"/>
          <w:szCs w:val="24"/>
        </w:rPr>
        <w:t xml:space="preserve">Plánovaná investice do evropské infrastruktury blockchainových služeb (European Blockchain Services Infrastructure, EBSI) spadá pod Evropské partnerství pro blockchain (EBP) a má být spolufinancována z programu Digitální Evropa. Opatření podpoří využití EBSI/EBP zaměřeného na vytvoření celoevropské platformy dluhopisů DLT pro dluhové financování malých a středních podniků (Distributed Ledger Technology). Projekt přispěje k usnadnění přístupu malých a středních podniků k financování, ke snížení nákladů a zvýšení transparentnosti. </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2023. </w:t>
      </w:r>
    </w:p>
    <w:p>
      <w:pPr>
        <w:jc w:val="both"/>
        <w:rPr>
          <w:rFonts w:ascii="Times New Roman" w:hAnsi="Times New Roman"/>
          <w:noProof/>
          <w:color w:val="000000"/>
          <w:sz w:val="24"/>
          <w:szCs w:val="24"/>
        </w:rPr>
      </w:pPr>
    </w:p>
    <w:p>
      <w:pPr>
        <w:pStyle w:val="Text1"/>
        <w:ind w:left="0"/>
        <w:rPr>
          <w:b/>
          <w:bCs/>
          <w:iCs/>
          <w:noProof/>
          <w:szCs w:val="24"/>
        </w:rPr>
      </w:pPr>
      <w:r>
        <w:rPr>
          <w:b/>
          <w:bCs/>
          <w:iCs/>
          <w:noProof/>
          <w:szCs w:val="24"/>
        </w:rPr>
        <w:t>Investice č. 6: Demonstrativní projekty rozvoje aplikací pro města a průmyslové oblasti (např. 5G)</w:t>
      </w:r>
    </w:p>
    <w:p>
      <w:pPr>
        <w:jc w:val="both"/>
        <w:rPr>
          <w:rFonts w:eastAsia="Times New Roman"/>
          <w:noProof/>
        </w:rPr>
      </w:pPr>
      <w:r>
        <w:rPr>
          <w:rFonts w:ascii="Times New Roman" w:hAnsi="Times New Roman"/>
          <w:noProof/>
          <w:sz w:val="24"/>
          <w:szCs w:val="24"/>
        </w:rPr>
        <w:t xml:space="preserve">Toto opatření bude financovat rozvoj nejméně 52 projektů, které prokážou používání digitální infrastruktury a sítí 5G. Projekty spadají do dvou různých iniciativ, a to: </w:t>
      </w:r>
    </w:p>
    <w:p>
      <w:pPr>
        <w:numPr>
          <w:ilvl w:val="0"/>
          <w:numId w:val="65"/>
        </w:numPr>
        <w:ind w:left="360"/>
        <w:jc w:val="both"/>
        <w:rPr>
          <w:rFonts w:eastAsia="Times New Roman"/>
          <w:noProof/>
        </w:rPr>
      </w:pPr>
      <w:r>
        <w:rPr>
          <w:rFonts w:ascii="Times New Roman" w:hAnsi="Times New Roman"/>
          <w:noProof/>
          <w:sz w:val="24"/>
          <w:szCs w:val="24"/>
        </w:rPr>
        <w:t xml:space="preserve">iniciativy Inteligentní města, jejímž cílem je prokázat využití signálu 5G v městských sítích, mimo jiné včetně inteligentních dopravních systémů, pouličního osvětlení, odpadového/oběhového hospodářství, veřejné dopravy, správy parkovacích míst, koncepce snižování trestné činnosti v městském prostředí, a </w:t>
      </w:r>
    </w:p>
    <w:p>
      <w:pPr>
        <w:numPr>
          <w:ilvl w:val="0"/>
          <w:numId w:val="65"/>
        </w:numPr>
        <w:ind w:left="360"/>
        <w:jc w:val="both"/>
        <w:rPr>
          <w:rFonts w:eastAsia="Times New Roman"/>
          <w:noProof/>
        </w:rPr>
      </w:pPr>
      <w:r>
        <w:rPr>
          <w:rFonts w:ascii="Times New Roman" w:hAnsi="Times New Roman"/>
          <w:noProof/>
          <w:sz w:val="24"/>
          <w:szCs w:val="24"/>
        </w:rPr>
        <w:t xml:space="preserve">iniciativy Průmysl 4.0 jako demonstrační projekty představující aplikaci digitalizovaných výrobních linek nebo robotizovaných systémů (vytvořených na základě běžného používání umělé inteligence) a přímou komunikaci uživatelů mobilních zařízení mezi sebou (Device-to-Device communication, D2D). </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2025. </w:t>
      </w:r>
    </w:p>
    <w:p>
      <w:pPr>
        <w:pStyle w:val="Text1"/>
        <w:ind w:left="0"/>
        <w:rPr>
          <w:b/>
          <w:noProof/>
        </w:rPr>
      </w:pPr>
      <w:r>
        <w:rPr>
          <w:b/>
          <w:noProof/>
        </w:rPr>
        <w:t>Investice č. 7: Programy Czech Rise-Up</w:t>
      </w:r>
    </w:p>
    <w:p>
      <w:pPr>
        <w:jc w:val="both"/>
        <w:rPr>
          <w:rFonts w:eastAsia="Times New Roman"/>
          <w:noProof/>
        </w:rPr>
      </w:pPr>
      <w:r>
        <w:rPr>
          <w:rFonts w:ascii="Times New Roman" w:hAnsi="Times New Roman"/>
          <w:noProof/>
          <w:sz w:val="24"/>
          <w:szCs w:val="24"/>
        </w:rPr>
        <w:t>Program Czech „Rise-Up“ se bude zabývat hospodářským a společenským dopadem pandemie a bude zahrnovat dvě samostatné výzvy k předkládání projektů: první výzva bude určena návrhům projektů zaměřených na projekty lékařského výzkumu a vývoje v souvislosti s onemocněním COVID, které jsou v pokročilé fázi nebo téměř dokončené, ve fázi certifikace nebo právní ochrany. Druhá výzva je určena výzkumným projektům zaměřeným na lékařská i nelékařská technologická řešení hospodářských a sociálních důsledků krize COVID, a to zejména v oblastech zdravotnictví, vzdělávání, v audiovizuálním odvětví a v oblasti digitální transformace tradičních podniků a odvětví.</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2023. </w:t>
      </w:r>
    </w:p>
    <w:p>
      <w:pPr>
        <w:pStyle w:val="Text1"/>
        <w:ind w:left="0"/>
        <w:rPr>
          <w:rFonts w:eastAsia="Times New Roman"/>
          <w:b/>
          <w:noProof/>
          <w:color w:val="000000"/>
        </w:rPr>
      </w:pPr>
      <w:r>
        <w:rPr>
          <w:b/>
          <w:noProof/>
        </w:rPr>
        <w:t xml:space="preserve">Investice č. 8: </w:t>
      </w:r>
      <w:r>
        <w:rPr>
          <w:b/>
          <w:noProof/>
          <w:color w:val="000000"/>
        </w:rPr>
        <w:t>Podpora podnikavosti, podnikání a inovativních firem</w:t>
      </w:r>
    </w:p>
    <w:p>
      <w:pPr>
        <w:jc w:val="both"/>
        <w:rPr>
          <w:rFonts w:eastAsia="Times New Roman"/>
          <w:noProof/>
          <w:color w:val="000000"/>
        </w:rPr>
      </w:pPr>
      <w:r>
        <w:rPr>
          <w:rFonts w:ascii="Times New Roman" w:hAnsi="Times New Roman"/>
          <w:noProof/>
          <w:sz w:val="24"/>
          <w:szCs w:val="24"/>
        </w:rPr>
        <w:t xml:space="preserve">Cílem tohoto opatření je podpora podnikání a podpora úspěšného zakládání nových podniků v celé České republice. Součástí opatření jsou poradenské, konzultační a mentoringové služby poskytované prostřednictvím regionálních inovačních a podnikatelských center nově založeným podnikovým iniciativám a začínajícím podnikům. Opatření zahrnuje rovněž osvětové kampaně na podporu podnikání. </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2024. </w:t>
      </w:r>
    </w:p>
    <w:p>
      <w:pPr>
        <w:pStyle w:val="Text1"/>
        <w:ind w:left="0"/>
        <w:rPr>
          <w:b/>
          <w:noProof/>
        </w:rPr>
      </w:pPr>
      <w:r>
        <w:rPr>
          <w:b/>
          <w:noProof/>
        </w:rPr>
        <w:t>Investice č. 9: Pilotní fondy společného investování pro rozvoj pre-seedových investic, strategických technologií a univerzitních spin-offů v rámci evropských středisek excelence</w:t>
      </w:r>
    </w:p>
    <w:p>
      <w:pPr>
        <w:jc w:val="both"/>
        <w:rPr>
          <w:rFonts w:eastAsia="Times New Roman"/>
          <w:noProof/>
        </w:rPr>
      </w:pPr>
      <w:r>
        <w:rPr>
          <w:rFonts w:ascii="Times New Roman" w:hAnsi="Times New Roman"/>
          <w:noProof/>
          <w:sz w:val="24"/>
          <w:szCs w:val="24"/>
        </w:rPr>
        <w:t xml:space="preserve">Opatření podpoří rozvoj rizikového kapitálu a digitální transformaci ekonomiky investicemi v podobě grantů pro inovativní začínající podniky. Skládá se ze tří pilotních fondů společného investování: i) pre-seedový fond; ii) fondu strategických technologií; a iii) fond pro spin-offy působící v oblasti umělé inteligence. Tyto tři fondy budou investovat do projektů v rané fázi a do začínajících podniků v oblasti technologií, do strategických technologií, jako jsou umělá inteligence, technologie blockchain, finanční technologie, aplikace 5G, resp. do projektů výzkumných organizací a univerzit na převádění a komercializaci výsledků jejich výzkumu do obchodní praxe. </w:t>
      </w:r>
    </w:p>
    <w:p>
      <w:pPr>
        <w:jc w:val="both"/>
        <w:rPr>
          <w:rFonts w:ascii="Times New Roman" w:eastAsia="Times New Roman" w:hAnsi="Times New Roman"/>
          <w:noProof/>
          <w:sz w:val="24"/>
          <w:szCs w:val="24"/>
        </w:rPr>
      </w:pPr>
      <w:r>
        <w:rPr>
          <w:rFonts w:ascii="Times New Roman" w:hAnsi="Times New Roman"/>
          <w:noProof/>
          <w:sz w:val="24"/>
          <w:szCs w:val="24"/>
        </w:rPr>
        <w:t xml:space="preserve"> Aby bylo zajištěno, že je opatření v souladu s technickými pokyny k uplatňování zásady „významně nepoškozovat“ (2021/C58/01), musí právní dohoda mezi Českem a pověřeným řídicím subjektem fondů a následná investiční politika finančního nástroje požadovat uplatňování technických pokynů Komise k ověřování udržitelnosti pro Fond InvestEU a vyloučit ze způsobilosti tyto činnosti a aktiva: i) činnosti a aktiva související s fosilními palivy, včetně následného využívání</w:t>
      </w:r>
      <w:r>
        <w:rPr>
          <w:rStyle w:val="FootnoteReference"/>
          <w:rFonts w:ascii="Times New Roman" w:eastAsia="Times New Roman" w:hAnsi="Times New Roman"/>
          <w:noProof/>
          <w:sz w:val="24"/>
          <w:szCs w:val="24"/>
        </w:rPr>
        <w:footnoteReference w:id="5"/>
      </w:r>
      <w:r>
        <w:rPr>
          <w:rFonts w:ascii="Times New Roman" w:hAnsi="Times New Roman"/>
          <w:noProof/>
          <w:sz w:val="24"/>
          <w:szCs w:val="24"/>
        </w:rPr>
        <w:t>; ii) činnosti a aktiva v rámci systému EU pro obchodování s emisemi (ETS) dosahujících předpokládaných emisí skleníkových plynů, které nejsou nižší než příslušné referenční hodnoty</w:t>
      </w:r>
      <w:r>
        <w:rPr>
          <w:rStyle w:val="FootnoteReference"/>
          <w:rFonts w:ascii="Times New Roman" w:eastAsia="Times New Roman" w:hAnsi="Times New Roman"/>
          <w:noProof/>
          <w:sz w:val="24"/>
          <w:szCs w:val="24"/>
        </w:rPr>
        <w:footnoteReference w:id="6"/>
      </w:r>
      <w:r>
        <w:rPr>
          <w:rFonts w:ascii="Times New Roman" w:hAnsi="Times New Roman"/>
          <w:noProof/>
          <w:sz w:val="24"/>
          <w:szCs w:val="24"/>
        </w:rPr>
        <w:t>; iii) činnosti a aktiva související se skládkami odpadů, spalovnami</w:t>
      </w:r>
      <w:r>
        <w:rPr>
          <w:rStyle w:val="FootnoteReference"/>
          <w:rFonts w:ascii="Times New Roman" w:eastAsia="Times New Roman" w:hAnsi="Times New Roman"/>
          <w:noProof/>
          <w:sz w:val="24"/>
          <w:szCs w:val="24"/>
        </w:rPr>
        <w:footnoteReference w:id="7"/>
      </w:r>
      <w:r>
        <w:rPr>
          <w:rFonts w:ascii="Times New Roman" w:hAnsi="Times New Roman"/>
          <w:noProof/>
          <w:sz w:val="24"/>
          <w:szCs w:val="24"/>
        </w:rPr>
        <w:t xml:space="preserve"> a zařízeními na mechanicko-biologickou úpravu</w:t>
      </w:r>
      <w:r>
        <w:rPr>
          <w:rStyle w:val="FootnoteReference"/>
          <w:rFonts w:ascii="Times New Roman" w:eastAsia="Times New Roman" w:hAnsi="Times New Roman"/>
          <w:noProof/>
          <w:sz w:val="24"/>
          <w:szCs w:val="24"/>
        </w:rPr>
        <w:footnoteReference w:id="8"/>
      </w:r>
      <w:r>
        <w:rPr>
          <w:rFonts w:ascii="Times New Roman" w:hAnsi="Times New Roman"/>
          <w:noProof/>
          <w:sz w:val="24"/>
          <w:szCs w:val="24"/>
        </w:rPr>
        <w:t>; a iv) činnosti a aktiva, u nichž může dlouhodobé odstraňování odpadů poškodit životní prostředí; a požadovat, aby [pověřený subjekt / finanční zprostředkovatelé] u všech transakcí, včetně transakcí osvobozených od ověřování udržitelnosti, ověřili právní soulad projektů s příslušnými právními předpisy EU a vnitrostátními právními předpisy v oblasti životního prostředí.</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2025. </w:t>
      </w:r>
    </w:p>
    <w:p>
      <w:pPr>
        <w:pStyle w:val="Text1"/>
        <w:ind w:left="0"/>
        <w:rPr>
          <w:rFonts w:eastAsia="Times New Roman"/>
          <w:b/>
          <w:noProof/>
          <w:color w:val="000000"/>
          <w:szCs w:val="24"/>
        </w:rPr>
      </w:pPr>
      <w:r>
        <w:rPr>
          <w:b/>
          <w:bCs/>
          <w:noProof/>
          <w:szCs w:val="24"/>
        </w:rPr>
        <w:t xml:space="preserve">Investice č. 10: </w:t>
      </w:r>
      <w:r>
        <w:rPr>
          <w:b/>
          <w:noProof/>
          <w:color w:val="000000"/>
          <w:szCs w:val="24"/>
        </w:rPr>
        <w:t>Internacionalizace začínajících podniků</w:t>
      </w:r>
    </w:p>
    <w:p>
      <w:pPr>
        <w:jc w:val="both"/>
        <w:rPr>
          <w:rFonts w:eastAsia="Times New Roman"/>
          <w:noProof/>
        </w:rPr>
      </w:pPr>
      <w:r>
        <w:rPr>
          <w:rFonts w:ascii="Times New Roman" w:hAnsi="Times New Roman"/>
          <w:noProof/>
          <w:sz w:val="24"/>
          <w:szCs w:val="24"/>
        </w:rPr>
        <w:t>Cílem tohoto opatření je poskytnout českým malým a středním podnikům a začínajícím podnikům odborné vzdělávání, poradenské a konzultační služby odborníků v oblasti manažerských dovedností a předávání osvědčených obchodních postupů, jako je: vyjednávání, poznatky o zahraničních trzích, používání nových digitálních nástrojů a přizpůsobení se novým digitálním trendům; validace výrobků pro zahraniční trhy, přístup k rizikovému kapitálu, akcelerátorové programy a mentoring. Program bude realizovat agentura CzechInvest v rámci Inovační strategie České republiky 2030 a programu Země pro budoucnost.</w:t>
      </w:r>
    </w:p>
    <w:p>
      <w:pPr>
        <w:jc w:val="both"/>
        <w:rPr>
          <w:rFonts w:ascii="Times New Roman" w:hAnsi="Times New Roman"/>
          <w:noProof/>
          <w:color w:val="000000"/>
          <w:sz w:val="24"/>
          <w:szCs w:val="24"/>
        </w:rPr>
      </w:pPr>
      <w:r>
        <w:rPr>
          <w:rFonts w:ascii="Times New Roman" w:hAnsi="Times New Roman"/>
          <w:noProof/>
          <w:sz w:val="24"/>
          <w:szCs w:val="24"/>
        </w:rPr>
        <w:t>Investice bude dokončena do 31. prosince 2023.</w:t>
      </w:r>
    </w:p>
    <w:p>
      <w:pPr>
        <w:pStyle w:val="Text1"/>
        <w:ind w:left="0"/>
        <w:rPr>
          <w:b/>
          <w:bCs/>
          <w:noProof/>
          <w:szCs w:val="24"/>
        </w:rPr>
      </w:pPr>
      <w:r>
        <w:rPr>
          <w:b/>
          <w:noProof/>
          <w:szCs w:val="24"/>
        </w:rPr>
        <w:t xml:space="preserve">Investice č. 11: </w:t>
      </w:r>
      <w:r>
        <w:rPr>
          <w:b/>
          <w:bCs/>
          <w:noProof/>
          <w:szCs w:val="24"/>
        </w:rPr>
        <w:t>Regulační pískoviště (sandboxy) v souladu s prioritami EU</w:t>
      </w:r>
    </w:p>
    <w:p>
      <w:pPr>
        <w:jc w:val="both"/>
        <w:rPr>
          <w:noProof/>
        </w:rPr>
      </w:pPr>
      <w:r>
        <w:rPr>
          <w:rFonts w:ascii="Times New Roman" w:hAnsi="Times New Roman"/>
          <w:noProof/>
          <w:sz w:val="24"/>
          <w:szCs w:val="24"/>
        </w:rPr>
        <w:t>Opatření spočívá ve spuštění a zahájení provozu dvou regulačních pískovišť, a to jednoho v oblasti umělé inteligence a druhého v oblasti finančních technologií. Regulační pískoviště se budou zřizovat ve spolupráci s příslušnými orgány, regulačními orgány a partnery příslušného odvětví a jejich cílem bude zajistit odpovídající technické a technologické prostředí pro zkoušení nových technologií. Regulační pískoviště budou k dispozici pro malé a střední podniky a začínající podniky i pro jiné společnosti a jejich součástí budou pravidelná nabídková řízení na testovací programy pro inovativní společnosti.</w:t>
      </w:r>
    </w:p>
    <w:p>
      <w:pPr>
        <w:jc w:val="both"/>
        <w:rPr>
          <w:rFonts w:ascii="Times New Roman" w:hAnsi="Times New Roman"/>
          <w:noProof/>
          <w:color w:val="000000"/>
          <w:sz w:val="24"/>
          <w:szCs w:val="24"/>
        </w:rPr>
      </w:pPr>
      <w:r>
        <w:rPr>
          <w:rFonts w:ascii="Times New Roman" w:hAnsi="Times New Roman"/>
          <w:noProof/>
          <w:sz w:val="24"/>
          <w:szCs w:val="24"/>
        </w:rPr>
        <w:t>Investice bude dokončena do 31. prosince 2023.</w:t>
      </w:r>
    </w:p>
    <w:p>
      <w:pPr>
        <w:pStyle w:val="Text1"/>
        <w:ind w:left="0"/>
        <w:rPr>
          <w:b/>
          <w:bCs/>
          <w:noProof/>
          <w:szCs w:val="24"/>
        </w:rPr>
      </w:pPr>
      <w:r>
        <w:rPr>
          <w:b/>
          <w:bCs/>
          <w:noProof/>
          <w:szCs w:val="24"/>
        </w:rPr>
        <w:t>Investice č. 12: Vybudování kvantové komunikační infrastruktury</w:t>
      </w:r>
    </w:p>
    <w:p>
      <w:pPr>
        <w:jc w:val="both"/>
        <w:rPr>
          <w:rFonts w:eastAsia="Times New Roman"/>
          <w:noProof/>
        </w:rPr>
      </w:pPr>
      <w:r>
        <w:rPr>
          <w:rFonts w:ascii="Times New Roman" w:hAnsi="Times New Roman"/>
          <w:noProof/>
          <w:sz w:val="24"/>
          <w:szCs w:val="24"/>
        </w:rPr>
        <w:t>Cílem investice je vybudování optické kvantové komunikační sítě v Česku v souladu s prioritami programu Digitální Evropa. To zahrnuje vytvoření páteřní sítě a připojených vedlejších větví, propojení kritické a bezpečnostní infrastruktury i testování a odbornou přípravu odborníků. Síť musí umožňovat rychlý přenos a zpracování dat a propojí nejrelevantnější zúčastněné strany určené ve fázi plánování a také bude možné ji propojit s podobnou infrastrukturou v sousedních zemích.</w:t>
      </w:r>
    </w:p>
    <w:p>
      <w:pPr>
        <w:jc w:val="both"/>
        <w:rPr>
          <w:rFonts w:ascii="Times New Roman" w:eastAsia="Times New Roman" w:hAnsi="Times New Roman"/>
          <w:noProof/>
          <w:sz w:val="24"/>
          <w:szCs w:val="24"/>
        </w:rPr>
      </w:pPr>
      <w:r>
        <w:rPr>
          <w:rFonts w:ascii="Times New Roman" w:hAnsi="Times New Roman"/>
          <w:noProof/>
          <w:sz w:val="24"/>
          <w:szCs w:val="24"/>
        </w:rPr>
        <w:t>Investice bude uzavřena ukončenou zkušební a pilotní provozní fází provedenou do 31. prosince 2025 a bude zahrnovat alespoň spojení mezi Prahou, Brnem a Ostravou o celkové optické délce 400 km se 6 segmenty kvantové distribuce klíče (QKD), realizaci dvou vedlejších metropolitních větví na bázi komerčního zařízení QKD a dvou dalších větší na bázi QKD pro účely experimentu a testování jejich použití.</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prosince 2025.</w:t>
      </w:r>
    </w:p>
    <w:p>
      <w:pPr>
        <w:pStyle w:val="Text1"/>
        <w:ind w:left="0"/>
        <w:rPr>
          <w:b/>
          <w:bCs/>
          <w:noProof/>
          <w:szCs w:val="24"/>
        </w:rPr>
      </w:pPr>
      <w:r>
        <w:rPr>
          <w:b/>
          <w:bCs/>
          <w:noProof/>
          <w:szCs w:val="24"/>
        </w:rPr>
        <w:t>Investice č. 13: Podpora výzkumu a inovací v leteckém průmyslu</w:t>
      </w:r>
    </w:p>
    <w:p>
      <w:pPr>
        <w:jc w:val="both"/>
        <w:rPr>
          <w:rFonts w:eastAsia="Times New Roman"/>
          <w:noProof/>
        </w:rPr>
      </w:pPr>
      <w:r>
        <w:rPr>
          <w:rFonts w:ascii="Times New Roman" w:hAnsi="Times New Roman"/>
          <w:noProof/>
          <w:sz w:val="24"/>
          <w:szCs w:val="24"/>
        </w:rPr>
        <w:t xml:space="preserve">Tato investice spočívá ve vytvoření nezbytné infrastruktury pro plně digitalizovanou zkušební základnu pro letecký průmysl. Zahrnuje používání kvantové výpočetní technologie a jejím cílem je umožnit využívání modelování digitálních dvojčat a simulací, což povede k rozvoji vysoce přesných výrobních metod, lepšímu shromažďování údajů a využívání know-how v jiných odvětvích. </w:t>
      </w:r>
    </w:p>
    <w:p>
      <w:pPr>
        <w:jc w:val="both"/>
        <w:rPr>
          <w:rFonts w:eastAsia="Times New Roman"/>
          <w:noProof/>
        </w:rPr>
      </w:pPr>
      <w:r>
        <w:rPr>
          <w:rFonts w:ascii="Times New Roman" w:hAnsi="Times New Roman"/>
          <w:noProof/>
          <w:sz w:val="24"/>
          <w:szCs w:val="24"/>
        </w:rPr>
        <w:t>Tato investice bude zahrnovat dokončení základního testovacího prostředí pro motory, které umožní pořízení dalších experimentálních leteckých motorů vybavených vysokým počtem čidel pro účely vývoje nových leteckých technologií, a testovacího prostředí pro experimentální letadla k testování motorů za letu. Toto zařízení bude k dispozici pro průmyslové partnery v odvětví letectví, včetně malých a středních podniků. Zařízení a vybavení pořízené v rámci této investice bude používáno pro výzkum a inovace s primárním zaměřením na vývoj variant s nízkým dopadem a částečně na zvýšení efektivnosti. Biopaliva použitá pro zkoušení musí být v souladu se směrnicí o energii z obnovitelných zdrojů (RED II)</w:t>
      </w:r>
      <w:r>
        <w:rPr>
          <w:rStyle w:val="FootnoteReference"/>
          <w:rFonts w:ascii="Times New Roman" w:eastAsia="Times New Roman" w:hAnsi="Times New Roman"/>
          <w:noProof/>
          <w:sz w:val="24"/>
          <w:szCs w:val="24"/>
          <w:lang w:val="en"/>
        </w:rPr>
        <w:footnoteReference w:id="9"/>
      </w:r>
      <w:r>
        <w:rPr>
          <w:rFonts w:ascii="Times New Roman" w:hAnsi="Times New Roman"/>
          <w:noProof/>
          <w:sz w:val="24"/>
          <w:szCs w:val="24"/>
        </w:rPr>
        <w:t>.</w:t>
      </w:r>
    </w:p>
    <w:p>
      <w:pPr>
        <w:jc w:val="both"/>
        <w:rPr>
          <w:rFonts w:ascii="Times New Roman" w:hAnsi="Times New Roman"/>
          <w:noProof/>
          <w:color w:val="000000"/>
          <w:sz w:val="24"/>
          <w:szCs w:val="24"/>
        </w:rPr>
      </w:pPr>
      <w:r>
        <w:rPr>
          <w:rFonts w:ascii="Times New Roman" w:hAnsi="Times New Roman"/>
          <w:noProof/>
          <w:color w:val="000000"/>
          <w:sz w:val="24"/>
          <w:szCs w:val="24"/>
        </w:rPr>
        <w:t xml:space="preserve">Investice bude dokončena do 31. prosince 2022. </w:t>
      </w:r>
    </w:p>
    <w:p>
      <w:pPr>
        <w:pStyle w:val="Text1"/>
        <w:ind w:left="0"/>
        <w:rPr>
          <w:noProof/>
          <w:u w:val="single"/>
        </w:rPr>
        <w:sectPr>
          <w:headerReference w:type="even" r:id="rId52"/>
          <w:headerReference w:type="default" r:id="rId53"/>
          <w:footerReference w:type="even" r:id="rId54"/>
          <w:footerReference w:type="default" r:id="rId55"/>
          <w:headerReference w:type="first" r:id="rId56"/>
          <w:footerReference w:type="first" r:id="rId57"/>
          <w:pgSz w:w="11907" w:h="16839"/>
          <w:pgMar w:top="1134" w:right="1418" w:bottom="1134" w:left="1418" w:header="709" w:footer="709" w:gutter="0"/>
          <w:cols w:space="720"/>
          <w:docGrid w:linePitch="360"/>
        </w:sectPr>
      </w:pPr>
    </w:p>
    <w:p>
      <w:pPr>
        <w:pStyle w:val="Text1"/>
        <w:ind w:left="0"/>
        <w:rPr>
          <w:b/>
          <w:noProof/>
          <w:u w:val="single"/>
        </w:rPr>
      </w:pPr>
      <w:r>
        <w:rPr>
          <w:b/>
          <w:noProof/>
          <w:u w:val="single"/>
        </w:rPr>
        <w:t>D.2 Milníky, cíle, ukazatele a harmonogram monitorování a provádění nevratné finanční podpory</w:t>
      </w:r>
    </w:p>
    <w:p>
      <w:pPr>
        <w:pStyle w:val="Text1"/>
        <w:ind w:left="0"/>
        <w:rPr>
          <w:b/>
          <w:noProof/>
          <w:u w:val="single"/>
        </w:rPr>
      </w:pPr>
    </w:p>
    <w:tbl>
      <w:tblPr>
        <w:tblW w:w="15021" w:type="dxa"/>
        <w:jc w:val="center"/>
        <w:tblLayout w:type="fixed"/>
        <w:tblLook w:val="0400" w:firstRow="0" w:lastRow="0" w:firstColumn="0" w:lastColumn="0" w:noHBand="0" w:noVBand="1"/>
      </w:tblPr>
      <w:tblGrid>
        <w:gridCol w:w="704"/>
        <w:gridCol w:w="1790"/>
        <w:gridCol w:w="993"/>
        <w:gridCol w:w="1701"/>
        <w:gridCol w:w="1984"/>
        <w:gridCol w:w="709"/>
        <w:gridCol w:w="567"/>
        <w:gridCol w:w="567"/>
        <w:gridCol w:w="709"/>
        <w:gridCol w:w="708"/>
        <w:gridCol w:w="4589"/>
      </w:tblGrid>
      <w:tr>
        <w:trPr>
          <w:trHeight w:val="672"/>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Poř. č.</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Související opatření (reforma nebo investice)</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Milník/cíl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Název</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 xml:space="preserve">Kvalitativní ukazatele </w:t>
            </w:r>
            <w:r>
              <w:rPr>
                <w:rFonts w:ascii="Times New Roman" w:hAnsi="Times New Roman"/>
                <w:b/>
                <w:noProof/>
                <w:sz w:val="18"/>
                <w:szCs w:val="18"/>
              </w:rPr>
              <w:br/>
              <w:t>(pro milníky)</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 xml:space="preserve">Kvantitativní ukazatele </w:t>
            </w:r>
            <w:r>
              <w:rPr>
                <w:rFonts w:ascii="Times New Roman" w:hAnsi="Times New Roman"/>
                <w:b/>
                <w:noProof/>
                <w:sz w:val="18"/>
                <w:szCs w:val="18"/>
              </w:rPr>
              <w:br/>
              <w:t>(pro cíle)</w:t>
            </w:r>
          </w:p>
        </w:tc>
        <w:tc>
          <w:tcPr>
            <w:tcW w:w="1417" w:type="dxa"/>
            <w:gridSpan w:val="2"/>
            <w:tcBorders>
              <w:top w:val="single" w:sz="4" w:space="0" w:color="000000"/>
              <w:left w:val="nil"/>
              <w:bottom w:val="single" w:sz="4" w:space="0" w:color="000000"/>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 xml:space="preserve">Orientační harmonogram dokončení </w:t>
            </w:r>
          </w:p>
        </w:tc>
        <w:tc>
          <w:tcPr>
            <w:tcW w:w="45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before="0" w:after="0"/>
              <w:jc w:val="center"/>
              <w:rPr>
                <w:rFonts w:ascii="Times New Roman" w:eastAsia="Times New Roman" w:hAnsi="Times New Roman"/>
                <w:b/>
                <w:noProof/>
                <w:sz w:val="18"/>
                <w:szCs w:val="18"/>
              </w:rPr>
            </w:pPr>
            <w:r>
              <w:rPr>
                <w:rFonts w:ascii="Times New Roman" w:hAnsi="Times New Roman"/>
                <w:b/>
                <w:noProof/>
                <w:sz w:val="18"/>
                <w:szCs w:val="18"/>
              </w:rPr>
              <w:t>Popis každého milníku a cíle</w:t>
            </w:r>
          </w:p>
        </w:tc>
      </w:tr>
      <w:tr>
        <w:trPr>
          <w:trHeight w:val="458"/>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c>
          <w:tcPr>
            <w:tcW w:w="709" w:type="dxa"/>
            <w:tcBorders>
              <w:top w:val="nil"/>
              <w:left w:val="single" w:sz="4" w:space="0" w:color="auto"/>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Měrná jednotka</w:t>
            </w:r>
          </w:p>
        </w:tc>
        <w:tc>
          <w:tcPr>
            <w:tcW w:w="567" w:type="dxa"/>
            <w:tcBorders>
              <w:top w:val="nil"/>
              <w:left w:val="nil"/>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 xml:space="preserve">Výchozí stav </w:t>
            </w:r>
          </w:p>
        </w:tc>
        <w:tc>
          <w:tcPr>
            <w:tcW w:w="567" w:type="dxa"/>
            <w:tcBorders>
              <w:top w:val="nil"/>
              <w:left w:val="nil"/>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 xml:space="preserve">Cíl </w:t>
            </w:r>
          </w:p>
        </w:tc>
        <w:tc>
          <w:tcPr>
            <w:tcW w:w="709" w:type="dxa"/>
            <w:tcBorders>
              <w:top w:val="nil"/>
              <w:left w:val="nil"/>
              <w:bottom w:val="single" w:sz="4" w:space="0" w:color="000000"/>
              <w:right w:val="single" w:sz="4" w:space="0" w:color="000000"/>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Čtvrtletí</w:t>
            </w:r>
          </w:p>
        </w:tc>
        <w:tc>
          <w:tcPr>
            <w:tcW w:w="708" w:type="dxa"/>
            <w:tcBorders>
              <w:top w:val="nil"/>
              <w:left w:val="nil"/>
              <w:bottom w:val="single" w:sz="4" w:space="0" w:color="000000"/>
              <w:right w:val="single" w:sz="4" w:space="0" w:color="auto"/>
            </w:tcBorders>
            <w:shd w:val="clear" w:color="auto" w:fill="BDD7EE"/>
            <w:vAlign w:val="center"/>
            <w:hideMark/>
          </w:tcPr>
          <w:p>
            <w:pPr>
              <w:spacing w:before="0" w:after="0"/>
              <w:jc w:val="center"/>
              <w:rPr>
                <w:rFonts w:ascii="Times New Roman" w:eastAsia="Times New Roman" w:hAnsi="Times New Roman"/>
                <w:b/>
                <w:noProof/>
                <w:sz w:val="16"/>
                <w:szCs w:val="16"/>
              </w:rPr>
            </w:pPr>
            <w:r>
              <w:rPr>
                <w:rFonts w:ascii="Times New Roman" w:hAnsi="Times New Roman"/>
                <w:b/>
                <w:noProof/>
                <w:sz w:val="16"/>
                <w:szCs w:val="16"/>
              </w:rPr>
              <w:t>Rok</w:t>
            </w:r>
          </w:p>
        </w:tc>
        <w:tc>
          <w:tcPr>
            <w:tcW w:w="4589" w:type="dxa"/>
            <w:vMerge/>
            <w:tcBorders>
              <w:left w:val="single" w:sz="4" w:space="0" w:color="auto"/>
              <w:bottom w:val="single" w:sz="4" w:space="0" w:color="auto"/>
              <w:right w:val="single" w:sz="4" w:space="0" w:color="auto"/>
            </w:tcBorders>
            <w:vAlign w:val="center"/>
            <w:hideMark/>
          </w:tcPr>
          <w:p>
            <w:pPr>
              <w:spacing w:before="0" w:after="0"/>
              <w:rPr>
                <w:rFonts w:ascii="Times New Roman" w:eastAsia="Times New Roman" w:hAnsi="Times New Roman"/>
                <w:b/>
                <w:noProof/>
                <w:sz w:val="18"/>
                <w:szCs w:val="18"/>
              </w:rPr>
            </w:pPr>
          </w:p>
        </w:tc>
      </w:tr>
      <w:tr>
        <w:trPr>
          <w:trHeight w:val="309"/>
          <w:jc w:val="center"/>
        </w:trPr>
        <w:tc>
          <w:tcPr>
            <w:tcW w:w="704" w:type="dxa"/>
            <w:tcBorders>
              <w:top w:val="single" w:sz="4" w:space="0" w:color="auto"/>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47</w:t>
            </w:r>
          </w:p>
        </w:tc>
        <w:tc>
          <w:tcPr>
            <w:tcW w:w="1790"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Reforma č. 1: Institucionální reforma systému koordinace a podpory digitální agendy a digitální transformace (vč. RIS 3)</w:t>
            </w:r>
          </w:p>
        </w:tc>
        <w:tc>
          <w:tcPr>
            <w:tcW w:w="993"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sz w:val="18"/>
                <w:szCs w:val="18"/>
              </w:rPr>
            </w:pPr>
            <w:r>
              <w:rPr>
                <w:rFonts w:ascii="Times New Roman" w:hAnsi="Times New Roman"/>
                <w:noProof/>
                <w:color w:val="004300"/>
                <w:sz w:val="18"/>
                <w:szCs w:val="18"/>
              </w:rPr>
              <w:t>Provedení organizačních změn za účelem reformy struktury veřejných orgánů zajišťujících dohled nad digitální transformací hospodářství</w:t>
            </w:r>
          </w:p>
        </w:tc>
        <w:tc>
          <w:tcPr>
            <w:tcW w:w="1984"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Zřízení Výboru (a související pracovní skupiny) odpovědného za koordinaci vnitrostátních zúčastněných stran při přípravě projektů digitální transformace českého hospodářství </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single" w:sz="4" w:space="0" w:color="auto"/>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Výbor pro digitální transformaci se zastoupením zúčastněných stran ze soukromého i veřejného sektoru bude koordinovat provádění reforem a investic v rámci komponent č. 1.4 a 1.5. Tato činnost bude zahrnovat zvláštní poradní/odbornou pracovní skupinu, která bude v rámci této komponenty zajišťovat dohled nad prováděním standardů podle standardu EU pro startupové národy a poskytovat právní analýzy, studie dopadu a odborná stanoviska týkající se výběru prováděcích metod. Tento milník se považuje za splněný, jakmile se výbor a pracovní skupina ujmou svých úkolů.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48</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Reforma č. 2: Skupina pro podporu a certifikaci společných strategických technologií s Radou pro strategické technologie</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Zřízení a jmenování certifikačních orgánů </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Vytvoření sítě certifikačních orgánů pro strategická odvětví</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Q2</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Zřízení certifikačních orgánů s kapacitami testování pro certifikaci včetně laboratoří, vybavení a know-how, jak podpořit rozvoj a inovace ve strategických odvětvích.</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49</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Reforma č. 2: Skupina pro podporu a certifikaci společných strategických technologií s Radou pro strategické technologie</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Počet společností, jimž byla udělena certifikace </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Padesát společností, jimž zřízená síť akreditovaných certifikačních orgánů udělí certifikaci.</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50</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 Zahájení činnosti Evropského centra excelence v AI „pro bezpečnější společnost“</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Evropského centra excelence v oblasti umělé inteligence pro bezpečnost a ochranu občanů</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Evropského centra excelence v oblasti umělé inteligence pro bezpečnost a ochranu občanů poskytujícího služby jako součást evropské sítě</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Evropské centrum excelence v oblasti umělé inteligence pro bezpečnost a ochranu občanů má podpořit výzkum, spolupráci a zavádění nových aplikací na poli umělé inteligence.</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51</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2: Evropské centrum pro sledování digitálních médií (EDMO)</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Evropského centra pro sledování digitálních médií pro střední Evropu v České republice (CEDMO)</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střediska CEDMO vybudovaného akademickým konsorciem s Univerzitou Karlovou v Praze jako předním partnerem</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2021</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Středisko pro digitální média jako součást sítě EDMO se zaměří na analýzu a boj proti šíření nepravdivých zpráv, jako jsou dezinformace týkající se onemocnění COVID nebo sítí 5G.</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52</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2: Evropské středisko pro sledování digitálních médií (EDMO)</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Minimální počet účastníků panelu pro index CEDMO </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2000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CEDMO má každý měsíc zajišťovat výzkum a monitorování za účasti statisticky významného vzorku nejméně 2 000 osob.</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53</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3: Přenos zahraniční nejlepší praxe a know-how pro digitální transformaci, monitoring a výzkum socio-ekonomických dopadů krize (Samuel Neaman Institute)</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Založení českého institutu Samuela Neamana s mezinárodním dosahem včetně pěti dohod o mezinárodní spolupráci ve formě memorand s cílem přenést osvědčené postupy v oblasti digitální transformace</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Institut má monitorovat poslední vývoj a socio-ekonomické dopady digitální transformace na základě memoranda s Ministerstvem průmyslu a Jeho úkolem je uzavírat memoranda o spolupráci a přenosu know-how na podporu digitální transformace hospodářství.</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54</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4: Platforma pro vzdělávání managementu SME pro post-COVID-19 digitální transformaci</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Zahájení činnosti platformy pro vzdělávání managementu malých a středních podniků a zapojení managementu nejméně 200 malých a středních podniků do činností týkajících se zvyšování kvalifikací a rekvalifikací se zaměřením na digitální transformaci </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Platforma má sloužit jako základ pro vzdělávání managementu malých a středních podniků o příležitostech a rizicích, která představují nové digitální technologie. Má se jednat o tzv. „badge based“ vzdělávací systém. Jeho obsah má být vytvářen ve spolupráci se zúčastněnými stranami.</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55</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5: Evropský projekt pro DLT financování digitalizace SME pro překonání krize (evropská infrastruktura blockchainových služeb – EBSI) – dluhopisy DLT pro financování malých a středních podniků</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Dokončení technické realizace evropské infrastruktury blockchainových služeb v případech použití a zahájení pilotní fáze malých a středních podniků</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Spuštění nabídky dluhopisů malých a středních podniků v pilotní fázi s cílem zajistit financování </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Pilotní program, který má být zahájen s cílem umožnit malým a středním podnikům nabízet dluhopisy na základě technologie sdíleného registru v regulačním pískovišti v rámcích evropské infrastruktury blockchainových služeb.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56</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5: Evropský projekt pro DLT financování digitalizace SME pro překonání krize (evropská infrastruktura blockchainových služeb) – dluhopisy DLT pro financování malých a středních podniků</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 malých a středních podniků podporovaných po úspěšné pilotní fázi nabídkou digitálních dluhopisů na EBSI</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250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Pilotní program, který má být zahájen s cílem umožnit malým a středním podnikům nabízet dluhopisy na základě technologie sdíleného registru v regulačním pískovišti v rámcích evropské infrastruktury blockchainových služeb.</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57</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6: Demonstrativní projekty rozvoje aplikací pro města a průmyslové oblasti (např. 5G)</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Vývoj a provozování referenčních aplikací pro Inteligentní města</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Bude dokončeno pět referenčních aplikací v rámci programu Inteligentní města</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58</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6: Demonstrativní projekty rozvoje aplikací pro města a průmyslové oblasti (např. 5G)</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Rozšíření aplikací případů použití pro Inteligentní města a pro Průmysl 4.0</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45 pro inteligentní města; 35 pro průmysl 4.0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Rozšíření vybraných demonstračních aplikací případů použití 5G do další lokality včetně krajů a místních obcí v rámcích programů Inteligentní města a Průmysl 4.0.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59</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7: Programy Czech Rise-Up</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Podpora projektů zaměřených na inovace v oblasti lékařských a nelékařských technologických řešení s cílem vypořádat se s dopady onemocnění COVID-19 a s jeho hospodářskými a sociálními důsledky </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300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Podpora podniků v lékařském výzkumu souvisejícím s onemocněním COVID-19 a v oblasti přípravy projektů, jakož i výzkumných projektů zaměřených na lékařská a nelékařská technologická řešení pro zvládání hospodářských a sociálních důsledků krize v podobě grantové podpory </w:t>
            </w:r>
            <w:r>
              <w:rPr>
                <w:rFonts w:ascii="Times New Roman" w:hAnsi="Times New Roman"/>
                <w:i/>
                <w:noProof/>
                <w:color w:val="004300"/>
                <w:sz w:val="18"/>
                <w:szCs w:val="18"/>
              </w:rPr>
              <w:t>de minimis</w:t>
            </w:r>
            <w:r>
              <w:rPr>
                <w:rFonts w:ascii="Times New Roman" w:hAnsi="Times New Roman"/>
                <w:noProof/>
                <w:color w:val="004300"/>
                <w:sz w:val="18"/>
                <w:szCs w:val="18"/>
              </w:rPr>
              <w:t xml:space="preserve"> v celkové hodnotě nejméně </w:t>
            </w:r>
            <w:r>
              <w:rPr>
                <w:rFonts w:ascii="Times New Roman" w:hAnsi="Times New Roman"/>
                <w:bCs/>
                <w:iCs/>
                <w:noProof/>
                <w:color w:val="004300"/>
                <w:sz w:val="18"/>
                <w:szCs w:val="18"/>
              </w:rPr>
              <w:t>23 564 527,53</w:t>
            </w:r>
            <w:r>
              <w:rPr>
                <w:rFonts w:ascii="Times New Roman" w:hAnsi="Times New Roman"/>
                <w:noProof/>
                <w:color w:val="004300"/>
                <w:sz w:val="18"/>
                <w:szCs w:val="18"/>
              </w:rPr>
              <w:t> EUR. Zadání veřejných zakázek na projekty vybrané v rámci soutěžních výzev k podávání návrhů uvedených v tomto milníku musí být v souladu s technickými pokyny k uplatňování zásady „významně nepoškozovat“ (2021/C58/01), a to s využitím seznamu výjimek a požadavku na dodržování příslušných právních předpisů EU a vnitrostátních právních předpisů v oblasti životního prostředí.</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60</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8: Podpora podnikavosti, podnikání a inovativních firem</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 start-upů podporovaných prostřednictvím inovačních center a partnerských organizací programu</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450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Start-upy a další způsobilé subjekty, jimž má být poskytnut mentoring, konzultantské a poradenské služby nebo školení na podporu podnikání a ověření obchodních plánů.</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61</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9: Pilotní fondy společného investování pro rozvoj pre-seedových investic, strategických technologií a univerzitních spin-offů v rámci evropských středisek excelence</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Fondu fondů a investice tří speciálně vyhrazených fondů (pre-seedové, strategické technologie a spin-offy)</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Konec pilotní fáze po vyčerpání investiční kapacity z fondů poskytovaných Nástrojem pro oživení a odolnost</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Má být zahájena činnost tří fondů společných investic pro stávající a nový rizikový kapitál na podporu inovativních start-upů, strategických technologií a společností se seedovými/pre-seedovými investicemi. Pilotní fáze by měla ověřit úroveň poptávky, cílové riziko, absorpci a oblasti investic, v neposlední řadě doplňkovost s jinými nástroji podpory. Na základě výsledků pilotní fáze mají být nastavena další nepřetržitá investiční kola a budou identifikovány další oblasti investic. Hodnota investic dosáhne nejméně částky 54 983 897,57 EUR. Investiční politika pro finanční nástroj bude zahrnovat kritéria pro výběr, která zajistí soulad podporovaných transakcí v rámci tohoto opatření s technickými pokyny k uplatňování zásady „významně nepoškozovat“ (2021/C58/01) prostřednictvím ověřování udržitelnosti, seznamu výjimek a požadavku na soulad s příslušnými právními předpisy EU a vnitrostátními právními předpisy v oblasti životního prostředí.</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62</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9: Pilotní fondy společného investování pro rozvoj pre-seedových investic, strategických technologií a univerzitních spin-offů v rámci evropských středisek excelence</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do pre-seedových a technologických start-upů a spin-offů</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185</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 xml:space="preserve">Budou vybrány a z investičních fondů podpořeny projekty a inovativní start-upy. Investiční politika pro finanční nástroj bude zahrnovat kritéria pro výběr, která zajistí soulad podporovaných transakcí v rámci tohoto opatření s technickými pokyny k uplatňování zásady „významně nepoškozovat“ (2021/C58/01) prostřednictvím ověřování udržitelnosti, seznamu výjimek a požadavku na soulad s příslušnými právními předpisy EU a vnitrostátními právními předpisy v oblasti životního prostředí. </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63</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10: Internacionalizace začínajících podniků</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sz w:val="18"/>
                <w:szCs w:val="18"/>
              </w:rPr>
            </w:pPr>
            <w:r>
              <w:rPr>
                <w:rFonts w:ascii="Times New Roman" w:hAnsi="Times New Roman"/>
                <w:noProof/>
                <w:color w:val="004300"/>
                <w:sz w:val="18"/>
                <w:szCs w:val="18"/>
              </w:rPr>
              <w:t>Podpora mezinárodní expanze start-upů prostřednictvím konzultačních, mentoringových a poradenských služeb pro podniky a akcelerátorových programů</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100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Start-upy mají být podporovány prostřednictvím podpůrných programů zaměřených na mezinárodní expanzi a přizpůsobení se zahraničním trhům. Tyto programy zahrnují: mentoringové a konzultační služby, validaci výrobků a služby akceleračních programů týkající se zahraničních trhů, sdílení osvědčených postupů, expanze, přizpůsobování výrobků/služeb.</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64</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11: Regulační pískoviště (sandboxy) v souladu s prioritami EU</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Zahájení činnosti dvou regulačních pískovišť ve fintech společnostech a v oblasti umělé inteligence</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Zřízení dvou regulačních pískovišť v oblastech regulovaných v rámci priority, např. finance (na základě balíčku digitálního financování) a umělá inteligence (na základě evropského právního rámce pro umělou inteligenci)</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Regulační pískoviště v oblasti fintech společností a umělé inteligence se považují za aktivní a v provozu, pokud mohou inovativní podniky podat žádost o zařazení do testovacích programů. Prvotní pozornost je věnována projektům, které jsou již v přípravě.</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65</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11: Regulační pískoviště (sandboxy) v souladu s prioritami EU</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Účastníci regulačních pískovišť podporováni pískovišti</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Počet</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sz w:val="18"/>
                <w:szCs w:val="18"/>
              </w:rPr>
            </w:pPr>
            <w:r>
              <w:rPr>
                <w:rFonts w:ascii="Times New Roman" w:hAnsi="Times New Roman"/>
                <w:noProof/>
                <w:color w:val="004300"/>
                <w:sz w:val="18"/>
                <w:szCs w:val="18"/>
              </w:rPr>
              <w:t>Počet podniků v regulovaných sektorech, jejichž projekt a produkt byl otestován prostřednictvím regulačních pískovišť v oblasti fintech a umělé inteligence. Prvotní pozornost je věnována projektům, které jsou již v přípravě. Oba typy pískovišť by měly podpořit nejméně deset projektů v každém zahájeném programu.</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66</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12: Vybudování kvantové komunikační infrastruktury</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Dokončení výstavby a fáze pilotního provozu optické kvantové sítě</w:t>
            </w:r>
          </w:p>
        </w:tc>
        <w:tc>
          <w:tcPr>
            <w:tcW w:w="1984"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hAnsi="Times New Roman"/>
                <w:noProof/>
                <w:color w:val="004300"/>
                <w:sz w:val="18"/>
                <w:szCs w:val="18"/>
              </w:rPr>
            </w:pPr>
            <w:r>
              <w:rPr>
                <w:rFonts w:ascii="Times New Roman" w:hAnsi="Times New Roman"/>
                <w:noProof/>
                <w:color w:val="004300"/>
                <w:sz w:val="18"/>
                <w:szCs w:val="18"/>
              </w:rPr>
              <w:t>Infrastruktura je v provozu a její zkoušky zdokumentovaly a schválily příslušné orgány (Ministerstvo průmyslu a obchodu, Ministerstvo obrany, Národní úřad pro kybernetickou a informační bezpečnost (NÚKIB))</w:t>
            </w: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lang w:eastAsia="en-GB"/>
              </w:rPr>
            </w:pP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58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Milník zahrnuje: vytvoření optických spojení mezi Prahou, Brnem a Ostravou, celková délka optických kabelů 400 km, šest segmentů kvantové klíčové distribuce; realizace dvou sekundárních metropolitních poboček na základě obchodního zařízení pro kvantovou klíčovou distribuci a dvou sekundárních metropolitních poboček na základě experimentální sady nástrojů pro kvantovou klíčovou distribuci; nákup a plánování mobilních sekundárních poboček; testování integrace stávajících telekomunikačních technologií pro kvantovou komunikaci; a testování tří případů použití specifických pro vojenské oblasti.</w:t>
            </w:r>
          </w:p>
        </w:tc>
      </w:tr>
      <w:tr>
        <w:trPr>
          <w:trHeight w:val="309"/>
          <w:jc w:val="center"/>
        </w:trPr>
        <w:tc>
          <w:tcPr>
            <w:tcW w:w="704" w:type="dxa"/>
            <w:tcBorders>
              <w:top w:val="nil"/>
              <w:left w:val="single" w:sz="4" w:space="0" w:color="000000"/>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67</w:t>
            </w:r>
          </w:p>
        </w:tc>
        <w:tc>
          <w:tcPr>
            <w:tcW w:w="1790"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13: Podpora výzkumu a inovací v leteckém průmyslu</w:t>
            </w:r>
          </w:p>
        </w:tc>
        <w:tc>
          <w:tcPr>
            <w:tcW w:w="993"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Milník</w:t>
            </w:r>
          </w:p>
        </w:tc>
        <w:tc>
          <w:tcPr>
            <w:tcW w:w="1701"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Plný provoz nejméně jednoho zkušebního prostředí na základě digitální souběžné technologie a zařízení pro digitální transformaci v leteckém průmyslu</w:t>
            </w:r>
          </w:p>
        </w:tc>
        <w:tc>
          <w:tcPr>
            <w:tcW w:w="1984"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Nákup a provoz nezbytného zařízení včetně experimentálního zařízení.</w:t>
            </w:r>
          </w:p>
        </w:tc>
        <w:tc>
          <w:tcPr>
            <w:tcW w:w="709" w:type="dxa"/>
            <w:tcBorders>
              <w:top w:val="nil"/>
              <w:left w:val="nil"/>
              <w:bottom w:val="single" w:sz="4" w:space="0" w:color="000000"/>
              <w:right w:val="single" w:sz="4" w:space="0" w:color="000000"/>
            </w:tcBorders>
            <w:shd w:val="clear" w:color="auto" w:fill="C6EFCE"/>
            <w:vAlign w:val="center"/>
          </w:tcPr>
          <w:p>
            <w:pPr>
              <w:spacing w:before="0"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before="0" w:after="0"/>
              <w:jc w:val="center"/>
              <w:rPr>
                <w:rFonts w:ascii="Times New Roman" w:eastAsia="Times New Roman" w:hAnsi="Times New Roman"/>
                <w:noProof/>
                <w:color w:val="004300"/>
                <w:sz w:val="18"/>
                <w:szCs w:val="18"/>
              </w:rPr>
            </w:pPr>
          </w:p>
        </w:tc>
        <w:tc>
          <w:tcPr>
            <w:tcW w:w="709"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8" w:type="dxa"/>
            <w:tcBorders>
              <w:top w:val="nil"/>
              <w:left w:val="nil"/>
              <w:bottom w:val="single" w:sz="4" w:space="0" w:color="000000"/>
              <w:right w:val="single" w:sz="4" w:space="0" w:color="000000"/>
            </w:tcBorders>
            <w:shd w:val="clear" w:color="auto" w:fill="C6EFCE"/>
            <w:vAlign w:val="center"/>
            <w:hideMark/>
          </w:tcPr>
          <w:p>
            <w:pPr>
              <w:spacing w:before="0"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4589" w:type="dxa"/>
            <w:tcBorders>
              <w:top w:val="nil"/>
              <w:left w:val="nil"/>
              <w:bottom w:val="single" w:sz="4" w:space="0" w:color="000000"/>
              <w:right w:val="single" w:sz="4" w:space="0" w:color="000000"/>
            </w:tcBorders>
            <w:shd w:val="clear" w:color="auto" w:fill="C6EFCE"/>
            <w:vAlign w:val="center"/>
            <w:hideMark/>
          </w:tcPr>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Milník zahrnuje dokončení zkušebního prostředí jádra motoru umožňující výrobcům leteckých motorů testovat digitální páry leteckých motorů; pořízení dalších experimentálních leteckých motorů vybavených vysokým počtem čidel umožňujících vývoj nových leteckých technologií a zkušebního zařízení pro experimentální letadla pro testování motorů za letu. </w:t>
            </w:r>
          </w:p>
          <w:p>
            <w:pPr>
              <w:spacing w:before="0" w:after="0"/>
              <w:rPr>
                <w:rFonts w:ascii="Times New Roman" w:eastAsia="Times New Roman" w:hAnsi="Times New Roman"/>
                <w:noProof/>
                <w:color w:val="004300"/>
                <w:sz w:val="18"/>
                <w:szCs w:val="18"/>
              </w:rPr>
            </w:pPr>
            <w:r>
              <w:rPr>
                <w:rFonts w:ascii="Times New Roman" w:hAnsi="Times New Roman"/>
                <w:noProof/>
                <w:color w:val="004300"/>
                <w:sz w:val="18"/>
                <w:szCs w:val="18"/>
              </w:rPr>
              <w:t>Výzkumná činnost se v první řadě zaměří na varianty s nízkým dopadem a výzkum týkající se zvýšení efektivnosti stávající technologie hodnocené jako „nejlepší ve své třídě“ může zahrnovat pouze za předpokladu, že nevede k závislosti na určitých technologiích (tzv. „technology lock-in“) nebo pokud jsou výsledky procesu výzkumu a inovací na úrovni uplatňování technologicky neutrální.</w:t>
            </w:r>
          </w:p>
        </w:tc>
      </w:tr>
    </w:tbl>
    <w:p>
      <w:pPr>
        <w:keepNext/>
        <w:tabs>
          <w:tab w:val="left" w:pos="850"/>
        </w:tabs>
        <w:spacing w:before="360"/>
        <w:jc w:val="both"/>
        <w:outlineLvl w:val="0"/>
        <w:rPr>
          <w:rFonts w:ascii="Times New Roman" w:hAnsi="Times New Roman"/>
          <w:b/>
          <w:smallCaps/>
          <w:noProof/>
          <w:sz w:val="24"/>
        </w:rPr>
        <w:sectPr>
          <w:headerReference w:type="even" r:id="rId58"/>
          <w:headerReference w:type="default" r:id="rId59"/>
          <w:footerReference w:type="even" r:id="rId60"/>
          <w:footerReference w:type="default" r:id="rId61"/>
          <w:headerReference w:type="first" r:id="rId62"/>
          <w:footerReference w:type="first" r:id="rId63"/>
          <w:pgSz w:w="16838" w:h="11906" w:orient="landscape" w:code="9"/>
          <w:pgMar w:top="992" w:right="1134" w:bottom="1418" w:left="1134" w:header="709" w:footer="709" w:gutter="0"/>
          <w:cols w:space="720"/>
          <w:docGrid w:linePitch="36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 xml:space="preserve">B. KOMPONENTA č. 1.5: Digitální transformace podniků </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 podpoře digitalizace průmyslu, využívání technologií a vzniku propojené a dlouhodobě udržitelné vnitrostátní vrstvy evropského digitálního ekosystému prostřednictvím center digitálních inovací. Komponenta podpoří i vznik referenčního testovacího a experimentálního zařízení. Dalším cílem je umožnit podporu společnostem, které se účastní případných významných projektů společného evropského zájmu, zejména v oblasti mikroelektroniky, konektivity a cloudové infrastruktury a služeb, včetně projektů v oblasti mikroprocesorů spojených s evropskou vysoce výkonnou výpočetní technikou. Očekává se, že tato komponenta podpoří ekologický přechod zejména malých a středních podniků prostřednictvím digitálních technologií v souladu s cíli Zelené dohody pro Evropu.</w:t>
      </w:r>
    </w:p>
    <w:p>
      <w:pPr>
        <w:jc w:val="both"/>
        <w:rPr>
          <w:rFonts w:ascii="Times New Roman" w:eastAsia="Times New Roman" w:hAnsi="Times New Roman"/>
          <w:noProof/>
          <w:color w:val="000000"/>
          <w:sz w:val="24"/>
          <w:szCs w:val="24"/>
        </w:rPr>
      </w:pPr>
      <w:r>
        <w:rPr>
          <w:rFonts w:ascii="Times New Roman" w:hAnsi="Times New Roman"/>
          <w:noProof/>
          <w:sz w:val="24"/>
          <w:szCs w:val="24"/>
        </w:rPr>
        <w:t>Komponenta podporuje plnění doporučení pro zemi č. 3 na rok 2020, podle něhož má Česko zaměřit investice na digitální transformaci, zejména na vysokokapacitní digitální infrastrukturu a technologie, a to mimo jiné v uhelných regionech.</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Při zadávání zakázek na vybavení IKT se zejména zajistí soulad s příslušnými kritérii EU pro zadávání zelených veřejných zakázek, jakož i s požadavky na energetickou a materiálovou účinnost a požadavky na recyklaci stanovenými v souladu se směrnicí 2009/125/ES, směrnicí 2009/125/ES, směrnicí 2011/65/EU a směrnicí 2021/19/EU.</w:t>
      </w:r>
    </w:p>
    <w:p>
      <w:pPr>
        <w:jc w:val="both"/>
        <w:rPr>
          <w:rFonts w:ascii="Times New Roman" w:eastAsia="Times New Roman" w:hAnsi="Times New Roman"/>
          <w:noProof/>
          <w:sz w:val="24"/>
          <w:szCs w:val="24"/>
        </w:rPr>
      </w:pPr>
    </w:p>
    <w:p>
      <w:pPr>
        <w:jc w:val="both"/>
        <w:rPr>
          <w:rFonts w:ascii="Times New Roman" w:hAnsi="Times New Roman"/>
          <w:b/>
          <w:i/>
          <w:noProof/>
          <w:color w:val="4F81BD"/>
          <w:sz w:val="24"/>
        </w:rPr>
      </w:pPr>
      <w:r>
        <w:rPr>
          <w:rFonts w:ascii="Times New Roman" w:hAnsi="Times New Roman"/>
          <w:b/>
          <w:noProof/>
          <w:sz w:val="24"/>
          <w:u w:val="single"/>
        </w:rPr>
        <w:t>E.1 Popis reforem a investic pro nevratnou finanční podporu</w:t>
      </w:r>
    </w:p>
    <w:p>
      <w:pPr>
        <w:pBdr>
          <w:top w:val="nil"/>
          <w:left w:val="nil"/>
          <w:bottom w:val="nil"/>
          <w:right w:val="nil"/>
          <w:between w:val="nil"/>
        </w:pBdr>
        <w:jc w:val="both"/>
        <w:rPr>
          <w:rFonts w:ascii="Times New Roman" w:hAnsi="Times New Roman"/>
          <w:b/>
          <w:bCs/>
          <w:noProof/>
          <w:sz w:val="24"/>
          <w:szCs w:val="24"/>
        </w:rPr>
      </w:pPr>
      <w:r>
        <w:rPr>
          <w:rFonts w:ascii="Times New Roman" w:hAnsi="Times New Roman"/>
          <w:b/>
          <w:bCs/>
          <w:noProof/>
          <w:sz w:val="24"/>
          <w:szCs w:val="24"/>
        </w:rPr>
        <w:t xml:space="preserve">Reforma č. 1: Vytvoření platformy pro digitalizaci hospodářství </w:t>
      </w:r>
    </w:p>
    <w:p>
      <w:pPr>
        <w:pBdr>
          <w:top w:val="nil"/>
          <w:left w:val="nil"/>
          <w:bottom w:val="nil"/>
          <w:right w:val="nil"/>
          <w:between w:val="nil"/>
        </w:pBdr>
        <w:jc w:val="both"/>
        <w:rPr>
          <w:rFonts w:ascii="Times New Roman" w:hAnsi="Times New Roman"/>
          <w:noProof/>
        </w:rPr>
      </w:pPr>
      <w:r>
        <w:rPr>
          <w:rFonts w:ascii="Times New Roman" w:hAnsi="Times New Roman"/>
          <w:noProof/>
          <w:sz w:val="24"/>
          <w:szCs w:val="24"/>
        </w:rPr>
        <w:t xml:space="preserve">Cílem opatření je uvést do provozu platformu koordinující propojení všech aktérů vnitrostátního digitálního ekosystému, jako jsou evropská a národní centra digitálních inovací, centra excelence v oblasti umělé inteligence, vnitrostátní kompetenční centra pro vysoce výkonnou výpočetní techniku a kybernetickou bezpečnost, evropská referenční testovací a experimentální zařízení, inovační centra a klienti všech těchto center. Jejím cílem je podpořit digitální transformaci, využívání technologií a nábor odborníků na digitalizaci a nové technologie a zvýšit odolnost průmyslu a služeb vůči případným dalším krizím.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Reforma bude provedena do 31. prosince 2025. </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
          <w:bCs/>
          <w:noProof/>
          <w:sz w:val="24"/>
          <w:szCs w:val="24"/>
        </w:rPr>
        <w:t>Investice č. 1: Vytvoření evropských a národních center digitálních</w:t>
      </w:r>
      <w:r>
        <w:rPr>
          <w:rFonts w:ascii="Times New Roman" w:hAnsi="Times New Roman"/>
          <w:bCs/>
          <w:noProof/>
          <w:sz w:val="24"/>
          <w:szCs w:val="24"/>
        </w:rPr>
        <w:t xml:space="preserve"> </w:t>
      </w:r>
      <w:r>
        <w:rPr>
          <w:rFonts w:ascii="Times New Roman" w:hAnsi="Times New Roman"/>
          <w:b/>
          <w:bCs/>
          <w:noProof/>
          <w:sz w:val="24"/>
          <w:szCs w:val="24"/>
        </w:rPr>
        <w:t>inovací (e/DIH)</w:t>
      </w:r>
      <w:r>
        <w:rPr>
          <w:rFonts w:ascii="Times New Roman" w:hAnsi="Times New Roman"/>
          <w:bCs/>
          <w:noProof/>
          <w:sz w:val="24"/>
          <w:szCs w:val="24"/>
        </w:rPr>
        <w:t xml:space="preserve"> </w:t>
      </w:r>
    </w:p>
    <w:p>
      <w:pPr>
        <w:autoSpaceDE w:val="0"/>
        <w:autoSpaceDN w:val="0"/>
        <w:adjustRightInd w:val="0"/>
        <w:jc w:val="both"/>
        <w:rPr>
          <w:noProof/>
        </w:rPr>
      </w:pPr>
      <w:r>
        <w:rPr>
          <w:rFonts w:ascii="Times New Roman" w:hAnsi="Times New Roman"/>
          <w:bCs/>
          <w:noProof/>
          <w:sz w:val="24"/>
          <w:szCs w:val="24"/>
        </w:rPr>
        <w:t>Cílem opatření je podpořit digitální transformaci především malých a středních podniků a státní správy,</w:t>
      </w:r>
      <w:r>
        <w:rPr>
          <w:rFonts w:ascii="Times New Roman" w:hAnsi="Times New Roman"/>
          <w:noProof/>
          <w:sz w:val="24"/>
          <w:szCs w:val="24"/>
        </w:rPr>
        <w:t xml:space="preserve"> zavádět nové technologie, </w:t>
      </w:r>
      <w:r>
        <w:rPr>
          <w:rFonts w:ascii="Times New Roman" w:hAnsi="Times New Roman"/>
          <w:bCs/>
          <w:noProof/>
          <w:sz w:val="24"/>
          <w:szCs w:val="24"/>
        </w:rPr>
        <w:t xml:space="preserve">přilákat odborníky v této oblasti a zajistit větší odolnost průmyslu a služeb vůči případným dalším krizím. </w:t>
      </w:r>
      <w:r>
        <w:rPr>
          <w:rFonts w:ascii="Times New Roman" w:hAnsi="Times New Roman"/>
          <w:noProof/>
          <w:sz w:val="24"/>
          <w:szCs w:val="24"/>
        </w:rPr>
        <w:t xml:space="preserve">Předpokládá se spolufinancování z programu Digitální Evropa.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 xml:space="preserve">Bude zřízeno šest evropských a národních center digitálních inovací a bude zahájen jejich provoz. </w:t>
      </w:r>
    </w:p>
    <w:p>
      <w:pPr>
        <w:autoSpaceDE w:val="0"/>
        <w:autoSpaceDN w:val="0"/>
        <w:adjustRightInd w:val="0"/>
        <w:jc w:val="both"/>
        <w:rPr>
          <w:noProof/>
        </w:rPr>
      </w:pPr>
      <w:r>
        <w:rPr>
          <w:rFonts w:ascii="Times New Roman" w:hAnsi="Times New Roman"/>
          <w:noProof/>
          <w:sz w:val="24"/>
          <w:szCs w:val="24"/>
        </w:rPr>
        <w:t>Investice bude realizována do 31. prosince 2024.</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
          <w:bCs/>
          <w:noProof/>
          <w:sz w:val="24"/>
          <w:szCs w:val="24"/>
        </w:rPr>
        <w:t>Investice č. 2: Vytvoření evropského referenčního testovacího a experimentálního zařízení</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 xml:space="preserve">Bude vytvořeno evropské referenční testovací a experimentální zařízení a zahájen jeho provoz. Cílem opatření je propojit sektory výzkumu (jako je centrum excelence v oblasti umělé inteligence) s širším hospodářstvím (jako jsou evropská a národní digitální inovační centra) tím, že výzkumným centrům a malým a středním podnikům umožní testovat vyvíjené technologie a aplikace, aby je mohly využívat při své činnosti. Předpokládá se spolufinancování z programu Digitální Evropa. </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noProof/>
          <w:sz w:val="24"/>
          <w:szCs w:val="24"/>
        </w:rPr>
        <w:t>Investice bude realizována do 31. prosince 2024.</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
          <w:bCs/>
          <w:noProof/>
          <w:sz w:val="24"/>
          <w:szCs w:val="24"/>
        </w:rPr>
        <w:t>Investice č. 3: Přímá podpora digitální transformace podniků</w:t>
      </w:r>
      <w:r>
        <w:rPr>
          <w:rFonts w:ascii="Times New Roman" w:hAnsi="Times New Roman"/>
          <w:bCs/>
          <w:noProof/>
          <w:sz w:val="24"/>
          <w:szCs w:val="24"/>
        </w:rPr>
        <w:t xml:space="preserve"> </w:t>
      </w:r>
    </w:p>
    <w:p>
      <w:pPr>
        <w:autoSpaceDE w:val="0"/>
        <w:autoSpaceDN w:val="0"/>
        <w:adjustRightInd w:val="0"/>
        <w:jc w:val="both"/>
        <w:rPr>
          <w:rFonts w:ascii="Times New Roman" w:hAnsi="Times New Roman"/>
          <w:noProof/>
          <w:sz w:val="24"/>
          <w:szCs w:val="24"/>
        </w:rPr>
      </w:pPr>
      <w:r>
        <w:rPr>
          <w:rFonts w:ascii="Times New Roman" w:hAnsi="Times New Roman"/>
          <w:noProof/>
          <w:sz w:val="24"/>
          <w:szCs w:val="24"/>
        </w:rPr>
        <w:t>Přímá podpora na digitální transformaci (jako je umělá inteligence, automatizace procesu, robotika, vysoce výkonná výpočetní technika a kybernetická bezpečnost) se poskytuje 377 podnikům. Dvě třetiny finančních prostředků se poskytnou malým a středním podnikům a společnostem se střední tržní kapitalizací a jedna třetina se poskytne velkým podnikům. Cílem opatření je posílit digitální procesy, zejména v malých a středních podnicích, ale také ve velkých podnicích (a potenciálně podpořit velké inovativní významné projekty společného evropského zájmu, zejména v oblasti mikroprocesorů a cloudové infrastruktury a služeb).</w:t>
      </w:r>
      <w:r>
        <w:rPr>
          <w:rFonts w:ascii="Times New Roman" w:hAnsi="Times New Roman"/>
          <w:noProof/>
          <w:sz w:val="24"/>
          <w:szCs w:val="24"/>
        </w:rPr>
        <w:cr/>
      </w:r>
    </w:p>
    <w:p>
      <w:pPr>
        <w:autoSpaceDE w:val="0"/>
        <w:autoSpaceDN w:val="0"/>
        <w:adjustRightInd w:val="0"/>
        <w:jc w:val="both"/>
        <w:rPr>
          <w:rFonts w:ascii="Times New Roman" w:hAnsi="Times New Roman"/>
          <w:noProof/>
          <w:sz w:val="24"/>
          <w:szCs w:val="24"/>
        </w:rPr>
      </w:pPr>
      <w:r>
        <w:rPr>
          <w:rFonts w:ascii="Times New Roman" w:hAnsi="Times New Roman"/>
          <w:noProof/>
          <w:sz w:val="24"/>
          <w:szCs w:val="24"/>
        </w:rPr>
        <w:t>Investice bude realizována do 31. prosince 2025.</w:t>
      </w:r>
    </w:p>
    <w:p>
      <w:pPr>
        <w:autoSpaceDE w:val="0"/>
        <w:autoSpaceDN w:val="0"/>
        <w:adjustRightInd w:val="0"/>
        <w:jc w:val="both"/>
        <w:rPr>
          <w:rFonts w:ascii="Times New Roman" w:hAnsi="Times New Roman"/>
          <w:noProof/>
          <w:sz w:val="24"/>
          <w:szCs w:val="24"/>
        </w:rPr>
        <w:sectPr>
          <w:headerReference w:type="even" r:id="rId64"/>
          <w:headerReference w:type="default" r:id="rId65"/>
          <w:footerReference w:type="even" r:id="rId66"/>
          <w:footerReference w:type="default" r:id="rId67"/>
          <w:headerReference w:type="first" r:id="rId68"/>
          <w:footerReference w:type="first" r:id="rId69"/>
          <w:pgSz w:w="11907" w:h="16839"/>
          <w:pgMar w:top="1134" w:right="1418" w:bottom="1134" w:left="1418" w:header="709" w:footer="709" w:gutter="0"/>
          <w:cols w:space="720"/>
          <w:docGrid w:linePitch="360"/>
        </w:sectPr>
      </w:pPr>
    </w:p>
    <w:p>
      <w:pPr>
        <w:tabs>
          <w:tab w:val="left" w:pos="993"/>
        </w:tabs>
        <w:jc w:val="both"/>
        <w:rPr>
          <w:rFonts w:ascii="Times New Roman" w:hAnsi="Times New Roman"/>
          <w:b/>
          <w:noProof/>
          <w:sz w:val="24"/>
          <w:u w:val="single"/>
        </w:rPr>
      </w:pPr>
      <w:r>
        <w:rPr>
          <w:rFonts w:ascii="Times New Roman" w:hAnsi="Times New Roman"/>
          <w:b/>
          <w:noProof/>
          <w:sz w:val="24"/>
          <w:u w:val="single"/>
        </w:rPr>
        <w:t>E.2 Milníky, cíle, ukazatele a harmonogram monitorování a provádění nevratné finanční podpory</w:t>
      </w:r>
    </w:p>
    <w:p>
      <w:pPr>
        <w:tabs>
          <w:tab w:val="left" w:pos="993"/>
        </w:tabs>
        <w:jc w:val="both"/>
        <w:rPr>
          <w:rFonts w:ascii="Times New Roman" w:hAnsi="Times New Roman"/>
          <w:b/>
          <w:bCs/>
          <w:noProof/>
          <w:sz w:val="24"/>
          <w:u w:val="single"/>
        </w:rPr>
      </w:pPr>
    </w:p>
    <w:tbl>
      <w:tblPr>
        <w:tblW w:w="0" w:type="auto"/>
        <w:tblLayout w:type="fixed"/>
        <w:tblLook w:val="04A0" w:firstRow="1" w:lastRow="0" w:firstColumn="1" w:lastColumn="0" w:noHBand="0" w:noVBand="1"/>
      </w:tblPr>
      <w:tblGrid>
        <w:gridCol w:w="675"/>
        <w:gridCol w:w="1278"/>
        <w:gridCol w:w="990"/>
        <w:gridCol w:w="1134"/>
        <w:gridCol w:w="1134"/>
        <w:gridCol w:w="1134"/>
        <w:gridCol w:w="851"/>
        <w:gridCol w:w="567"/>
        <w:gridCol w:w="850"/>
        <w:gridCol w:w="1276"/>
        <w:gridCol w:w="4675"/>
      </w:tblGrid>
      <w:tr>
        <w:trPr>
          <w:trHeight w:val="107"/>
          <w:tblHead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278"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0"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134"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134"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552"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2126"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278"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990"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134"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134"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134"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851"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567"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1276"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67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68</w:t>
            </w:r>
          </w:p>
        </w:tc>
        <w:tc>
          <w:tcPr>
            <w:tcW w:w="127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Vytvoření platformy pro digitalizaci hospodářství</w:t>
            </w:r>
          </w:p>
        </w:tc>
        <w:tc>
          <w:tcPr>
            <w:tcW w:w="990"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Vytvoření platformy pro digitalizaci hospodářství</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Zahájení provozu platformy</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675"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vytvořena platforma pro digitalizaci hospodářství a bude zahájen její provoz. Platforma bude koordinovat propojení všech aktérů vnitrostátního digitálního ekosystému, jako jsou evropská a národní centra digitálních inovací, centra excelence v oblasti umělé inteligence, vnitrostátní kompetenční centra pro vysoce výkonnou výpočetní techniku a kybernetickou bezpečnost, evropská referenční testovací a experimentální zařízení, inovační centra a klienti všech těchto center.</w:t>
            </w:r>
            <w:r>
              <w:rPr>
                <w:noProof/>
                <w:sz w:val="18"/>
                <w:szCs w:val="18"/>
              </w:rPr>
              <w:t xml:space="preserve"> </w:t>
            </w:r>
            <w:r>
              <w:rPr>
                <w:rFonts w:ascii="Times New Roman" w:hAnsi="Times New Roman"/>
                <w:noProof/>
                <w:color w:val="006100"/>
                <w:sz w:val="18"/>
                <w:szCs w:val="18"/>
              </w:rPr>
              <w:t>Platforma má fungovat jako jedna z pracovních skupin Výboru pro digitální transformaci, který má být zřízen jako reforma 1 v rámci komponenty 1.4.</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69</w:t>
            </w:r>
          </w:p>
        </w:tc>
        <w:tc>
          <w:tcPr>
            <w:tcW w:w="127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Evropská a národní centra digitálních inovací</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Vytvoření funkčních a propojených evropských a národních center digitálních inovací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evropských a národních center digitálních inovací</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6</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67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vytvořeno šest evropských a národních center digitálních inovací a bude zahájen jejich provoz.</w:t>
            </w:r>
            <w:r>
              <w:rPr>
                <w:noProof/>
                <w:sz w:val="18"/>
                <w:szCs w:val="18"/>
              </w:rPr>
              <w:t xml:space="preserve"> </w:t>
            </w:r>
            <w:r>
              <w:rPr>
                <w:rFonts w:ascii="Times New Roman" w:hAnsi="Times New Roman"/>
                <w:noProof/>
                <w:color w:val="006100"/>
                <w:sz w:val="18"/>
                <w:szCs w:val="18"/>
              </w:rPr>
              <w:t>Tato centra digitálních inovací podpoří digitální transformaci především malých a středních podniků a státní správy, neboť budou zavádět nové technologie, lákat odborníky v této oblasti a zajistí větší odolnost průmyslu a služeb vůči případným dalším krizím.</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70</w:t>
            </w:r>
          </w:p>
        </w:tc>
        <w:tc>
          <w:tcPr>
            <w:tcW w:w="127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Evropské referenční testovací a experimentální zařízení</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Vytvoření evropského referenčního testovacího a experimentálního zařízení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evropských referenčních testovacích a experimentálních zařízení</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67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vytvořeno evropské referenční testovací a experimentální zařízení a zahájen jeho provoz.</w:t>
            </w:r>
            <w:r>
              <w:rPr>
                <w:noProof/>
                <w:sz w:val="18"/>
                <w:szCs w:val="18"/>
              </w:rPr>
              <w:t xml:space="preserve"> </w:t>
            </w:r>
            <w:r>
              <w:rPr>
                <w:rFonts w:ascii="Times New Roman" w:hAnsi="Times New Roman"/>
                <w:noProof/>
                <w:color w:val="006100"/>
                <w:sz w:val="18"/>
                <w:szCs w:val="18"/>
              </w:rPr>
              <w:t>Toto zařízení vytvoří propojení mezi sektory výzkumu (jako je centrum excelence v oblasti umělé inteligence) a širším hospodářstvím (jako jsou evropská a národní digitální inovační centra) tím, že výzkumným centrům a malým a středním podnikům umožní testovat vyvíjené technologie a aplikace, aby je mohly využívat při své činnosti.</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71</w:t>
            </w:r>
          </w:p>
        </w:tc>
        <w:tc>
          <w:tcPr>
            <w:tcW w:w="127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Digitální transformace zpracovatelských a nevýrobních podniků a zvýšení jejich odolnosti</w:t>
            </w:r>
          </w:p>
        </w:tc>
        <w:tc>
          <w:tcPr>
            <w:tcW w:w="99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Přímá podpora pro podniky pro účely digitální transformace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podniků</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 xml:space="preserve">377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67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377 podniků prochází digitální transformací. Tato digitální transformace rozšíří digitální procesy, zejména v malých a středních podnicích. Podpora se poskytuje na činnosti, jako je zavedení digitalizace v podnicích, včetně nezbytné analýzy procesů, zavádění digitálních řešení v oblastech souvisejících s umělou inteligencí, automatizací procesů, robotikou a kybernetickou bezpečností on-line a kyberneticko-fyzikálních systémů a zaváděním nových technologií, pořizování nových technologických zařízení a vybavení, včetně nezbytné infrastruktury, propojení pořízených nebo stávajících technologií za použití nejmodernějších komunikačních kanálů a protokolů (autonomní obousměrná komunikace).</w:t>
            </w:r>
          </w:p>
          <w:p>
            <w:pPr>
              <w:rPr>
                <w:rFonts w:ascii="Times New Roman" w:hAnsi="Times New Roman"/>
                <w:noProof/>
                <w:color w:val="006100"/>
                <w:sz w:val="18"/>
                <w:szCs w:val="18"/>
              </w:rPr>
            </w:pPr>
            <w:r>
              <w:rPr>
                <w:rFonts w:ascii="Times New Roman" w:hAnsi="Times New Roman"/>
                <w:noProof/>
                <w:color w:val="006100"/>
                <w:sz w:val="18"/>
                <w:szCs w:val="18"/>
              </w:rPr>
              <w:t>Celkový rozpočet pro tento účel činí nejméně 180 000 000 EUR, z toho nejméně 120 000 000 EUR pro malé a střední podniky a společnosti se střední tržní kapitalizací a nejméně 60 000 000 EUR pro velké podniky.</w:t>
            </w:r>
          </w:p>
        </w:tc>
      </w:tr>
    </w:tbl>
    <w:p>
      <w:pPr>
        <w:tabs>
          <w:tab w:val="left" w:pos="993"/>
        </w:tabs>
        <w:jc w:val="both"/>
        <w:rPr>
          <w:rFonts w:ascii="Times New Roman" w:hAnsi="Times New Roman"/>
          <w:b/>
          <w:bCs/>
          <w:noProof/>
          <w:sz w:val="24"/>
          <w:u w:val="single"/>
        </w:rPr>
        <w:sectPr>
          <w:headerReference w:type="even" r:id="rId70"/>
          <w:headerReference w:type="default" r:id="rId71"/>
          <w:footerReference w:type="even" r:id="rId72"/>
          <w:footerReference w:type="default" r:id="rId73"/>
          <w:headerReference w:type="first" r:id="rId74"/>
          <w:footerReference w:type="first" r:id="rId75"/>
          <w:pgSz w:w="16839" w:h="11907" w:orient="landscape"/>
          <w:pgMar w:top="993" w:right="1134" w:bottom="1418" w:left="1134" w:header="709" w:footer="709" w:gutter="0"/>
          <w:cols w:space="720"/>
          <w:docGrid w:linePitch="299"/>
        </w:sectPr>
      </w:pPr>
    </w:p>
    <w:p>
      <w:pPr>
        <w:keepNext/>
        <w:tabs>
          <w:tab w:val="left" w:pos="850"/>
        </w:tabs>
        <w:jc w:val="both"/>
        <w:outlineLvl w:val="0"/>
        <w:rPr>
          <w:rFonts w:ascii="Times New Roman" w:hAnsi="Times New Roman"/>
          <w:b/>
          <w:bCs/>
          <w:smallCaps/>
          <w:noProof/>
          <w:sz w:val="24"/>
          <w:szCs w:val="24"/>
        </w:rPr>
      </w:pPr>
      <w:r>
        <w:rPr>
          <w:rFonts w:ascii="Times New Roman" w:hAnsi="Times New Roman"/>
          <w:b/>
          <w:bCs/>
          <w:smallCaps/>
          <w:noProof/>
          <w:sz w:val="24"/>
          <w:szCs w:val="24"/>
        </w:rPr>
        <w:t>F. KOMPONENTA č. 1.6: Zrychlení a digitalizace stavebního řízení</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 nyní zdlouhavých administrativně zatěžujících postupech pro získání stavebních povolení.</w:t>
      </w:r>
    </w:p>
    <w:p>
      <w:pPr>
        <w:jc w:val="both"/>
        <w:rPr>
          <w:rFonts w:ascii="Times New Roman" w:hAnsi="Times New Roman"/>
          <w:noProof/>
          <w:sz w:val="24"/>
          <w:szCs w:val="24"/>
        </w:rPr>
      </w:pPr>
      <w:r>
        <w:rPr>
          <w:rFonts w:ascii="Times New Roman" w:hAnsi="Times New Roman"/>
          <w:noProof/>
          <w:sz w:val="24"/>
          <w:szCs w:val="24"/>
        </w:rPr>
        <w:t xml:space="preserve">Cílem této komponenty je zjednodušit a zefektivnit proces vydávání stavebních povolení. Očekává se, že výrazné zrychlení stavebního řízení výrazně zlepší podnikatelské a investiční prostředí v Česku. Budou řešeny i podmínky pro řádné zavedení digitalizace stavebního řízení a územního plánování. Plné zefektivnění souběžných procesů v rámci jediného řízení a institucionální reforma, které předpokládá návrh stavebního zákona, mohou zkrátit dobu vydávání povolení ze současných 5,4 roku na průměrně 1,25 roku. Předpokládá se, že samotná digitalizace řízení zkrátí průměrnou dobu získávání stavebního povolení nejméně o dva roky. </w:t>
      </w:r>
    </w:p>
    <w:p>
      <w:pPr>
        <w:jc w:val="both"/>
        <w:rPr>
          <w:rFonts w:ascii="Times New Roman" w:hAnsi="Times New Roman"/>
          <w:i/>
          <w:iCs/>
          <w:noProof/>
          <w:sz w:val="24"/>
          <w:szCs w:val="24"/>
        </w:rPr>
      </w:pPr>
      <w:r>
        <w:rPr>
          <w:rFonts w:ascii="Times New Roman" w:hAnsi="Times New Roman"/>
          <w:noProof/>
          <w:sz w:val="24"/>
          <w:szCs w:val="24"/>
        </w:rPr>
        <w:t>Komponenta podporuje plnění doporučení pro zemi č. 3 na rok 2019, podle něhož má Česko snížit administrativní zátěž pro investice a v oblasti zadávání veřejných zakázek podporovat soutěž více založenou na kritériích kvality, doporučení pro zemi č. 3 na rok 2020, podle něhož má Česko podpořit malé a střední podniky větším využíváním finančních nástrojů k zajištění podpory likvidity, snížením administrativní zátěže a zlepšením elektronické veřejné správy.</w:t>
      </w:r>
    </w:p>
    <w:p>
      <w:pPr>
        <w:jc w:val="both"/>
        <w:rPr>
          <w:rFonts w:ascii="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jc w:val="both"/>
        <w:rPr>
          <w:rFonts w:ascii="Times New Roman" w:hAnsi="Times New Roman"/>
          <w:noProof/>
          <w:sz w:val="24"/>
          <w:szCs w:val="24"/>
        </w:rPr>
      </w:pPr>
    </w:p>
    <w:p>
      <w:pPr>
        <w:rPr>
          <w:rFonts w:ascii="Times New Roman" w:hAnsi="Times New Roman"/>
          <w:noProof/>
          <w:sz w:val="24"/>
          <w:szCs w:val="24"/>
        </w:rPr>
      </w:pPr>
      <w:r>
        <w:rPr>
          <w:rFonts w:ascii="Times New Roman" w:hAnsi="Times New Roman"/>
          <w:b/>
          <w:noProof/>
          <w:sz w:val="24"/>
          <w:szCs w:val="24"/>
          <w:u w:val="single"/>
        </w:rPr>
        <w:t>F.1 Popis reforem a investic pro nevratnou finanční podporu</w:t>
      </w:r>
    </w:p>
    <w:p>
      <w:pPr>
        <w:rPr>
          <w:rFonts w:ascii="Times New Roman" w:hAnsi="Times New Roman"/>
          <w:b/>
          <w:noProof/>
          <w:sz w:val="24"/>
          <w:szCs w:val="24"/>
        </w:rPr>
      </w:pPr>
      <w:r>
        <w:rPr>
          <w:rFonts w:ascii="Times New Roman" w:hAnsi="Times New Roman"/>
          <w:b/>
          <w:noProof/>
          <w:sz w:val="24"/>
          <w:szCs w:val="24"/>
        </w:rPr>
        <w:t xml:space="preserve">Reforma č. 1: Zavedení nového stavebního zákona a pozemkového zákona do praxe </w:t>
      </w:r>
    </w:p>
    <w:p>
      <w:pPr>
        <w:jc w:val="both"/>
        <w:rPr>
          <w:rFonts w:ascii="Times New Roman" w:hAnsi="Times New Roman"/>
          <w:noProof/>
          <w:sz w:val="24"/>
          <w:szCs w:val="24"/>
        </w:rPr>
      </w:pPr>
      <w:r>
        <w:rPr>
          <w:rFonts w:ascii="Times New Roman" w:hAnsi="Times New Roman"/>
          <w:noProof/>
          <w:sz w:val="24"/>
          <w:szCs w:val="24"/>
        </w:rPr>
        <w:t xml:space="preserve">Reforma spočívá v institucionálních a procesních změnách a má přinést vysoký stupeň digitalizace stavebního řízení. Nový stavební zákon vstoupí v platnost do 30. září 2021. Za decentralizovanou strukturu stavebních úřadů a jejich provozní podmínky bude odpovídat stát. </w:t>
      </w:r>
    </w:p>
    <w:p>
      <w:pPr>
        <w:jc w:val="both"/>
        <w:rPr>
          <w:rFonts w:ascii="Times New Roman" w:hAnsi="Times New Roman"/>
          <w:noProof/>
          <w:sz w:val="24"/>
          <w:szCs w:val="24"/>
        </w:rPr>
      </w:pPr>
      <w:r>
        <w:rPr>
          <w:rFonts w:ascii="Times New Roman" w:hAnsi="Times New Roman"/>
          <w:noProof/>
          <w:sz w:val="24"/>
          <w:szCs w:val="24"/>
        </w:rPr>
        <w:t>Reforma zrychlí stavební řízení, zefektivní povolovací postupy a převede je do gesce jediného orgánu – Nejvyššího stavebního úřadu. Příslušní aktéři absolvují odpovídající školení, aby porozuměli novým procesům, byli schopni používat nové informační systémy a pracovali v novém organizačním uspořádání efektivně. Stávající údaje budou převedeny na novou platformu a až do vybudování centrálního (agendového) informačního systému („AIS“) bude zajištěno fungování jednotlivých stávajících informačních systémů. To zahrnuje zajištění nezbytného IT vybavení pro fungování Nejvyššího stavebního úřadu a místních stavebních úřadů.</w:t>
      </w:r>
    </w:p>
    <w:p>
      <w:pPr>
        <w:jc w:val="both"/>
        <w:rPr>
          <w:rFonts w:ascii="Times New Roman" w:hAnsi="Times New Roman"/>
          <w:noProof/>
          <w:sz w:val="24"/>
          <w:szCs w:val="24"/>
        </w:rPr>
      </w:pPr>
      <w:r>
        <w:rPr>
          <w:rFonts w:ascii="Times New Roman" w:hAnsi="Times New Roman"/>
          <w:noProof/>
          <w:sz w:val="24"/>
          <w:szCs w:val="24"/>
        </w:rPr>
        <w:t xml:space="preserve">Tato reforma bude provedena do 30. září 2023 a její dopad bude změřen do 31. prosince 2025. </w:t>
      </w:r>
    </w:p>
    <w:p>
      <w:pPr>
        <w:jc w:val="both"/>
        <w:rPr>
          <w:rFonts w:ascii="Times New Roman" w:hAnsi="Times New Roman"/>
          <w:b/>
          <w:noProof/>
          <w:sz w:val="24"/>
          <w:szCs w:val="24"/>
        </w:rPr>
      </w:pPr>
      <w:r>
        <w:rPr>
          <w:rFonts w:ascii="Times New Roman" w:hAnsi="Times New Roman"/>
          <w:b/>
          <w:noProof/>
          <w:sz w:val="24"/>
          <w:szCs w:val="24"/>
        </w:rPr>
        <w:t xml:space="preserve">Investice č. 1: Agendový informační systému („AIS“) </w:t>
      </w:r>
    </w:p>
    <w:p>
      <w:pPr>
        <w:jc w:val="both"/>
        <w:rPr>
          <w:rFonts w:ascii="Times New Roman" w:hAnsi="Times New Roman"/>
          <w:noProof/>
          <w:sz w:val="24"/>
          <w:szCs w:val="24"/>
        </w:rPr>
      </w:pPr>
      <w:r>
        <w:rPr>
          <w:rFonts w:ascii="Times New Roman" w:hAnsi="Times New Roman"/>
          <w:noProof/>
          <w:sz w:val="24"/>
          <w:szCs w:val="24"/>
        </w:rPr>
        <w:t>Investice vytvoří procesní informační</w:t>
      </w:r>
      <w:r>
        <w:rPr>
          <w:rFonts w:ascii="Times New Roman" w:hAnsi="Times New Roman"/>
          <w:b/>
          <w:bCs/>
          <w:noProof/>
          <w:sz w:val="24"/>
          <w:szCs w:val="24"/>
        </w:rPr>
        <w:t xml:space="preserve"> </w:t>
      </w:r>
      <w:r>
        <w:rPr>
          <w:rFonts w:ascii="Times New Roman" w:hAnsi="Times New Roman"/>
          <w:noProof/>
          <w:sz w:val="24"/>
          <w:szCs w:val="24"/>
        </w:rPr>
        <w:t xml:space="preserve">systém, který budou využívat úředníci orgánů zapojených do stavebního řízení. Systém zdigitalizuje procesy stavebního řízení tak, aby byla zajištěna transparentnost, efektivnost a účelnost procesů podle právních předpisů zavedených v rámci reformy č. 1 v této komponentě. Zakoupí se potřebné hardwarové a softwarové licence, společně s technickou podporou, aplikace pokrývající nezbytné funkční a nefunkční požadavky, řádné testování systému, servis, provoz a rozvoj aplikace. </w:t>
      </w:r>
    </w:p>
    <w:p>
      <w:pPr>
        <w:jc w:val="both"/>
        <w:rPr>
          <w:rFonts w:ascii="Times New Roman" w:hAnsi="Times New Roman"/>
          <w:noProof/>
          <w:sz w:val="24"/>
          <w:szCs w:val="24"/>
        </w:rPr>
      </w:pPr>
      <w:r>
        <w:rPr>
          <w:rFonts w:ascii="Times New Roman" w:hAnsi="Times New Roman"/>
          <w:noProof/>
          <w:sz w:val="24"/>
          <w:szCs w:val="24"/>
        </w:rPr>
        <w:t xml:space="preserve">Tato investice bude realizována do 30. září 2023. </w:t>
      </w:r>
    </w:p>
    <w:p>
      <w:pPr>
        <w:jc w:val="both"/>
        <w:rPr>
          <w:rFonts w:ascii="Times New Roman" w:hAnsi="Times New Roman"/>
          <w:b/>
          <w:noProof/>
          <w:sz w:val="24"/>
          <w:szCs w:val="24"/>
        </w:rPr>
      </w:pPr>
      <w:r>
        <w:rPr>
          <w:rFonts w:ascii="Times New Roman" w:hAnsi="Times New Roman"/>
          <w:b/>
          <w:noProof/>
          <w:sz w:val="24"/>
          <w:szCs w:val="24"/>
        </w:rPr>
        <w:t>Investice č. 2: Rozvoj a využití datového fondu veřejné správy v územním plánování</w:t>
      </w:r>
    </w:p>
    <w:p>
      <w:pPr>
        <w:jc w:val="both"/>
        <w:rPr>
          <w:rFonts w:ascii="Times New Roman" w:hAnsi="Times New Roman"/>
          <w:noProof/>
          <w:sz w:val="24"/>
          <w:szCs w:val="24"/>
        </w:rPr>
      </w:pPr>
      <w:r>
        <w:rPr>
          <w:rFonts w:ascii="Times New Roman" w:hAnsi="Times New Roman"/>
          <w:noProof/>
          <w:sz w:val="24"/>
          <w:szCs w:val="24"/>
        </w:rPr>
        <w:t xml:space="preserve">Cílem investice je zavedení centrální databáze územně analytických podkladů v rámci informačního systému územního plánování, která bude sloužit k poskytování dat a služeb pro orgány územního plánování, další uživatele z veřejného sektoru a poskytovatele územně plánovacích podkladů. Data budou poskytována ve formě otevřených dat. Centralizace umožní efektivní sdílení dat s dalšími systémy veřejné správy (zejména s registrem územní identifikace, adres a nemovitostí). </w:t>
      </w:r>
    </w:p>
    <w:p>
      <w:pPr>
        <w:jc w:val="both"/>
        <w:rPr>
          <w:rFonts w:ascii="Times New Roman" w:hAnsi="Times New Roman"/>
          <w:noProof/>
          <w:sz w:val="24"/>
          <w:szCs w:val="24"/>
        </w:rPr>
      </w:pPr>
      <w:r>
        <w:rPr>
          <w:rFonts w:ascii="Times New Roman" w:hAnsi="Times New Roman"/>
          <w:noProof/>
          <w:sz w:val="24"/>
          <w:szCs w:val="24"/>
        </w:rPr>
        <w:t xml:space="preserve">Tato investice bude realizována do 31. prosince 2024. </w:t>
      </w:r>
    </w:p>
    <w:p>
      <w:pPr>
        <w:jc w:val="both"/>
        <w:rPr>
          <w:rFonts w:ascii="Times New Roman" w:hAnsi="Times New Roman"/>
          <w:noProof/>
          <w:sz w:val="24"/>
          <w:szCs w:val="24"/>
        </w:rPr>
      </w:pPr>
      <w:r>
        <w:rPr>
          <w:rFonts w:ascii="Times New Roman" w:hAnsi="Times New Roman"/>
          <w:b/>
          <w:noProof/>
          <w:sz w:val="24"/>
          <w:szCs w:val="24"/>
        </w:rPr>
        <w:t>Investice č. 3: Plné využití přínosů digitalizace stavebního řízení</w:t>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 xml:space="preserve">Investice vytvoří řadu informačních systémů, norem a metodik, které jsou nezbytné pro úplnou digitalizaci stavebního řízení a územního plánování. </w:t>
      </w:r>
    </w:p>
    <w:p>
      <w:pPr>
        <w:jc w:val="both"/>
        <w:rPr>
          <w:rFonts w:ascii="Times New Roman" w:hAnsi="Times New Roman"/>
          <w:noProof/>
          <w:sz w:val="24"/>
          <w:szCs w:val="24"/>
        </w:rPr>
      </w:pPr>
      <w:r>
        <w:rPr>
          <w:rFonts w:ascii="Times New Roman" w:hAnsi="Times New Roman"/>
          <w:noProof/>
          <w:sz w:val="24"/>
          <w:szCs w:val="24"/>
        </w:rPr>
        <w:t xml:space="preserve">Budou zavedeny tři informační systémy, které umožní propojení klíčových databází a usnadní proces povolování staveb a územního plánování: </w:t>
      </w:r>
    </w:p>
    <w:p>
      <w:pPr>
        <w:numPr>
          <w:ilvl w:val="0"/>
          <w:numId w:val="35"/>
        </w:numPr>
        <w:pBdr>
          <w:top w:val="nil"/>
          <w:left w:val="nil"/>
          <w:bottom w:val="nil"/>
          <w:right w:val="nil"/>
          <w:between w:val="nil"/>
        </w:pBdr>
        <w:spacing w:line="259" w:lineRule="auto"/>
        <w:ind w:left="357" w:hanging="357"/>
        <w:jc w:val="both"/>
        <w:rPr>
          <w:rFonts w:ascii="Times New Roman" w:hAnsi="Times New Roman"/>
          <w:noProof/>
          <w:sz w:val="24"/>
          <w:szCs w:val="24"/>
        </w:rPr>
      </w:pPr>
      <w:r>
        <w:rPr>
          <w:rFonts w:ascii="Times New Roman" w:hAnsi="Times New Roman"/>
          <w:noProof/>
          <w:color w:val="000000"/>
          <w:sz w:val="24"/>
          <w:szCs w:val="24"/>
        </w:rPr>
        <w:t>Systém propojující technické normy s prováděcími předpisy, který bude integrován do Portálu stavebníka a zpřístupněn veřejnosti.</w:t>
      </w:r>
    </w:p>
    <w:p>
      <w:pPr>
        <w:numPr>
          <w:ilvl w:val="0"/>
          <w:numId w:val="35"/>
        </w:numPr>
        <w:pBdr>
          <w:top w:val="nil"/>
          <w:left w:val="nil"/>
          <w:bottom w:val="nil"/>
          <w:right w:val="nil"/>
          <w:between w:val="nil"/>
        </w:pBdr>
        <w:spacing w:line="259" w:lineRule="auto"/>
        <w:ind w:left="357" w:hanging="357"/>
        <w:jc w:val="both"/>
        <w:rPr>
          <w:rFonts w:ascii="Times New Roman" w:hAnsi="Times New Roman"/>
          <w:noProof/>
          <w:sz w:val="24"/>
          <w:szCs w:val="24"/>
        </w:rPr>
      </w:pPr>
      <w:r>
        <w:rPr>
          <w:rFonts w:ascii="Times New Roman" w:hAnsi="Times New Roman"/>
          <w:noProof/>
          <w:color w:val="000000"/>
          <w:sz w:val="24"/>
          <w:szCs w:val="24"/>
        </w:rPr>
        <w:t>Systém pro strukturované požadavky na stavby a postupy, ověřování a kontrolu povolovacího řízení.</w:t>
      </w:r>
    </w:p>
    <w:p>
      <w:pPr>
        <w:numPr>
          <w:ilvl w:val="0"/>
          <w:numId w:val="35"/>
        </w:numPr>
        <w:pBdr>
          <w:top w:val="nil"/>
          <w:left w:val="nil"/>
          <w:bottom w:val="nil"/>
          <w:right w:val="nil"/>
          <w:between w:val="nil"/>
        </w:pBdr>
        <w:spacing w:line="259" w:lineRule="auto"/>
        <w:ind w:left="357" w:hanging="357"/>
        <w:jc w:val="both"/>
        <w:rPr>
          <w:rFonts w:ascii="Times New Roman" w:hAnsi="Times New Roman"/>
          <w:noProof/>
          <w:sz w:val="24"/>
          <w:szCs w:val="24"/>
        </w:rPr>
      </w:pPr>
      <w:r>
        <w:rPr>
          <w:rFonts w:ascii="Times New Roman" w:hAnsi="Times New Roman"/>
          <w:noProof/>
          <w:color w:val="000000"/>
          <w:sz w:val="24"/>
          <w:szCs w:val="24"/>
        </w:rPr>
        <w:t>Systém pro správu datových standardů staveb.</w:t>
      </w:r>
    </w:p>
    <w:p>
      <w:pPr>
        <w:rPr>
          <w:rFonts w:ascii="Times New Roman" w:hAnsi="Times New Roman"/>
          <w:noProof/>
          <w:sz w:val="24"/>
          <w:szCs w:val="24"/>
        </w:rPr>
      </w:pPr>
      <w:r>
        <w:rPr>
          <w:rFonts w:ascii="Times New Roman" w:hAnsi="Times New Roman"/>
          <w:noProof/>
          <w:sz w:val="24"/>
          <w:szCs w:val="24"/>
        </w:rPr>
        <w:t>Tato investice bude realizována do 31. prosince 2025.</w:t>
      </w:r>
    </w:p>
    <w:p>
      <w:pPr>
        <w:rPr>
          <w:rFonts w:ascii="Times New Roman" w:hAnsi="Times New Roman"/>
          <w:noProof/>
          <w:sz w:val="24"/>
          <w:szCs w:val="24"/>
        </w:rPr>
        <w:sectPr>
          <w:headerReference w:type="even" r:id="rId76"/>
          <w:headerReference w:type="default" r:id="rId77"/>
          <w:footerReference w:type="even" r:id="rId78"/>
          <w:footerReference w:type="default" r:id="rId79"/>
          <w:headerReference w:type="first" r:id="rId80"/>
          <w:footerReference w:type="first" r:id="rId81"/>
          <w:pgSz w:w="11907" w:h="16839"/>
          <w:pgMar w:top="1134" w:right="1418" w:bottom="1134" w:left="1418" w:header="709" w:footer="709" w:gutter="0"/>
          <w:cols w:space="720"/>
          <w:docGrid w:linePitch="299"/>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F.2 Milníky, cíle, ukazatele a harmonogram monitorování a provádění nevratné finanční podpory </w:t>
      </w:r>
    </w:p>
    <w:p>
      <w:pPr>
        <w:pBdr>
          <w:top w:val="nil"/>
          <w:left w:val="nil"/>
          <w:bottom w:val="nil"/>
          <w:right w:val="nil"/>
          <w:between w:val="nil"/>
        </w:pBdr>
        <w:rPr>
          <w:noProof/>
          <w:color w:val="000000"/>
        </w:rPr>
      </w:pPr>
    </w:p>
    <w:tbl>
      <w:tblPr>
        <w:tblW w:w="1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379"/>
        <w:gridCol w:w="992"/>
        <w:gridCol w:w="1457"/>
        <w:gridCol w:w="1701"/>
        <w:gridCol w:w="953"/>
        <w:gridCol w:w="708"/>
        <w:gridCol w:w="709"/>
        <w:gridCol w:w="851"/>
        <w:gridCol w:w="708"/>
        <w:gridCol w:w="4292"/>
      </w:tblGrid>
      <w:tr>
        <w:trPr>
          <w:trHeight w:val="246"/>
          <w:tblHeader/>
          <w:jc w:val="center"/>
        </w:trPr>
        <w:tc>
          <w:tcPr>
            <w:tcW w:w="675"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379"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2"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457"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701"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w:t>
            </w:r>
          </w:p>
        </w:tc>
        <w:tc>
          <w:tcPr>
            <w:tcW w:w="2370"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559" w:type="dxa"/>
            <w:gridSpan w:val="2"/>
            <w:tcBorders>
              <w:top w:val="single" w:sz="8" w:space="0" w:color="000000"/>
              <w:left w:val="nil"/>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292" w:type="dxa"/>
            <w:vMerge w:val="restart"/>
            <w:tcBorders>
              <w:top w:val="single" w:sz="8" w:space="0" w:color="000000"/>
              <w:left w:val="nil"/>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326"/>
          <w:tblHeader/>
          <w:jc w:val="center"/>
        </w:trPr>
        <w:tc>
          <w:tcPr>
            <w:tcW w:w="675"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379"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2"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57"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701"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53"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708"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851"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8"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292"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72</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Zavedení nového stavebního zákona a pozemkového zákona do praxe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Vstup nového stavebního zákona v platnost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Ustanovení s uvedením vstupu nového stavebního zákona v platnost</w:t>
            </w: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2021</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 platnost vstoupí nový stavební zákon, který přinese zrychlení procesu povolování staveb, digitalizaci procesu a snížení počtu regulačních orgánů.</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73</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Zavedení nového stavebního zákona a pozemkového zákona do praxe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Zahájení činnosti Nejvyššího stavebního úřadu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Nejvyšší stavební úřad zahajuje své fungování. Má právní subjektivitu a fyzické sídlo.</w:t>
            </w: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Vytvoření nové státní struktury Nejvyššího stavebního úřadu, včetně interních útvarů. Zajištění finančních zdrojů a IT personálu, jakož i školení zaměstnanců, které umožní řádný chod nového úřadu.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74</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Zavedení nového stavebního zákona a pozemkového zákona do praxe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Zkrácení procesu povolování staveb nejméně o dva roky</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Roky</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5,5</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3,5</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Průměrná doba stavebního řízení se zkrátí nejméně o dva roky, z 5,5 roku na 3,5 roky nebo méně, což potvrdí národní statistický úřad na základě nových statistických údajů o průměrné délce povolovacího řízení v letech 2024–2025.</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75</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Vytvoření agendového informačního systému (AIS)</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Plná funkčnost agendového informačního systému</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sz w:val="18"/>
                <w:szCs w:val="18"/>
              </w:rPr>
            </w:pPr>
            <w:r>
              <w:rPr>
                <w:rFonts w:ascii="Times New Roman" w:hAnsi="Times New Roman"/>
                <w:noProof/>
                <w:color w:val="006100"/>
                <w:sz w:val="18"/>
                <w:szCs w:val="18"/>
              </w:rPr>
              <w:t>Zavedení systému, zahájení využívání stavebními úřady.</w:t>
            </w: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Vytvoření nového agendového informačního systému, který budou využívat úředníci orgánů zapojených do stavebního řízení. </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76</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Rozvoj a využití datového fondu veřejné správy v územním plánování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Vytvoření standardizované databáze dokumentace územního plánování</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Plná funkčnost standardizované databáze dokumentace územního plánování a její využívání veřejnými orgány.</w:t>
            </w: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Převedení databáze dokumentace územního plánování a ověření protokolu. Ověřovací nástroj je začleněn do Národního geoportálu územního plánování, do něhož se nahrávají územně analytické podklady.</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77</w:t>
            </w:r>
          </w:p>
        </w:tc>
        <w:tc>
          <w:tcPr>
            <w:tcW w:w="137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Plné využití přínosů digitalizace stavebního řízení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5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Plná funkčnost IT systémů podporujících digitalizaci procesu povolování staveb</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IT systémy jsou plně funkční, včetně využívání koncovými uživateli.</w:t>
            </w:r>
          </w:p>
        </w:tc>
        <w:tc>
          <w:tcPr>
            <w:tcW w:w="95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42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Budou zprovozněny tři systémy informačních technologií, které umožní propojení všech databází používaných ve stavebním řízení: </w:t>
            </w:r>
          </w:p>
          <w:p>
            <w:pPr>
              <w:numPr>
                <w:ilvl w:val="0"/>
                <w:numId w:val="34"/>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systém propojující technické normy s prováděcími předpisy, který bude integrován do Portálu stavebníka a zpřístupněn veřejnosti, </w:t>
            </w:r>
          </w:p>
          <w:p>
            <w:pPr>
              <w:numPr>
                <w:ilvl w:val="0"/>
                <w:numId w:val="34"/>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systém pro strukturované požadavky na stavby a postupy, ověřování a kontrolu povolovacího procesu včetně ontologie,</w:t>
            </w:r>
          </w:p>
          <w:p>
            <w:pPr>
              <w:numPr>
                <w:ilvl w:val="0"/>
                <w:numId w:val="34"/>
              </w:numPr>
              <w:pBdr>
                <w:top w:val="nil"/>
                <w:left w:val="nil"/>
                <w:bottom w:val="nil"/>
                <w:right w:val="nil"/>
                <w:between w:val="nil"/>
              </w:pBdr>
              <w:spacing w:after="160" w:line="259" w:lineRule="auto"/>
              <w:rPr>
                <w:rFonts w:ascii="Times New Roman" w:eastAsia="Times New Roman" w:hAnsi="Times New Roman"/>
                <w:noProof/>
                <w:color w:val="006100"/>
                <w:sz w:val="18"/>
                <w:szCs w:val="18"/>
              </w:rPr>
            </w:pPr>
            <w:r>
              <w:rPr>
                <w:rFonts w:ascii="Times New Roman" w:hAnsi="Times New Roman"/>
                <w:noProof/>
                <w:color w:val="006100"/>
                <w:sz w:val="18"/>
                <w:szCs w:val="18"/>
              </w:rPr>
              <w:t>systém pro správu datových standardů staveb.</w:t>
            </w:r>
          </w:p>
        </w:tc>
      </w:tr>
    </w:tbl>
    <w:p>
      <w:pPr>
        <w:pBdr>
          <w:top w:val="nil"/>
          <w:left w:val="nil"/>
          <w:bottom w:val="nil"/>
          <w:right w:val="nil"/>
          <w:between w:val="nil"/>
        </w:pBdr>
        <w:rPr>
          <w:noProof/>
          <w:color w:val="000000"/>
        </w:rPr>
        <w:sectPr>
          <w:headerReference w:type="even" r:id="rId82"/>
          <w:headerReference w:type="default" r:id="rId83"/>
          <w:footerReference w:type="even" r:id="rId84"/>
          <w:footerReference w:type="default" r:id="rId85"/>
          <w:headerReference w:type="first" r:id="rId86"/>
          <w:footerReference w:type="first" r:id="rId87"/>
          <w:pgSz w:w="16839" w:h="11907" w:orient="landscape"/>
          <w:pgMar w:top="142" w:right="1134" w:bottom="1418" w:left="1134" w:header="709" w:footer="709" w:gutter="0"/>
          <w:cols w:space="720"/>
        </w:sectPr>
      </w:pPr>
    </w:p>
    <w:p>
      <w:pPr>
        <w:keepNext/>
        <w:tabs>
          <w:tab w:val="left" w:pos="850"/>
        </w:tabs>
        <w:spacing w:before="360"/>
        <w:jc w:val="both"/>
        <w:outlineLvl w:val="0"/>
        <w:rPr>
          <w:rFonts w:ascii="Times New Roman" w:hAnsi="Times New Roman"/>
          <w:b/>
          <w:smallCaps/>
          <w:noProof/>
          <w:sz w:val="24"/>
        </w:rPr>
      </w:pPr>
      <w:r>
        <w:rPr>
          <w:rFonts w:ascii="Times New Roman" w:hAnsi="Times New Roman"/>
          <w:b/>
          <w:smallCaps/>
          <w:noProof/>
          <w:sz w:val="24"/>
        </w:rPr>
        <w:t>G. KOMPONENTA č. 2.1: Udržitelná doprava</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řeší výzvy týkající se digitalizace dopravy, elektromobility v železniční dopravě, zvýšení podílu železniční dopravy na nákladní a osobní dopravě, zvýšení významu aktivní mobility ve městech, zvýšení bezpečnosti dopravy a snížení dopadu dopravy na životní prostředí a veřejné zdraví. Komponenta využívá synergie s komponentou č. 2.4, která řeší problematiku alternativního pohonu v silniční dopravě a městské autobusové dopravě.</w:t>
      </w:r>
    </w:p>
    <w:p>
      <w:pPr>
        <w:jc w:val="both"/>
        <w:rPr>
          <w:rFonts w:ascii="Times New Roman" w:hAnsi="Times New Roman"/>
          <w:noProof/>
          <w:sz w:val="24"/>
          <w:szCs w:val="24"/>
        </w:rPr>
      </w:pPr>
      <w:r>
        <w:rPr>
          <w:rFonts w:ascii="Times New Roman" w:hAnsi="Times New Roman"/>
          <w:noProof/>
          <w:sz w:val="24"/>
          <w:szCs w:val="24"/>
        </w:rPr>
        <w:t>Komponenta podporuje plnění doporučení pro zemi č. 3 na rok 2019, podle něhož má Česko zaměřit investiční hospodářskou politiku na dopravu, a zejména její udržitelnost, na digitální infrastrukturu a na přechod na nízkouhlíkové hospodářství a transformaci energetiky včetně zvýšení energetické účinnosti, a to s ohledem na regionální rozdíly (doporučení pro zemi č. 3 na rok 2019), a doporučení pro zemi č. 3 na rok 2020, podle něhož má Česko zaměřit investice na ekologickou a digitální transformaci, zejména na vysokokapacitní digitální infrastrukturu a technologie, na čistou a účinnou výrobu a využívání energie a na udržitelnou dopravní infrastrukturu, a to mimo jiné v uhelných regionech (doporučení pro zemi č. 3 na rok 2020).</w:t>
      </w:r>
    </w:p>
    <w:p>
      <w:pPr>
        <w:pStyle w:val="Text1"/>
        <w:ind w:left="0"/>
        <w:rPr>
          <w:noProof/>
        </w:rPr>
      </w:pPr>
      <w:r>
        <w:rPr>
          <w:noProof/>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Nejméně 70 % stavebního a demoličního odpadu bude připraveno k opětovnému použití nebo recyklaci.</w:t>
      </w:r>
    </w:p>
    <w:p>
      <w:pPr>
        <w:rPr>
          <w:rFonts w:ascii="Times New Roman" w:hAnsi="Times New Roman"/>
          <w:noProof/>
          <w:sz w:val="24"/>
          <w:szCs w:val="24"/>
        </w:rPr>
      </w:pPr>
      <w:r>
        <w:rPr>
          <w:rFonts w:ascii="Times New Roman" w:hAnsi="Times New Roman"/>
          <w:b/>
          <w:noProof/>
          <w:sz w:val="24"/>
          <w:szCs w:val="24"/>
          <w:u w:val="single"/>
        </w:rPr>
        <w:t>G.1 Popis reforem a investic pro nevratnou finanční podporu</w:t>
      </w:r>
    </w:p>
    <w:p>
      <w:pPr>
        <w:rPr>
          <w:rFonts w:ascii="Times New Roman" w:hAnsi="Times New Roman"/>
          <w:b/>
          <w:noProof/>
          <w:sz w:val="24"/>
          <w:szCs w:val="24"/>
        </w:rPr>
      </w:pPr>
      <w:r>
        <w:rPr>
          <w:rFonts w:ascii="Times New Roman" w:hAnsi="Times New Roman"/>
          <w:b/>
          <w:noProof/>
          <w:sz w:val="24"/>
          <w:szCs w:val="24"/>
        </w:rPr>
        <w:t>Reforma č. 1:</w:t>
      </w:r>
      <w:r>
        <w:rPr>
          <w:rFonts w:ascii="Times New Roman" w:hAnsi="Times New Roman"/>
          <w:b/>
          <w:bCs/>
          <w:noProof/>
          <w:sz w:val="24"/>
          <w:szCs w:val="24"/>
        </w:rPr>
        <w:t xml:space="preserve"> </w:t>
      </w:r>
      <w:r>
        <w:rPr>
          <w:rFonts w:ascii="Times New Roman" w:hAnsi="Times New Roman"/>
          <w:b/>
          <w:noProof/>
          <w:sz w:val="24"/>
          <w:szCs w:val="24"/>
        </w:rPr>
        <w:t>Vytváření alternativ k energeticky a prostorově náročné silniční dopravě</w:t>
      </w:r>
    </w:p>
    <w:p>
      <w:pPr>
        <w:rPr>
          <w:rFonts w:ascii="Times New Roman" w:hAnsi="Times New Roman"/>
          <w:noProof/>
          <w:sz w:val="24"/>
          <w:szCs w:val="24"/>
        </w:rPr>
      </w:pPr>
      <w:r>
        <w:rPr>
          <w:rFonts w:ascii="Times New Roman" w:hAnsi="Times New Roman"/>
          <w:noProof/>
          <w:sz w:val="24"/>
          <w:szCs w:val="24"/>
        </w:rPr>
        <w:t>Cílem opatření je podpořit větší využívání energeticky účinnějších druhů dopravy pro toky pravidelné a těžké dopravy. Toho bude dosaženo následujícími opatřeními:</w:t>
      </w:r>
    </w:p>
    <w:p>
      <w:pPr>
        <w:numPr>
          <w:ilvl w:val="0"/>
          <w:numId w:val="23"/>
        </w:numPr>
        <w:pBdr>
          <w:top w:val="nil"/>
          <w:left w:val="nil"/>
          <w:bottom w:val="nil"/>
          <w:right w:val="nil"/>
          <w:between w:val="nil"/>
        </w:pBdr>
        <w:spacing w:after="0" w:line="259" w:lineRule="auto"/>
        <w:ind w:left="360"/>
        <w:jc w:val="both"/>
        <w:rPr>
          <w:rFonts w:ascii="Times New Roman" w:hAnsi="Times New Roman"/>
          <w:noProof/>
          <w:color w:val="000000"/>
          <w:sz w:val="24"/>
          <w:szCs w:val="24"/>
        </w:rPr>
      </w:pPr>
      <w:r>
        <w:rPr>
          <w:rFonts w:ascii="Times New Roman" w:hAnsi="Times New Roman"/>
          <w:noProof/>
          <w:color w:val="000000"/>
          <w:sz w:val="24"/>
          <w:szCs w:val="24"/>
        </w:rPr>
        <w:t xml:space="preserve">Jednotlivá města nad 40 000 obyvatel provedou proces plánu udržitelné městské mobility (Sustainable Urban Mobility Plan, SUMP). Všechny plány udržitelné městské mobility budou schváleny zastupitelskými orgány měst do 30. června 2023. Jestliže již existuje zjednodušený plán udržitelné městské mobility, bude vypracována nová verze na základě koncepce městské a aktivní mobility schválené vládou. Plán bude zahrnovat všechny části požadované koncepcí městské a aktivní mobility a bude vycházet z analýz požadovaných touto koncepcí, jako jsou modelování a průzkumy dopravního provozu. </w:t>
      </w:r>
    </w:p>
    <w:p>
      <w:pPr>
        <w:numPr>
          <w:ilvl w:val="0"/>
          <w:numId w:val="23"/>
        </w:numPr>
        <w:pBdr>
          <w:top w:val="nil"/>
          <w:left w:val="nil"/>
          <w:bottom w:val="nil"/>
          <w:right w:val="nil"/>
          <w:between w:val="nil"/>
        </w:pBdr>
        <w:spacing w:after="0" w:line="259" w:lineRule="auto"/>
        <w:ind w:left="360"/>
        <w:jc w:val="both"/>
        <w:rPr>
          <w:rFonts w:ascii="Times New Roman" w:hAnsi="Times New Roman"/>
          <w:noProof/>
          <w:color w:val="000000"/>
          <w:sz w:val="24"/>
          <w:szCs w:val="24"/>
        </w:rPr>
      </w:pPr>
      <w:r>
        <w:rPr>
          <w:rFonts w:ascii="Times New Roman" w:hAnsi="Times New Roman"/>
          <w:noProof/>
          <w:color w:val="000000"/>
          <w:sz w:val="24"/>
          <w:szCs w:val="24"/>
        </w:rPr>
        <w:t xml:space="preserve">Koncepce nákladní dopravy, která stanoví podmínky pro zvýšení podílu železniční dopravy na celkovém objemu dopravy na období 2024–2030, bude schválena usnesením vlády České republiky do 31. prosince 2023. Koncepce se zaměří na podporu multimodální dopravy, zlepšení služeb nákladní dopravy a snížení dopadů nákladní dopravy na životní prostředí, veřejné zdraví a globální změnu klimatu. </w:t>
      </w:r>
    </w:p>
    <w:p>
      <w:pPr>
        <w:numPr>
          <w:ilvl w:val="0"/>
          <w:numId w:val="23"/>
        </w:numPr>
        <w:pBdr>
          <w:top w:val="nil"/>
          <w:left w:val="nil"/>
          <w:bottom w:val="nil"/>
          <w:right w:val="nil"/>
          <w:between w:val="nil"/>
        </w:pBdr>
        <w:spacing w:after="160" w:line="259" w:lineRule="auto"/>
        <w:ind w:left="360"/>
        <w:jc w:val="both"/>
        <w:rPr>
          <w:rFonts w:ascii="Times New Roman" w:hAnsi="Times New Roman"/>
          <w:noProof/>
          <w:color w:val="000000"/>
          <w:sz w:val="24"/>
          <w:szCs w:val="24"/>
        </w:rPr>
      </w:pPr>
      <w:r>
        <w:rPr>
          <w:rFonts w:ascii="Times New Roman" w:hAnsi="Times New Roman"/>
          <w:noProof/>
          <w:color w:val="000000"/>
          <w:sz w:val="24"/>
          <w:szCs w:val="24"/>
        </w:rPr>
        <w:t>Všichni provozovatelé veřejné dopravy (stát, kraje a města provozující veřejnou dopravu) schválí do 31. prosince 2023 pětiletý plán dopravní obslužnosti, který bude vycházet z koncepce veřejné dopravy schválené vládou.</w:t>
      </w:r>
    </w:p>
    <w:p>
      <w:pPr>
        <w:numPr>
          <w:ilvl w:val="0"/>
          <w:numId w:val="23"/>
        </w:numPr>
        <w:spacing w:after="160" w:line="259" w:lineRule="auto"/>
        <w:ind w:left="360"/>
        <w:jc w:val="both"/>
        <w:rPr>
          <w:rFonts w:ascii="Times New Roman" w:hAnsi="Times New Roman"/>
          <w:noProof/>
          <w:color w:val="000000"/>
          <w:sz w:val="24"/>
          <w:szCs w:val="24"/>
        </w:rPr>
      </w:pPr>
      <w:r>
        <w:rPr>
          <w:rFonts w:ascii="Times New Roman" w:hAnsi="Times New Roman"/>
          <w:noProof/>
          <w:color w:val="000000"/>
          <w:sz w:val="24"/>
          <w:szCs w:val="24"/>
        </w:rPr>
        <w:t>Dopad reformy na modální podíl veřejné dopravy a modální podíl cyklistické dopravy bude změřen do 31. prosince 2025.</w:t>
      </w:r>
    </w:p>
    <w:p>
      <w:pPr>
        <w:rPr>
          <w:rFonts w:ascii="Times New Roman" w:hAnsi="Times New Roman"/>
          <w:noProof/>
          <w:sz w:val="24"/>
          <w:szCs w:val="24"/>
        </w:rPr>
      </w:pPr>
      <w:r>
        <w:rPr>
          <w:noProof/>
        </w:rPr>
        <w:br w:type="page"/>
      </w:r>
      <w:r>
        <w:rPr>
          <w:rFonts w:ascii="Times New Roman" w:hAnsi="Times New Roman"/>
          <w:b/>
          <w:noProof/>
          <w:sz w:val="24"/>
          <w:szCs w:val="24"/>
        </w:rPr>
        <w:t>Investice č. 1: Aplikace moderních technologií na železniční infrastruktuře</w:t>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Investice přispěje k digitalizaci železniční dopravy s cílem zvýšit bezpečnost provozu a kvalitu poskytovaných služeb, optimalizovat kapacitu železniční infrastruktury a zajistit mezinárodní interoperabilitu. Investice č. 1 bude realizována prostřednictvím těchto opatření:</w:t>
      </w:r>
    </w:p>
    <w:p>
      <w:pPr>
        <w:numPr>
          <w:ilvl w:val="0"/>
          <w:numId w:val="22"/>
        </w:numP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Definování souboru projektů zahrnujícího 41 km tratí pokrytých globálním systémem mobilních komunikací – železnice (GSM-R), dvacet nově instalovaných nebo spolehlivěji napájených základnových stanic (BTS) a zavedení nových technologií a zařízení pro řízení železničního provozu do 30. června 2022.</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Dokončení dvou projektů z předem definovaného souboru projektů podle předcházející odrážky do 30. června 2024. </w:t>
      </w:r>
    </w:p>
    <w:p>
      <w:pPr>
        <w:numPr>
          <w:ilvl w:val="0"/>
          <w:numId w:val="22"/>
        </w:numPr>
        <w:pBdr>
          <w:top w:val="nil"/>
          <w:left w:val="nil"/>
          <w:bottom w:val="nil"/>
          <w:right w:val="nil"/>
          <w:between w:val="nil"/>
        </w:pBdr>
        <w:spacing w:after="0" w:line="259" w:lineRule="auto"/>
        <w:ind w:left="360"/>
        <w:jc w:val="both"/>
        <w:rPr>
          <w:noProof/>
          <w:color w:val="000000"/>
          <w:sz w:val="24"/>
          <w:szCs w:val="24"/>
        </w:rPr>
      </w:pPr>
      <w:r>
        <w:rPr>
          <w:rFonts w:ascii="Times New Roman" w:hAnsi="Times New Roman"/>
          <w:noProof/>
          <w:color w:val="000000"/>
          <w:sz w:val="24"/>
          <w:szCs w:val="24"/>
        </w:rPr>
        <w:t>Dokončení šesti dalších projektů z předem definovaného souboru projektů uvedeného v předchozí odrážce, tj. dokončení celkem 41 km tratí pokrytých globálním systémem mobilních komunikací – železnice (GSM-R), 20 nově instalovaných nebo spolehlivěji napájených základnových stanic (BTS) a zavedení nových technologií a zařízení pro řízení železničního provozu do 31. prosince 2024.</w:t>
      </w:r>
    </w:p>
    <w:p>
      <w:pPr>
        <w:jc w:val="both"/>
        <w:rPr>
          <w:rFonts w:ascii="Times New Roman" w:hAnsi="Times New Roman"/>
          <w:b/>
          <w:noProof/>
          <w:sz w:val="24"/>
          <w:szCs w:val="24"/>
        </w:rPr>
      </w:pPr>
      <w:r>
        <w:rPr>
          <w:rFonts w:ascii="Times New Roman" w:hAnsi="Times New Roman"/>
          <w:b/>
          <w:noProof/>
          <w:sz w:val="24"/>
          <w:szCs w:val="24"/>
        </w:rPr>
        <w:t xml:space="preserve">Investice č. 2: Elektrizace železnic </w:t>
      </w:r>
    </w:p>
    <w:p>
      <w:pPr>
        <w:jc w:val="both"/>
        <w:rPr>
          <w:rFonts w:ascii="Times New Roman" w:hAnsi="Times New Roman"/>
          <w:noProof/>
          <w:sz w:val="24"/>
          <w:szCs w:val="24"/>
        </w:rPr>
      </w:pPr>
      <w:r>
        <w:rPr>
          <w:rFonts w:ascii="Times New Roman" w:hAnsi="Times New Roman"/>
          <w:noProof/>
          <w:sz w:val="24"/>
          <w:szCs w:val="24"/>
        </w:rPr>
        <w:t>Cílem opatření je zvýšit podíl nefosilní energie v dopravě prostřednictvím elektrifikace tratí a zajištění trakčního napájení v rozvodnách. Investice rovněž vytvoří podmínky pro úspory energie v dopravním systému. Toho bude dosaženo následujícími opatřeními:</w:t>
      </w:r>
    </w:p>
    <w:p>
      <w:pPr>
        <w:numPr>
          <w:ilvl w:val="0"/>
          <w:numId w:val="22"/>
        </w:numPr>
        <w:spacing w:after="0" w:line="259" w:lineRule="auto"/>
        <w:ind w:left="360"/>
        <w:jc w:val="both"/>
        <w:rPr>
          <w:rFonts w:ascii="Times New Roman" w:eastAsia="Times New Roman" w:hAnsi="Times New Roman"/>
          <w:noProof/>
          <w:color w:val="000000"/>
        </w:rPr>
      </w:pPr>
      <w:r>
        <w:rPr>
          <w:rFonts w:ascii="Times New Roman" w:hAnsi="Times New Roman"/>
          <w:noProof/>
          <w:color w:val="000000"/>
          <w:sz w:val="24"/>
          <w:szCs w:val="24"/>
        </w:rPr>
        <w:t>Definování souboru projektů zahrnujícího 39,7 km elektrifikovaných tratí a čtyři trakční napájecí stanice se zvýšeným výkonem nebo nově vybudované stanice do 30. června 2022.</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dvou projektů z předem definovaného souboru projektů podle předcházející odrážky do 30. června 2023.</w:t>
      </w:r>
    </w:p>
    <w:p>
      <w:pPr>
        <w:numPr>
          <w:ilvl w:val="0"/>
          <w:numId w:val="22"/>
        </w:numPr>
        <w:pBdr>
          <w:top w:val="nil"/>
          <w:left w:val="nil"/>
          <w:bottom w:val="nil"/>
          <w:right w:val="nil"/>
          <w:between w:val="nil"/>
        </w:pBdr>
        <w:spacing w:after="16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šesti dalších projektů z předem definovaného souboru projektů podle předcházející odrážky, čímž bude dokončeno celkem 39,7 km elektrifikovaných tratí a čtyři trakční napájecí stanice se zvýšeným výkonem nebo nově vybudované stanice do 30. června 2024.</w:t>
      </w:r>
    </w:p>
    <w:p>
      <w:pPr>
        <w:jc w:val="both"/>
        <w:rPr>
          <w:rFonts w:ascii="Times New Roman" w:hAnsi="Times New Roman"/>
          <w:noProof/>
          <w:sz w:val="24"/>
          <w:szCs w:val="24"/>
        </w:rPr>
      </w:pPr>
      <w:r>
        <w:rPr>
          <w:rFonts w:ascii="Times New Roman" w:hAnsi="Times New Roman"/>
          <w:b/>
          <w:noProof/>
          <w:sz w:val="24"/>
          <w:szCs w:val="24"/>
        </w:rPr>
        <w:t>Investice č. 3: Podpora železniční infrastruktury</w:t>
      </w:r>
      <w:r>
        <w:rPr>
          <w:rFonts w:ascii="Times New Roman" w:hAnsi="Times New Roman"/>
          <w:noProof/>
          <w:sz w:val="24"/>
          <w:szCs w:val="24"/>
        </w:rPr>
        <w:t xml:space="preserve"> </w:t>
      </w:r>
    </w:p>
    <w:p>
      <w:pPr>
        <w:jc w:val="both"/>
        <w:rPr>
          <w:rFonts w:ascii="Times New Roman" w:hAnsi="Times New Roman"/>
          <w:noProof/>
          <w:color w:val="000000"/>
          <w:sz w:val="24"/>
          <w:szCs w:val="24"/>
        </w:rPr>
      </w:pPr>
      <w:r>
        <w:rPr>
          <w:rFonts w:ascii="Times New Roman" w:hAnsi="Times New Roman"/>
          <w:noProof/>
          <w:sz w:val="24"/>
          <w:szCs w:val="24"/>
        </w:rPr>
        <w:t>Cílem opatření je chránit životní prostředí a klima přínosem ke zvýšení podílu železniční dopravy na nákladní a osobní dopravě a zlepšení energetické účinnosti budov železničních stanic. Tato investice se zaměřuje na projekty rozvoje železniční infrastruktury, přičemž zohlední mimo jiné rozdíly mezi muži a ženami a odpovídající přístup ke službám pro znevýhodněné a zranitelné osoby. Projekty jsou zaměřeny na úseky důležité pro příměstskou dopravu a na projekty modernizace železničních uzlů a staničních budov v rámci multimodálních terminálů pro osobní dopravu. Kromě toho je podporováno vytápění staničních budov. Toho bude dosaženo následujícími opatřeními:</w:t>
      </w:r>
    </w:p>
    <w:p>
      <w:pPr>
        <w:numPr>
          <w:ilvl w:val="0"/>
          <w:numId w:val="22"/>
        </w:numPr>
        <w:pBdr>
          <w:top w:val="nil"/>
          <w:left w:val="nil"/>
          <w:bottom w:val="nil"/>
          <w:right w:val="nil"/>
          <w:between w:val="nil"/>
        </w:pBdr>
        <w:spacing w:after="0" w:line="259" w:lineRule="auto"/>
        <w:ind w:left="360"/>
        <w:jc w:val="both"/>
        <w:rPr>
          <w:rFonts w:ascii="Times New Roman" w:hAnsi="Times New Roman"/>
          <w:noProof/>
          <w:color w:val="000000"/>
          <w:sz w:val="24"/>
          <w:szCs w:val="24"/>
        </w:rPr>
      </w:pPr>
      <w:r>
        <w:rPr>
          <w:rFonts w:ascii="Times New Roman" w:hAnsi="Times New Roman"/>
          <w:noProof/>
          <w:color w:val="000000"/>
          <w:sz w:val="24"/>
          <w:szCs w:val="24"/>
        </w:rPr>
        <w:t>Definování souboru projektů zahrnujícího 121,88 km modernizovaných tratí, devět modernizovaných železničních stanic s rekonstruovanou tratí a bezpečně a bezbariérově přístupnými nástupišti a 35 staničních budov se sníženou energetickou náročností, aby se dosáhlo v průměru alespoň 30% snížení přímých a nepřímých emisí skleníkových plynů ve srovnání s předchozími emisemi, a se zvýšeným komfortem a lepšími službami pro cestující do 30. června 2022.</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26 projektů z předem definovaného souboru projektů podle předcházející odrážky do 31. prosince 2022.</w:t>
      </w:r>
    </w:p>
    <w:p>
      <w:pPr>
        <w:numPr>
          <w:ilvl w:val="0"/>
          <w:numId w:val="22"/>
        </w:numPr>
        <w:pBdr>
          <w:top w:val="nil"/>
          <w:left w:val="nil"/>
          <w:bottom w:val="nil"/>
          <w:right w:val="nil"/>
          <w:between w:val="nil"/>
        </w:pBdr>
        <w:spacing w:after="16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dalších 30 projektů z předem definovaného souboru projektů podle předcházející odrážky, čímž bude dokončeno celkem 121,88 km modernizovaných tratí, devět modernizovaných železničních stanic s rekonstruovanou tratí a bezpečně a bezbariérově přístupnými nástupišti a 39 staničních budov se sníženou energetickou náročností, aby se dosáhlo v průměru alespoň 30% snížení přímých a nepřímých emisí skleníkových plynů ve srovnání s předchozími emisemi, a se zvýšeným komfortem a lepšími službami pro cestující do 31. prosince 2023.</w:t>
      </w:r>
    </w:p>
    <w:p>
      <w:pPr>
        <w:jc w:val="both"/>
        <w:rPr>
          <w:rFonts w:ascii="Times New Roman" w:hAnsi="Times New Roman"/>
          <w:b/>
          <w:noProof/>
          <w:sz w:val="24"/>
          <w:szCs w:val="24"/>
        </w:rPr>
      </w:pPr>
      <w:r>
        <w:rPr>
          <w:rFonts w:ascii="Times New Roman" w:hAnsi="Times New Roman"/>
          <w:b/>
          <w:noProof/>
          <w:sz w:val="24"/>
          <w:szCs w:val="24"/>
        </w:rPr>
        <w:t xml:space="preserve">Investice č. 4: Bezpečnost silniční a železniční dopravy </w:t>
      </w:r>
    </w:p>
    <w:p>
      <w:pPr>
        <w:jc w:val="both"/>
        <w:rPr>
          <w:rFonts w:ascii="Times New Roman" w:hAnsi="Times New Roman"/>
          <w:noProof/>
          <w:sz w:val="24"/>
          <w:szCs w:val="24"/>
        </w:rPr>
      </w:pPr>
      <w:r>
        <w:rPr>
          <w:rFonts w:ascii="Times New Roman" w:hAnsi="Times New Roman"/>
          <w:noProof/>
          <w:sz w:val="24"/>
          <w:szCs w:val="24"/>
        </w:rPr>
        <w:t>Cílem opatření je zvýšit bezpečnost dopravy přijetím konkrétních bezpečnostních opatření na železničních přejezdech a zlepšením stavu mostů a tunelů. Ve městech a aglomeracích se investuje do snížení podílu individuální automobilové dopravy a zvýšení podílu veřejné dopravy a aktivních druhů dopravy, jako je pěší a cyklistická doprava. Součástí investic je také budování cyklostezek a bezbariérových tras pro pěší s cílem zvýšit bezpečnost zranitelných účastníků provozu v rámci podpory aktivní mobility, zejména ve městech. Toho bude dosaženo následujícími opatřeními:</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projektů zahrnujících 45 přejezdů se zvýšenou bezpečností (tj. s nově instalovaným nebo modernizovaným světelným výstražným systémem nebo mechanickým zabezpečovacím zařízením), 25 km vybudovaných cyklostezek, chodníků a bezbariérových tras a tři modernizované železniční mosty nebo tunely do 30. června 2022.</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projektů zahrnujících 115 přejezdů se zvýšenou bezpečností (tj. s nově instalovaným nebo modernizovaným světelným výstražným systémem nebo mechanickým zabezpečovacím zařízením), dalších 24 km vybudovaných cyklostezek, chodníků a bezbariérových tras a tři další modernizované železniční mosty nebo tunely do 31. prosince 2022.</w:t>
      </w:r>
    </w:p>
    <w:p>
      <w:pPr>
        <w:numPr>
          <w:ilvl w:val="0"/>
          <w:numId w:val="22"/>
        </w:numPr>
        <w:pBdr>
          <w:top w:val="nil"/>
          <w:left w:val="nil"/>
          <w:bottom w:val="nil"/>
          <w:right w:val="nil"/>
          <w:between w:val="nil"/>
        </w:pBdr>
        <w:spacing w:after="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Dokončení projektů zahrnujících 131 přejezdů se zvýšenou bezpečností (tj. s nově instalovaným nebo modernizovaným světelným výstražným systémem nebo mechanickým zabezpečovacím zařízením), a jeden další modernizovaný železniční most nebo tunel do 31. prosince 2024. </w:t>
      </w:r>
    </w:p>
    <w:p>
      <w:pPr>
        <w:numPr>
          <w:ilvl w:val="0"/>
          <w:numId w:val="22"/>
        </w:numPr>
        <w:pBdr>
          <w:top w:val="nil"/>
          <w:left w:val="nil"/>
          <w:bottom w:val="nil"/>
          <w:right w:val="nil"/>
          <w:between w:val="nil"/>
        </w:pBdr>
        <w:spacing w:after="160"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Dokončení projektů zahrnujících dalších 36 km vybudovaných cyklostezek, chodníků a bezbariérových tras a jeden další modernizovaný železniční most nebo tunel do 31. prosince 2023.</w:t>
      </w:r>
    </w:p>
    <w:p>
      <w:pPr>
        <w:jc w:val="both"/>
        <w:rPr>
          <w:rFonts w:ascii="Times New Roman" w:hAnsi="Times New Roman"/>
          <w:noProof/>
          <w:sz w:val="24"/>
          <w:szCs w:val="24"/>
        </w:rPr>
      </w:pPr>
      <w:r>
        <w:rPr>
          <w:rFonts w:ascii="Times New Roman" w:hAnsi="Times New Roman"/>
          <w:noProof/>
          <w:sz w:val="24"/>
          <w:szCs w:val="24"/>
        </w:rPr>
        <w:tab/>
      </w:r>
    </w:p>
    <w:p>
      <w:pPr>
        <w:tabs>
          <w:tab w:val="left" w:pos="993"/>
        </w:tabs>
        <w:rPr>
          <w:noProof/>
        </w:rPr>
        <w:sectPr>
          <w:headerReference w:type="even" r:id="rId88"/>
          <w:headerReference w:type="default" r:id="rId89"/>
          <w:footerReference w:type="even" r:id="rId90"/>
          <w:footerReference w:type="default" r:id="rId91"/>
          <w:headerReference w:type="first" r:id="rId92"/>
          <w:footerReference w:type="first" r:id="rId93"/>
          <w:pgSz w:w="11907" w:h="16839"/>
          <w:pgMar w:top="1134" w:right="1418" w:bottom="1134" w:left="1418" w:header="709" w:footer="709" w:gutter="0"/>
          <w:cols w:space="720"/>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G.2 Milníky, cíle, ukazatele a harmonogram monitorování a provádění nevratné finanční podpory </w:t>
      </w:r>
    </w:p>
    <w:p>
      <w:pPr>
        <w:pBdr>
          <w:top w:val="nil"/>
          <w:left w:val="nil"/>
          <w:bottom w:val="nil"/>
          <w:right w:val="nil"/>
          <w:between w:val="nil"/>
        </w:pBdr>
        <w:tabs>
          <w:tab w:val="left" w:pos="993"/>
        </w:tabs>
        <w:rPr>
          <w:noProof/>
          <w:color w:val="000000"/>
        </w:rPr>
      </w:pPr>
    </w:p>
    <w:tbl>
      <w:tblPr>
        <w:tblW w:w="14564" w:type="dxa"/>
        <w:jc w:val="center"/>
        <w:tblLayout w:type="fixed"/>
        <w:tblLook w:val="0400" w:firstRow="0" w:lastRow="0" w:firstColumn="0" w:lastColumn="0" w:noHBand="0" w:noVBand="1"/>
      </w:tblPr>
      <w:tblGrid>
        <w:gridCol w:w="674"/>
        <w:gridCol w:w="1591"/>
        <w:gridCol w:w="851"/>
        <w:gridCol w:w="1417"/>
        <w:gridCol w:w="1245"/>
        <w:gridCol w:w="1165"/>
        <w:gridCol w:w="992"/>
        <w:gridCol w:w="993"/>
        <w:gridCol w:w="992"/>
        <w:gridCol w:w="709"/>
        <w:gridCol w:w="3935"/>
      </w:tblGrid>
      <w:tr>
        <w:trPr>
          <w:trHeight w:val="685"/>
          <w:tblHeader/>
          <w:jc w:val="center"/>
        </w:trPr>
        <w:tc>
          <w:tcPr>
            <w:tcW w:w="674" w:type="dxa"/>
            <w:vMerge w:val="restart"/>
            <w:tcBorders>
              <w:top w:val="single" w:sz="4" w:space="0" w:color="auto"/>
              <w:left w:val="single" w:sz="4" w:space="0" w:color="auto"/>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591"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Související opatření (reforma nebo investice)</w:t>
            </w:r>
          </w:p>
        </w:tc>
        <w:tc>
          <w:tcPr>
            <w:tcW w:w="851"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Milník/cíl</w:t>
            </w:r>
          </w:p>
        </w:tc>
        <w:tc>
          <w:tcPr>
            <w:tcW w:w="1417" w:type="dxa"/>
            <w:vMerge w:val="restart"/>
            <w:tcBorders>
              <w:top w:val="single" w:sz="4" w:space="0" w:color="auto"/>
              <w:left w:val="single" w:sz="8" w:space="0" w:color="000000"/>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Název</w:t>
            </w:r>
          </w:p>
        </w:tc>
        <w:tc>
          <w:tcPr>
            <w:tcW w:w="1245" w:type="dxa"/>
            <w:vMerge w:val="restart"/>
            <w:tcBorders>
              <w:top w:val="single" w:sz="8" w:space="0" w:color="000000"/>
              <w:left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 </w:t>
            </w:r>
          </w:p>
        </w:tc>
        <w:tc>
          <w:tcPr>
            <w:tcW w:w="3150"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701" w:type="dxa"/>
            <w:gridSpan w:val="2"/>
            <w:tcBorders>
              <w:top w:val="single" w:sz="8" w:space="0" w:color="000000"/>
              <w:left w:val="nil"/>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393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Popis a jasná definice každého milníku a cíle </w:t>
            </w:r>
          </w:p>
        </w:tc>
      </w:tr>
      <w:tr>
        <w:trPr>
          <w:trHeight w:val="75"/>
          <w:tblHeader/>
          <w:jc w:val="center"/>
        </w:trPr>
        <w:tc>
          <w:tcPr>
            <w:tcW w:w="674" w:type="dxa"/>
            <w:vMerge/>
            <w:tcBorders>
              <w:top w:val="single" w:sz="8" w:space="0" w:color="000000"/>
              <w:left w:val="single" w:sz="4" w:space="0" w:color="auto"/>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591"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1"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17" w:type="dxa"/>
            <w:vMerge/>
            <w:tcBorders>
              <w:top w:val="single" w:sz="8" w:space="0" w:color="000000"/>
              <w:left w:val="single" w:sz="8" w:space="0" w:color="000000"/>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245" w:type="dxa"/>
            <w:vMerge/>
            <w:tcBorders>
              <w:lef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992"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993"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992"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9" w:type="dxa"/>
            <w:tcBorders>
              <w:top w:val="nil"/>
              <w:left w:val="single" w:sz="8" w:space="0" w:color="000000"/>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3935" w:type="dxa"/>
            <w:vMerge/>
            <w:tcBorders>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674"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78</w:t>
            </w:r>
          </w:p>
        </w:tc>
        <w:tc>
          <w:tcPr>
            <w:tcW w:w="159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Vytváření alternativ k energeticky a prostorově náročné silniční dopravě</w:t>
            </w:r>
          </w:p>
        </w:tc>
        <w:tc>
          <w:tcPr>
            <w:tcW w:w="85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4" w:space="0" w:color="auto"/>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Schválení plánů mobility</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Schválení plánu zastupitelskými orgány města</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Všechna statutární města České republiky (města nad 40 000 obyvatel) mají plán udržitelné městské mobility (SUMP) schválený zastupitelstvem města na základě vládou schválené koncepce městské a aktivní mobility.</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79</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Vytváření alternativ k energeticky a prostorově náročné silniční dopravě</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Schválení a vstup nové koncepce nákladní dopravy v platnost</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Schválení vládou</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Vláda schválí novou koncepci nákladní dopravy, která stanoví podmínky pro zvýšení podílu železniční dopravy na celkovém objemu dopravy na období 2024–2030. Koncepce se zaměří na podporu multimodální dopravy, zlepšení služeb nákladní dopravy a snížení dopadů nákladní dopravy na životní prostředí, veřejné zdraví a globální změnu klimatu.</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80</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Vytváření alternativ k energeticky a prostorově náročné silniční dopravě</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Schválení plánů dopravní obslužnosti</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Schválení provozovatelů veřejné dopravy</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Všichni provozovatelé veřejné dopravy (stát, kraje a města provozující veřejnou dopravu) schválí pětiletý plán dopravní obslužnosti, který bude vycházet z vládou schválené koncepce veřejné dopravy.</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81</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Vytváření alternativ k energeticky a prostorově náročné silniční dopravě</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Dosažení většího modálního podílu veřejné dopravy ve městech ČR s více než 250 000 obyvatel a ve městech ČR s více než 75 000 obyvatel</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(modální podíl veřejné dopravy)</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40 % ve městech s více než 250 000 obyvatel / 28 % ve městech s více než 75 000 obyvatel</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45 % ve městech s více než 250 000 obyvatel / 35 % ve městech s více než 75 000 obyvatel</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Modální podíl veřejné dopravy ve městech ČR s víc než 250 000 obyvatel a ve městech ČR s více než 75 000 obyvatel se zvýší o procento uvedené ve sloupci Cíl. </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82</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Vytváření alternativ k energeticky a prostorově náročné silniční dopravě</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Dosažení většího modálního podílu cyklistické dopravy ve městech v ČR s více než 250 000 obyvatel a ve městech v ČR s více než 75 000 obyvatel</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(modální podíl cyklistické dopravy)</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1 % ve městech s více než 250 000 obyvatel / 5 % ve městech s více než 75 000 obyvatel</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5 % ve městech s více než 250 000 obyvatel / 10 % ve městech s více než 250 000 obyvatel</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Modální podíl cyklistické dopravy ve městech ČR s víc než 250 000 obyvatel a ve městech ČR s více než 75 000 obyvatel se zvýší o procento uvedené ve sloupci Cíl.</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83</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Investice č. 1: Nové technologie a digitalizace na železniční infrastruktuře</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pro investici č. 1</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Ministerstvem dopravy</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Definování souboru projektů zahrnujícího 41 km tratí pokrytých globálním systémem mobilních komunikací – železnice (GSM-R), 20 nově instalovaných nebo spolehlivěji napájených základnových stanic (BTS) a zavedení nových technologií a zařízení pro řízení železničního provozu.</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84</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Nové technologie a digitalizace na železniční infrastruktuře</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dvou projektů z předem definovaného souboru projektů.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dvou projektů z předem definovaného souboru projektů zahrnujícího 41 km tratí pokrytých globálním systémem mobilních komunikací – železnice (GSM-R), 20 nově instalovaných nebo spolehlivěji napájených základnových stanic (BTS) a zavedení nových technologií a zařízení pro řízení železničního provozu.</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85</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Nové technologie a digitalizace na železniční infrastruktuře</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šesti dalších projektů z předem definovaného souboru projektů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šesti dalších projektů (celkem osm) z předem definovaného souboru projektů zahrnujícího 41 km tratí pokrytých globálním systémem mobilních komunikací – železnice (GSM-R), 20 nově instalovaných nebo spolehlivěji napájených základnových stanic (BTS) a zavedení nových technologií a zařízení pro řízení železničního provozu.</w:t>
            </w:r>
          </w:p>
        </w:tc>
      </w:tr>
      <w:tr>
        <w:trPr>
          <w:trHeight w:val="298"/>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86</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Investice č. 2: Elektrizace železnic</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pro investici č. 2</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Ministerstvem dopravy</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zahrnujícího 39,7 km elektrifikovaných tratí a čtyři trakční napájecí stanice se zvýšeným výkonem nebo nově vybudované stanice.</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87</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Elektrizace železnic</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Dokončení dvou projektů z předem definovaného souboru projektů </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dvou projektů z předem definovaného souboru projektů zahrnujícího 39,7 km elektrifikovaných tratí a čtyři trakční napájecí stanice se zvýšeným výkonem nebo nově vybudované.</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88</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Elektrizace železnic</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Dokončení šesti dalších projektů z předem definovaného souboru projektů </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pěti dalších projektů (celkem osm) z předem definovaného souboru projektů zahrnujícího 39,7 km elektrifikovaných tratí a čtyři trakční napájecí stanice se zvýšeným výkonem nebo nově vybudované.</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89</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Investice č. 3: Zlepšení životního prostředí (podpora železniční infrastruktury)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Milník</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pro investici č. 3</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Ministerstvem dopravy</w:t>
            </w: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Definování souboru projektů zahrnujícího zhruba 121,88 km modernizovaných tratí, devět modernizovaných železničních stanic s rekonstruovanou tratí a bezpečně a bezbariérově přístupnými nástupišti a 35 staničních budov se sníženou energetickou náročností, zvýšeným komfortem a lepšími službami pro cestující.</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90</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Zlepšení životního prostředí (podpora železniční infrastruktury)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Dokončení 26 projektů z předem definovaného souboru projektů </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26</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26 projektů z předem definovaného souboru projektů zahrnujícího zhruba 121,88 km modernizovaných tratí, devět modernizovaných železničních stanic s rekonstruovanou tratí a bezpečně a bezbariérově přístupnými nástupišti a 35 staničních budov se sníženou energetickou náročností, zvýšeným komfortem a lepšími službami pro cestující.</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91</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Zlepšení životního prostředí (podpora železniční infrastruktury)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Dokončení 30 dalších projektů z předem definovaného souboru projektů </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26</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56</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30 dalších projektů z předem definovaného souboru projektů zahrnujícího 121,88 km tratí, které jsou modernizovány, provozně vylepšeny nebo odolnější vůči přírodním vlivům, zhruba devět modernizovaných železničních stanic s rekonstruovanou tratí a bezpečně a bezbariérově přístupnými nástupišti a 39 staničních budov se sníženou energetickou náročností, zvýšeným komfortem a lepšími službami pro cestující.</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92</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přejezdů se zvýšenou bezpečností</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přejezdů se zvýšenou bezpečností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45</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Přejezdy se zvýšenou úrovní bezpečnosti, s nově instalovaným nebo modernizovaným světelným výstražným systémem nebo mechanickým zabezpečovacím zařízením.</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93</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vybudovaných cyklostezek, chodníků a bezbariérových tras</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chodníků a bezbariérových tras – km</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 chodníků / bezbariérových tras.</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94</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modernizovaných železničních mostů nebo tunelů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modernizovaných železničních umělých struktur (mostů/tunelů)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Modernizovaná železniční umělá struktura dokončena pro provozní fázi.</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95</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modernizovaných železničních mostů nebo tunelů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modernizovaných železničních umělých struktur (mostů/tunelů)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6</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Modernizovaná železniční umělá struktura dokončena pro provozní fázi.</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96</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přejezdů se zvýšenou bezpečností</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přejezdů se zvýšenou bezpečností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45</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160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Přejezdy se zvýšenou úrovní bezpečnosti, s nově instalovaným nebo modernizovaným světelným výstražným systémem nebo mechanickým zabezpečovacím zařízením.</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97</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vybudovaných cyklostezek, chodníků a bezbariérových tras</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chodníků a bezbariérových tras – km</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25</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49</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 chodníků / bezbariérových tras.</w:t>
            </w:r>
          </w:p>
        </w:tc>
      </w:tr>
      <w:tr>
        <w:trPr>
          <w:trHeight w:val="67"/>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98</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přejezdů se zvýšenou bezpečností</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přejezdů se zvýšenou bezpečností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160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291</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2024</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Přejezdy se zvýšenou úrovní bezpečnosti, s nově instalovaným nebo modernizovaným světelným výstražným systémem nebo mechanickým zabezpečovacím zařízením.</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99</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modernizovaných železničních mostů nebo tunelů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modernizovaných železničních umělých struktur (mostů/tunelů)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6</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Modernizovaná železniční umělá struktura dokončena pro provozní fázi.</w:t>
            </w:r>
          </w:p>
        </w:tc>
      </w:tr>
      <w:tr>
        <w:trPr>
          <w:trHeight w:val="945"/>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100</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vybudovaných cyklostezek, chodníků a bezbariérových tras</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chodníků a bezbariérových tras – km</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49</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85</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Délka vybudovaných cyklostezek / chodníků / bezbariérových tras.</w:t>
            </w:r>
          </w:p>
        </w:tc>
      </w:tr>
      <w:tr>
        <w:trPr>
          <w:trHeight w:val="439"/>
          <w:jc w:val="center"/>
        </w:trPr>
        <w:tc>
          <w:tcPr>
            <w:tcW w:w="67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101</w:t>
            </w:r>
          </w:p>
        </w:tc>
        <w:tc>
          <w:tcPr>
            <w:tcW w:w="159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4: Bezpečnost silniční a železniční dopravy (železniční přejezdy, mosty a tunely, cyklostezky a bezbariérové trasy)</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modernizovaných železničních mostů nebo tunelů</w:t>
            </w:r>
          </w:p>
        </w:tc>
        <w:tc>
          <w:tcPr>
            <w:tcW w:w="12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11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modernizovaných železničních umělých struktur (mostů/tunelů)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7</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393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Modernizovaná železniční umělá struktura dokončena pro provozní fázi.</w:t>
            </w:r>
          </w:p>
        </w:tc>
      </w:tr>
    </w:tbl>
    <w:p>
      <w:pPr>
        <w:pBdr>
          <w:top w:val="nil"/>
          <w:left w:val="nil"/>
          <w:bottom w:val="nil"/>
          <w:right w:val="nil"/>
          <w:between w:val="nil"/>
        </w:pBdr>
        <w:tabs>
          <w:tab w:val="left" w:pos="993"/>
        </w:tabs>
        <w:rPr>
          <w:noProof/>
          <w:color w:val="000000"/>
        </w:rPr>
      </w:pPr>
    </w:p>
    <w:p>
      <w:pPr>
        <w:pBdr>
          <w:top w:val="nil"/>
          <w:left w:val="nil"/>
          <w:bottom w:val="nil"/>
          <w:right w:val="nil"/>
          <w:between w:val="nil"/>
        </w:pBdr>
        <w:rPr>
          <w:noProof/>
          <w:color w:val="000000"/>
        </w:rPr>
        <w:sectPr>
          <w:headerReference w:type="even" r:id="rId94"/>
          <w:headerReference w:type="default" r:id="rId95"/>
          <w:footerReference w:type="even" r:id="rId96"/>
          <w:footerReference w:type="default" r:id="rId97"/>
          <w:headerReference w:type="first" r:id="rId98"/>
          <w:footerReference w:type="first" r:id="rId99"/>
          <w:pgSz w:w="16839" w:h="11907" w:orient="landscape"/>
          <w:pgMar w:top="142" w:right="1134" w:bottom="1418" w:left="1134" w:header="709" w:footer="709" w:gutter="0"/>
          <w:cols w:space="720"/>
        </w:sectPr>
      </w:pPr>
    </w:p>
    <w:p>
      <w:pPr>
        <w:keepNext/>
        <w:tabs>
          <w:tab w:val="left" w:pos="850"/>
        </w:tabs>
        <w:spacing w:before="360"/>
        <w:jc w:val="both"/>
        <w:outlineLvl w:val="0"/>
        <w:rPr>
          <w:rFonts w:ascii="Times New Roman" w:hAnsi="Times New Roman"/>
          <w:b/>
          <w:smallCaps/>
          <w:noProof/>
          <w:sz w:val="24"/>
        </w:rPr>
      </w:pPr>
      <w:r>
        <w:rPr>
          <w:rFonts w:ascii="Times New Roman" w:hAnsi="Times New Roman"/>
          <w:b/>
          <w:smallCaps/>
          <w:noProof/>
          <w:sz w:val="24"/>
        </w:rPr>
        <w:t xml:space="preserve">H. KOMPONENTA č. 2.2: Snižování spotřeby energie ve veřejném sektoru </w:t>
      </w:r>
    </w:p>
    <w:p>
      <w:pPr>
        <w:jc w:val="both"/>
        <w:rPr>
          <w:rFonts w:ascii="Times New Roman" w:hAnsi="Times New Roman"/>
          <w:noProof/>
          <w:sz w:val="24"/>
          <w:szCs w:val="24"/>
        </w:rPr>
      </w:pPr>
      <w:r>
        <w:rPr>
          <w:rFonts w:ascii="Times New Roman" w:hAnsi="Times New Roman"/>
          <w:noProof/>
          <w:sz w:val="24"/>
          <w:szCs w:val="24"/>
        </w:rPr>
        <w:t xml:space="preserve">Tato komponenta Plánu pro oživení a odolnost České republiky řeší výzvu týkající se energetické účinnosti ve veřejném sektoru prostřednictvím renovace státních a veřejných budov a modernizace veřejného osvětlení. </w:t>
      </w:r>
    </w:p>
    <w:p>
      <w:pPr>
        <w:jc w:val="both"/>
        <w:rPr>
          <w:rFonts w:ascii="Times New Roman" w:hAnsi="Times New Roman"/>
          <w:noProof/>
          <w:sz w:val="24"/>
          <w:szCs w:val="24"/>
        </w:rPr>
      </w:pPr>
      <w:r>
        <w:rPr>
          <w:rFonts w:ascii="Times New Roman" w:hAnsi="Times New Roman"/>
          <w:noProof/>
          <w:sz w:val="24"/>
          <w:szCs w:val="24"/>
        </w:rPr>
        <w:t xml:space="preserve">Komponenta odráží závazky Česka zlepšit energetickou účinnost národního hospodářství do roku 2030. Cílem je snížení konečné spotřeby energie v příslušných státních a veřejných budovách, zvýšení počtu kvalitních renovací ve veřejném sektoru a snížení konečné spotřeby energie veřejného osvětlení. </w:t>
      </w:r>
    </w:p>
    <w:p>
      <w:pPr>
        <w:jc w:val="both"/>
        <w:rPr>
          <w:rFonts w:ascii="Times New Roman" w:hAnsi="Times New Roman"/>
          <w:noProof/>
        </w:rPr>
      </w:pPr>
      <w:r>
        <w:rPr>
          <w:rFonts w:ascii="Times New Roman" w:hAnsi="Times New Roman"/>
          <w:noProof/>
          <w:sz w:val="24"/>
          <w:szCs w:val="24"/>
        </w:rPr>
        <w:t>Komponenta podporuje plnění doporučení pro zemi, které se týká přechodu na nízkouhlíkové hospodářství včetně zvýšení energetické účinnosti (doporučení pro zemi č. 3 na rok 2019), a čisté a účinné výroby a využívání energie (doporučení pro zemi č. 3 na rok 2020).</w:t>
      </w:r>
    </w:p>
    <w:p>
      <w:pPr>
        <w:jc w:val="both"/>
        <w:rPr>
          <w:rFonts w:ascii="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Zejména při zlepšování energetické náročnosti státních a veřejných budov bude alespoň 70 % stavebního a demoličního odpadu připraveno k opětovnému použití nebo recyklaci.</w:t>
      </w:r>
    </w:p>
    <w:p>
      <w:pPr>
        <w:jc w:val="both"/>
        <w:rPr>
          <w:rFonts w:ascii="Times New Roman" w:hAnsi="Times New Roman"/>
          <w:noProof/>
          <w:sz w:val="24"/>
          <w:szCs w:val="24"/>
        </w:rPr>
      </w:pPr>
    </w:p>
    <w:p>
      <w:pPr>
        <w:jc w:val="both"/>
        <w:rPr>
          <w:rFonts w:ascii="Times New Roman" w:hAnsi="Times New Roman"/>
          <w:b/>
          <w:bCs/>
          <w:noProof/>
          <w:sz w:val="24"/>
          <w:szCs w:val="24"/>
          <w:u w:val="single"/>
        </w:rPr>
      </w:pPr>
      <w:r>
        <w:rPr>
          <w:rFonts w:ascii="Times New Roman" w:hAnsi="Times New Roman"/>
          <w:b/>
          <w:bCs/>
          <w:noProof/>
          <w:sz w:val="24"/>
          <w:szCs w:val="24"/>
          <w:u w:val="single"/>
        </w:rPr>
        <w:t>H.1 Popis reforem a investic pro nevratnou finanční podporu</w:t>
      </w:r>
    </w:p>
    <w:p>
      <w:pPr>
        <w:jc w:val="both"/>
        <w:rPr>
          <w:rFonts w:ascii="Times New Roman" w:hAnsi="Times New Roman"/>
          <w:b/>
          <w:bCs/>
          <w:noProof/>
          <w:sz w:val="24"/>
          <w:szCs w:val="24"/>
        </w:rPr>
      </w:pPr>
      <w:r>
        <w:rPr>
          <w:rFonts w:ascii="Times New Roman" w:hAnsi="Times New Roman"/>
          <w:b/>
          <w:bCs/>
          <w:noProof/>
          <w:sz w:val="24"/>
          <w:szCs w:val="24"/>
        </w:rPr>
        <w:t>Investice č. 1: Snížení energetické náročnosti budov ve vlastnictví organizačních složek státu</w:t>
      </w:r>
    </w:p>
    <w:p>
      <w:pPr>
        <w:jc w:val="both"/>
        <w:rPr>
          <w:rFonts w:ascii="Times New Roman" w:hAnsi="Times New Roman"/>
          <w:noProof/>
          <w:sz w:val="24"/>
          <w:szCs w:val="24"/>
        </w:rPr>
      </w:pPr>
      <w:r>
        <w:rPr>
          <w:rFonts w:ascii="Times New Roman" w:hAnsi="Times New Roman"/>
          <w:noProof/>
          <w:sz w:val="24"/>
          <w:szCs w:val="24"/>
        </w:rPr>
        <w:t>Cílem této investice je snížení konečné spotřeby energie v budovách státní správy, které dlouhodobě nesplňují minimální požadavky na energetickou náročnost, a zvýšení počtu kvalitních a středně rozsáhlých a rozsáhlých renovací. Financovány jsou pouze projekty, které v průměru dosáhnou snížení spotřeby primární energie alespoň o 30 % nebo snížení emisí CO</w:t>
      </w:r>
      <w:r>
        <w:rPr>
          <w:rFonts w:ascii="Times New Roman" w:hAnsi="Times New Roman"/>
          <w:noProof/>
          <w:sz w:val="24"/>
          <w:szCs w:val="24"/>
          <w:vertAlign w:val="subscript"/>
        </w:rPr>
        <w:t>2</w:t>
      </w:r>
      <w:r>
        <w:rPr>
          <w:rFonts w:ascii="Times New Roman" w:hAnsi="Times New Roman"/>
          <w:noProof/>
          <w:sz w:val="24"/>
          <w:szCs w:val="24"/>
        </w:rPr>
        <w:t xml:space="preserve"> o 30 %. </w:t>
      </w:r>
    </w:p>
    <w:p>
      <w:pPr>
        <w:tabs>
          <w:tab w:val="left" w:pos="1402"/>
        </w:tabs>
        <w:spacing w:before="0" w:after="300" w:line="280" w:lineRule="exact"/>
        <w:jc w:val="both"/>
        <w:rPr>
          <w:rFonts w:ascii="Times New Roman" w:eastAsia="Segoe UI" w:hAnsi="Times New Roman" w:cs="Segoe UI"/>
          <w:noProof/>
          <w:color w:val="000000"/>
          <w:sz w:val="24"/>
          <w:szCs w:val="24"/>
        </w:rPr>
      </w:pPr>
      <w:r>
        <w:rPr>
          <w:rFonts w:ascii="Times New Roman" w:hAnsi="Times New Roman"/>
          <w:noProof/>
          <w:sz w:val="24"/>
          <w:szCs w:val="24"/>
        </w:rPr>
        <w:t>Cílem investice je podpora až 100 projektů renovace budov včetně zateplení budov, výměny a renovace oken a dveří, instalace systémů využívajících obnovitelné zdroje energie nebo zavádění úprav pro zlepšení interiérových opatření s prokazatelným dopadem na energetickou náročnost budov.</w:t>
      </w:r>
    </w:p>
    <w:p>
      <w:pPr>
        <w:tabs>
          <w:tab w:val="left" w:pos="1402"/>
        </w:tabs>
        <w:spacing w:before="0" w:after="300" w:line="280" w:lineRule="exact"/>
        <w:jc w:val="both"/>
        <w:rPr>
          <w:rFonts w:ascii="Times New Roman" w:hAnsi="Times New Roman"/>
          <w:noProof/>
          <w:sz w:val="24"/>
          <w:szCs w:val="24"/>
        </w:rPr>
      </w:pPr>
      <w:r>
        <w:rPr>
          <w:rFonts w:ascii="Times New Roman" w:hAnsi="Times New Roman"/>
          <w:noProof/>
          <w:sz w:val="24"/>
          <w:szCs w:val="24"/>
        </w:rPr>
        <w:t xml:space="preserve">Veřejné zakázky na 75 % projektů budou zadány do 31. prosince 2023. </w:t>
      </w:r>
    </w:p>
    <w:p>
      <w:pPr>
        <w:tabs>
          <w:tab w:val="left" w:pos="1402"/>
        </w:tabs>
        <w:spacing w:before="0" w:after="300" w:line="280" w:lineRule="exact"/>
        <w:jc w:val="both"/>
        <w:rPr>
          <w:rFonts w:ascii="Times New Roman" w:hAnsi="Times New Roman"/>
          <w:noProof/>
          <w:sz w:val="24"/>
          <w:szCs w:val="24"/>
        </w:rPr>
      </w:pPr>
      <w:r>
        <w:rPr>
          <w:rFonts w:ascii="Times New Roman" w:hAnsi="Times New Roman"/>
          <w:noProof/>
          <w:sz w:val="24"/>
          <w:szCs w:val="24"/>
        </w:rPr>
        <w:t>V zájmu lepší přípravy této investice Ministerstvo průmyslu a obchodu do 31. prosince 2021 přijme a zveřejní vzorovou smlouvu pro služby podle metody Energy Performance Contracting (smlouvy o energetických službách) se zárukou. Investice bude usilovat o podporu realizace projektů s důrazem na maximalizaci výsledných úspor energie v porovnání s vynaloženými prostředky.</w:t>
      </w:r>
    </w:p>
    <w:p>
      <w:pPr>
        <w:jc w:val="both"/>
        <w:rPr>
          <w:rFonts w:ascii="Times New Roman" w:hAnsi="Times New Roman"/>
          <w:noProof/>
          <w:sz w:val="24"/>
          <w:szCs w:val="24"/>
        </w:rPr>
      </w:pPr>
      <w:r>
        <w:rPr>
          <w:rFonts w:ascii="Times New Roman" w:hAnsi="Times New Roman"/>
          <w:noProof/>
          <w:sz w:val="24"/>
          <w:szCs w:val="24"/>
        </w:rPr>
        <w:t xml:space="preserve">Investice se uskuteční do 31. března 2026. </w:t>
      </w:r>
    </w:p>
    <w:p>
      <w:pPr>
        <w:jc w:val="both"/>
        <w:rPr>
          <w:rFonts w:ascii="Times New Roman" w:hAnsi="Times New Roman"/>
          <w:b/>
          <w:bCs/>
          <w:noProof/>
          <w:sz w:val="24"/>
          <w:szCs w:val="24"/>
        </w:rPr>
      </w:pPr>
      <w:r>
        <w:rPr>
          <w:rFonts w:ascii="Times New Roman" w:hAnsi="Times New Roman"/>
          <w:b/>
          <w:bCs/>
          <w:noProof/>
          <w:sz w:val="24"/>
          <w:szCs w:val="24"/>
        </w:rPr>
        <w:t>Investice č. 2: Zvýšení energetické účinnosti systémů veřejného osvětlení</w:t>
      </w:r>
    </w:p>
    <w:p>
      <w:pPr>
        <w:jc w:val="both"/>
        <w:rPr>
          <w:rFonts w:ascii="Times New Roman" w:hAnsi="Times New Roman"/>
          <w:noProof/>
          <w:sz w:val="24"/>
          <w:szCs w:val="24"/>
        </w:rPr>
      </w:pPr>
      <w:r>
        <w:rPr>
          <w:rFonts w:ascii="Times New Roman" w:hAnsi="Times New Roman"/>
          <w:noProof/>
          <w:sz w:val="24"/>
          <w:szCs w:val="24"/>
        </w:rPr>
        <w:t xml:space="preserve">Cílem této investice je umožnit renovaci veřejného osvětlení v různých obcích České republiky a umožnit propojení těchto renovací s dalšími inteligentními prvky, jako je podpora rozvoje elektromobility. </w:t>
      </w:r>
    </w:p>
    <w:p>
      <w:pPr>
        <w:jc w:val="both"/>
        <w:rPr>
          <w:rFonts w:ascii="Times New Roman" w:hAnsi="Times New Roman"/>
          <w:noProof/>
          <w:sz w:val="24"/>
          <w:szCs w:val="24"/>
        </w:rPr>
      </w:pPr>
      <w:r>
        <w:rPr>
          <w:rFonts w:ascii="Times New Roman" w:hAnsi="Times New Roman"/>
          <w:noProof/>
          <w:sz w:val="24"/>
          <w:szCs w:val="24"/>
        </w:rPr>
        <w:t>Financovány jsou pouze projekty, které v průměru dosáhnou snížení spotřeby primární energie alespoň o 30 % nebo snížení emisí CO</w:t>
      </w:r>
      <w:r>
        <w:rPr>
          <w:rFonts w:ascii="Times New Roman" w:hAnsi="Times New Roman"/>
          <w:noProof/>
          <w:sz w:val="24"/>
          <w:szCs w:val="24"/>
          <w:vertAlign w:val="subscript"/>
        </w:rPr>
        <w:t>2</w:t>
      </w:r>
      <w:r>
        <w:rPr>
          <w:rFonts w:ascii="Times New Roman" w:hAnsi="Times New Roman"/>
          <w:noProof/>
          <w:sz w:val="24"/>
          <w:szCs w:val="24"/>
        </w:rPr>
        <w:t xml:space="preserve"> o 30 %.</w:t>
      </w:r>
    </w:p>
    <w:p>
      <w:pPr>
        <w:jc w:val="both"/>
        <w:rPr>
          <w:rFonts w:ascii="Times New Roman" w:hAnsi="Times New Roman"/>
          <w:noProof/>
          <w:sz w:val="24"/>
          <w:szCs w:val="24"/>
        </w:rPr>
      </w:pPr>
      <w:r>
        <w:rPr>
          <w:rFonts w:ascii="Times New Roman" w:hAnsi="Times New Roman"/>
          <w:noProof/>
          <w:sz w:val="24"/>
          <w:szCs w:val="24"/>
        </w:rPr>
        <w:t>Investice zahrnuje podporu až 2 000 projektů renovace systémů veřejného osvětlení v různých obcích v Česku, přičemž veřejné zakázky na 80 % z nich budou zadány do 31. prosince 2024. Investice bude zahrnovat obnovu systémů veřejného osvětlení a pořízení nebo optimalizaci systému řízení.</w:t>
      </w:r>
    </w:p>
    <w:p>
      <w:pPr>
        <w:jc w:val="both"/>
        <w:rPr>
          <w:rFonts w:ascii="Times New Roman" w:hAnsi="Times New Roman"/>
          <w:noProof/>
          <w:sz w:val="24"/>
          <w:szCs w:val="24"/>
        </w:rPr>
      </w:pPr>
      <w:r>
        <w:rPr>
          <w:rFonts w:ascii="Times New Roman" w:hAnsi="Times New Roman"/>
          <w:noProof/>
          <w:sz w:val="24"/>
          <w:szCs w:val="24"/>
        </w:rPr>
        <w:t>V zájmu lepší přípravy této investice Ministerstvo průmyslu a obchodu přijme a zveřejní dokumentaci programu do 31. prosince 2021. Dokumentace stanoví harmonogram a podmínky podpory opatření k renovaci systémů veřejného osvětlení, včetně inteligentních prvků.</w:t>
      </w:r>
    </w:p>
    <w:p>
      <w:pPr>
        <w:jc w:val="both"/>
        <w:rPr>
          <w:rFonts w:ascii="Times New Roman" w:hAnsi="Times New Roman"/>
          <w:noProof/>
          <w:sz w:val="24"/>
          <w:szCs w:val="24"/>
        </w:rPr>
      </w:pPr>
      <w:r>
        <w:rPr>
          <w:rFonts w:ascii="Times New Roman" w:hAnsi="Times New Roman"/>
          <w:noProof/>
          <w:sz w:val="24"/>
          <w:szCs w:val="24"/>
        </w:rPr>
        <w:t>Investice se uskuteční do 31. března 2026.</w:t>
      </w:r>
    </w:p>
    <w:p>
      <w:pPr>
        <w:jc w:val="both"/>
        <w:rPr>
          <w:rFonts w:ascii="Times New Roman" w:hAnsi="Times New Roman"/>
          <w:b/>
          <w:bCs/>
          <w:noProof/>
          <w:sz w:val="24"/>
          <w:szCs w:val="24"/>
        </w:rPr>
      </w:pPr>
      <w:r>
        <w:rPr>
          <w:rFonts w:ascii="Times New Roman" w:hAnsi="Times New Roman"/>
          <w:b/>
          <w:bCs/>
          <w:noProof/>
          <w:sz w:val="24"/>
          <w:szCs w:val="24"/>
        </w:rPr>
        <w:t xml:space="preserve">Investice č. 3: Snížení energetické náročnosti budov ve vlastnictví veřejných subjektů </w:t>
      </w:r>
    </w:p>
    <w:p>
      <w:pPr>
        <w:jc w:val="both"/>
        <w:rPr>
          <w:rFonts w:ascii="Times New Roman" w:hAnsi="Times New Roman"/>
          <w:noProof/>
          <w:sz w:val="24"/>
          <w:szCs w:val="24"/>
        </w:rPr>
      </w:pPr>
      <w:r>
        <w:rPr>
          <w:rFonts w:ascii="Times New Roman" w:hAnsi="Times New Roman"/>
          <w:noProof/>
          <w:sz w:val="24"/>
          <w:szCs w:val="24"/>
        </w:rPr>
        <w:t>Cílem této investice je snížení konečné spotřeby energie ve veřejných budovách, které dlouhodobě nesplňují minimální požadavky na energetickou náročnost, a zvýšení počtu vysoce kvalitních a středně rozsáhlých a rozsáhlých renovací. Financovány jsou pouze projekty, které v průměru dosáhnou snížení spotřeby primární energie alespoň o 30 % nebo snížení emisí CO</w:t>
      </w:r>
      <w:r>
        <w:rPr>
          <w:rFonts w:ascii="Times New Roman" w:hAnsi="Times New Roman"/>
          <w:noProof/>
          <w:sz w:val="24"/>
          <w:szCs w:val="24"/>
          <w:vertAlign w:val="subscript"/>
        </w:rPr>
        <w:t>2</w:t>
      </w:r>
      <w:r>
        <w:rPr>
          <w:rFonts w:ascii="Times New Roman" w:hAnsi="Times New Roman"/>
          <w:noProof/>
          <w:sz w:val="24"/>
          <w:szCs w:val="24"/>
        </w:rPr>
        <w:t xml:space="preserve"> o 30 %.</w:t>
      </w:r>
    </w:p>
    <w:p>
      <w:pPr>
        <w:tabs>
          <w:tab w:val="left" w:pos="1402"/>
        </w:tabs>
        <w:spacing w:before="0" w:after="300" w:line="280" w:lineRule="exact"/>
        <w:jc w:val="both"/>
        <w:rPr>
          <w:rFonts w:ascii="Times New Roman" w:eastAsia="Segoe UI" w:hAnsi="Times New Roman" w:cs="Segoe UI"/>
          <w:noProof/>
          <w:color w:val="000000"/>
          <w:sz w:val="24"/>
          <w:szCs w:val="24"/>
        </w:rPr>
      </w:pPr>
      <w:r>
        <w:rPr>
          <w:rFonts w:ascii="Times New Roman" w:hAnsi="Times New Roman"/>
          <w:noProof/>
          <w:sz w:val="24"/>
          <w:szCs w:val="24"/>
        </w:rPr>
        <w:t>Cílem investice je podpora až 400 projektů renovace budov včetně zateplení budov, výměny a renovace oken a dveří, instalace systémů využívajících obnovitelné zdroje energie nebo zavádění úprav pro zlepšení interiérových opatření s prokazatelným dopadem na energetickou náročnost budov.</w:t>
      </w:r>
    </w:p>
    <w:p>
      <w:pPr>
        <w:jc w:val="both"/>
        <w:rPr>
          <w:rFonts w:ascii="Times New Roman" w:hAnsi="Times New Roman"/>
          <w:noProof/>
          <w:sz w:val="24"/>
          <w:szCs w:val="24"/>
        </w:rPr>
      </w:pPr>
      <w:r>
        <w:rPr>
          <w:rFonts w:ascii="Times New Roman" w:hAnsi="Times New Roman"/>
          <w:noProof/>
          <w:sz w:val="24"/>
          <w:szCs w:val="24"/>
        </w:rPr>
        <w:t>Veřejné zakázky na 75 % projektů budou zadány do 31. prosince 2023.</w:t>
      </w:r>
    </w:p>
    <w:p>
      <w:pPr>
        <w:jc w:val="both"/>
        <w:rPr>
          <w:rFonts w:ascii="Times New Roman" w:hAnsi="Times New Roman"/>
          <w:noProof/>
          <w:sz w:val="24"/>
          <w:szCs w:val="24"/>
        </w:rPr>
      </w:pPr>
      <w:r>
        <w:rPr>
          <w:rFonts w:ascii="Times New Roman" w:hAnsi="Times New Roman"/>
          <w:noProof/>
          <w:sz w:val="24"/>
          <w:szCs w:val="24"/>
        </w:rPr>
        <w:t xml:space="preserve">Investice se uskuteční do 31. března 2026. </w:t>
      </w:r>
    </w:p>
    <w:p>
      <w:pPr>
        <w:rPr>
          <w:noProof/>
        </w:rPr>
        <w:sectPr>
          <w:headerReference w:type="even" r:id="rId100"/>
          <w:headerReference w:type="default" r:id="rId101"/>
          <w:footerReference w:type="even" r:id="rId102"/>
          <w:footerReference w:type="default" r:id="rId103"/>
          <w:headerReference w:type="first" r:id="rId104"/>
          <w:footerReference w:type="first" r:id="rId105"/>
          <w:pgSz w:w="11907" w:h="16839"/>
          <w:pgMar w:top="1134" w:right="1418" w:bottom="1134" w:left="1418" w:header="709" w:footer="709" w:gutter="0"/>
          <w:cols w:space="720"/>
        </w:sectPr>
      </w:pPr>
    </w:p>
    <w:p>
      <w:pPr>
        <w:pBdr>
          <w:top w:val="nil"/>
          <w:left w:val="nil"/>
          <w:bottom w:val="nil"/>
          <w:right w:val="nil"/>
          <w:between w:val="nil"/>
        </w:pBdr>
        <w:tabs>
          <w:tab w:val="left" w:pos="993"/>
        </w:tabs>
        <w:rPr>
          <w:b/>
          <w:noProof/>
          <w:color w:val="000000"/>
          <w:sz w:val="24"/>
          <w:szCs w:val="24"/>
          <w:highlight w:val="red"/>
          <w:u w:val="single"/>
        </w:rPr>
      </w:pPr>
      <w:r>
        <w:rPr>
          <w:rFonts w:ascii="Times New Roman" w:hAnsi="Times New Roman"/>
          <w:b/>
          <w:noProof/>
          <w:color w:val="000000"/>
          <w:sz w:val="24"/>
          <w:szCs w:val="24"/>
          <w:u w:val="single"/>
        </w:rPr>
        <w:t xml:space="preserve">H.2 Milníky, cíle, ukazatele a harmonogram monitorování a provádění nevratné finanční podpory </w:t>
      </w:r>
    </w:p>
    <w:p>
      <w:pPr>
        <w:pBdr>
          <w:top w:val="nil"/>
          <w:left w:val="nil"/>
          <w:bottom w:val="nil"/>
          <w:right w:val="nil"/>
          <w:between w:val="nil"/>
        </w:pBdr>
        <w:rPr>
          <w:rFonts w:ascii="Times New Roman" w:hAnsi="Times New Roman"/>
          <w:noProof/>
          <w:color w:val="006100"/>
          <w:sz w:val="15"/>
          <w:szCs w:val="15"/>
        </w:rPr>
      </w:pPr>
    </w:p>
    <w:tbl>
      <w:tblPr>
        <w:tblW w:w="14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290"/>
        <w:gridCol w:w="992"/>
        <w:gridCol w:w="1418"/>
        <w:gridCol w:w="1559"/>
        <w:gridCol w:w="1134"/>
        <w:gridCol w:w="567"/>
        <w:gridCol w:w="567"/>
        <w:gridCol w:w="850"/>
        <w:gridCol w:w="767"/>
        <w:gridCol w:w="4745"/>
      </w:tblGrid>
      <w:tr>
        <w:trPr>
          <w:trHeight w:val="75"/>
          <w:tblHeader/>
          <w:jc w:val="center"/>
        </w:trPr>
        <w:tc>
          <w:tcPr>
            <w:tcW w:w="709"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290"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2"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Milník/cíl</w:t>
            </w:r>
          </w:p>
        </w:tc>
        <w:tc>
          <w:tcPr>
            <w:tcW w:w="1418"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Název</w:t>
            </w:r>
          </w:p>
        </w:tc>
        <w:tc>
          <w:tcPr>
            <w:tcW w:w="1559"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617" w:type="dxa"/>
            <w:gridSpan w:val="2"/>
            <w:tcBorders>
              <w:top w:val="single" w:sz="8" w:space="0" w:color="000000"/>
              <w:left w:val="nil"/>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745" w:type="dxa"/>
            <w:vMerge w:val="restart"/>
            <w:tcBorders>
              <w:top w:val="single" w:sz="8" w:space="0" w:color="000000"/>
              <w:left w:val="nil"/>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600"/>
          <w:tblHeader/>
          <w:jc w:val="center"/>
        </w:trPr>
        <w:tc>
          <w:tcPr>
            <w:tcW w:w="709"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290"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2"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18"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559"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850"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745"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102</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Investice č. 1: Snížení energetické náročnosti budov ve vlastnictví organizačních složek státu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Ministerstvo průmyslu a obchodu přijme vzorovou smlouvu pro služby podle metody Energy Performance Contracting (smlouvy o energetických službách) se zárukou </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Vzorová smlouva je zveřejněna na internetových stránkách ministerstva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2021</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Ministerstvo průmyslu a obchodu přijme vzorovou smlouvu pro služby podle metody Energy Performance Contracting (smlouvy o energetických službách) se zárukou, aby se podpořila realizace projektů s důrazem na maximalizaci výsledných úspor energie v porovnání s vynaloženými prostředky.</w:t>
            </w:r>
          </w:p>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Vzorová smlouva je zveřejněna na internetových stránkách ministerstva.  </w:t>
            </w:r>
          </w:p>
        </w:tc>
      </w:tr>
      <w:tr>
        <w:trPr>
          <w:trHeight w:val="573"/>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103</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Investice č. 1: Snížení energetické náročnosti budov ve vlastnictví organizačních složek státu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75 % všech veřejných zakázek na projekty renovace budov dosahujících alespoň 30% úspor primární energie</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Procentní podíl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75</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 rámci tohoto opatření bude podpořeno celkem nejméně 100 projektů renovace budov. Cíle bude dosaženo po zadání zakázek na 75 % z nich. Projekty se předkládají Ministerstvu obchodu a průmyslu v rámci průběžné výzvy a hodnotí se na základě stanovených kritérií v transparentním výběrovém řízení. </w:t>
            </w:r>
          </w:p>
          <w:p>
            <w:pPr>
              <w:rPr>
                <w:rFonts w:ascii="Times New Roman" w:eastAsia="Times New Roman" w:hAnsi="Times New Roman"/>
                <w:noProof/>
                <w:color w:val="004300"/>
                <w:sz w:val="18"/>
                <w:szCs w:val="18"/>
              </w:rPr>
            </w:pPr>
            <w:r>
              <w:rPr>
                <w:rFonts w:ascii="Times New Roman" w:hAnsi="Times New Roman"/>
                <w:noProof/>
                <w:color w:val="004300"/>
                <w:sz w:val="18"/>
                <w:szCs w:val="18"/>
              </w:rPr>
              <w:t>K realizaci budou vybrány pouze projekty, které v průměru dosáhnou snížení spotřeby primární energie alespoň o 30 % nebo snížení emisí CO</w:t>
            </w:r>
            <w:r>
              <w:rPr>
                <w:rFonts w:ascii="Times New Roman" w:hAnsi="Times New Roman"/>
                <w:noProof/>
                <w:color w:val="004300"/>
                <w:sz w:val="18"/>
                <w:szCs w:val="18"/>
                <w:vertAlign w:val="subscript"/>
              </w:rPr>
              <w:t>2</w:t>
            </w:r>
            <w:r>
              <w:rPr>
                <w:rFonts w:ascii="Times New Roman" w:hAnsi="Times New Roman"/>
                <w:noProof/>
                <w:color w:val="004300"/>
                <w:sz w:val="18"/>
                <w:szCs w:val="18"/>
              </w:rPr>
              <w:t xml:space="preserve"> o 30 %. Cílová hodnota 75 % se týká projektů s podepsanou grantovou dohodou. Investice do náhrad kotlů včetně kotlů na zemní plyn jako zdroj energie jsou omezeny na maximálně 20 % celkových prostředků.</w:t>
            </w:r>
          </w:p>
        </w:tc>
      </w:tr>
      <w:tr>
        <w:trPr>
          <w:trHeight w:val="94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104</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1: Snížení energetické náročnosti budov ve vlastnictví organizačních složek státu</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Snižování spotřeby energie </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Úspory energie v TJ za rok</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216</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Cíle bude dosaženo po snížení spotřeby energie v budovách organizačních složek státu o 216 TJ/rok do 31. března 2026 v důsledku renovace budov, toto snížení se prokáže certifikátem energetické náročnosti. Spotřeba energie se sníží v porovnání s běžným scénářem (tj. bez podpory podle nařízení (EU) 2021/241). Množství ušetřené energie se určuje měřením nebo odhadem spotřeby před provedením jednoho či více opatření ke zvýšení energetické účinnosti a po něm, při zajištění normalizace vnějších podmínek, které spotřebu energie ovlivní.</w:t>
            </w:r>
          </w:p>
        </w:tc>
      </w:tr>
      <w:tr>
        <w:trPr>
          <w:trHeight w:val="94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105</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2: Snížení energetické náročnosti systémů veřejného osvětlení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Ministerstvo průmyslu a obchodu přijme programovou dokumentaci týkající se opatření k renovaci systémů veřejného osvětlení</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Programová dokumentace je zveřejněna na internetových stránkách ministerstva.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2021</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Ministerstvo průmyslu a obchodu přijme programovou dokumentaci a zveřejní ji na svých internetových stránkách. Dokumentace stanoví harmonogram a podmínky podpory opatření k renovaci systémů veřejného osvětlení, včetně inteligentních prvků, za účelem dosažení cíle spočívajícího v nejméně 30% úsporách primární energie.</w:t>
            </w:r>
          </w:p>
        </w:tc>
      </w:tr>
      <w:tr>
        <w:trPr>
          <w:trHeight w:val="94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106</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2: Snížení energetické náročnosti systémů veřejného osvětlení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80 % všech veřejných zakázek na projekty renovace systémů veřejného osvětlení dosahujících alespoň 30% úspor primární energie</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Procentní podíl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80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Q4 </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V rámci tohoto opatření bude podpořeno celkem nejméně 2 000 projektů renovace systémů veřejného osvětlení. Cíle bude dosaženo po zadání zakázek na 80 % z nich (konkrétně 1 600) do 31. prosince 2024. Projekty se hodnotí a vybírají každoročně, a to na základě stanovených kritérií v transparentním výběrovém řízení.</w:t>
            </w:r>
          </w:p>
          <w:p>
            <w:pPr>
              <w:rPr>
                <w:rFonts w:ascii="Times New Roman" w:eastAsia="Times New Roman" w:hAnsi="Times New Roman"/>
                <w:noProof/>
                <w:color w:val="004300"/>
                <w:sz w:val="18"/>
                <w:szCs w:val="18"/>
              </w:rPr>
            </w:pPr>
            <w:r>
              <w:rPr>
                <w:rFonts w:ascii="Times New Roman" w:hAnsi="Times New Roman"/>
                <w:noProof/>
                <w:color w:val="004300"/>
                <w:sz w:val="18"/>
                <w:szCs w:val="18"/>
              </w:rPr>
              <w:t>K realizaci budou vybrány pouze projekty, které v průměru dosáhnou snížení spotřeby primární energie alespoň o 30 % nebo snížení emisí CO</w:t>
            </w:r>
            <w:r>
              <w:rPr>
                <w:rFonts w:ascii="Times New Roman" w:hAnsi="Times New Roman"/>
                <w:noProof/>
                <w:color w:val="004300"/>
                <w:sz w:val="18"/>
                <w:szCs w:val="18"/>
                <w:vertAlign w:val="subscript"/>
              </w:rPr>
              <w:t>2</w:t>
            </w:r>
            <w:r>
              <w:rPr>
                <w:rFonts w:ascii="Times New Roman" w:hAnsi="Times New Roman"/>
                <w:noProof/>
                <w:color w:val="004300"/>
                <w:sz w:val="18"/>
                <w:szCs w:val="18"/>
              </w:rPr>
              <w:t xml:space="preserve"> o 30 %. Cílová hodnota 80 % se týká projektů s podepsanou grantovou dohodou.</w:t>
            </w:r>
          </w:p>
        </w:tc>
      </w:tr>
      <w:tr>
        <w:trPr>
          <w:trHeight w:val="94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107</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2: Snížení energetické náročnosti systémů veřejného osvětlení</w:t>
            </w:r>
          </w:p>
          <w:p>
            <w:pPr>
              <w:rPr>
                <w:rFonts w:ascii="Times New Roman" w:eastAsia="Times New Roman" w:hAnsi="Times New Roman"/>
                <w:noProof/>
                <w:color w:val="0043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Snižování spotřeby energie </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Úspory energie v TJ za rok</w:t>
            </w:r>
          </w:p>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286</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Cíle bude dosaženo po snížení spotřeby energie o 286 TJ/rok do 31. března 2026 v důsledku renovace systémů veřejného osvětlení, toto snížení se prokáže certifikátem energetické náročnosti. Spotřeba energie se sníží v porovnání s běžným scénářem (tj. bez podpory podle nařízení (EU) 2021/241). Množství ušetřené energie se určuje měřením nebo odhadem spotřeby před provedením jednoho či více opatření ke zvýšení energetické účinnosti a po něm, při zajištění normalizace vnějších podmínek, které spotřebu energie ovlivní.   </w:t>
            </w:r>
          </w:p>
        </w:tc>
      </w:tr>
      <w:tr>
        <w:trPr>
          <w:trHeight w:val="337"/>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108</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3: Snížení energetické náročnosti budov ve vlastnictví veřejných subjektů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75 % všech veřejných zakázek na projekty renovace budov dosahujících alespoň 30% úspor primární energie</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Procentní podíl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75</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 rámci tohoto opatření bude podpořeno celkem nejméně 400 projektů renovace budov. Cíle bude dosaženo po zadání 75 % z nich. Projekty se předkládají MPO v rámci průběžné výzvy a hodnotí se na základě stanovených kritérií v transparentním výběrovém řízení. </w:t>
            </w:r>
          </w:p>
          <w:p>
            <w:pPr>
              <w:rPr>
                <w:rFonts w:ascii="Times New Roman" w:hAnsi="Times New Roman"/>
                <w:noProof/>
                <w:color w:val="004300"/>
                <w:sz w:val="18"/>
                <w:szCs w:val="18"/>
              </w:rPr>
            </w:pPr>
            <w:r>
              <w:rPr>
                <w:rFonts w:ascii="Times New Roman" w:hAnsi="Times New Roman"/>
                <w:noProof/>
                <w:color w:val="004300"/>
                <w:sz w:val="18"/>
                <w:szCs w:val="18"/>
              </w:rPr>
              <w:t>K realizaci budou vybrány pouze projekty, které v průměru dosáhnou snížení spotřeby primární energie alespoň o 30 % nebo snížení emisí CO</w:t>
            </w:r>
            <w:r>
              <w:rPr>
                <w:rFonts w:ascii="Times New Roman" w:hAnsi="Times New Roman"/>
                <w:noProof/>
                <w:color w:val="004300"/>
                <w:sz w:val="18"/>
                <w:szCs w:val="18"/>
                <w:vertAlign w:val="subscript"/>
              </w:rPr>
              <w:t>2</w:t>
            </w:r>
            <w:r>
              <w:rPr>
                <w:rFonts w:ascii="Times New Roman" w:hAnsi="Times New Roman"/>
                <w:noProof/>
                <w:color w:val="004300"/>
                <w:sz w:val="18"/>
                <w:szCs w:val="18"/>
              </w:rPr>
              <w:t xml:space="preserve"> o 30 %. Cílová hodnota 75 % se týká projektů s podepsanou grantovou dohodou. Investice do náhrad kotlů včetně kotlů na zemní plyn jako zdroj energie jsou omezeny na maximálně 20 % celkových prostředků. </w:t>
            </w:r>
          </w:p>
        </w:tc>
      </w:tr>
      <w:tr>
        <w:trPr>
          <w:trHeight w:val="578"/>
          <w:jc w:val="center"/>
        </w:trPr>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109</w:t>
            </w:r>
          </w:p>
        </w:tc>
        <w:tc>
          <w:tcPr>
            <w:tcW w:w="12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3: Snížení energetické náročnosti budov ve vlastnictví veřejných subjektů</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Snižování spotřeby energie</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Úspory energie v TJ za rok</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390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Cíle bude dosaženo po snížení spotřeby energie v budovách organizačních složek státu o 390 TJ/rok do 31. března 2026 v důsledku renovace budov, toto snížení se prokáže certifikátem energetické náročnosti. Spotřeba energie se sníží v porovnání s běžným scénářem (tj. bez podpory podle nařízení (EU) 2021/241). Množství ušetřené energie se určuje měřením nebo odhadem spotřeby před provedením jednoho či více opatření ke zvýšení energetické účinnosti a po něm, při zajištění normalizace vnějších podmínek, které spotřebu energie ovlivní.</w:t>
            </w:r>
          </w:p>
        </w:tc>
      </w:tr>
    </w:tbl>
    <w:p>
      <w:pPr>
        <w:pBdr>
          <w:top w:val="nil"/>
          <w:left w:val="nil"/>
          <w:bottom w:val="nil"/>
          <w:right w:val="nil"/>
          <w:between w:val="nil"/>
        </w:pBdr>
        <w:rPr>
          <w:rFonts w:ascii="Times New Roman" w:hAnsi="Times New Roman"/>
          <w:noProof/>
          <w:color w:val="006100"/>
          <w:sz w:val="15"/>
          <w:szCs w:val="15"/>
        </w:rPr>
        <w:sectPr>
          <w:headerReference w:type="even" r:id="rId106"/>
          <w:headerReference w:type="default" r:id="rId107"/>
          <w:footerReference w:type="even" r:id="rId108"/>
          <w:footerReference w:type="default" r:id="rId109"/>
          <w:headerReference w:type="first" r:id="rId110"/>
          <w:footerReference w:type="first" r:id="rId111"/>
          <w:pgSz w:w="16839" w:h="11907" w:orient="landscape"/>
          <w:pgMar w:top="142" w:right="1134" w:bottom="1418" w:left="1134" w:header="709" w:footer="709" w:gutter="0"/>
          <w:cols w:space="72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 xml:space="preserve">I. KOMPONENTA č. 2.3: Přechod na čistší zdroje energie </w:t>
      </w:r>
    </w:p>
    <w:p>
      <w:pPr>
        <w:jc w:val="both"/>
        <w:rPr>
          <w:rFonts w:ascii="Times New Roman" w:eastAsia="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 přechodu od fosilních paliv k nízkoemisním a bezemisním zdrojům energie, jako je fotovoltaická energie. Jejím cílem je snížení emisní náročnosti českého hospodářství a emisí znečišťujících látek, jakož i modernizace distribuční sítě tepelné energie, zejména nahrazením páry horkovodním systémem, což povede k úsporám primárních zdrojů energie.</w:t>
      </w:r>
    </w:p>
    <w:p>
      <w:pPr>
        <w:jc w:val="both"/>
        <w:rPr>
          <w:rFonts w:ascii="Times New Roman" w:eastAsia="Times New Roman" w:hAnsi="Times New Roman"/>
          <w:noProof/>
          <w:color w:val="000000"/>
          <w:sz w:val="24"/>
          <w:szCs w:val="24"/>
        </w:rPr>
      </w:pPr>
      <w:r>
        <w:rPr>
          <w:rFonts w:ascii="Times New Roman" w:hAnsi="Times New Roman"/>
          <w:noProof/>
          <w:sz w:val="24"/>
          <w:szCs w:val="24"/>
        </w:rPr>
        <w:t>Reformy a investice podporují plnění doporučení pro zemi č. 3 na rok 2019, podle něhož má Česko zaměřit investiční hospodářskou politiku na přechod na nízkouhlíkové hospodářství a transformaci energetiky včetně zvýšení energetické účinnosti, a to s ohledem na regionální rozdíly, a plnění doporučení pro zemi č. 3 na rok 2020, podle něhož má Česko zaměřit investice na ekologickou a digitální transformaci, zejména na čistou a účinnou výrobu a využívání energie, a to mimo jiné v uhelných regionech</w:t>
      </w:r>
      <w:r>
        <w:rPr>
          <w:rFonts w:ascii="Times New Roman" w:hAnsi="Times New Roman"/>
          <w:noProof/>
          <w:color w:val="000000"/>
          <w:sz w:val="24"/>
          <w:szCs w:val="24"/>
        </w:rPr>
        <w:t>.</w:t>
      </w:r>
    </w:p>
    <w:p>
      <w:pP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jc w:val="both"/>
        <w:rPr>
          <w:rFonts w:ascii="Times New Roman" w:eastAsia="Times New Roman" w:hAnsi="Times New Roman"/>
          <w:i/>
          <w:noProof/>
          <w:color w:val="000000"/>
          <w:sz w:val="24"/>
          <w:szCs w:val="24"/>
          <w:lang w:eastAsia="en-GB"/>
        </w:rPr>
      </w:pPr>
    </w:p>
    <w:p>
      <w:pPr>
        <w:jc w:val="both"/>
        <w:rPr>
          <w:rFonts w:ascii="Times New Roman" w:eastAsia="Times New Roman" w:hAnsi="Times New Roman"/>
          <w:b/>
          <w:i/>
          <w:noProof/>
          <w:color w:val="4F81BD"/>
          <w:sz w:val="24"/>
          <w:szCs w:val="24"/>
        </w:rPr>
      </w:pPr>
      <w:r>
        <w:rPr>
          <w:rFonts w:ascii="Times New Roman" w:hAnsi="Times New Roman"/>
          <w:b/>
          <w:noProof/>
          <w:sz w:val="24"/>
          <w:szCs w:val="24"/>
          <w:u w:val="single"/>
        </w:rPr>
        <w:t>I.1 Popis reforem a investic pro nevratnou finanční podporu</w:t>
      </w:r>
    </w:p>
    <w:p>
      <w:pPr>
        <w:jc w:val="both"/>
        <w:rPr>
          <w:rFonts w:ascii="Times New Roman" w:eastAsia="Times New Roman" w:hAnsi="Times New Roman"/>
          <w:b/>
          <w:noProof/>
          <w:sz w:val="24"/>
          <w:szCs w:val="24"/>
        </w:rPr>
      </w:pPr>
      <w:r>
        <w:rPr>
          <w:rFonts w:ascii="Times New Roman" w:hAnsi="Times New Roman"/>
          <w:b/>
          <w:noProof/>
          <w:sz w:val="24"/>
          <w:szCs w:val="24"/>
        </w:rPr>
        <w:t xml:space="preserve">Reforma č. 1: Příprava posouzení dekarbonizace dálkového vytápění v Česku </w:t>
      </w:r>
    </w:p>
    <w:p>
      <w:pPr>
        <w:spacing w:line="259" w:lineRule="auto"/>
        <w:jc w:val="both"/>
        <w:rPr>
          <w:noProof/>
          <w:sz w:val="24"/>
          <w:szCs w:val="24"/>
        </w:rPr>
      </w:pPr>
      <w:r>
        <w:rPr>
          <w:rFonts w:ascii="Times New Roman" w:hAnsi="Times New Roman"/>
          <w:noProof/>
          <w:color w:val="000000"/>
          <w:sz w:val="24"/>
          <w:szCs w:val="24"/>
        </w:rPr>
        <w:t xml:space="preserve">Cílem tohoto opatření je dekarbonizace dálkového vytápění, zejména prostřednictvím zvýšení energetické účinnosti, přechodu od spalování uhlí k obnovitelným zdrojům energie, spalování zemního plynu, biomasy a odpadu a snížení emisí skleníkových plynů a znečišťujících látek. </w:t>
      </w:r>
    </w:p>
    <w:p>
      <w:pPr>
        <w:spacing w:line="259" w:lineRule="auto"/>
        <w:jc w:val="both"/>
        <w:rPr>
          <w:noProof/>
          <w:sz w:val="24"/>
          <w:szCs w:val="24"/>
        </w:rPr>
      </w:pPr>
      <w:r>
        <w:rPr>
          <w:rFonts w:ascii="Times New Roman" w:hAnsi="Times New Roman"/>
          <w:noProof/>
          <w:color w:val="000000"/>
          <w:sz w:val="24"/>
          <w:szCs w:val="24"/>
        </w:rPr>
        <w:t>Bude provedeno a zveřejněno posouzení postupu dosahování dekarbonizace dálkového vytápění v Česku. Tímto posouzením se budou řídit investice financované v rámci této komponenty Plánu pro oživení a odolnost České republiky.</w:t>
      </w:r>
    </w:p>
    <w:p>
      <w:pPr>
        <w:spacing w:line="259" w:lineRule="auto"/>
        <w:jc w:val="both"/>
        <w:rPr>
          <w:rFonts w:ascii="Times New Roman" w:eastAsia="Times New Roman" w:hAnsi="Times New Roman"/>
          <w:noProof/>
          <w:color w:val="000000"/>
        </w:rPr>
      </w:pPr>
      <w:r>
        <w:rPr>
          <w:rFonts w:ascii="Times New Roman" w:hAnsi="Times New Roman"/>
          <w:noProof/>
          <w:color w:val="000000"/>
          <w:sz w:val="24"/>
          <w:szCs w:val="24"/>
        </w:rPr>
        <w:t>Reforma bude provedena do 30. června 2022.</w:t>
      </w:r>
    </w:p>
    <w:p>
      <w:pPr>
        <w:spacing w:line="259" w:lineRule="auto"/>
        <w:jc w:val="both"/>
        <w:rPr>
          <w:rFonts w:ascii="Times New Roman" w:eastAsia="Times New Roman" w:hAnsi="Times New Roman"/>
          <w:noProof/>
          <w:sz w:val="24"/>
          <w:szCs w:val="24"/>
          <w:lang w:eastAsia="en-GB"/>
        </w:rPr>
      </w:pPr>
    </w:p>
    <w:p>
      <w:pPr>
        <w:jc w:val="both"/>
        <w:rPr>
          <w:rFonts w:ascii="Times New Roman" w:eastAsia="Times New Roman" w:hAnsi="Times New Roman"/>
          <w:b/>
          <w:bCs/>
          <w:noProof/>
          <w:sz w:val="24"/>
          <w:szCs w:val="24"/>
        </w:rPr>
      </w:pPr>
      <w:r>
        <w:rPr>
          <w:rFonts w:ascii="Times New Roman" w:hAnsi="Times New Roman"/>
          <w:b/>
          <w:bCs/>
          <w:noProof/>
          <w:sz w:val="24"/>
          <w:szCs w:val="24"/>
        </w:rPr>
        <w:t>Reforma č. 2: Příprava posouzení trajektorií udržitelného využívání bioenergie a dodávek biomasy v Česku a jeho dopadů na využití půdy, změny ve využití půdy, lesní propady uhlíku a biologickou rozmanitost, jakož i vliv na kvalitu ovzduší pro období 2020–2030</w:t>
      </w:r>
    </w:p>
    <w:p>
      <w:pPr>
        <w:jc w:val="both"/>
        <w:rPr>
          <w:rFonts w:ascii="Times New Roman" w:eastAsia="Times New Roman" w:hAnsi="Times New Roman"/>
          <w:noProof/>
          <w:sz w:val="24"/>
          <w:szCs w:val="24"/>
        </w:rPr>
      </w:pPr>
      <w:r>
        <w:rPr>
          <w:rFonts w:ascii="Times New Roman" w:hAnsi="Times New Roman"/>
          <w:noProof/>
          <w:sz w:val="24"/>
          <w:szCs w:val="24"/>
        </w:rPr>
        <w:t>Cílem tohoto opatření</w:t>
      </w:r>
      <w:r>
        <w:rPr>
          <w:rFonts w:ascii="Times New Roman" w:hAnsi="Times New Roman"/>
          <w:b/>
          <w:bCs/>
          <w:noProof/>
          <w:sz w:val="24"/>
          <w:szCs w:val="24"/>
        </w:rPr>
        <w:t xml:space="preserve"> </w:t>
      </w:r>
      <w:r>
        <w:rPr>
          <w:rFonts w:ascii="Times New Roman" w:hAnsi="Times New Roman"/>
          <w:noProof/>
          <w:sz w:val="24"/>
          <w:szCs w:val="24"/>
        </w:rPr>
        <w:t xml:space="preserve">je podpora investic do biomasy za využití odpadů a zbytků biomasy, které lze získávat udržitelným způsobem, s doprovodnými opatřeními ke snížení emisí. </w:t>
      </w:r>
    </w:p>
    <w:p>
      <w:pPr>
        <w:spacing w:line="259" w:lineRule="auto"/>
        <w:jc w:val="both"/>
        <w:rPr>
          <w:rFonts w:ascii="Times New Roman" w:eastAsia="Times New Roman" w:hAnsi="Times New Roman"/>
          <w:noProof/>
          <w:sz w:val="24"/>
          <w:szCs w:val="24"/>
        </w:rPr>
      </w:pPr>
      <w:r>
        <w:rPr>
          <w:rFonts w:ascii="Times New Roman" w:hAnsi="Times New Roman"/>
          <w:noProof/>
          <w:sz w:val="24"/>
          <w:szCs w:val="24"/>
        </w:rPr>
        <w:t>Bude zveřejněno posouzení trajektorií udržitelného využívání bioenergie a dodávek biomasy v Česku a jeho dopadů na využití půdy, změny ve využití půdy, lesní propady uhlíku a biologickou rozmanitost, jakož i jeho vlivu na kvalitu ovzduší pro období 2020–2030. Tímto posouzením se budou řídit investice do bioenergie financované v rámci komponent 2.2, 2.3 a 2.5 Plánu pro oživení a odolnost České republiky.</w:t>
      </w:r>
    </w:p>
    <w:p>
      <w:pPr>
        <w:spacing w:line="259" w:lineRule="auto"/>
        <w:jc w:val="both"/>
        <w:rPr>
          <w:rFonts w:ascii="Times New Roman" w:eastAsia="Times New Roman" w:hAnsi="Times New Roman"/>
          <w:noProof/>
          <w:sz w:val="24"/>
          <w:szCs w:val="24"/>
        </w:rPr>
      </w:pPr>
      <w:r>
        <w:rPr>
          <w:rFonts w:ascii="Times New Roman" w:hAnsi="Times New Roman"/>
          <w:noProof/>
          <w:sz w:val="24"/>
          <w:szCs w:val="24"/>
        </w:rPr>
        <w:t>Reforma bude provedena do 31. prosince 2022.</w:t>
      </w:r>
      <w:r>
        <w:rPr>
          <w:rFonts w:ascii="Times New Roman" w:hAnsi="Times New Roman"/>
          <w:b/>
          <w:bCs/>
          <w:noProof/>
          <w:sz w:val="24"/>
          <w:szCs w:val="24"/>
        </w:rPr>
        <w:t xml:space="preserve"> </w:t>
      </w:r>
    </w:p>
    <w:p>
      <w:pPr>
        <w:spacing w:line="259" w:lineRule="auto"/>
        <w:jc w:val="both"/>
        <w:rPr>
          <w:rFonts w:ascii="Times New Roman" w:eastAsia="Times New Roman" w:hAnsi="Times New Roman"/>
          <w:noProof/>
          <w:sz w:val="24"/>
          <w:szCs w:val="24"/>
        </w:rPr>
      </w:pPr>
      <w:r>
        <w:rPr>
          <w:noProof/>
        </w:rPr>
        <w:br w:type="page"/>
      </w:r>
      <w:r>
        <w:rPr>
          <w:rFonts w:ascii="Times New Roman" w:hAnsi="Times New Roman"/>
          <w:b/>
          <w:noProof/>
          <w:sz w:val="24"/>
          <w:szCs w:val="24"/>
        </w:rPr>
        <w:t>Investice č. 1: Zvýšení instalovaného výkonu zdrojů fotovoltaické energie</w:t>
      </w:r>
      <w:r>
        <w:rPr>
          <w:rFonts w:ascii="Times New Roman" w:hAnsi="Times New Roman"/>
          <w:noProof/>
          <w:sz w:val="24"/>
          <w:szCs w:val="24"/>
        </w:rPr>
        <w:t xml:space="preserv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tohoto opatření je nahradit alespoň část uhelných zdrojů energie fotovoltaickými zdroji.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Budou vybudovány a uvedeny do provozu nové zdroje fotovoltaické energie s instalovaným výkonem 270 MWp. Projekty zahrnou výstavbu fotovoltaických elektráren na střechách podnikových budov včetně přístřešků (např. pro automobily, stavební techniku, skladování materiálu atp.), jakož i akumulaci energie k optimalizaci výroby elektrické energie.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Tato investice bude realizována do 31. března 2026.</w:t>
      </w:r>
    </w:p>
    <w:p>
      <w:pPr>
        <w:pBdr>
          <w:top w:val="nil"/>
          <w:left w:val="nil"/>
          <w:bottom w:val="nil"/>
          <w:right w:val="nil"/>
          <w:between w:val="nil"/>
        </w:pBdr>
        <w:jc w:val="both"/>
        <w:rPr>
          <w:rFonts w:ascii="Times New Roman" w:eastAsia="Times New Roman" w:hAnsi="Times New Roman"/>
          <w:noProof/>
          <w:color w:val="000000"/>
          <w:sz w:val="24"/>
          <w:szCs w:val="24"/>
        </w:rPr>
      </w:pPr>
    </w:p>
    <w:p>
      <w:pPr>
        <w:jc w:val="both"/>
        <w:rPr>
          <w:rFonts w:ascii="Times New Roman" w:eastAsia="Times New Roman" w:hAnsi="Times New Roman"/>
          <w:b/>
          <w:noProof/>
          <w:sz w:val="24"/>
          <w:szCs w:val="24"/>
        </w:rPr>
      </w:pPr>
      <w:r>
        <w:rPr>
          <w:rFonts w:ascii="Times New Roman" w:hAnsi="Times New Roman"/>
          <w:b/>
          <w:noProof/>
          <w:sz w:val="24"/>
          <w:szCs w:val="24"/>
        </w:rPr>
        <w:t>Investice č. 2: Dosažení úspor primární energie z modernizace distribuce tepla</w:t>
      </w:r>
    </w:p>
    <w:p>
      <w:pPr>
        <w:jc w:val="both"/>
        <w:rPr>
          <w:rFonts w:ascii="Times New Roman" w:eastAsia="Times New Roman" w:hAnsi="Times New Roman"/>
          <w:noProof/>
          <w:sz w:val="24"/>
          <w:szCs w:val="24"/>
        </w:rPr>
      </w:pPr>
      <w:r>
        <w:rPr>
          <w:rFonts w:ascii="Times New Roman" w:hAnsi="Times New Roman"/>
          <w:noProof/>
          <w:sz w:val="24"/>
          <w:szCs w:val="24"/>
        </w:rPr>
        <w:t>Cílem tohoto opatření</w:t>
      </w:r>
      <w:r>
        <w:rPr>
          <w:rFonts w:ascii="Times New Roman" w:hAnsi="Times New Roman"/>
          <w:b/>
          <w:bCs/>
          <w:noProof/>
          <w:sz w:val="24"/>
          <w:szCs w:val="24"/>
        </w:rPr>
        <w:t xml:space="preserve"> </w:t>
      </w:r>
      <w:r>
        <w:rPr>
          <w:rFonts w:ascii="Times New Roman" w:hAnsi="Times New Roman"/>
          <w:noProof/>
          <w:sz w:val="24"/>
          <w:szCs w:val="24"/>
        </w:rPr>
        <w:t xml:space="preserve">je snížit spalování uhlí pro výrobu tepla (a související výrobu elektřiny) do roku 2030 v souladu s přijatým posouzením </w:t>
      </w:r>
      <w:r>
        <w:rPr>
          <w:rFonts w:ascii="Times New Roman" w:hAnsi="Times New Roman"/>
          <w:noProof/>
          <w:sz w:val="24"/>
          <w:szCs w:val="24"/>
          <w:shd w:val="clear" w:color="auto" w:fill="FFFFFF"/>
        </w:rPr>
        <w:t>dekarbonizace dálkového vytápění v Česku podle reformy č. 1 této komponenty</w:t>
      </w:r>
      <w:r>
        <w:rPr>
          <w:rFonts w:ascii="Times New Roman" w:hAnsi="Times New Roman"/>
          <w:noProof/>
          <w:sz w:val="24"/>
          <w:szCs w:val="24"/>
        </w:rPr>
        <w:t>, a to zejména zvýšením účinnosti dálkového vytápění a snížením emisí skleníkových plynů a znečišťujících látek pomocí nahrazení soustav parního rozvodu horkovodními systémy.</w:t>
      </w:r>
    </w:p>
    <w:p>
      <w:pPr>
        <w:jc w:val="both"/>
        <w:rPr>
          <w:rFonts w:ascii="Times New Roman" w:eastAsia="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Konkrétně bude do tří let po modernizaci sítě zahájena rekonstrukce zdrojů výroby tepla a energie tak, aby splňovaly definici účinného dálkového vytápění a chlazení uvedenou v čl. 2 bodě 41 směrnice 2012/27/EU („soustava dálkového vytápění nebo chlazení, která používá alespoň 50 % energie z obnovitelných zdrojů, 50 % odpadního tepla, 75 % tepla z kombinované výroby tepla a elektřiny nebo 50 % z kombinace této energie a tepla“). Bude zajištěno, aby tyto zdroje výroby tepla splňovaly požadavky technických pokynů k uplatňování zásady „významně nepoškozovat“ (2021/C58/01) a nepoužívaly jako zdroj tepla tuhá fosilní paliva, vyjma paliv splňujících kritéria pro výrobu tepla na bázi zemního plynu podle přílohy III technických pokynů k uplatňování zásady „významně nepoškozovat“. </w:t>
      </w:r>
    </w:p>
    <w:p>
      <w:pPr>
        <w:jc w:val="both"/>
        <w:rPr>
          <w:rFonts w:ascii="Times New Roman" w:eastAsia="Times New Roman" w:hAnsi="Times New Roman"/>
          <w:noProof/>
          <w:sz w:val="24"/>
          <w:szCs w:val="24"/>
        </w:rPr>
      </w:pPr>
      <w:r>
        <w:rPr>
          <w:rFonts w:ascii="Times New Roman" w:hAnsi="Times New Roman"/>
          <w:noProof/>
          <w:sz w:val="24"/>
          <w:szCs w:val="24"/>
        </w:rPr>
        <w:t>Bude-li jako zdroj paliva využita biomasa, budou investice v souladu s kritérii udržitelnosti a úspor emisí skleníkových plynů stanovenými v článku 29 směrnice (EU) 2018/2001 o podpoře využívání energie z obnovitelných zdrojů („směrnice o obnovitelných zdrojích energie“, „RED II“). Budou využívány pouze odpady a zbytky biomasy, které lze získat udržitelným způsobem, a investice bude doprovázena opatřeními pro snížení emisí. </w:t>
      </w:r>
    </w:p>
    <w:p>
      <w:pPr>
        <w:jc w:val="both"/>
        <w:rPr>
          <w:rFonts w:ascii="Times New Roman" w:eastAsia="Times New Roman" w:hAnsi="Times New Roman"/>
          <w:noProof/>
          <w:sz w:val="24"/>
          <w:szCs w:val="24"/>
        </w:rPr>
      </w:pPr>
      <w:r>
        <w:rPr>
          <w:rFonts w:ascii="Times New Roman" w:hAnsi="Times New Roman"/>
          <w:noProof/>
          <w:sz w:val="24"/>
          <w:szCs w:val="24"/>
        </w:rPr>
        <w:t xml:space="preserve">Bude zajištěn soulad s příslušnými právními předpisy EU a vnitrostátními právními předpisy v oblasti životního prostředí, aby emise byly v mezích úrovní emisí nebo nižší než úrovně emisí spojené s limity závěrů o nejlepších dostupných technikách (podle směrnice o průmyslových emisích). </w:t>
      </w:r>
    </w:p>
    <w:p>
      <w:pPr>
        <w:jc w:val="both"/>
        <w:rPr>
          <w:rFonts w:ascii="Times New Roman" w:eastAsia="Times New Roman" w:hAnsi="Times New Roman"/>
          <w:noProof/>
          <w:sz w:val="24"/>
          <w:szCs w:val="24"/>
        </w:rPr>
      </w:pPr>
      <w:r>
        <w:rPr>
          <w:rFonts w:ascii="Times New Roman" w:hAnsi="Times New Roman"/>
          <w:noProof/>
          <w:sz w:val="24"/>
          <w:szCs w:val="24"/>
        </w:rPr>
        <w:t>Investice bude provedena prostřednictvím těchto opatření:</w:t>
      </w:r>
    </w:p>
    <w:p>
      <w:pPr>
        <w:numPr>
          <w:ilvl w:val="0"/>
          <w:numId w:val="43"/>
        </w:numPr>
        <w:ind w:left="360"/>
        <w:jc w:val="both"/>
        <w:rPr>
          <w:rFonts w:ascii="Times New Roman" w:eastAsia="Times New Roman" w:hAnsi="Times New Roman"/>
          <w:noProof/>
          <w:sz w:val="24"/>
          <w:szCs w:val="24"/>
        </w:rPr>
      </w:pPr>
      <w:r>
        <w:rPr>
          <w:rFonts w:ascii="Times New Roman" w:hAnsi="Times New Roman"/>
          <w:noProof/>
          <w:sz w:val="24"/>
          <w:szCs w:val="24"/>
        </w:rPr>
        <w:t>Do 30. června 2024, před dokončením investic do sítě, Česko předloží konkrétní plán investic do zařízení na výrobu tepla a elektřiny, včetně smluvních závazků převzatých českou vládou za účelem zadání příslušných prací.</w:t>
      </w:r>
    </w:p>
    <w:p>
      <w:pPr>
        <w:numPr>
          <w:ilvl w:val="0"/>
          <w:numId w:val="43"/>
        </w:numPr>
        <w:ind w:left="360"/>
        <w:jc w:val="both"/>
        <w:rPr>
          <w:rFonts w:ascii="Times New Roman" w:eastAsia="Times New Roman" w:hAnsi="Times New Roman"/>
          <w:noProof/>
          <w:sz w:val="24"/>
          <w:szCs w:val="24"/>
        </w:rPr>
      </w:pPr>
      <w:r>
        <w:rPr>
          <w:rFonts w:ascii="Times New Roman" w:hAnsi="Times New Roman"/>
          <w:noProof/>
          <w:sz w:val="24"/>
          <w:szCs w:val="24"/>
        </w:rPr>
        <w:t>Dosažení úspor primární energie ve výši 245 327 GJ z modernizace distribuce tepla do 31. března 2026.</w:t>
      </w:r>
    </w:p>
    <w:p>
      <w:pPr>
        <w:spacing w:before="0" w:after="160" w:line="259" w:lineRule="auto"/>
        <w:jc w:val="both"/>
        <w:rPr>
          <w:rFonts w:ascii="Times New Roman" w:eastAsia="Times New Roman" w:hAnsi="Times New Roman"/>
          <w:noProof/>
          <w:sz w:val="24"/>
          <w:szCs w:val="24"/>
          <w:lang w:eastAsia="en-GB"/>
        </w:rPr>
        <w:sectPr>
          <w:headerReference w:type="even" r:id="rId112"/>
          <w:headerReference w:type="default" r:id="rId113"/>
          <w:footerReference w:type="even" r:id="rId114"/>
          <w:footerReference w:type="default" r:id="rId115"/>
          <w:headerReference w:type="first" r:id="rId116"/>
          <w:footerReference w:type="first" r:id="rId117"/>
          <w:pgSz w:w="11907" w:h="16839"/>
          <w:pgMar w:top="1134" w:right="1418" w:bottom="1134" w:left="1418" w:header="709" w:footer="709" w:gutter="0"/>
          <w:cols w:space="720"/>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I.2 Milníky, cíle, ukazatele a harmonogram monitorování a provádění nevratné finanční podpory </w:t>
      </w:r>
    </w:p>
    <w:p>
      <w:pPr>
        <w:pBdr>
          <w:top w:val="nil"/>
          <w:left w:val="nil"/>
          <w:bottom w:val="nil"/>
          <w:right w:val="nil"/>
          <w:between w:val="nil"/>
        </w:pBdr>
        <w:jc w:val="both"/>
        <w:rPr>
          <w:rFonts w:ascii="Times New Roman" w:eastAsia="Times New Roman" w:hAnsi="Times New Roman"/>
          <w:noProof/>
          <w:color w:val="000000"/>
          <w:sz w:val="24"/>
          <w:szCs w:val="24"/>
          <w:lang w:eastAsia="en-GB"/>
        </w:rPr>
      </w:pPr>
    </w:p>
    <w:tbl>
      <w:tblPr>
        <w:tblW w:w="14598" w:type="dxa"/>
        <w:jc w:val="center"/>
        <w:tblLayout w:type="fixed"/>
        <w:tblLook w:val="0400" w:firstRow="0" w:lastRow="0" w:firstColumn="0" w:lastColumn="0" w:noHBand="0" w:noVBand="1"/>
      </w:tblPr>
      <w:tblGrid>
        <w:gridCol w:w="584"/>
        <w:gridCol w:w="1273"/>
        <w:gridCol w:w="992"/>
        <w:gridCol w:w="1134"/>
        <w:gridCol w:w="1134"/>
        <w:gridCol w:w="993"/>
        <w:gridCol w:w="567"/>
        <w:gridCol w:w="850"/>
        <w:gridCol w:w="567"/>
        <w:gridCol w:w="709"/>
        <w:gridCol w:w="5795"/>
      </w:tblGrid>
      <w:tr>
        <w:trPr>
          <w:trHeight w:val="75"/>
          <w:tblHeader/>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Poř. č.</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Související opatření (reforma nebo investice)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w:t>
            </w:r>
          </w:p>
        </w:tc>
        <w:tc>
          <w:tcPr>
            <w:tcW w:w="2410" w:type="dxa"/>
            <w:gridSpan w:val="3"/>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276" w:type="dxa"/>
            <w:gridSpan w:val="2"/>
            <w:tcBorders>
              <w:top w:val="single" w:sz="8" w:space="0" w:color="000000"/>
              <w:left w:val="nil"/>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579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600"/>
          <w:tblHeader/>
          <w:jc w:val="center"/>
        </w:trPr>
        <w:tc>
          <w:tcPr>
            <w:tcW w:w="584"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c>
          <w:tcPr>
            <w:tcW w:w="1273"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c>
          <w:tcPr>
            <w:tcW w:w="993" w:type="dxa"/>
            <w:tcBorders>
              <w:top w:val="single" w:sz="8" w:space="0" w:color="000000"/>
              <w:left w:val="single" w:sz="4" w:space="0" w:color="auto"/>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567" w:type="dxa"/>
            <w:tcBorders>
              <w:top w:val="nil"/>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850"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567"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9" w:type="dxa"/>
            <w:tcBorders>
              <w:top w:val="nil"/>
              <w:left w:val="single" w:sz="8" w:space="0" w:color="000000"/>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5795" w:type="dxa"/>
            <w:vMerge/>
            <w:tcBorders>
              <w:left w:val="single" w:sz="4" w:space="0" w:color="auto"/>
              <w:bottom w:val="single" w:sz="4" w:space="0" w:color="auto"/>
              <w:right w:val="single" w:sz="4" w:space="0" w:color="auto"/>
            </w:tcBorders>
            <w:vAlign w:val="center"/>
          </w:tcPr>
          <w:p>
            <w:pPr>
              <w:jc w:val="center"/>
              <w:rPr>
                <w:rFonts w:ascii="Times New Roman" w:eastAsia="Times New Roman" w:hAnsi="Times New Roman"/>
                <w:noProof/>
                <w:sz w:val="18"/>
                <w:szCs w:val="18"/>
                <w:lang w:eastAsia="en-GB"/>
              </w:rPr>
            </w:pPr>
          </w:p>
        </w:tc>
      </w:tr>
      <w:tr>
        <w:trPr>
          <w:trHeight w:val="945"/>
          <w:jc w:val="center"/>
        </w:trPr>
        <w:tc>
          <w:tcPr>
            <w:tcW w:w="584"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110</w:t>
            </w:r>
          </w:p>
        </w:tc>
        <w:tc>
          <w:tcPr>
            <w:tcW w:w="1273"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Modernizace distribuce tepla v soustavách dálkového vytápění</w:t>
            </w:r>
          </w:p>
        </w:tc>
        <w:tc>
          <w:tcPr>
            <w:tcW w:w="99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134"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Posouzení dekarbonizace dálkového vytápění v Česku</w:t>
            </w:r>
          </w:p>
        </w:tc>
        <w:tc>
          <w:tcPr>
            <w:tcW w:w="1134" w:type="dxa"/>
            <w:tcBorders>
              <w:top w:val="single" w:sz="4" w:space="0" w:color="auto"/>
              <w:left w:val="single" w:sz="8" w:space="0" w:color="000000"/>
              <w:bottom w:val="single" w:sz="4" w:space="0" w:color="auto"/>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Zveřejnění posouzení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5795"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Ministerstvo průmyslu a obchodu provede a zveřejní posouzení postupu dosahování dekarbonizace dálkového vytápění v Česku v souladu s požadavky právních předpisů EU včetně požadavků obsažených v technických pokynech k uplatňování zásady „významně nepoškozovat“ (2021/C58/01).</w:t>
            </w:r>
          </w:p>
          <w:p>
            <w:pPr>
              <w:rPr>
                <w:rFonts w:ascii="Times New Roman" w:hAnsi="Times New Roman"/>
                <w:noProof/>
                <w:color w:val="006100"/>
                <w:sz w:val="18"/>
                <w:szCs w:val="18"/>
              </w:rPr>
            </w:pPr>
            <w:r>
              <w:rPr>
                <w:rFonts w:ascii="Times New Roman" w:hAnsi="Times New Roman"/>
                <w:noProof/>
                <w:color w:val="006100"/>
                <w:sz w:val="18"/>
                <w:szCs w:val="18"/>
              </w:rPr>
              <w:t>Tímto posouzením se budou řídit investice financované v rámci této komponenty Plánu pro oživení a odolnost České republiky, jakož i investice v oblasti dekarbonizace dálkového vytápění v Česku financované z jiných fondů EU nebo vnitrostátních zdrojů v plném souladu s právními požadavky včetně požadavků podle zásady „významně nepoškozovat“.</w:t>
            </w:r>
          </w:p>
        </w:tc>
      </w:tr>
      <w:tr>
        <w:trPr>
          <w:trHeight w:val="945"/>
          <w:jc w:val="center"/>
        </w:trPr>
        <w:tc>
          <w:tcPr>
            <w:tcW w:w="58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111</w:t>
            </w:r>
          </w:p>
        </w:tc>
        <w:tc>
          <w:tcPr>
            <w:tcW w:w="12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2: Modernizace distribuce tepla v soustavách dálkového vytápění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134" w:type="dxa"/>
            <w:tcBorders>
              <w:top w:val="single" w:sz="8" w:space="0" w:color="000000"/>
              <w:left w:val="single" w:sz="8" w:space="0" w:color="000000"/>
              <w:bottom w:val="single" w:sz="8" w:space="0" w:color="000000"/>
              <w:right w:val="single" w:sz="4"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Posouzení trajektorií udržitelných dodávek biomasy v Česku</w:t>
            </w:r>
          </w:p>
        </w:tc>
        <w:tc>
          <w:tcPr>
            <w:tcW w:w="1134" w:type="dxa"/>
            <w:tcBorders>
              <w:top w:val="single" w:sz="4" w:space="0" w:color="auto"/>
              <w:left w:val="single" w:sz="4" w:space="0" w:color="auto"/>
              <w:bottom w:val="single" w:sz="8" w:space="0" w:color="000000"/>
              <w:right w:val="single" w:sz="4"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Zveřejnění posouzení</w:t>
            </w:r>
          </w:p>
        </w:tc>
        <w:tc>
          <w:tcPr>
            <w:tcW w:w="993" w:type="dxa"/>
            <w:tcBorders>
              <w:top w:val="single" w:sz="8" w:space="0" w:color="000000"/>
              <w:left w:val="single" w:sz="4" w:space="0" w:color="auto"/>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57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Ministerstvo životního prostředí ve spolupráci s Ministerstvem průmyslu a obchodu a Ministerstvem zemědělství provede a zveřejní posouzení trajektorií udržitelného využívání bioenergie a dodávek biomasy v Česku a jeho dopadů na využití půdy, změny ve využití půdy, lesní propady uhlíku a na biologickou rozmanitost, jakož i vlivu na kvalitu ovzduší pro období 2020–2030, a to v souladu s požadavky právních předpisů EU včetně požadavků obsažených v technických pokynech k uplatňování zásady „významně nepoškozovat“ (2021/C58/01).</w:t>
            </w:r>
          </w:p>
          <w:p>
            <w:pPr>
              <w:rPr>
                <w:rFonts w:ascii="Times New Roman" w:hAnsi="Times New Roman"/>
                <w:noProof/>
                <w:color w:val="006100"/>
                <w:sz w:val="18"/>
                <w:szCs w:val="18"/>
              </w:rPr>
            </w:pPr>
            <w:r>
              <w:rPr>
                <w:rFonts w:ascii="Times New Roman" w:hAnsi="Times New Roman"/>
                <w:noProof/>
                <w:color w:val="006100"/>
                <w:sz w:val="18"/>
                <w:szCs w:val="18"/>
              </w:rPr>
              <w:t>Tímto posouzením se budou řídit investice do bioenergie financované v rámci komponent 2.2, 2.3 a 2.5 Plánu pro oživení a odolnost České republiky, jakož i investice do bioenergie v oblasti energetiky, dopravy, životního prostředí, změny klimatu, lesnictví nebo zemědělství financované z jiných fondů EU nebo vnitrostátních zdrojů v plném souladu s právními požadavky včetně požadavků podle zásady „významně nepoškozovat“.</w:t>
            </w:r>
          </w:p>
        </w:tc>
      </w:tr>
      <w:tr>
        <w:trPr>
          <w:trHeight w:val="354"/>
          <w:jc w:val="center"/>
        </w:trPr>
        <w:tc>
          <w:tcPr>
            <w:tcW w:w="58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112</w:t>
            </w:r>
          </w:p>
        </w:tc>
        <w:tc>
          <w:tcPr>
            <w:tcW w:w="12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Vývoj nových zdrojů fotovoltaické energie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Zvýšení instalovaného výkonu zdrojů fotovoltaické energie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lang w:eastAsia="en-GB"/>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MWp</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270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57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Budou vybudovány a uvedeny do provozu nové zdroje fotovoltaické energie s instalovaným výkonem 270 MWp.</w:t>
            </w:r>
          </w:p>
        </w:tc>
      </w:tr>
      <w:tr>
        <w:trPr>
          <w:trHeight w:val="746"/>
          <w:jc w:val="center"/>
        </w:trPr>
        <w:tc>
          <w:tcPr>
            <w:tcW w:w="58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113</w:t>
            </w:r>
          </w:p>
        </w:tc>
        <w:tc>
          <w:tcPr>
            <w:tcW w:w="12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Modernizace distribuce tepla v soustavách dálkového vytápění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Plán investic do zařízení na výrobu tepla/elektřiny</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Předložení Komisi</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lang w:eastAsia="en-GB"/>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57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 souladu s technickými pokyny k uplatňování zásady „významně nepoškozovat“ (2021/C58/01) Česko před dokončením investic do sítě předloží konkrétní plán investic do zařízení na výrobu tepla/elektřiny dodržujících technické pokyny k uplatňování zásady „významně nepoškozovat“ (2021/C58/01), zejména kritéria pro výrobu tepla a elektřiny na bázi zemního plynu podle přílohy III technických pokynů v případě, že bude využit zemní plyn, a to včetně smluvních závazků převzatých českou vládou za účelem zadání příslušných prací.</w:t>
            </w:r>
          </w:p>
          <w:p>
            <w:pPr>
              <w:rPr>
                <w:rFonts w:ascii="Times New Roman" w:hAnsi="Times New Roman"/>
                <w:noProof/>
                <w:color w:val="006100"/>
                <w:sz w:val="18"/>
                <w:szCs w:val="18"/>
              </w:rPr>
            </w:pPr>
            <w:r>
              <w:rPr>
                <w:rFonts w:ascii="Times New Roman" w:hAnsi="Times New Roman"/>
                <w:noProof/>
                <w:color w:val="006100"/>
                <w:sz w:val="18"/>
                <w:szCs w:val="18"/>
              </w:rPr>
              <w:t>Do tří let po modernizaci sítě bude zahájena rekonstrukce zdrojů výroby tepla a energie tak, aby splňovaly definici účinného dálkového vytápění a chlazení uvedenou v čl. 2 bodě 41 směrnice 2012/27/EU („soustava dálkového vytápění nebo chlazení, která používá alespoň 50 % energie z obnovitelných zdrojů, 50 % odpadního tepla, 75 % tepla z kombinované výroby tepla a elektřiny nebo 50 % z kombinace této energie a tepla“).</w:t>
            </w:r>
          </w:p>
        </w:tc>
      </w:tr>
      <w:tr>
        <w:trPr>
          <w:trHeight w:val="945"/>
          <w:jc w:val="center"/>
        </w:trPr>
        <w:tc>
          <w:tcPr>
            <w:tcW w:w="584"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114</w:t>
            </w:r>
          </w:p>
        </w:tc>
        <w:tc>
          <w:tcPr>
            <w:tcW w:w="12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Modernizace distribuce tepla v soustavách dálkového vytápění</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primární energie z modernizace distribuce tepla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lang w:eastAsia="en-GB"/>
              </w:rPr>
            </w:pP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primární energie v gigajoulech</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245 327</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57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dosaženo úspor primární energie ve výši 245 327 GJ.</w:t>
            </w:r>
          </w:p>
        </w:tc>
      </w:tr>
    </w:tbl>
    <w:p>
      <w:pPr>
        <w:pBdr>
          <w:top w:val="nil"/>
          <w:left w:val="nil"/>
          <w:bottom w:val="nil"/>
          <w:right w:val="nil"/>
          <w:between w:val="nil"/>
        </w:pBdr>
        <w:jc w:val="both"/>
        <w:rPr>
          <w:rFonts w:ascii="Times New Roman" w:eastAsia="Times New Roman" w:hAnsi="Times New Roman"/>
          <w:noProof/>
          <w:color w:val="000000"/>
          <w:sz w:val="24"/>
          <w:szCs w:val="24"/>
          <w:lang w:eastAsia="en-GB"/>
        </w:rPr>
        <w:sectPr>
          <w:headerReference w:type="even" r:id="rId118"/>
          <w:headerReference w:type="default" r:id="rId119"/>
          <w:footerReference w:type="even" r:id="rId120"/>
          <w:footerReference w:type="default" r:id="rId121"/>
          <w:headerReference w:type="first" r:id="rId122"/>
          <w:footerReference w:type="first" r:id="rId123"/>
          <w:pgSz w:w="16839" w:h="11907" w:orient="landscape"/>
          <w:pgMar w:top="142" w:right="1134" w:bottom="1418" w:left="1134" w:header="709" w:footer="709" w:gutter="0"/>
          <w:cols w:space="720"/>
        </w:sectPr>
      </w:pPr>
    </w:p>
    <w:p>
      <w:pPr>
        <w:keepNext/>
        <w:tabs>
          <w:tab w:val="left" w:pos="850"/>
        </w:tabs>
        <w:jc w:val="both"/>
        <w:outlineLvl w:val="0"/>
        <w:rPr>
          <w:rFonts w:ascii="Times New Roman" w:hAnsi="Times New Roman"/>
          <w:b/>
          <w:bCs/>
          <w:smallCaps/>
          <w:noProof/>
          <w:sz w:val="24"/>
          <w:szCs w:val="24"/>
        </w:rPr>
      </w:pPr>
      <w:r>
        <w:rPr>
          <w:rFonts w:ascii="Times New Roman" w:hAnsi="Times New Roman"/>
          <w:b/>
          <w:bCs/>
          <w:smallCaps/>
          <w:noProof/>
          <w:sz w:val="24"/>
          <w:szCs w:val="24"/>
        </w:rPr>
        <w:t xml:space="preserve">J. KOMPONENTA č. 2.4: Čistá mobilita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Tato komponenta Plánu pro oživení a odolnost České republiky je zaměřena na podporu cílů aktualizovaného Národního akčního plánu čisté mobility České republiky na základě směrnice 2014/94/EU. Jedním z hlavních strategických cílů akčního plánu je dosáhnout do roku 2030 provozu 220 000 až 500 000 elektromobilů v Česku. Tohoto cíle má být dosaženo stimulací poptávky prostřednictvím dotací, zvýhodněním elektromobilů na silnicích, podporou výstavby dobíjecí infrastruktury a informováním veřejnosti. Kromě dotačního programu pro podniky byla stejná iniciativa vyhlášena i pro obce, kraje a další veřejné subjekty. </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color w:val="000000"/>
          <w:sz w:val="24"/>
          <w:szCs w:val="24"/>
        </w:rPr>
        <w:t xml:space="preserve">Komponenta podporuje plnění doporučení pro zemi č. 3 na rok 2019, podle něhož má Česko </w:t>
      </w:r>
      <w:r>
        <w:rPr>
          <w:rFonts w:ascii="Times New Roman" w:hAnsi="Times New Roman"/>
          <w:noProof/>
          <w:sz w:val="24"/>
          <w:szCs w:val="24"/>
        </w:rPr>
        <w:t xml:space="preserve">zaměřit investice na ekologickou a digitální transformaci, zejména na vysokokapacitní digitální infrastrukturu a technologie, na čistou a účinnou výrobu a využívání energie a na udržitelnou dopravní infrastrukturu, a to mimo jiné v uhelných regionech, a doporučení pro zemi č. 3 na rok 2020, podle něhož má Česko zaměřit hospodářskou politiku související s investicemi na dopravu, zejména na její udržitelnost, digitální infrastrukturu a nízkouhlíkový a energetický přechod, včetně energetické účinnosti, s přihlédnutím k regionálním rozdílům. </w:t>
      </w:r>
    </w:p>
    <w:p>
      <w:pPr>
        <w:pBdr>
          <w:top w:val="nil"/>
          <w:left w:val="nil"/>
          <w:bottom w:val="nil"/>
          <w:right w:val="nil"/>
          <w:between w:val="nil"/>
        </w:pBdr>
        <w:jc w:val="both"/>
        <w:rPr>
          <w:rFonts w:ascii="Times New Roman" w:eastAsia="Times New Roman" w:hAnsi="Times New Roman"/>
          <w:noProof/>
          <w:sz w:val="24"/>
          <w:szCs w:val="24"/>
        </w:rPr>
      </w:pPr>
      <w:r>
        <w:rPr>
          <w:rStyle w:val="normaltextrun"/>
          <w:rFonts w:ascii="Times New Roman" w:hAnsi="Times New Roman"/>
          <w:noProof/>
          <w:color w:val="000000"/>
          <w:sz w:val="24"/>
          <w:szCs w:val="24"/>
          <w:shd w:val="clear" w:color="auto" w:fill="FFFFFF"/>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pBdr>
          <w:top w:val="nil"/>
          <w:left w:val="nil"/>
          <w:bottom w:val="nil"/>
          <w:right w:val="nil"/>
          <w:between w:val="nil"/>
        </w:pBdr>
        <w:jc w:val="both"/>
        <w:rPr>
          <w:rFonts w:ascii="Times New Roman" w:eastAsia="Times New Roman" w:hAnsi="Times New Roman"/>
          <w:noProof/>
          <w:color w:val="000000"/>
          <w:sz w:val="24"/>
          <w:szCs w:val="24"/>
        </w:rPr>
      </w:pPr>
      <w:r>
        <w:rPr>
          <w:noProof/>
        </w:rPr>
        <w:t xml:space="preserve">  </w:t>
      </w:r>
    </w:p>
    <w:p>
      <w:pPr>
        <w:pBdr>
          <w:top w:val="nil"/>
          <w:left w:val="nil"/>
          <w:bottom w:val="nil"/>
          <w:right w:val="nil"/>
          <w:between w:val="nil"/>
        </w:pBdr>
        <w:jc w:val="both"/>
        <w:rPr>
          <w:rFonts w:ascii="Times New Roman" w:eastAsia="Times New Roman" w:hAnsi="Times New Roman"/>
          <w:b/>
          <w:i/>
          <w:noProof/>
          <w:sz w:val="24"/>
          <w:szCs w:val="24"/>
        </w:rPr>
      </w:pPr>
      <w:r>
        <w:rPr>
          <w:rFonts w:ascii="Times New Roman" w:hAnsi="Times New Roman"/>
          <w:b/>
          <w:noProof/>
          <w:color w:val="000000"/>
          <w:sz w:val="24"/>
          <w:szCs w:val="24"/>
          <w:u w:val="single"/>
        </w:rPr>
        <w:t>J.1 Popis reforem a investic pro nevratnou finanční podporu</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1: Budování infrastruktury pro veřejnou dopravu (Praha)</w:t>
      </w:r>
    </w:p>
    <w:p>
      <w:pP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opatření, které je v rámci této komponenty doplněno investicí č. 6, je obnovit a dekarbonizovat vozový park veřejné dopravy v Praze. </w:t>
      </w:r>
      <w:r>
        <w:rPr>
          <w:rFonts w:ascii="Times New Roman" w:hAnsi="Times New Roman"/>
          <w:noProof/>
          <w:sz w:val="24"/>
          <w:szCs w:val="24"/>
        </w:rPr>
        <w:t xml:space="preserve">Podpora vozového parku elektrobusů a trolejbusů s nulovými emisemi by měla významně přispět k dekarbonizačnímu úsilí v dopravě i energetice. Kromě toho se předpokládá zlepšení kvality ovzduší a hladiny hluku v městském prostředí. </w:t>
      </w:r>
      <w:r>
        <w:rPr>
          <w:rFonts w:ascii="Times New Roman" w:hAnsi="Times New Roman"/>
          <w:noProof/>
          <w:color w:val="000000"/>
          <w:sz w:val="24"/>
          <w:szCs w:val="24"/>
        </w:rPr>
        <w:t xml:space="preserve">Cílem této investice je zvýšit počet dobíjecích stanic pro elektrobusy a bateriové trolejbusy v Praze o 52 jednotek a zvýšit úsek dynamických nabíjecích silnic (elektrifikace silnice) pro bateriové trolejbusy o 40 km. </w:t>
      </w:r>
    </w:p>
    <w:p>
      <w:pPr>
        <w:jc w:val="both"/>
        <w:rPr>
          <w:rFonts w:ascii="Times New Roman" w:eastAsia="Times New Roman" w:hAnsi="Times New Roman"/>
          <w:noProof/>
          <w:color w:val="000000"/>
          <w:sz w:val="24"/>
          <w:szCs w:val="24"/>
        </w:rPr>
      </w:pPr>
      <w:r>
        <w:rPr>
          <w:rFonts w:ascii="Times New Roman" w:hAnsi="Times New Roman"/>
          <w:noProof/>
          <w:color w:val="000000"/>
          <w:sz w:val="24"/>
          <w:szCs w:val="24"/>
        </w:rPr>
        <w:t>Investice bude dokončena do 31. prosince 2025.</w:t>
      </w:r>
    </w:p>
    <w:p>
      <w:pPr>
        <w:pBdr>
          <w:top w:val="nil"/>
          <w:left w:val="nil"/>
          <w:bottom w:val="nil"/>
          <w:right w:val="nil"/>
          <w:between w:val="nil"/>
        </w:pBdr>
        <w:jc w:val="both"/>
        <w:rPr>
          <w:rFonts w:ascii="Times New Roman" w:eastAsia="Times New Roman" w:hAnsi="Times New Roman"/>
          <w:b/>
          <w:bCs/>
          <w:noProof/>
          <w:color w:val="000000"/>
          <w:sz w:val="24"/>
          <w:szCs w:val="24"/>
        </w:rPr>
      </w:pPr>
      <w:r>
        <w:rPr>
          <w:rFonts w:ascii="Times New Roman" w:hAnsi="Times New Roman"/>
          <w:b/>
          <w:bCs/>
          <w:noProof/>
          <w:color w:val="000000"/>
          <w:sz w:val="24"/>
          <w:szCs w:val="24"/>
        </w:rPr>
        <w:t>Investice č. 2: Budování neveřejné infrastruktury – dobíjecí body pro soukromé společnosti</w:t>
      </w:r>
    </w:p>
    <w:p>
      <w:pPr>
        <w:autoSpaceDE w:val="0"/>
        <w:autoSpaceDN w:val="0"/>
        <w:spacing w:after="0"/>
        <w:jc w:val="both"/>
        <w:rPr>
          <w:rFonts w:eastAsia="Times New Roman" w:cs="Calibri"/>
          <w:noProof/>
        </w:rPr>
      </w:pPr>
      <w:r>
        <w:rPr>
          <w:rFonts w:ascii="Times New Roman" w:hAnsi="Times New Roman"/>
          <w:noProof/>
          <w:color w:val="000000"/>
          <w:sz w:val="24"/>
          <w:szCs w:val="24"/>
        </w:rPr>
        <w:t>Spolu s investicí č. 4 v rámci této komponenty je investice zaměřena na stimulaci poptávky po elektromobilech</w:t>
      </w:r>
      <w:r>
        <w:rPr>
          <w:rFonts w:ascii="Times New Roman" w:hAnsi="Times New Roman"/>
          <w:noProof/>
          <w:sz w:val="24"/>
          <w:szCs w:val="24"/>
        </w:rPr>
        <w:t xml:space="preserve"> </w:t>
      </w:r>
      <w:r>
        <w:rPr>
          <w:rFonts w:ascii="Times New Roman" w:hAnsi="Times New Roman"/>
          <w:noProof/>
          <w:color w:val="000000"/>
          <w:sz w:val="24"/>
          <w:szCs w:val="24"/>
        </w:rPr>
        <w:t>a na podporu rozvoje vodíkových technologií v dopravě. Bude spočívat ve zvýšení počtu dobíjecích bodů pro soukromé společnosti o 1 500 jednotek. Je zajištěno nediskriminační zacházení s poskytovateli služeb elektronické mobility a přístup se v co největší míře poskytne veřejnosti. Výzva k vyjádření zájmu zajistí odpovídající zeměpisné rozložení, včetně analýzy budoucích potřeb této infrastruktury a mapování kritických oblastí, v nichž je tato infrastruktura výrazně nedostatečná.</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31. prosince 2025. </w:t>
      </w:r>
    </w:p>
    <w:p>
      <w:pPr>
        <w:rPr>
          <w:rFonts w:ascii="Times New Roman" w:eastAsia="Times New Roman" w:hAnsi="Times New Roman"/>
          <w:b/>
          <w:noProof/>
          <w:color w:val="000000"/>
          <w:sz w:val="24"/>
          <w:szCs w:val="24"/>
        </w:rPr>
      </w:pPr>
      <w:r>
        <w:rPr>
          <w:noProof/>
        </w:rPr>
        <w:br w:type="page"/>
      </w:r>
      <w:r>
        <w:rPr>
          <w:rFonts w:ascii="Times New Roman" w:hAnsi="Times New Roman"/>
          <w:b/>
          <w:noProof/>
          <w:color w:val="000000"/>
          <w:sz w:val="24"/>
          <w:szCs w:val="24"/>
        </w:rPr>
        <w:t>Investice č. 3: Budování infrastruktury – dobíjecí stanice pro obytné budovy</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Tato investice si klade za cíl přispět k rozvoji elektromobilů a spočívá ve zvýšení počtu dobíjecích stanic v obytných budovách, a to jak v soukromých garážích, tak na parkovacích místech vyhrazených pro obyvatele domu, o 2 880 jednotek.</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sz w:val="24"/>
          <w:szCs w:val="24"/>
        </w:rPr>
        <w:t>Investice bude dokončena do 31. prosince 2025.</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eastAsia="Times New Roman" w:hAnsi="Times New Roman"/>
          <w:b/>
          <w:bCs/>
          <w:noProof/>
          <w:color w:val="000000"/>
          <w:sz w:val="24"/>
          <w:szCs w:val="24"/>
        </w:rPr>
      </w:pPr>
      <w:r>
        <w:rPr>
          <w:rFonts w:ascii="Times New Roman" w:hAnsi="Times New Roman"/>
          <w:b/>
          <w:bCs/>
          <w:noProof/>
          <w:color w:val="000000"/>
          <w:sz w:val="24"/>
          <w:szCs w:val="24"/>
        </w:rPr>
        <w:t>Investice č. 4: Podpora nákupu vozidel – vozidla (elektrická, H2, e-cargokola) pro podnikatelské subjekty</w:t>
      </w:r>
    </w:p>
    <w:p>
      <w:pPr>
        <w:pBdr>
          <w:top w:val="nil"/>
          <w:left w:val="nil"/>
          <w:bottom w:val="nil"/>
          <w:right w:val="nil"/>
          <w:between w:val="nil"/>
        </w:pBdr>
        <w:jc w:val="both"/>
        <w:rPr>
          <w:rFonts w:ascii="Times New Roman" w:eastAsia="Times New Roman" w:hAnsi="Times New Roman"/>
          <w:noProof/>
          <w:color w:val="000000"/>
          <w:sz w:val="24"/>
          <w:szCs w:val="24"/>
          <w:highlight w:val="red"/>
        </w:rPr>
      </w:pPr>
      <w:r>
        <w:rPr>
          <w:rFonts w:ascii="Times New Roman" w:hAnsi="Times New Roman"/>
          <w:noProof/>
          <w:sz w:val="24"/>
          <w:szCs w:val="24"/>
        </w:rPr>
        <w:t xml:space="preserve">Tato investice si klade za cíl stimulovat poptávku po bezemisních vozidlech a snaží se zvýšit počet vozidel na alternativní paliva (elektrická, H2) pro podniky o 4 555 kusů (3 525 elektromobilů, 30 vodíkových osobních vozidel a 1 000 e-cargokol).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31. prosince 2025.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5: Podpora nákupu vozidel (elektrických, H2) a infrastruktury pro obce, kraje, státní správu a další veřejné subjekty a jiné organizace</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Cílem této investice</w:t>
      </w:r>
      <w:r>
        <w:rPr>
          <w:rFonts w:ascii="Times New Roman" w:hAnsi="Times New Roman"/>
          <w:noProof/>
          <w:sz w:val="24"/>
          <w:szCs w:val="24"/>
        </w:rPr>
        <w:t xml:space="preserve"> je </w:t>
      </w:r>
      <w:r>
        <w:rPr>
          <w:rFonts w:ascii="Times New Roman" w:hAnsi="Times New Roman"/>
          <w:noProof/>
          <w:color w:val="000000"/>
          <w:sz w:val="24"/>
          <w:szCs w:val="24"/>
        </w:rPr>
        <w:t xml:space="preserve">zvýšit počet vozidel na alternativní paliva (elektrická, H2) pro obce, kraje a státní správu o 1485 kusů a zvýšit počet dobíjecích stanic pro obce, kraje a státní správu o 200 kusů. </w:t>
      </w:r>
    </w:p>
    <w:p>
      <w:pPr>
        <w:pBdr>
          <w:top w:val="nil"/>
          <w:left w:val="nil"/>
          <w:bottom w:val="nil"/>
          <w:right w:val="nil"/>
          <w:between w:val="nil"/>
        </w:pBdr>
        <w:jc w:val="both"/>
        <w:rPr>
          <w:rFonts w:ascii="Times New Roman" w:eastAsia="Times New Roman" w:hAnsi="Times New Roman"/>
          <w:noProof/>
          <w:color w:val="000000"/>
          <w:sz w:val="24"/>
          <w:szCs w:val="24"/>
          <w:highlight w:val="yellow"/>
        </w:rPr>
      </w:pPr>
      <w:r>
        <w:rPr>
          <w:rFonts w:ascii="Times New Roman" w:hAnsi="Times New Roman"/>
          <w:noProof/>
          <w:color w:val="000000"/>
          <w:sz w:val="24"/>
          <w:szCs w:val="24"/>
        </w:rPr>
        <w:t>Investice bude dokončena do 31. prosince 2025.</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6: Podpora nákupu vozidel (bateriových trolejbusů a nízkopodlažních tramvají) pro veřejnou hromadnou dopravu v hl. m. Praha</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této investice je podpořit nákup dvaceti bateriových trolejbusů a dvaceti nízkopodlažních tramvají pro hl. m. Praha. </w:t>
      </w:r>
    </w:p>
    <w:p>
      <w:pPr>
        <w:pBdr>
          <w:top w:val="nil"/>
          <w:left w:val="nil"/>
          <w:bottom w:val="nil"/>
          <w:right w:val="nil"/>
          <w:between w:val="nil"/>
        </w:pBdr>
        <w:rPr>
          <w:rFonts w:ascii="Times New Roman" w:eastAsia="Times New Roman" w:hAnsi="Times New Roman"/>
          <w:noProof/>
          <w:color w:val="000000"/>
          <w:sz w:val="24"/>
          <w:szCs w:val="24"/>
          <w:u w:val="single"/>
        </w:rPr>
        <w:sectPr>
          <w:headerReference w:type="even" r:id="rId124"/>
          <w:headerReference w:type="default" r:id="rId125"/>
          <w:footerReference w:type="even" r:id="rId126"/>
          <w:footerReference w:type="default" r:id="rId127"/>
          <w:headerReference w:type="first" r:id="rId128"/>
          <w:footerReference w:type="first" r:id="rId129"/>
          <w:pgSz w:w="11907" w:h="16839"/>
          <w:pgMar w:top="1134" w:right="1418" w:bottom="1134" w:left="1418" w:header="709" w:footer="709" w:gutter="0"/>
          <w:cols w:space="720"/>
        </w:sectPr>
      </w:pPr>
      <w:r>
        <w:rPr>
          <w:rFonts w:ascii="Times New Roman" w:hAnsi="Times New Roman"/>
          <w:noProof/>
          <w:color w:val="000000"/>
          <w:sz w:val="24"/>
          <w:szCs w:val="24"/>
        </w:rPr>
        <w:t>Investice bude dokončena do 31. března 2026.</w:t>
      </w:r>
    </w:p>
    <w:p>
      <w:pPr>
        <w:pBdr>
          <w:top w:val="nil"/>
          <w:left w:val="nil"/>
          <w:bottom w:val="nil"/>
          <w:right w:val="nil"/>
          <w:between w:val="nil"/>
        </w:pBdr>
        <w:ind w:left="142"/>
        <w:jc w:val="both"/>
        <w:rPr>
          <w:rFonts w:ascii="Times New Roman" w:eastAsia="Times New Roman" w:hAnsi="Times New Roman"/>
          <w:b/>
          <w:bCs/>
          <w:noProof/>
          <w:color w:val="000000"/>
          <w:sz w:val="24"/>
          <w:szCs w:val="24"/>
          <w:u w:val="single"/>
        </w:rPr>
      </w:pPr>
      <w:r>
        <w:rPr>
          <w:rFonts w:ascii="Times New Roman" w:hAnsi="Times New Roman"/>
          <w:b/>
          <w:bCs/>
          <w:noProof/>
          <w:color w:val="000000"/>
          <w:sz w:val="24"/>
          <w:szCs w:val="24"/>
          <w:u w:val="single"/>
        </w:rPr>
        <w:t>J.2 Milníky, cíle, ukazatele a harmonogram monitorování a provádění nevratné finanční podpory</w:t>
      </w:r>
    </w:p>
    <w:p>
      <w:pPr>
        <w:pBdr>
          <w:top w:val="nil"/>
          <w:left w:val="nil"/>
          <w:bottom w:val="nil"/>
          <w:right w:val="nil"/>
          <w:between w:val="nil"/>
        </w:pBdr>
        <w:jc w:val="both"/>
        <w:rPr>
          <w:noProof/>
        </w:rPr>
      </w:pPr>
      <w:r>
        <w:rPr>
          <w:rFonts w:ascii="Times New Roman" w:hAnsi="Times New Roman"/>
          <w:noProof/>
          <w:color w:val="000000"/>
          <w:sz w:val="24"/>
          <w:szCs w:val="24"/>
        </w:rPr>
        <w:t xml:space="preserve"> </w:t>
      </w:r>
    </w:p>
    <w:tbl>
      <w:tblPr>
        <w:tblW w:w="0" w:type="auto"/>
        <w:tblInd w:w="255" w:type="dxa"/>
        <w:tblLayout w:type="fixed"/>
        <w:tblLook w:val="0400" w:firstRow="0" w:lastRow="0" w:firstColumn="0" w:lastColumn="0" w:noHBand="0" w:noVBand="1"/>
      </w:tblPr>
      <w:tblGrid>
        <w:gridCol w:w="600"/>
        <w:gridCol w:w="2372"/>
        <w:gridCol w:w="992"/>
        <w:gridCol w:w="1701"/>
        <w:gridCol w:w="1134"/>
        <w:gridCol w:w="1134"/>
        <w:gridCol w:w="567"/>
        <w:gridCol w:w="709"/>
        <w:gridCol w:w="850"/>
        <w:gridCol w:w="709"/>
        <w:gridCol w:w="4262"/>
      </w:tblGrid>
      <w:tr>
        <w:trPr>
          <w:trHeight w:val="540"/>
          <w:tblHeader/>
        </w:trPr>
        <w:tc>
          <w:tcPr>
            <w:tcW w:w="600" w:type="dxa"/>
            <w:vMerge w:val="restart"/>
            <w:tcBorders>
              <w:top w:val="single" w:sz="4" w:space="0" w:color="auto"/>
              <w:left w:val="single" w:sz="4" w:space="0" w:color="auto"/>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 xml:space="preserve">Poř. č. </w:t>
            </w:r>
          </w:p>
        </w:tc>
        <w:tc>
          <w:tcPr>
            <w:tcW w:w="2372"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Související opatření (reforma nebo investice)</w:t>
            </w:r>
          </w:p>
        </w:tc>
        <w:tc>
          <w:tcPr>
            <w:tcW w:w="992"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Milník/cíl</w:t>
            </w:r>
          </w:p>
        </w:tc>
        <w:tc>
          <w:tcPr>
            <w:tcW w:w="1701"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Název</w:t>
            </w:r>
          </w:p>
        </w:tc>
        <w:tc>
          <w:tcPr>
            <w:tcW w:w="1134" w:type="dxa"/>
            <w:vMerge w:val="restart"/>
            <w:tcBorders>
              <w:top w:val="single" w:sz="4" w:space="0" w:color="auto"/>
              <w:left w:val="single" w:sz="8" w:space="0" w:color="000000"/>
              <w:bottom w:val="single" w:sz="4" w:space="0" w:color="auto"/>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 xml:space="preserve">Kvalitativní ukazatele </w:t>
            </w:r>
            <w:r>
              <w:rPr>
                <w:noProof/>
                <w:sz w:val="18"/>
                <w:szCs w:val="18"/>
              </w:rPr>
              <w:br/>
            </w:r>
            <w:r>
              <w:rPr>
                <w:rFonts w:ascii="Times New Roman" w:hAnsi="Times New Roman"/>
                <w:b/>
                <w:bCs/>
                <w:noProof/>
                <w:sz w:val="18"/>
                <w:szCs w:val="18"/>
              </w:rPr>
              <w:t>(pro milníky)</w:t>
            </w:r>
          </w:p>
        </w:tc>
        <w:tc>
          <w:tcPr>
            <w:tcW w:w="2410" w:type="dxa"/>
            <w:gridSpan w:val="3"/>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 xml:space="preserve">Kvantitativní ukazatele </w:t>
            </w:r>
            <w:r>
              <w:rPr>
                <w:noProof/>
                <w:sz w:val="18"/>
                <w:szCs w:val="18"/>
              </w:rPr>
              <w:br/>
            </w:r>
            <w:r>
              <w:rPr>
                <w:rFonts w:ascii="Times New Roman" w:hAnsi="Times New Roman"/>
                <w:b/>
                <w:bCs/>
                <w:noProof/>
                <w:sz w:val="18"/>
                <w:szCs w:val="18"/>
              </w:rPr>
              <w:t>(pro cíle)</w:t>
            </w:r>
          </w:p>
        </w:tc>
        <w:tc>
          <w:tcPr>
            <w:tcW w:w="1559" w:type="dxa"/>
            <w:gridSpan w:val="2"/>
            <w:tcBorders>
              <w:top w:val="single" w:sz="8" w:space="0" w:color="000000"/>
              <w:left w:val="nil"/>
              <w:bottom w:val="single" w:sz="8" w:space="0" w:color="000000"/>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 xml:space="preserve">Orientační harmonogram dokončení </w:t>
            </w:r>
          </w:p>
        </w:tc>
        <w:tc>
          <w:tcPr>
            <w:tcW w:w="426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Popis každého milníku a cíle</w:t>
            </w:r>
          </w:p>
        </w:tc>
      </w:tr>
      <w:tr>
        <w:trPr>
          <w:trHeight w:val="420"/>
          <w:tblHeader/>
        </w:trPr>
        <w:tc>
          <w:tcPr>
            <w:tcW w:w="600" w:type="dxa"/>
            <w:vMerge/>
            <w:tcBorders>
              <w:top w:val="single" w:sz="8" w:space="0" w:color="000000"/>
              <w:left w:val="single" w:sz="4" w:space="0" w:color="auto"/>
              <w:bottom w:val="single" w:sz="4" w:space="0" w:color="auto"/>
              <w:right w:val="single" w:sz="8" w:space="0" w:color="000000"/>
            </w:tcBorders>
            <w:vAlign w:val="center"/>
          </w:tcPr>
          <w:p>
            <w:pPr>
              <w:rPr>
                <w:noProof/>
                <w:sz w:val="18"/>
                <w:szCs w:val="18"/>
              </w:rPr>
            </w:pPr>
          </w:p>
        </w:tc>
        <w:tc>
          <w:tcPr>
            <w:tcW w:w="2372"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992"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1701"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1134" w:type="dxa"/>
            <w:vMerge/>
            <w:tcBorders>
              <w:top w:val="single" w:sz="8" w:space="0" w:color="000000"/>
              <w:left w:val="single" w:sz="8" w:space="0" w:color="000000"/>
              <w:bottom w:val="single" w:sz="4" w:space="0" w:color="auto"/>
              <w:right w:val="single" w:sz="4" w:space="0" w:color="auto"/>
            </w:tcBorders>
            <w:vAlign w:val="center"/>
          </w:tcPr>
          <w:p>
            <w:pPr>
              <w:rPr>
                <w:noProof/>
                <w:sz w:val="18"/>
                <w:szCs w:val="18"/>
              </w:rPr>
            </w:pPr>
          </w:p>
        </w:tc>
        <w:tc>
          <w:tcPr>
            <w:tcW w:w="1134" w:type="dxa"/>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 xml:space="preserve">Výchozí stav </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 xml:space="preserve">Cíl </w:t>
            </w:r>
          </w:p>
        </w:tc>
        <w:tc>
          <w:tcPr>
            <w:tcW w:w="850"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Čtvrtletí</w:t>
            </w:r>
          </w:p>
        </w:tc>
        <w:tc>
          <w:tcPr>
            <w:tcW w:w="709" w:type="dxa"/>
            <w:tcBorders>
              <w:top w:val="nil"/>
              <w:left w:val="single" w:sz="8" w:space="0" w:color="000000"/>
              <w:bottom w:val="single" w:sz="8" w:space="0" w:color="000000"/>
              <w:right w:val="single" w:sz="4" w:space="0" w:color="auto"/>
            </w:tcBorders>
            <w:shd w:val="clear" w:color="auto" w:fill="BDD7EE"/>
            <w:vAlign w:val="center"/>
          </w:tcPr>
          <w:p>
            <w:pPr>
              <w:jc w:val="center"/>
              <w:rPr>
                <w:noProof/>
                <w:sz w:val="16"/>
                <w:szCs w:val="16"/>
              </w:rPr>
            </w:pPr>
            <w:r>
              <w:rPr>
                <w:rFonts w:ascii="Times New Roman" w:hAnsi="Times New Roman"/>
                <w:b/>
                <w:bCs/>
                <w:noProof/>
                <w:sz w:val="16"/>
                <w:szCs w:val="16"/>
              </w:rPr>
              <w:t>Rok</w:t>
            </w:r>
          </w:p>
        </w:tc>
        <w:tc>
          <w:tcPr>
            <w:tcW w:w="4262" w:type="dxa"/>
            <w:vMerge/>
            <w:tcBorders>
              <w:left w:val="single" w:sz="4" w:space="0" w:color="auto"/>
              <w:bottom w:val="single" w:sz="4" w:space="0" w:color="auto"/>
              <w:right w:val="single" w:sz="4" w:space="0" w:color="auto"/>
            </w:tcBorders>
            <w:vAlign w:val="center"/>
          </w:tcPr>
          <w:p>
            <w:pPr>
              <w:rPr>
                <w:noProof/>
                <w:sz w:val="18"/>
                <w:szCs w:val="18"/>
              </w:rPr>
            </w:pPr>
          </w:p>
        </w:tc>
      </w:tr>
      <w:tr>
        <w:trPr>
          <w:trHeight w:val="315"/>
        </w:trPr>
        <w:tc>
          <w:tcPr>
            <w:tcW w:w="600"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115</w:t>
            </w:r>
          </w:p>
        </w:tc>
        <w:tc>
          <w:tcPr>
            <w:tcW w:w="237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1: Budování infrastruktury pro veřejnou dopravu v hl. m. Praha </w:t>
            </w:r>
          </w:p>
        </w:tc>
        <w:tc>
          <w:tcPr>
            <w:tcW w:w="99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Počet dobíjecích stanic pro hl. m. Praha</w:t>
            </w:r>
          </w:p>
        </w:tc>
        <w:tc>
          <w:tcPr>
            <w:tcW w:w="1134"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Počet</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52</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Nejméně 52 nových dobíjecích bodů v provozu pro hl. m. Praha.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116</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1: Budování infrastruktury pro veřejnou dopravu v hl. m. Praha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kilometrů dynamických dobíjecích komunikací pro hl. m. Praha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km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40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 xml:space="preserve">Nejméně 40 km dynamického dobíjení pro bateriový trolejbus pro hl. m. Praha připraveno k provozu.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117</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2: Budování neveřejné infrastruktury – dobíjecí body pro soukromé společnosti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dobíjecích stanic rozmístěných pro soukromé společnosti</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1500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Nejméně 1 500 nových dobíjecích bodů v provozu a otevřených pro třetí strany.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118</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3: Budování infrastruktury – dobíjecí stanice pro obytné budovy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dobíjecích stanic rozmístěných pro obytné budovy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2 880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Nejméně 2 880 nových dobíjecích bodů v provozu.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119</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4: Podpora nákupu vozidel – vozidla (elektrická, H2, elektrokola) pro soukromé společnosti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Počet vozidel (elektrických, H2, elektrokol) pro soukromé společnosti</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4 555</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Zakoupeno nejméně 4 555 nových vozidel s nulovými emisemi (3 525 elektrických, 30 vodíkových osobních vozidel a 1 000 e-cargokol) pro podnikatele. </w:t>
            </w:r>
          </w:p>
        </w:tc>
      </w:tr>
      <w:tr>
        <w:trPr>
          <w:trHeight w:val="315"/>
        </w:trPr>
        <w:tc>
          <w:tcPr>
            <w:tcW w:w="600" w:type="dxa"/>
            <w:tcBorders>
              <w:top w:val="nil"/>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120</w:t>
            </w:r>
          </w:p>
        </w:tc>
        <w:tc>
          <w:tcPr>
            <w:tcW w:w="2372"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5: Podpora nákupu vozidel (elektrických, H2) a infrastruktury pro obce, kraje, státní správu </w:t>
            </w:r>
          </w:p>
        </w:tc>
        <w:tc>
          <w:tcPr>
            <w:tcW w:w="992"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vozidel (elektrických, H2) pro obce, kraje, státní správu </w:t>
            </w:r>
          </w:p>
        </w:tc>
        <w:tc>
          <w:tcPr>
            <w:tcW w:w="1134"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nil"/>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nil"/>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1 485</w:t>
            </w:r>
          </w:p>
        </w:tc>
        <w:tc>
          <w:tcPr>
            <w:tcW w:w="850" w:type="dxa"/>
            <w:tcBorders>
              <w:top w:val="nil"/>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nil"/>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nil"/>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Zakoupeno nejméně 1 485 nových vozidel s nulovými emisemi (elektrických, H2) pro obce, kraje a státní správu.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121</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5: Podpora nákupu vozidel (elektrických, H2) a infrastruktury pro obce, kraje, státní správu a další veřejné subjekty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Počet dobíjecích stanic pro obce, kraje, státní správu a jiné veřejné subjekty</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200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V provozu nejméně 200 nových dobíjecích stanic pro obce, kraje, státní správu a další veřejné subjekty a organizace. </w:t>
            </w:r>
          </w:p>
        </w:tc>
      </w:tr>
      <w:tr>
        <w:trPr>
          <w:trHeight w:val="315"/>
        </w:trPr>
        <w:tc>
          <w:tcPr>
            <w:tcW w:w="60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122</w:t>
            </w:r>
          </w:p>
        </w:tc>
        <w:tc>
          <w:tcPr>
            <w:tcW w:w="237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Investice č. 6: Podpora nákupu vozidel (bateriových trolejbusů a nízkopodlažních tramvají) pro veřejnou hromadnou dopravu v hl. m. Praha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vozidel (bateriové trolejbusy a nízkopodlažní tramvaje) pro veřejnou hromadnou dopravu v hl. m. Praha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 xml:space="preserve">Počet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40</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noProof/>
                <w:sz w:val="18"/>
                <w:szCs w:val="18"/>
              </w:rPr>
            </w:pPr>
            <w:r>
              <w:rPr>
                <w:rFonts w:ascii="Times New Roman" w:hAnsi="Times New Roman"/>
                <w:noProof/>
                <w:color w:val="0043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2026</w:t>
            </w:r>
          </w:p>
        </w:tc>
        <w:tc>
          <w:tcPr>
            <w:tcW w:w="426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noProof/>
                <w:sz w:val="18"/>
                <w:szCs w:val="18"/>
              </w:rPr>
            </w:pPr>
            <w:r>
              <w:rPr>
                <w:rFonts w:ascii="Times New Roman" w:hAnsi="Times New Roman"/>
                <w:noProof/>
                <w:color w:val="004300"/>
                <w:sz w:val="18"/>
                <w:szCs w:val="18"/>
              </w:rPr>
              <w:t>Nejméně 40 vozidel (20 bateriových trolejbusů a 20 nízkopodlažních tramvají) v provozu ve veřejné hromadné dopravě v hl. m. Praha.</w:t>
            </w:r>
          </w:p>
        </w:tc>
      </w:tr>
    </w:tbl>
    <w:p>
      <w:pPr>
        <w:pBdr>
          <w:top w:val="nil"/>
          <w:left w:val="nil"/>
          <w:bottom w:val="nil"/>
          <w:right w:val="nil"/>
          <w:between w:val="nil"/>
        </w:pBdr>
        <w:jc w:val="both"/>
        <w:rPr>
          <w:rFonts w:ascii="Times New Roman" w:eastAsia="Times New Roman" w:hAnsi="Times New Roman"/>
          <w:noProof/>
          <w:color w:val="000000"/>
          <w:lang w:eastAsia="en-GB"/>
        </w:rPr>
      </w:pPr>
    </w:p>
    <w:p>
      <w:pPr>
        <w:pBdr>
          <w:top w:val="nil"/>
          <w:left w:val="nil"/>
          <w:bottom w:val="nil"/>
          <w:right w:val="nil"/>
          <w:between w:val="nil"/>
        </w:pBdr>
        <w:jc w:val="both"/>
        <w:rPr>
          <w:rFonts w:ascii="Times New Roman" w:eastAsia="Times New Roman" w:hAnsi="Times New Roman"/>
          <w:noProof/>
          <w:color w:val="000000"/>
          <w:sz w:val="16"/>
          <w:szCs w:val="16"/>
          <w:lang w:eastAsia="en-GB"/>
        </w:rPr>
        <w:sectPr>
          <w:headerReference w:type="even" r:id="rId130"/>
          <w:headerReference w:type="default" r:id="rId131"/>
          <w:footerReference w:type="even" r:id="rId132"/>
          <w:footerReference w:type="default" r:id="rId133"/>
          <w:headerReference w:type="first" r:id="rId134"/>
          <w:footerReference w:type="first" r:id="rId135"/>
          <w:pgSz w:w="16839" w:h="11907" w:orient="landscape"/>
          <w:pgMar w:top="720" w:right="720" w:bottom="720" w:left="720" w:header="709" w:footer="709" w:gutter="0"/>
          <w:cols w:space="72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 xml:space="preserve">K. KOMPONENTA č. 2.5: Renovace budov a ochrana ovzduší </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ve snížení spotřeby energie a vody v obytných budovách, zlepšení kvality bydlení v těchto budovách, snížení emisí skleníkových plynů a dalších znečišťujících látek výměnou kotlů na tuhá paliva, přizpůsobení obytných budov účinkům změny klimatu, výstavbě nových budov a také zvyšování povědomí o úsporách energie, využívání obnovitelných zdrojů energie a přizpůsobení se změně klimatu v sektoru domácností. Komponenta bude realizována v rámci programu podpory Nová zelená úsporám (NZÚ) 2030.</w:t>
      </w:r>
    </w:p>
    <w:p>
      <w:pPr>
        <w:jc w:val="both"/>
        <w:rPr>
          <w:rFonts w:ascii="Times New Roman" w:eastAsia="Times New Roman" w:hAnsi="Times New Roman"/>
          <w:noProof/>
          <w:color w:val="000000"/>
          <w:sz w:val="24"/>
          <w:szCs w:val="24"/>
        </w:rPr>
      </w:pPr>
      <w:r>
        <w:rPr>
          <w:rFonts w:ascii="Times New Roman" w:hAnsi="Times New Roman"/>
          <w:noProof/>
          <w:sz w:val="24"/>
          <w:szCs w:val="24"/>
        </w:rPr>
        <w:t>Reformy a investice zahrnuté v této komponentě podporují plnění doporučení pro zemi č. 3 na rok 2019, podle něhož má Česko zaměřit investiční hospodářskou politiku na přechod na nízkouhlíkové hospodářství a transformaci energetiky včetně zvýšení energetické účinnosti, a to s ohledem na regionální rozdíly, a doporučení pro zemi č. 3 na rok 2020, podle něhož má Česko zaměřit investice na ekologickou transformaci, zejména na čistou a účinnou výrobu a využívání energie, a to mimo jiné v uhelných regionech</w:t>
      </w:r>
      <w:r>
        <w:rPr>
          <w:rFonts w:ascii="Times New Roman" w:hAnsi="Times New Roman"/>
          <w:noProof/>
          <w:color w:val="000000"/>
          <w:sz w:val="24"/>
          <w:szCs w:val="24"/>
        </w:rPr>
        <w:t>.</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Investice budou zejména v souladu s kritérii udržitelnosti a úspor emisí skleníkových plynů stanovenými v článku 29 směrnice (EU) 2018/2001 o podpoře využívání energie z obnovitelných zdrojů („směrnice o obnovitelných zdrojích energie“, „RED II“). Tyto požadavky se budou vztahovat na všechna zařízení bez ohledu na prahové hodnoty uvedené ve směrnici RED II. Investice budou splňovat požadavek nařízení o Nástroji pro oživení a odolnost na alespoň 80% úsporu emisí skleníkových plynů z využívání biomasy ve vztahu k metodice úspory emisí skleníkových plynů a srovnávacímu ukazateli pro fosilní paliva stanovenému v příloze VI směrnice RED II. V rezidenčním prostředí by investice do kotlů na biomasu neměl ohrožen soulad se směrnicí 2008/50/EU. Investice budou splňovat požadavky na ekodesign (tj. požadavky směrnice Evropského parlamentu a Rady 2009/125/ES) a budou zařazeny do jedné ze dvou nejvyšších významně zastoupených tříd energetické účinnosti ve smyslu čl. 7 odst. 2 nařízení Evropského parlamentu a Rady (EU) 2017/1369. Tyto požadavky budou splněny pro všechna paliva a všechny způsoby jejich dodávek. Investice se budou řídit posouzením trajektorií udržitelného využívání bioenergie a dodávek biomasy v Česku a jeho dopadů na využití půdy, změny ve využití půdy, lesní propady uhlíku a biologickou rozmanitost, jakož i vlivu na kvalitu ovzduší pro období 2020–2030, který je součástí reformy č. 2 v rámci komponenty č. 2.3, a budou s nimi v souladu.</w:t>
      </w:r>
    </w:p>
    <w:p>
      <w:pPr>
        <w:jc w:val="both"/>
        <w:rPr>
          <w:rFonts w:ascii="Times New Roman" w:eastAsia="Times New Roman" w:hAnsi="Times New Roman"/>
          <w:noProof/>
          <w:sz w:val="24"/>
          <w:szCs w:val="24"/>
        </w:rPr>
      </w:pPr>
      <w:r>
        <w:rPr>
          <w:rFonts w:ascii="Times New Roman" w:hAnsi="Times New Roman"/>
          <w:noProof/>
          <w:sz w:val="24"/>
          <w:szCs w:val="24"/>
        </w:rPr>
        <w:t>Energetická renovace budov, využívání obnovitelných zdrojů energie v sektoru domácností a výměna kotlů na tuhá paliva zvýší účinnost vytápění v domácnostech a představují klíčové opatření pro splnění opatření pro splnění národních redukčních cílů podle směrnice (EU) 2016/2284 a dosažení standardů kvality ovzduší dle programů pro zlepšování kvality ovzduší. Snížení emisí má také pozitivní dopad na kvalitu vod, obzvláště snížení emisí benzo(a)pyrenu.</w:t>
      </w:r>
    </w:p>
    <w:p>
      <w:pPr>
        <w:jc w:val="both"/>
        <w:rPr>
          <w:rFonts w:ascii="Times New Roman" w:eastAsia="Times New Roman" w:hAnsi="Times New Roman"/>
          <w:noProof/>
        </w:rPr>
      </w:pPr>
    </w:p>
    <w:p>
      <w:pPr>
        <w:jc w:val="both"/>
        <w:rPr>
          <w:rFonts w:ascii="Times New Roman" w:hAnsi="Times New Roman"/>
          <w:b/>
          <w:i/>
          <w:noProof/>
          <w:sz w:val="24"/>
        </w:rPr>
      </w:pPr>
      <w:r>
        <w:rPr>
          <w:rFonts w:ascii="Times New Roman" w:hAnsi="Times New Roman"/>
          <w:b/>
          <w:noProof/>
          <w:sz w:val="24"/>
          <w:u w:val="single"/>
        </w:rPr>
        <w:t>K.1 Popis reforem a investic pro nevratnou finanční podporu</w:t>
      </w:r>
    </w:p>
    <w:p>
      <w:pPr>
        <w:pBdr>
          <w:top w:val="nil"/>
          <w:left w:val="nil"/>
          <w:bottom w:val="nil"/>
          <w:right w:val="nil"/>
          <w:between w:val="nil"/>
        </w:pBdr>
        <w:jc w:val="both"/>
        <w:rPr>
          <w:rFonts w:ascii="Times New Roman" w:hAnsi="Times New Roman"/>
          <w:b/>
          <w:bCs/>
          <w:noProof/>
          <w:sz w:val="24"/>
        </w:rPr>
      </w:pPr>
      <w:r>
        <w:rPr>
          <w:rFonts w:ascii="Times New Roman" w:hAnsi="Times New Roman"/>
          <w:b/>
          <w:bCs/>
          <w:noProof/>
          <w:sz w:val="24"/>
        </w:rPr>
        <w:t xml:space="preserve">Reforma č. 1: Renovační vlna v rezidenčním sektoru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 xml:space="preserve">Cílem tohoto opatření je podpořit realizaci zlepšení energetické účinnosti v obytných budovách, včetně optimalizace této podpory a zavedení kvalitativně nové úrovně přípravy projektů. Opatření rovněž zvýší povědomí o možnostech snižování energetických potřeb a postupně změní chování spotřebitelů energie.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 xml:space="preserve">Reformy bude dosaženo těmito opatřeními: </w:t>
      </w:r>
    </w:p>
    <w:p>
      <w:pPr>
        <w:numPr>
          <w:ilvl w:val="0"/>
          <w:numId w:val="25"/>
        </w:numPr>
        <w:spacing w:line="259" w:lineRule="auto"/>
        <w:ind w:left="360"/>
        <w:contextualSpacing/>
        <w:jc w:val="both"/>
        <w:rPr>
          <w:rFonts w:ascii="Times New Roman" w:hAnsi="Times New Roman"/>
          <w:noProof/>
          <w:sz w:val="24"/>
          <w:szCs w:val="24"/>
        </w:rPr>
      </w:pPr>
      <w:r>
        <w:rPr>
          <w:rFonts w:ascii="Times New Roman" w:hAnsi="Times New Roman"/>
          <w:noProof/>
          <w:sz w:val="24"/>
          <w:szCs w:val="24"/>
        </w:rPr>
        <w:t xml:space="preserve">Program Nová zelená úsporám 2030 bude inovován optimalizací nastavení podmínek podpory, zvýšením požadavků na renovace středního rozsahu (úspora 30 % spotřeby primární energie), zvýšením důrazu na komplexní energetické renovace, posílením podpory výstavby nových domů s vyššími standardy energetické účinnosti a podporou efektivního hospodaření s vodou. </w:t>
      </w:r>
    </w:p>
    <w:p>
      <w:pPr>
        <w:numPr>
          <w:ilvl w:val="0"/>
          <w:numId w:val="25"/>
        </w:numPr>
        <w:spacing w:line="259" w:lineRule="auto"/>
        <w:ind w:left="360"/>
        <w:contextualSpacing/>
        <w:jc w:val="both"/>
        <w:rPr>
          <w:rFonts w:ascii="Times New Roman" w:hAnsi="Times New Roman"/>
          <w:noProof/>
          <w:sz w:val="24"/>
          <w:szCs w:val="24"/>
        </w:rPr>
      </w:pPr>
      <w:r>
        <w:rPr>
          <w:rFonts w:ascii="Times New Roman" w:hAnsi="Times New Roman"/>
          <w:noProof/>
          <w:sz w:val="24"/>
          <w:szCs w:val="24"/>
        </w:rPr>
        <w:t>Pro domácnosti se zavádí dvoufázová předprojektová příprava: základní posouzení možností renovace, alternativ, investiční náročnosti, úspor nákladů na energii a možné výše dotace z programu Nová zelená úsporám (první etapa) a přehled možných opatření k renovaci domů a využití obnovitelných zdrojů energie v nich, včetně posouzení ekonomické efektivnosti a proveditelnosti těchto opatření (druhá etapa).</w:t>
      </w:r>
      <w:r>
        <w:rPr>
          <w:noProof/>
        </w:rPr>
        <w:t xml:space="preserve"> </w:t>
      </w:r>
      <w:r>
        <w:rPr>
          <w:rFonts w:ascii="Times New Roman" w:hAnsi="Times New Roman"/>
          <w:noProof/>
          <w:sz w:val="24"/>
          <w:szCs w:val="24"/>
        </w:rPr>
        <w:t>Dvoustupňová předprojektová podpora výrazně zlepší podporu investic, zejména pro domácnosti s nižšími příjmy.</w:t>
      </w:r>
    </w:p>
    <w:p>
      <w:pPr>
        <w:numPr>
          <w:ilvl w:val="0"/>
          <w:numId w:val="25"/>
        </w:numPr>
        <w:spacing w:line="259" w:lineRule="auto"/>
        <w:ind w:left="360"/>
        <w:contextualSpacing/>
        <w:jc w:val="both"/>
        <w:rPr>
          <w:rFonts w:ascii="Times New Roman" w:hAnsi="Times New Roman"/>
          <w:noProof/>
          <w:sz w:val="24"/>
          <w:szCs w:val="24"/>
        </w:rPr>
      </w:pPr>
      <w:r>
        <w:rPr>
          <w:rFonts w:ascii="Times New Roman" w:hAnsi="Times New Roman"/>
          <w:noProof/>
          <w:sz w:val="24"/>
          <w:szCs w:val="24"/>
        </w:rPr>
        <w:t xml:space="preserve">Energetická konzultační střediska Národní sítě místních akčních skupin budou začleněna do sítě místních energetických agentur. </w:t>
      </w:r>
    </w:p>
    <w:p>
      <w:pPr>
        <w:numPr>
          <w:ilvl w:val="0"/>
          <w:numId w:val="25"/>
        </w:numPr>
        <w:spacing w:line="259" w:lineRule="auto"/>
        <w:ind w:left="360"/>
        <w:contextualSpacing/>
        <w:jc w:val="both"/>
        <w:rPr>
          <w:noProof/>
        </w:rPr>
      </w:pPr>
      <w:r>
        <w:rPr>
          <w:rFonts w:ascii="Times New Roman" w:hAnsi="Times New Roman"/>
          <w:noProof/>
          <w:sz w:val="24"/>
          <w:szCs w:val="24"/>
        </w:rPr>
        <w:t>Posílí se a rozšíří podpora školení a rekvalifikace pracovníků realizujících zelenou výstavbu, zelené technologie či materiály v rámci Státního programu na podporu úspor energie (EFEKT), aby se podpořila kvalitní příprava a realizace energeticky úsporných projektů.</w:t>
      </w:r>
    </w:p>
    <w:p>
      <w:pPr>
        <w:numPr>
          <w:ilvl w:val="0"/>
          <w:numId w:val="25"/>
        </w:numPr>
        <w:spacing w:after="240" w:line="259" w:lineRule="auto"/>
        <w:ind w:left="357" w:hanging="357"/>
        <w:contextualSpacing/>
        <w:jc w:val="both"/>
        <w:rPr>
          <w:noProof/>
        </w:rPr>
      </w:pPr>
      <w:r>
        <w:rPr>
          <w:rFonts w:ascii="Times New Roman" w:hAnsi="Times New Roman"/>
          <w:noProof/>
          <w:sz w:val="24"/>
          <w:szCs w:val="24"/>
        </w:rPr>
        <w:t>Stávající systém environmentálního vzdělávání, výchovy a osvěty v ekocentrech zaměřený na děti a mládež se rozšíří na celou veřejnost a nově se výrazně zaměří na úspory energie, využívání obnovitelných zdrojů energie, změnu klimatu a přizpůsobení se změně klimatu.</w:t>
      </w:r>
    </w:p>
    <w:p>
      <w:pPr>
        <w:jc w:val="both"/>
        <w:rPr>
          <w:rFonts w:ascii="Times New Roman" w:eastAsia="Times New Roman" w:hAnsi="Times New Roman"/>
          <w:bCs/>
          <w:noProof/>
          <w:sz w:val="24"/>
          <w:szCs w:val="24"/>
        </w:rPr>
      </w:pPr>
      <w:r>
        <w:rPr>
          <w:rFonts w:ascii="Times New Roman" w:hAnsi="Times New Roman"/>
          <w:noProof/>
          <w:sz w:val="24"/>
          <w:szCs w:val="24"/>
        </w:rPr>
        <w:t>Reforma bude provedena do 31. prosince 2025.</w:t>
      </w:r>
    </w:p>
    <w:p>
      <w:pPr>
        <w:autoSpaceDE w:val="0"/>
        <w:autoSpaceDN w:val="0"/>
        <w:adjustRightInd w:val="0"/>
        <w:jc w:val="both"/>
        <w:rPr>
          <w:rFonts w:ascii="Times New Roman" w:eastAsia="Times New Roman" w:hAnsi="Times New Roman"/>
          <w:b/>
          <w:bCs/>
          <w:noProof/>
          <w:sz w:val="24"/>
          <w:szCs w:val="24"/>
        </w:rPr>
      </w:pPr>
      <w:r>
        <w:rPr>
          <w:rFonts w:ascii="Times New Roman" w:hAnsi="Times New Roman"/>
          <w:b/>
          <w:bCs/>
          <w:noProof/>
          <w:sz w:val="24"/>
          <w:szCs w:val="24"/>
        </w:rPr>
        <w:t>Reforma č. 2: Podpora energetických společenství</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 xml:space="preserve">Cílem tohoto opatření je zakládání „energetických společenství“, která aktivně zapojí sektor domácností i podniků do využívání energie z obnovitelných zdrojů, jakož i osvěta a vzdělávání apod. zaměřené na rozvoj komunitní energetiky.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Reformy bude dosaženo těmito opatřeními:</w:t>
      </w:r>
    </w:p>
    <w:p>
      <w:pPr>
        <w:numPr>
          <w:ilvl w:val="0"/>
          <w:numId w:val="26"/>
        </w:numPr>
        <w:autoSpaceDE w:val="0"/>
        <w:autoSpaceDN w:val="0"/>
        <w:adjustRightInd w:val="0"/>
        <w:ind w:left="340"/>
        <w:jc w:val="both"/>
        <w:rPr>
          <w:rFonts w:ascii="Times New Roman" w:eastAsia="Times New Roman" w:hAnsi="Times New Roman"/>
          <w:bCs/>
          <w:noProof/>
          <w:sz w:val="24"/>
          <w:szCs w:val="24"/>
        </w:rPr>
      </w:pPr>
      <w:r>
        <w:rPr>
          <w:rFonts w:ascii="Times New Roman" w:hAnsi="Times New Roman"/>
          <w:bCs/>
          <w:noProof/>
          <w:sz w:val="24"/>
          <w:szCs w:val="24"/>
        </w:rPr>
        <w:t xml:space="preserve">Program „Nový zelená úsporám 2030“ podpoří instalaci nových obnovitelných zdrojů energie způsobem, který odstraní překážky bránící jejich budoucí integraci do širší energetické komunity. Program Nová zelená úsporám 2030 rovněž podporuje menší společná úložiště energie pro více domů nebo vytváření energetických společenství v rámci jednotlivých bytových domů a další investiční opatření mající vazbu na energetická společenství. </w:t>
      </w:r>
    </w:p>
    <w:p>
      <w:pPr>
        <w:numPr>
          <w:ilvl w:val="0"/>
          <w:numId w:val="44"/>
        </w:numPr>
        <w:autoSpaceDE w:val="0"/>
        <w:autoSpaceDN w:val="0"/>
        <w:adjustRightInd w:val="0"/>
        <w:spacing w:line="259" w:lineRule="auto"/>
        <w:ind w:left="340"/>
        <w:contextualSpacing/>
        <w:jc w:val="both"/>
        <w:rPr>
          <w:rFonts w:eastAsia="Times New Roman"/>
          <w:bCs/>
          <w:noProof/>
          <w:szCs w:val="24"/>
        </w:rPr>
      </w:pPr>
      <w:r>
        <w:rPr>
          <w:rFonts w:ascii="Times New Roman" w:hAnsi="Times New Roman"/>
          <w:bCs/>
          <w:noProof/>
          <w:sz w:val="24"/>
          <w:szCs w:val="24"/>
        </w:rPr>
        <w:t>Zakládání energetických společenství, jakož i osvěta a vzdělávání zaměřené na rozvoj energetických společenství podpoří neinvestiční opatření.</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noProof/>
          <w:sz w:val="24"/>
          <w:szCs w:val="24"/>
        </w:rPr>
        <w:t>Reforma bude provedena do 31. prosince 2025.</w:t>
      </w:r>
    </w:p>
    <w:p>
      <w:pPr>
        <w:autoSpaceDE w:val="0"/>
        <w:autoSpaceDN w:val="0"/>
        <w:adjustRightInd w:val="0"/>
        <w:jc w:val="both"/>
        <w:rPr>
          <w:rFonts w:ascii="Times New Roman" w:eastAsia="Times New Roman" w:hAnsi="Times New Roman"/>
          <w:b/>
          <w:bCs/>
          <w:noProof/>
          <w:sz w:val="24"/>
          <w:szCs w:val="24"/>
        </w:rPr>
      </w:pPr>
      <w:r>
        <w:rPr>
          <w:rFonts w:ascii="Times New Roman" w:hAnsi="Times New Roman"/>
          <w:b/>
          <w:bCs/>
          <w:noProof/>
          <w:sz w:val="24"/>
          <w:szCs w:val="24"/>
        </w:rPr>
        <w:t>Investice č. 1: Podpora renovace a revitalizace budov sektoru bydlení</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Cílem tohoto opatření</w:t>
      </w:r>
      <w:r>
        <w:rPr>
          <w:rFonts w:ascii="Times New Roman" w:hAnsi="Times New Roman"/>
          <w:b/>
          <w:bCs/>
          <w:noProof/>
          <w:sz w:val="24"/>
          <w:szCs w:val="24"/>
        </w:rPr>
        <w:t xml:space="preserve"> </w:t>
      </w:r>
      <w:r>
        <w:rPr>
          <w:rFonts w:ascii="Times New Roman" w:hAnsi="Times New Roman"/>
          <w:noProof/>
          <w:sz w:val="24"/>
          <w:szCs w:val="24"/>
        </w:rPr>
        <w:t>jsou úspory</w:t>
      </w:r>
      <w:r>
        <w:rPr>
          <w:rFonts w:ascii="Times New Roman" w:hAnsi="Times New Roman"/>
          <w:b/>
          <w:bCs/>
          <w:noProof/>
          <w:sz w:val="24"/>
          <w:szCs w:val="24"/>
        </w:rPr>
        <w:t xml:space="preserve"> </w:t>
      </w:r>
      <w:r>
        <w:rPr>
          <w:rFonts w:ascii="Times New Roman" w:hAnsi="Times New Roman"/>
          <w:noProof/>
          <w:sz w:val="24"/>
          <w:szCs w:val="24"/>
        </w:rPr>
        <w:t>energie v obytných budovách, výstavba nových obytných budov splňujících vyšší než povinné energetické standardy, náhrada nevyhovujících spalovacích zdrojů na tuhá paliva v domácnostech plynovými kondenzačními kotli energetické třídy A, využívání obnovitelných zdrojů energie v rámci komplexní energetické renovace budov a přizpůsobení se změně klimatu včetně hospodaření s vodou. Podporují se inteligentní energetická řešení na úrovni jednotlivých domácností, domů nebo malých skupin domů, jako jsou inteligentní měřiče, společná úložiště energie a agregace poptávky.</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Náklady na instalaci plynových kondenzačních kotlů budou představovat maximálně 20 % celkových nákladů programu renovace a budou instalovány s cílem nahradit kotle na tuhá paliva. Systém energetické účinnosti bude příjemce motivovat k instalaci nových plynových kotlů a k přijetí dalších opatření v oblasti energetické účinnosti.</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Cs/>
          <w:noProof/>
          <w:sz w:val="24"/>
          <w:szCs w:val="24"/>
        </w:rPr>
        <w:t xml:space="preserve">Program renovace povede ke snížení spotřeby primární energie u renovovaných budov v průměru o 30 %. </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Cs/>
          <w:noProof/>
          <w:sz w:val="24"/>
          <w:szCs w:val="24"/>
        </w:rPr>
        <w:t>Maximálně 10 % celkových přidělených prostředků v rámci tohoto opatření podpoří výstavbu nových budov. Podpořené nové budovy budou mít potřebu primární energie nejméně o 20 % nižší, než je požadavek na budovy s téměř nulovou spotřebou energie.</w:t>
      </w:r>
    </w:p>
    <w:p>
      <w:pPr>
        <w:jc w:val="both"/>
        <w:rPr>
          <w:rFonts w:ascii="Times New Roman" w:eastAsia="Times New Roman" w:hAnsi="Times New Roman"/>
          <w:noProof/>
          <w:sz w:val="24"/>
          <w:szCs w:val="24"/>
        </w:rPr>
      </w:pPr>
      <w:r>
        <w:rPr>
          <w:rFonts w:ascii="Times New Roman" w:hAnsi="Times New Roman"/>
          <w:noProof/>
          <w:sz w:val="24"/>
          <w:szCs w:val="24"/>
        </w:rPr>
        <w:t>Nejméně 70 % stavebního a demoličního odpadu neklasifikovaného jako nebezpečný bude připraveno k opětovnému použití nebo recyklaci. K posouzení a vykázání výkonnosti budov z hlediska udržitelnosti budou použity ukazatele na úrovni EU, a to po celou dobu životního cyklu budov.</w:t>
      </w:r>
    </w:p>
    <w:p>
      <w:pPr>
        <w:autoSpaceDE w:val="0"/>
        <w:autoSpaceDN w:val="0"/>
        <w:adjustRightInd w:val="0"/>
        <w:jc w:val="both"/>
        <w:rPr>
          <w:rFonts w:ascii="Times New Roman" w:eastAsia="Times New Roman" w:hAnsi="Times New Roman"/>
          <w:bCs/>
          <w:noProof/>
          <w:sz w:val="24"/>
          <w:szCs w:val="24"/>
        </w:rPr>
      </w:pPr>
      <w:r>
        <w:rPr>
          <w:rFonts w:ascii="Times New Roman" w:hAnsi="Times New Roman"/>
          <w:bCs/>
          <w:noProof/>
          <w:sz w:val="24"/>
          <w:szCs w:val="24"/>
        </w:rPr>
        <w:t>Podporováni budou také zranitelní spotřebitelé energie.</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Investice bude provedena prostřednictvím těchto projektů:</w:t>
      </w:r>
    </w:p>
    <w:p>
      <w:pPr>
        <w:numPr>
          <w:ilvl w:val="0"/>
          <w:numId w:val="26"/>
        </w:numPr>
        <w:autoSpaceDE w:val="0"/>
        <w:autoSpaceDN w:val="0"/>
        <w:adjustRightInd w:val="0"/>
        <w:ind w:left="360"/>
        <w:jc w:val="both"/>
        <w:rPr>
          <w:rFonts w:ascii="Times New Roman" w:hAnsi="Times New Roman"/>
          <w:noProof/>
          <w:sz w:val="24"/>
          <w:szCs w:val="24"/>
        </w:rPr>
      </w:pPr>
      <w:r>
        <w:rPr>
          <w:rFonts w:ascii="Times New Roman" w:hAnsi="Times New Roman"/>
          <w:noProof/>
          <w:sz w:val="24"/>
          <w:szCs w:val="24"/>
        </w:rPr>
        <w:t>Projekty na snížení spotřeby energie o 1 200 TJ/rok, které byly zadány v období od 1. února 2020 do 30. září 2021.</w:t>
      </w:r>
    </w:p>
    <w:p>
      <w:pPr>
        <w:numPr>
          <w:ilvl w:val="0"/>
          <w:numId w:val="26"/>
        </w:numPr>
        <w:autoSpaceDE w:val="0"/>
        <w:autoSpaceDN w:val="0"/>
        <w:adjustRightInd w:val="0"/>
        <w:ind w:left="360"/>
        <w:jc w:val="both"/>
        <w:rPr>
          <w:noProof/>
        </w:rPr>
      </w:pPr>
      <w:r>
        <w:rPr>
          <w:rFonts w:ascii="Times New Roman" w:hAnsi="Times New Roman"/>
          <w:noProof/>
          <w:sz w:val="24"/>
          <w:szCs w:val="24"/>
        </w:rPr>
        <w:t>Snížení spotřeby energie o 4 021 TJ/rok a snížení emisí CO</w:t>
      </w:r>
      <w:r>
        <w:rPr>
          <w:rFonts w:ascii="Times New Roman" w:hAnsi="Times New Roman"/>
          <w:noProof/>
          <w:sz w:val="24"/>
          <w:szCs w:val="24"/>
          <w:vertAlign w:val="subscript"/>
        </w:rPr>
        <w:t>2</w:t>
      </w:r>
      <w:r>
        <w:rPr>
          <w:rFonts w:ascii="Times New Roman" w:hAnsi="Times New Roman"/>
          <w:noProof/>
          <w:sz w:val="24"/>
          <w:szCs w:val="24"/>
        </w:rPr>
        <w:t xml:space="preserve"> o 631 kt/rok v období od 1. února 2020 do 31. prosince 2025.</w:t>
      </w:r>
    </w:p>
    <w:p>
      <w:pPr>
        <w:autoSpaceDE w:val="0"/>
        <w:autoSpaceDN w:val="0"/>
        <w:adjustRightInd w:val="0"/>
        <w:jc w:val="both"/>
        <w:rPr>
          <w:rFonts w:ascii="Times New Roman" w:eastAsia="Times New Roman" w:hAnsi="Times New Roman"/>
          <w:b/>
          <w:bCs/>
          <w:noProof/>
          <w:sz w:val="24"/>
          <w:szCs w:val="24"/>
        </w:rPr>
      </w:pPr>
      <w:r>
        <w:rPr>
          <w:rFonts w:ascii="Times New Roman" w:hAnsi="Times New Roman"/>
          <w:b/>
          <w:bCs/>
          <w:noProof/>
          <w:sz w:val="24"/>
          <w:szCs w:val="24"/>
        </w:rPr>
        <w:t>Investice č. 2: Podpora výměny nevyhovujících zdrojů tepla a samostatné instalace obnovitelných zdrojů energie</w:t>
      </w:r>
    </w:p>
    <w:p>
      <w:pPr>
        <w:autoSpaceDE w:val="0"/>
        <w:autoSpaceDN w:val="0"/>
        <w:adjustRightInd w:val="0"/>
        <w:jc w:val="both"/>
        <w:rPr>
          <w:rFonts w:ascii="Times New Roman" w:eastAsia="Times New Roman" w:hAnsi="Times New Roman"/>
          <w:noProof/>
          <w:sz w:val="24"/>
          <w:szCs w:val="24"/>
        </w:rPr>
      </w:pPr>
      <w:r>
        <w:rPr>
          <w:rFonts w:ascii="Times New Roman" w:hAnsi="Times New Roman"/>
          <w:bCs/>
          <w:noProof/>
          <w:sz w:val="24"/>
          <w:szCs w:val="24"/>
        </w:rPr>
        <w:t>Cílem tohoto opatření je nahradit nevyhovující spalovací zdroje v domácnostech na pevná paliva nízkoemisními zdroji vytápění (tepelná čerpadla, kotle na biomasu) a instalovat obnovitelné zdroje energie vhodné pro sektor bydlení, zejména fotovoltaické a fototermické systémy.</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Investice bude provedena prostřednictvím těchto projektů:</w:t>
      </w:r>
    </w:p>
    <w:p>
      <w:pPr>
        <w:numPr>
          <w:ilvl w:val="0"/>
          <w:numId w:val="26"/>
        </w:numPr>
        <w:autoSpaceDE w:val="0"/>
        <w:autoSpaceDN w:val="0"/>
        <w:adjustRightInd w:val="0"/>
        <w:ind w:left="360"/>
        <w:jc w:val="both"/>
        <w:rPr>
          <w:rFonts w:ascii="Times New Roman" w:hAnsi="Times New Roman"/>
          <w:noProof/>
          <w:sz w:val="24"/>
          <w:szCs w:val="24"/>
        </w:rPr>
      </w:pPr>
      <w:r>
        <w:rPr>
          <w:rFonts w:ascii="Times New Roman" w:hAnsi="Times New Roman"/>
          <w:noProof/>
          <w:sz w:val="24"/>
          <w:szCs w:val="24"/>
        </w:rPr>
        <w:t>Projekty snížení spotřeby energie o 186 TJ/rok a snížení emisí CO</w:t>
      </w:r>
      <w:r>
        <w:rPr>
          <w:rFonts w:ascii="Times New Roman" w:hAnsi="Times New Roman"/>
          <w:noProof/>
          <w:sz w:val="24"/>
          <w:szCs w:val="24"/>
          <w:vertAlign w:val="subscript"/>
        </w:rPr>
        <w:t>2</w:t>
      </w:r>
      <w:r>
        <w:rPr>
          <w:rFonts w:ascii="Times New Roman" w:hAnsi="Times New Roman"/>
          <w:noProof/>
          <w:sz w:val="24"/>
          <w:szCs w:val="24"/>
        </w:rPr>
        <w:t xml:space="preserve"> o 91 kt/rok zadané v období od 1. února 2020 do 30. září 2021.</w:t>
      </w:r>
    </w:p>
    <w:p>
      <w:pPr>
        <w:numPr>
          <w:ilvl w:val="0"/>
          <w:numId w:val="26"/>
        </w:numPr>
        <w:autoSpaceDE w:val="0"/>
        <w:autoSpaceDN w:val="0"/>
        <w:adjustRightInd w:val="0"/>
        <w:ind w:left="360"/>
        <w:jc w:val="both"/>
        <w:rPr>
          <w:rFonts w:ascii="Times New Roman" w:hAnsi="Times New Roman"/>
          <w:noProof/>
          <w:sz w:val="24"/>
          <w:szCs w:val="24"/>
        </w:rPr>
      </w:pPr>
      <w:r>
        <w:rPr>
          <w:rFonts w:ascii="Times New Roman" w:hAnsi="Times New Roman"/>
          <w:noProof/>
          <w:sz w:val="24"/>
          <w:szCs w:val="24"/>
        </w:rPr>
        <w:t>Snížení spotřeby energie o 396 TJ/rok a snížení emisí CO</w:t>
      </w:r>
      <w:r>
        <w:rPr>
          <w:rFonts w:ascii="Times New Roman" w:hAnsi="Times New Roman"/>
          <w:noProof/>
          <w:sz w:val="24"/>
          <w:szCs w:val="24"/>
          <w:vertAlign w:val="subscript"/>
        </w:rPr>
        <w:t>2</w:t>
      </w:r>
      <w:r>
        <w:rPr>
          <w:rFonts w:ascii="Times New Roman" w:hAnsi="Times New Roman"/>
          <w:noProof/>
          <w:sz w:val="24"/>
          <w:szCs w:val="24"/>
        </w:rPr>
        <w:t xml:space="preserve"> o 158 kt CO</w:t>
      </w:r>
      <w:r>
        <w:rPr>
          <w:rFonts w:ascii="Times New Roman" w:hAnsi="Times New Roman"/>
          <w:noProof/>
          <w:sz w:val="24"/>
          <w:szCs w:val="24"/>
          <w:vertAlign w:val="subscript"/>
        </w:rPr>
        <w:t>2</w:t>
      </w:r>
      <w:r>
        <w:rPr>
          <w:rFonts w:ascii="Times New Roman" w:hAnsi="Times New Roman"/>
          <w:noProof/>
          <w:sz w:val="24"/>
          <w:szCs w:val="24"/>
        </w:rPr>
        <w:t>/rok do 30. září 2023.</w:t>
      </w:r>
    </w:p>
    <w:p>
      <w:pPr>
        <w:numPr>
          <w:ilvl w:val="0"/>
          <w:numId w:val="26"/>
        </w:numPr>
        <w:autoSpaceDE w:val="0"/>
        <w:autoSpaceDN w:val="0"/>
        <w:adjustRightInd w:val="0"/>
        <w:ind w:left="360"/>
        <w:jc w:val="both"/>
        <w:rPr>
          <w:rFonts w:ascii="Times New Roman" w:hAnsi="Times New Roman"/>
          <w:noProof/>
          <w:sz w:val="24"/>
          <w:szCs w:val="24"/>
        </w:rPr>
      </w:pPr>
      <w:r>
        <w:rPr>
          <w:rFonts w:ascii="Times New Roman" w:hAnsi="Times New Roman"/>
          <w:bCs/>
          <w:noProof/>
          <w:sz w:val="24"/>
          <w:szCs w:val="24"/>
        </w:rPr>
        <w:t>Snížení spotřeby energie o 1132 TJ/rok a snížení emisí CO</w:t>
      </w:r>
      <w:r>
        <w:rPr>
          <w:rFonts w:ascii="Times New Roman" w:hAnsi="Times New Roman"/>
          <w:bCs/>
          <w:noProof/>
          <w:sz w:val="24"/>
          <w:szCs w:val="24"/>
          <w:vertAlign w:val="subscript"/>
        </w:rPr>
        <w:t>2</w:t>
      </w:r>
      <w:r>
        <w:rPr>
          <w:rFonts w:ascii="Times New Roman" w:hAnsi="Times New Roman"/>
          <w:bCs/>
          <w:noProof/>
          <w:sz w:val="24"/>
          <w:szCs w:val="24"/>
        </w:rPr>
        <w:t xml:space="preserve"> o 450 kt CO</w:t>
      </w:r>
      <w:r>
        <w:rPr>
          <w:rFonts w:ascii="Times New Roman" w:hAnsi="Times New Roman"/>
          <w:bCs/>
          <w:noProof/>
          <w:sz w:val="24"/>
          <w:szCs w:val="24"/>
          <w:vertAlign w:val="subscript"/>
        </w:rPr>
        <w:t>2</w:t>
      </w:r>
      <w:r>
        <w:rPr>
          <w:rFonts w:ascii="Times New Roman" w:hAnsi="Times New Roman"/>
          <w:bCs/>
          <w:noProof/>
          <w:sz w:val="24"/>
          <w:szCs w:val="24"/>
        </w:rPr>
        <w:t>/rok do 31. prosince 2025.</w:t>
      </w:r>
    </w:p>
    <w:p>
      <w:pPr>
        <w:numPr>
          <w:ilvl w:val="0"/>
          <w:numId w:val="26"/>
        </w:numPr>
        <w:autoSpaceDE w:val="0"/>
        <w:autoSpaceDN w:val="0"/>
        <w:adjustRightInd w:val="0"/>
        <w:ind w:left="360"/>
        <w:jc w:val="both"/>
        <w:rPr>
          <w:rFonts w:ascii="Times New Roman" w:hAnsi="Times New Roman"/>
          <w:noProof/>
          <w:sz w:val="24"/>
          <w:szCs w:val="24"/>
        </w:rPr>
      </w:pPr>
      <w:r>
        <w:rPr>
          <w:rFonts w:ascii="Times New Roman" w:hAnsi="Times New Roman"/>
          <w:noProof/>
          <w:sz w:val="24"/>
          <w:szCs w:val="24"/>
        </w:rPr>
        <w:t>Snížení spotřeby energie o 360 TJ/rok a snížení emisí CO</w:t>
      </w:r>
      <w:r>
        <w:rPr>
          <w:rFonts w:ascii="Times New Roman" w:hAnsi="Times New Roman"/>
          <w:noProof/>
          <w:sz w:val="24"/>
          <w:szCs w:val="24"/>
          <w:vertAlign w:val="subscript"/>
        </w:rPr>
        <w:t>2</w:t>
      </w:r>
      <w:r>
        <w:rPr>
          <w:rFonts w:ascii="Times New Roman" w:hAnsi="Times New Roman"/>
          <w:noProof/>
          <w:sz w:val="24"/>
          <w:szCs w:val="24"/>
        </w:rPr>
        <w:t xml:space="preserve"> o 118 kt/rok prostřednictvím podpory sociálně znevýhodněných skupin obyvatelstva do 31. prosince 2025.</w:t>
      </w:r>
    </w:p>
    <w:p>
      <w:pPr>
        <w:autoSpaceDE w:val="0"/>
        <w:autoSpaceDN w:val="0"/>
        <w:adjustRightInd w:val="0"/>
        <w:jc w:val="both"/>
        <w:rPr>
          <w:rFonts w:ascii="Times New Roman" w:eastAsia="Times New Roman" w:hAnsi="Times New Roman"/>
          <w:b/>
          <w:bCs/>
          <w:noProof/>
          <w:sz w:val="24"/>
          <w:szCs w:val="24"/>
        </w:rPr>
      </w:pPr>
      <w:r>
        <w:rPr>
          <w:rFonts w:ascii="Times New Roman" w:hAnsi="Times New Roman"/>
          <w:b/>
          <w:bCs/>
          <w:noProof/>
          <w:sz w:val="24"/>
          <w:szCs w:val="24"/>
        </w:rPr>
        <w:t xml:space="preserve">Investice č. 3: Předprojektová příprava a osvěta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 xml:space="preserve">Cílem tohoto opatření je podpořit předprojektovou přípravu energeticky úsporných renovací, výměnu zdrojů tepla za energeticky účinnější energii, a zejména automatizaci řízení spotřeby energie v sektoru bydlení, včetně vzdělávání a odborné přípravy v těchto oblastech. Bude dokončeno 120 projektů přípravy komunitních energetických projektů, 3 600 studií přípravy projektů pro rodinné domy, 1 200 studií přípravy projektů pro bytové domy a 50 projektů energetických konzultačních a informačních středisek.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Investice bude realizována do 31. prosince 2025.</w:t>
      </w:r>
    </w:p>
    <w:p>
      <w:pPr>
        <w:ind w:left="850"/>
        <w:jc w:val="both"/>
        <w:rPr>
          <w:rFonts w:ascii="Times New Roman" w:hAnsi="Times New Roman"/>
          <w:b/>
          <w:noProof/>
          <w:sz w:val="24"/>
          <w:highlight w:val="red"/>
          <w:u w:val="single"/>
        </w:rPr>
        <w:sectPr>
          <w:headerReference w:type="even" r:id="rId136"/>
          <w:headerReference w:type="default" r:id="rId137"/>
          <w:footerReference w:type="even" r:id="rId138"/>
          <w:footerReference w:type="default" r:id="rId139"/>
          <w:headerReference w:type="first" r:id="rId140"/>
          <w:footerReference w:type="first" r:id="rId141"/>
          <w:pgSz w:w="11907" w:h="16839"/>
          <w:pgMar w:top="1134" w:right="1418" w:bottom="1134" w:left="1418" w:header="709" w:footer="709" w:gutter="0"/>
          <w:cols w:space="720"/>
          <w:docGrid w:linePitch="360"/>
        </w:sectPr>
      </w:pPr>
    </w:p>
    <w:p>
      <w:pPr>
        <w:tabs>
          <w:tab w:val="left" w:pos="993"/>
        </w:tabs>
        <w:ind w:left="426"/>
        <w:jc w:val="both"/>
        <w:rPr>
          <w:rFonts w:ascii="Times New Roman" w:hAnsi="Times New Roman"/>
          <w:b/>
          <w:bCs/>
          <w:noProof/>
          <w:sz w:val="24"/>
          <w:u w:val="single"/>
        </w:rPr>
      </w:pPr>
      <w:r>
        <w:rPr>
          <w:rFonts w:ascii="Times New Roman" w:hAnsi="Times New Roman"/>
          <w:b/>
          <w:noProof/>
          <w:sz w:val="24"/>
          <w:u w:val="single"/>
        </w:rPr>
        <w:t>K.2 Milníky, cíle, ukazatele a harmonogram monitorování a provádění nevratné finanční podpory</w:t>
      </w:r>
      <w:r>
        <w:rPr>
          <w:rFonts w:ascii="Times New Roman" w:hAnsi="Times New Roman"/>
          <w:b/>
          <w:bCs/>
          <w:noProof/>
          <w:sz w:val="24"/>
          <w:u w:val="single"/>
        </w:rPr>
        <w:t xml:space="preserve"> </w:t>
      </w:r>
    </w:p>
    <w:p>
      <w:pPr>
        <w:tabs>
          <w:tab w:val="left" w:pos="993"/>
        </w:tabs>
        <w:ind w:left="426"/>
        <w:jc w:val="both"/>
        <w:rPr>
          <w:rFonts w:ascii="Times New Roman" w:hAnsi="Times New Roman"/>
          <w:b/>
          <w:bCs/>
          <w:noProof/>
          <w:sz w:val="24"/>
          <w:u w:val="single"/>
        </w:rPr>
      </w:pPr>
    </w:p>
    <w:tbl>
      <w:tblPr>
        <w:tblW w:w="0" w:type="auto"/>
        <w:jc w:val="center"/>
        <w:tblLayout w:type="fixed"/>
        <w:tblLook w:val="04A0" w:firstRow="1" w:lastRow="0" w:firstColumn="1" w:lastColumn="0" w:noHBand="0" w:noVBand="1"/>
      </w:tblPr>
      <w:tblGrid>
        <w:gridCol w:w="675"/>
        <w:gridCol w:w="1319"/>
        <w:gridCol w:w="1134"/>
        <w:gridCol w:w="1276"/>
        <w:gridCol w:w="1134"/>
        <w:gridCol w:w="850"/>
        <w:gridCol w:w="709"/>
        <w:gridCol w:w="709"/>
        <w:gridCol w:w="709"/>
        <w:gridCol w:w="665"/>
        <w:gridCol w:w="5387"/>
      </w:tblGrid>
      <w:tr>
        <w:trPr>
          <w:trHeight w:val="75"/>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Poř. č.</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268"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374"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600"/>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319"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134"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276"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134"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850"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709"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709"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709" w:type="dxa"/>
            <w:tcBorders>
              <w:top w:val="single" w:sz="8" w:space="0" w:color="auto"/>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65" w:type="dxa"/>
            <w:tcBorders>
              <w:top w:val="nil"/>
              <w:left w:val="single" w:sz="4"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5387"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123</w:t>
            </w:r>
          </w:p>
        </w:tc>
        <w:tc>
          <w:tcPr>
            <w:tcW w:w="1319"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Renovace a revitalizace budov pro úspory energie</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Konzultační a školicí služby týkající se renovační vlny renovací v rezidenčním sektoru a harmonogram provádění opatření obsažených v plánech kvality ovzduší</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Zahájení provozu konzultačních a školicích služeb a předložení harmonogramu prováděcích opatření obsažených v plánech kvality ovzduší Komisi</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5387"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Pro domácnosti bude zavedena dvoustupňová předprojektová příprava.</w:t>
            </w:r>
          </w:p>
          <w:p>
            <w:pPr>
              <w:rPr>
                <w:rFonts w:ascii="Times New Roman" w:hAnsi="Times New Roman"/>
                <w:noProof/>
                <w:color w:val="006100"/>
                <w:sz w:val="18"/>
                <w:szCs w:val="18"/>
              </w:rPr>
            </w:pPr>
            <w:r>
              <w:rPr>
                <w:rFonts w:ascii="Times New Roman" w:hAnsi="Times New Roman"/>
                <w:noProof/>
                <w:color w:val="006100"/>
                <w:sz w:val="18"/>
                <w:szCs w:val="18"/>
              </w:rPr>
              <w:t>Energetická konzultační střediska Národní sítě místních akčních skupin budou začleněna do sítě místních energetických agentur, energetického poradenského systému složeného z Energetických konzultačních a informačních středisek a jednotlivých místních akčních skupin.</w:t>
            </w:r>
          </w:p>
          <w:p>
            <w:pPr>
              <w:rPr>
                <w:rFonts w:ascii="Times New Roman" w:hAnsi="Times New Roman"/>
                <w:noProof/>
                <w:color w:val="006100"/>
                <w:sz w:val="18"/>
                <w:szCs w:val="18"/>
              </w:rPr>
            </w:pPr>
            <w:r>
              <w:rPr>
                <w:rFonts w:ascii="Times New Roman" w:hAnsi="Times New Roman"/>
                <w:noProof/>
                <w:color w:val="006100"/>
                <w:sz w:val="18"/>
                <w:szCs w:val="18"/>
              </w:rPr>
              <w:t>Zaměření Státního programu na podporu úspor energie (EFEKT) bude rozšířeno tak, aby pokrývalo poptávku po školení a rekvalifikaci pracovníků realizujících zelenou výstavbu, zelené technologie či materiály a po zvyšování kvality přípravy a realizace energeticky úsporných projektů.</w:t>
            </w:r>
          </w:p>
          <w:p>
            <w:pPr>
              <w:rPr>
                <w:rFonts w:ascii="Times New Roman" w:hAnsi="Times New Roman"/>
                <w:noProof/>
                <w:color w:val="006100"/>
                <w:sz w:val="18"/>
                <w:szCs w:val="18"/>
              </w:rPr>
            </w:pPr>
            <w:r>
              <w:rPr>
                <w:rFonts w:ascii="Times New Roman" w:hAnsi="Times New Roman"/>
                <w:noProof/>
                <w:color w:val="006100"/>
                <w:sz w:val="18"/>
                <w:szCs w:val="18"/>
              </w:rPr>
              <w:t>Stávající systém environmentálního vzdělávání a osvěty zaměřený na děti a mládež se rozšíří na celou širokou veřejnost a nově se zaměří na úspory energie, využívání obnovitelných zdrojů energie, změnu klimatu a přizpůsobení se změně klimatu.</w:t>
            </w:r>
          </w:p>
          <w:p>
            <w:pPr>
              <w:rPr>
                <w:rFonts w:ascii="Times New Roman" w:hAnsi="Times New Roman"/>
                <w:noProof/>
                <w:color w:val="006100"/>
                <w:sz w:val="18"/>
                <w:szCs w:val="18"/>
              </w:rPr>
            </w:pPr>
            <w:r>
              <w:rPr>
                <w:rFonts w:ascii="Times New Roman" w:hAnsi="Times New Roman"/>
                <w:noProof/>
                <w:color w:val="006100"/>
                <w:sz w:val="18"/>
                <w:szCs w:val="18"/>
              </w:rPr>
              <w:t xml:space="preserve">Bude zpracován harmonogram realizace opatření obsažených ve schválených plánech kvality ovzduší zaměřených na aglomerace s nejvyšší výskytem překročených hodnot a jejich realizace bude zahájena do 30. června 2022. </w:t>
            </w:r>
          </w:p>
        </w:tc>
      </w:tr>
      <w:tr>
        <w:trPr>
          <w:trHeight w:val="38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124</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2: Podpora předprojektové přípravy a podpora komunitních energetických projektů</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Poradenské služby pro energetická společenství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podpořených energetických společenství</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 každém kraji Česka zřídí krajská pracoviště Státního fondu životního prostředí ČR poradenské služby zaměřené na instalaci nových obnovitelných zdrojů energie, aby se odstranily překážky budoucí integrace těchto zdrojů do širšího energetického společenství, na menší společná úložiště energie pro více domů, vytváření energetických společenství v rámci jednotlivých bytových domů a další investiční opatření mající vazbu na energetická společenství.</w:t>
            </w:r>
          </w:p>
          <w:p>
            <w:pPr>
              <w:rPr>
                <w:rFonts w:ascii="Times New Roman" w:hAnsi="Times New Roman"/>
                <w:noProof/>
                <w:color w:val="006100"/>
                <w:sz w:val="18"/>
                <w:szCs w:val="18"/>
              </w:rPr>
            </w:pPr>
            <w:r>
              <w:rPr>
                <w:rFonts w:ascii="Times New Roman" w:hAnsi="Times New Roman"/>
                <w:noProof/>
                <w:color w:val="006100"/>
                <w:sz w:val="18"/>
                <w:szCs w:val="18"/>
              </w:rPr>
              <w:t>Poradenské služby Státního fondu životního prostředí ČR podpoří zřízení 120 energetických společenství, jakož i osvětu a vzdělávání zaměřené na rozvoj energetických společenství budou podporovat.</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125</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Renovace a revitalizace budov pro úspory energie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Smluvně zajištěné projekty na snížení spotřeby energie (v období 02/2022–07/2021)</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energie v TJ za rok</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pl-PL"/>
              </w:rPr>
            </w:pPr>
          </w:p>
          <w:p>
            <w:pPr>
              <w:jc w:val="center"/>
              <w:rPr>
                <w:rFonts w:ascii="Times New Roman" w:hAnsi="Times New Roman"/>
                <w:noProof/>
                <w:color w:val="006100"/>
                <w:sz w:val="18"/>
                <w:szCs w:val="18"/>
              </w:rPr>
            </w:pPr>
            <w:r>
              <w:rPr>
                <w:rFonts w:ascii="Times New Roman" w:hAnsi="Times New Roman"/>
                <w:noProof/>
                <w:color w:val="006100"/>
                <w:sz w:val="18"/>
                <w:szCs w:val="18"/>
              </w:rPr>
              <w:t>0</w:t>
            </w:r>
          </w:p>
          <w:p>
            <w:pPr>
              <w:jc w:val="center"/>
              <w:rPr>
                <w:rFonts w:ascii="Times New Roman" w:hAnsi="Times New Roman"/>
                <w:noProof/>
                <w:color w:val="006100"/>
                <w:sz w:val="18"/>
                <w:szCs w:val="18"/>
                <w:lang w:val="en-IE"/>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1 200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Projekty na snížení spotřeby energie o 1 200 TJ/rok budou Státním fondem životního prostředí zadány v období od 1. února 2020 do 30. září 2021. </w:t>
            </w:r>
          </w:p>
          <w:p>
            <w:pPr>
              <w:rPr>
                <w:rFonts w:ascii="Times New Roman" w:hAnsi="Times New Roman"/>
                <w:noProof/>
                <w:color w:val="006100"/>
                <w:sz w:val="18"/>
                <w:szCs w:val="18"/>
              </w:rPr>
            </w:pPr>
            <w:r>
              <w:rPr>
                <w:rFonts w:ascii="Times New Roman" w:hAnsi="Times New Roman"/>
                <w:noProof/>
                <w:color w:val="006100"/>
                <w:sz w:val="18"/>
                <w:szCs w:val="18"/>
              </w:rPr>
              <w:t>K realizaci budou vybrány pouze projekty, které v průměru dosáhnou snížení spotřeby primární energie alespoň o 30 %.</w:t>
            </w:r>
            <w:r>
              <w:rPr>
                <w:rFonts w:ascii="Times New Roman" w:hAnsi="Times New Roman"/>
                <w:noProof/>
                <w:sz w:val="18"/>
                <w:szCs w:val="18"/>
              </w:rPr>
              <w:t xml:space="preserve"> </w:t>
            </w:r>
            <w:r>
              <w:rPr>
                <w:rFonts w:ascii="Times New Roman" w:hAnsi="Times New Roman"/>
                <w:noProof/>
                <w:color w:val="006100"/>
                <w:sz w:val="18"/>
                <w:szCs w:val="18"/>
              </w:rPr>
              <w:t>Investice do kondenzačních plynových kotlů jsou omezeny na nejvýše 20 % celkových přidělených prostředků z opatření 2.5.1.</w:t>
            </w:r>
            <w:r>
              <w:rPr>
                <w:noProof/>
                <w:sz w:val="18"/>
                <w:szCs w:val="18"/>
              </w:rPr>
              <w:t xml:space="preserve">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126</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Renovace a revitalizace budov pro úspory energie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Snížení spotřeby energie</w:t>
            </w:r>
            <w:r>
              <w:rPr>
                <w:rFonts w:ascii="Times New Roman" w:hAnsi="Times New Roman"/>
                <w:noProof/>
                <w:sz w:val="18"/>
                <w:szCs w:val="18"/>
              </w:rPr>
              <w:t xml:space="preserve"> </w:t>
            </w:r>
            <w:r>
              <w:rPr>
                <w:rFonts w:ascii="Times New Roman" w:hAnsi="Times New Roman"/>
                <w:noProof/>
                <w:color w:val="006100"/>
                <w:sz w:val="18"/>
                <w:szCs w:val="18"/>
              </w:rPr>
              <w:t>a snížení emisí CO</w:t>
            </w:r>
            <w:r>
              <w:rPr>
                <w:rFonts w:ascii="Times New Roman" w:hAnsi="Times New Roman"/>
                <w:noProof/>
                <w:color w:val="006100"/>
                <w:sz w:val="18"/>
                <w:szCs w:val="18"/>
                <w:vertAlign w:val="subscript"/>
              </w:rPr>
              <w:t>2</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energie v TJ za rok</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1 200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4 021</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 období od 1. února 2020 do 31. prosince 2025 se spotřeba energie sníží o 4 021 TJ/rok a emise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o 631 kt/rok, toto snížení se prokáže certifikátem energetické náročnosti.</w:t>
            </w:r>
          </w:p>
          <w:p>
            <w:pPr>
              <w:rPr>
                <w:rFonts w:ascii="Times New Roman" w:hAnsi="Times New Roman"/>
                <w:noProof/>
                <w:color w:val="006100"/>
                <w:sz w:val="18"/>
                <w:szCs w:val="18"/>
              </w:rPr>
            </w:pPr>
            <w:r>
              <w:rPr>
                <w:rFonts w:ascii="Times New Roman" w:hAnsi="Times New Roman"/>
                <w:noProof/>
                <w:color w:val="006100"/>
                <w:sz w:val="18"/>
                <w:szCs w:val="18"/>
              </w:rPr>
              <w:t>K realizaci budou vybrány pouze projekty, které v průměru dosáhnou snížení spotřeby primární energie alespoň o 30 %. Investice do kondenzačních plynových kotlů jsou omezeny na nejvýše 20 % celkových přidělených prostředků z opatření 2.5.1.</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127</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Nahrazení stacionárních zdrojů znečištění v domácnostech obnovitelnými zdroji energie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Smluvně zajištěné projekty na snížení spotřeby energie a emisí CO2 (mezi 1. čtvrtletím 2020 a třetím čtvrtletím 2021)</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energie v TJ za rok</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186</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Projekty na snížení spotřeby energie o 186 TJ/rok a emisí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o 91 kt/rok zadá Státní fond životního prostředí do 30. září 2021.</w:t>
            </w:r>
          </w:p>
          <w:p>
            <w:pPr>
              <w:rPr>
                <w:rFonts w:ascii="Times New Roman" w:hAnsi="Times New Roman"/>
                <w:noProof/>
                <w:color w:val="006100"/>
                <w:sz w:val="18"/>
                <w:szCs w:val="18"/>
              </w:rPr>
            </w:pPr>
            <w:r>
              <w:rPr>
                <w:rFonts w:ascii="Times New Roman" w:hAnsi="Times New Roman"/>
                <w:noProof/>
                <w:color w:val="006100"/>
                <w:sz w:val="18"/>
                <w:szCs w:val="18"/>
              </w:rPr>
              <w:t>Pokud jde o biomasu, má být dosaženo alespoň 80% úspory emisí skleníkových plynů pocházejících z používání biomasy ve vztahu k metodice úspor emisí skleníkových plynů a k referenčním fosilním palivům stanoveným v příloze VI směrnice (EU) 2018/2001.</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128</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Nahrazení stacionárních zdrojů znečištění v domácnostech obnovitelnými zdroji energie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Snížení spotřeby energie a emisí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(35 % provedeno)</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pl-PL"/>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Úspory energie v TJ za rok </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186</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396</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Do 30. září 2023 se spotřeba energie sníží o 396 TJ/rok a emise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o 158 kt/rok, toto snížení se prokáže certifikátem energetické náročnosti.</w:t>
            </w:r>
          </w:p>
          <w:p>
            <w:pPr>
              <w:rPr>
                <w:rFonts w:ascii="Times New Roman" w:hAnsi="Times New Roman"/>
                <w:noProof/>
                <w:color w:val="006100"/>
                <w:sz w:val="18"/>
                <w:szCs w:val="18"/>
              </w:rPr>
            </w:pPr>
            <w:r>
              <w:rPr>
                <w:rFonts w:ascii="Times New Roman" w:hAnsi="Times New Roman"/>
                <w:noProof/>
                <w:color w:val="006100"/>
                <w:sz w:val="18"/>
                <w:szCs w:val="18"/>
              </w:rPr>
              <w:t>Pokud jde o biomasu, má být dosaženo alespoň 80% úspory emisí skleníkových plynů pocházejících z používání biomasy ve vztahu k metodice úspor emisí skleníkových plynů a k referenčním fosilním palivům stanoveným v příloze VI směrnice (EU) 2018/2001.</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129</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Nahrazení stacionárních zdrojů znečištění v domácnostech obnovitelnými zdroji energie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Snížení spotřeby energie a snížení emisí CO</w:t>
            </w:r>
            <w:r>
              <w:rPr>
                <w:rFonts w:ascii="Times New Roman" w:hAnsi="Times New Roman"/>
                <w:noProof/>
                <w:color w:val="006100"/>
                <w:sz w:val="18"/>
                <w:szCs w:val="18"/>
                <w:vertAlign w:val="subscript"/>
              </w:rPr>
              <w:t>2</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Úspory energie v TJ za rok</w:t>
            </w:r>
            <w:r>
              <w:rPr>
                <w:rFonts w:ascii="Times New Roman" w:hAnsi="Times New Roman"/>
                <w:noProof/>
                <w:sz w:val="18"/>
                <w:szCs w:val="18"/>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396</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1 132</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Do 31. prosince 2025 se spotřeba energie sníží o 1 132 TJ/rok a emise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o 450 kt/rok, toto snížení se prokáže certifikátem energetické náročnosti.</w:t>
            </w:r>
          </w:p>
          <w:p>
            <w:pPr>
              <w:rPr>
                <w:rFonts w:ascii="Times New Roman" w:hAnsi="Times New Roman"/>
                <w:noProof/>
                <w:color w:val="006100"/>
                <w:sz w:val="18"/>
                <w:szCs w:val="18"/>
              </w:rPr>
            </w:pPr>
            <w:r>
              <w:rPr>
                <w:rFonts w:ascii="Times New Roman" w:hAnsi="Times New Roman"/>
                <w:noProof/>
                <w:color w:val="006100"/>
                <w:sz w:val="18"/>
                <w:szCs w:val="18"/>
              </w:rPr>
              <w:t>Do 31. prosince 2025 se spotřeba energie sníží o 360 TJ/rok a emise CO</w:t>
            </w:r>
            <w:r>
              <w:rPr>
                <w:rFonts w:ascii="Times New Roman" w:hAnsi="Times New Roman"/>
                <w:noProof/>
                <w:color w:val="006100"/>
                <w:sz w:val="18"/>
                <w:szCs w:val="18"/>
                <w:vertAlign w:val="subscript"/>
              </w:rPr>
              <w:t>2</w:t>
            </w:r>
            <w:r>
              <w:rPr>
                <w:rFonts w:ascii="Times New Roman" w:hAnsi="Times New Roman"/>
                <w:noProof/>
                <w:color w:val="006100"/>
                <w:sz w:val="18"/>
                <w:szCs w:val="18"/>
              </w:rPr>
              <w:t xml:space="preserve"> o 118 kt/rok prostřednictvím podpory sociálně znevýhodněných skupin obyvatel. Snížení se prokáže certifikátem energetické náročnosti.</w:t>
            </w:r>
          </w:p>
          <w:p>
            <w:pPr>
              <w:rPr>
                <w:rFonts w:ascii="Times New Roman" w:hAnsi="Times New Roman"/>
                <w:noProof/>
                <w:color w:val="006100"/>
                <w:sz w:val="18"/>
                <w:szCs w:val="18"/>
              </w:rPr>
            </w:pPr>
            <w:r>
              <w:rPr>
                <w:rFonts w:ascii="Times New Roman" w:hAnsi="Times New Roman"/>
                <w:noProof/>
                <w:color w:val="006100"/>
                <w:sz w:val="18"/>
                <w:szCs w:val="18"/>
              </w:rPr>
              <w:t>Pokud jde o biomasu, má být dosaženo alespoň 80% úspory emisí skleníkových plynů pocházejících z používání biomasy ve vztahu k metodice úspor emisí skleníkových plynů a k referenčním fosilním palivům stanoveným v příloze VI směrnice (EU) 2018/2001.</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130</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Podpora předprojektové přípravy a osvěty, vzdělávání, odborné přípravy a informovanosti v oblasti úspor energie a snižování emisí skleníkových plynů a dalších látek znečišťujících ovzduší.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Předprojektová příprava, studie, odborná příprava a komunitní energetické projekty</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projektů</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4 970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dokončeno 4 970 projektů, včetně 120 projektů přípravy komunitních energetických projektů, 3 600 studií přípravy projektů pro rodinné domy, 1 200 studií přípravy projektů pro bytové domy a 50 projektů Energetických konzultačních a informačních středisek.</w:t>
            </w:r>
          </w:p>
        </w:tc>
      </w:tr>
    </w:tbl>
    <w:p>
      <w:pPr>
        <w:tabs>
          <w:tab w:val="left" w:pos="993"/>
        </w:tabs>
        <w:jc w:val="both"/>
        <w:rPr>
          <w:rFonts w:ascii="Times New Roman" w:hAnsi="Times New Roman"/>
          <w:b/>
          <w:bCs/>
          <w:noProof/>
          <w:sz w:val="24"/>
          <w:u w:val="single"/>
        </w:rPr>
      </w:pPr>
    </w:p>
    <w:p>
      <w:pPr>
        <w:pStyle w:val="Heading1"/>
        <w:numPr>
          <w:ilvl w:val="0"/>
          <w:numId w:val="0"/>
        </w:numPr>
        <w:ind w:left="850" w:hanging="850"/>
        <w:rPr>
          <w:noProof/>
          <w:highlight w:val="yellow"/>
        </w:rPr>
      </w:pPr>
      <w:r>
        <w:rPr>
          <w:noProof/>
        </w:rPr>
        <w:t xml:space="preserve">L. KOMPONENTA č. 2.6: Ochrana přírody a adaptace na změnu klimatu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Tato komponenta Plánu pro oživení a odolnost České republiky v souladu se „Strategií přizpůsobení se změně klimatu v podmínkách České republiky“ přispívá k řešení výzev vyplývajících ze změny klimatu v těchto prioritních oblastech: obhospodařování lesů, zemědělství, vodní režim v krajině, hospodaření s vodou a biologická rozmanitost. </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Aby bylo zajištěno, že je opatření v souladu s technickými pokyny k uplatňování zásady „významně nepoškozovat“ (2021/C58/01), musí kritéria způsobilosti uvedená v zadávacích podmínkách pro nadcházející výzvy k předkládání projektů vyžadovat, aby byly vybrány pouze činnosti, které jsou v souladu s příslušnými právními předpisy EU a vnitrostátními právními předpisy v oblasti životního prostředí, konkrétně s rámcovou směrnicí o vodě, směrnicí o povodních, směrnicí o stanovištích a směrnicí o ochraně ptáků, směrnicemi o posuzování vlivů na životní prostředí a strategickém posuzování vlivů na životní prostředí</w:t>
      </w:r>
    </w:p>
    <w:p>
      <w:pPr>
        <w:jc w:val="both"/>
        <w:rPr>
          <w:rFonts w:ascii="Times New Roman" w:hAnsi="Times New Roman"/>
          <w:iCs/>
          <w:noProof/>
          <w:sz w:val="24"/>
          <w:szCs w:val="24"/>
        </w:rPr>
      </w:pPr>
      <w:r>
        <w:rPr>
          <w:rFonts w:ascii="Times New Roman" w:hAnsi="Times New Roman"/>
          <w:iCs/>
          <w:noProof/>
          <w:color w:val="000000"/>
          <w:sz w:val="24"/>
          <w:szCs w:val="24"/>
        </w:rPr>
        <w:t xml:space="preserve">Zadávací řízení se zahajují v souladu s právními předpisy EU a vnitrostátními právními předpisy o zadávání veřejných zakázek. Ministerstvo zemědělství zajistí, aby vybrané projekty byly v souladu s příslušnými unijními a vnitrostátními právními předpisy v oblasti ochrany životního prostředí, jmenovitě s rámcovou směrnicí o vodě, směrnicí o povodních, směrnicí o stanovištích a směrnicí o ochraně ptáků, směrnicemi o posuzování vlivů na životní prostředí a strategickém posuzování vlivů na životní prostředí a s technickými pokyny k uplatňování zásady „významně nepoškozovat“ (2021/C58/01). </w:t>
      </w:r>
    </w:p>
    <w:p>
      <w:pPr>
        <w:pBdr>
          <w:top w:val="nil"/>
          <w:left w:val="nil"/>
          <w:bottom w:val="nil"/>
          <w:right w:val="nil"/>
          <w:between w:val="nil"/>
        </w:pBdr>
        <w:jc w:val="both"/>
        <w:rPr>
          <w:rFonts w:ascii="Times New Roman" w:eastAsia="Times New Roman" w:hAnsi="Times New Roman"/>
          <w:b/>
          <w:i/>
          <w:noProof/>
          <w:sz w:val="24"/>
          <w:szCs w:val="24"/>
        </w:rPr>
      </w:pPr>
      <w:r>
        <w:rPr>
          <w:rFonts w:ascii="Times New Roman" w:hAnsi="Times New Roman"/>
          <w:b/>
          <w:noProof/>
          <w:color w:val="000000"/>
          <w:sz w:val="24"/>
          <w:szCs w:val="24"/>
          <w:u w:val="single"/>
        </w:rPr>
        <w:t>L.1 Popis reforem a investic pro nevratnou finanční podporu</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 xml:space="preserve">Investice č. 1: Protipovodňová ochrana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tohoto opatření je ochrana obydlených oblastí proti negativním účinkům povodní, zlepšení zadržování vody v krajině a usnadnění přirozeného režimu stávajících vodních děl v zastavěných oblastech. Investice zahrnuje: určení potenciálu pro zadržování vody, budování, úpravy a rekonstrukce suchých nádrží (tzv. poldrů) a vsakovacích travnatých pásů, výstavbu a rekonstrukce přírodních vodních nádrží, a další opatření ke zpomalení povrchového odtoku vody a snížení rychlosti povodňové vlny.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31. prosince 2023.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 xml:space="preserve">Investice č. 2: Drobné vodní toky a malé vodní nádrže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tohoto opatření je výrazné zlepšení morfologického stavu stávajících drobných vodních toků a malých vodních nádrží v rámci revitalizace drobných vodních toků a budování nových malých tůní co nejbližších přírodním podmínkám. </w:t>
      </w:r>
      <w:r>
        <w:rPr>
          <w:rFonts w:ascii="Times New Roman" w:hAnsi="Times New Roman"/>
          <w:noProof/>
          <w:sz w:val="24"/>
          <w:szCs w:val="24"/>
        </w:rPr>
        <w:t>Opatření přispívá k zadržování vody, zvyšuje rozvoj pobřežní vegetace a retenci vody ve vodních tocích</w:t>
      </w:r>
      <w:r>
        <w:rPr>
          <w:rFonts w:ascii="Times New Roman" w:hAnsi="Times New Roman"/>
          <w:noProof/>
          <w:color w:val="000000"/>
          <w:sz w:val="24"/>
          <w:szCs w:val="24"/>
        </w:rPr>
        <w:t xml:space="preserve">. </w:t>
      </w:r>
      <w:r>
        <w:rPr>
          <w:rFonts w:ascii="Times New Roman" w:hAnsi="Times New Roman"/>
          <w:noProof/>
          <w:sz w:val="24"/>
          <w:szCs w:val="24"/>
        </w:rPr>
        <w:t>Vede rovněž ke zvýšení bezpečnosti v případě povodní v městech a obcích</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31. prosince 2023.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3:</w:t>
      </w:r>
      <w:r>
        <w:rPr>
          <w:rFonts w:ascii="Times New Roman" w:hAnsi="Times New Roman"/>
          <w:noProof/>
          <w:sz w:val="24"/>
          <w:szCs w:val="24"/>
        </w:rPr>
        <w:t xml:space="preserve"> </w:t>
      </w:r>
      <w:r>
        <w:rPr>
          <w:rFonts w:ascii="Times New Roman" w:hAnsi="Times New Roman"/>
          <w:b/>
          <w:noProof/>
          <w:color w:val="000000"/>
          <w:sz w:val="24"/>
          <w:szCs w:val="24"/>
        </w:rPr>
        <w:t xml:space="preserve">Provádění pozemkových úprav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opatření je zvýšit ekologickou stabilitu krajiny a její odolnost vůči klimatické změně, podpořit biologickou rozmanitost a mimoprodukční funkce krajiny a chránit zemědělskou půdu a vodní zdroje. Základem opatření bude posouzení potenciálu pro zadržování vody v krajině a opatření se zaměří především na ochranu kvality i kvantity půdy a vody, rozčlenění velkých ploch zemědělské půdy krajinnými prvky, zavádění přírodních protierozních opatření v krajině (meze, průlehy, příkopy, travnaté pásy) pro eliminaci nepříznivých účinků povrchového odtoku vody. Opatření k zadržování vody se zaměří především na projekty jako je obnova mokřadů, revitalizace vodních toků a budování rybníků. Tato investice rovněž zahrne realizaci opatření zelené infrastruktury podporujících biologickou rozmanitost, jako jsou biocentra a biokoridory.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31. prosince 2023.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b/>
          <w:noProof/>
          <w:color w:val="000000"/>
          <w:sz w:val="24"/>
          <w:szCs w:val="24"/>
        </w:rPr>
        <w:t>Investice č. 4:</w:t>
      </w:r>
      <w:r>
        <w:rPr>
          <w:rFonts w:ascii="Times New Roman" w:hAnsi="Times New Roman"/>
          <w:noProof/>
          <w:sz w:val="24"/>
          <w:szCs w:val="24"/>
        </w:rPr>
        <w:t xml:space="preserve"> </w:t>
      </w:r>
      <w:r>
        <w:rPr>
          <w:rFonts w:ascii="Times New Roman" w:hAnsi="Times New Roman"/>
          <w:b/>
          <w:noProof/>
          <w:color w:val="000000"/>
          <w:sz w:val="24"/>
          <w:szCs w:val="24"/>
        </w:rPr>
        <w:t xml:space="preserve">Budování lesů odolných klimatické změně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tohoto opatření je obnova stabilních lesních porostů výsadbou původních a heterogenních druhů při snaze o vícegenerační a prostorovou skladbu lesa odolného změně klimatu v souladu s Národním akčním plánem adaptace na změnu klimatu. Tato investice bude doplněna novelou ministerské vyhlášky o lesním hospodářském plánování, která konkrétně připraví půdu pro vícegenerační, vícedruhové a odolné lesy.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bude dokončena do 30. září 2024.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5:</w:t>
      </w:r>
      <w:r>
        <w:rPr>
          <w:rFonts w:ascii="Times New Roman" w:hAnsi="Times New Roman"/>
          <w:noProof/>
          <w:sz w:val="24"/>
          <w:szCs w:val="24"/>
        </w:rPr>
        <w:t xml:space="preserve"> </w:t>
      </w:r>
      <w:r>
        <w:rPr>
          <w:rFonts w:ascii="Times New Roman" w:hAnsi="Times New Roman"/>
          <w:b/>
          <w:noProof/>
          <w:color w:val="000000"/>
          <w:sz w:val="24"/>
          <w:szCs w:val="24"/>
        </w:rPr>
        <w:t xml:space="preserve">Zadržování vody v lese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tohoto opatření je zvýšení kapacity zadržování vody v lesích realizací projektů zlepšujících půdní, vodní a mikroklimatické podmínky, jako jsou úpravy na vodních tocích, malé vodní nádrže v lesích a opatření pro přirozené zadržování vody a zpomalování odtoku a monitorováním zrychlené eroze a ochrany bystřinných povodí. </w:t>
      </w:r>
    </w:p>
    <w:p>
      <w:pPr>
        <w:pBdr>
          <w:top w:val="nil"/>
          <w:left w:val="nil"/>
          <w:bottom w:val="nil"/>
          <w:right w:val="nil"/>
          <w:between w:val="nil"/>
        </w:pBdr>
        <w:rPr>
          <w:rFonts w:ascii="Times New Roman" w:eastAsia="Times New Roman" w:hAnsi="Times New Roman"/>
          <w:noProof/>
          <w:color w:val="000000"/>
          <w:sz w:val="24"/>
          <w:szCs w:val="24"/>
          <w:u w:val="single"/>
        </w:rPr>
        <w:sectPr>
          <w:headerReference w:type="even" r:id="rId142"/>
          <w:headerReference w:type="default" r:id="rId143"/>
          <w:footerReference w:type="even" r:id="rId144"/>
          <w:footerReference w:type="default" r:id="rId145"/>
          <w:headerReference w:type="first" r:id="rId146"/>
          <w:footerReference w:type="first" r:id="rId147"/>
          <w:pgSz w:w="11907" w:h="16839"/>
          <w:pgMar w:top="1134" w:right="1418" w:bottom="1134" w:left="1418" w:header="709" w:footer="709" w:gutter="0"/>
          <w:cols w:space="720"/>
          <w:docGrid w:linePitch="299"/>
        </w:sectPr>
      </w:pPr>
      <w:r>
        <w:rPr>
          <w:rFonts w:ascii="Times New Roman" w:hAnsi="Times New Roman"/>
          <w:noProof/>
          <w:color w:val="000000"/>
          <w:sz w:val="24"/>
          <w:szCs w:val="24"/>
        </w:rPr>
        <w:t>Investice bude dokončena do 31. března 2024.</w:t>
      </w:r>
    </w:p>
    <w:p>
      <w:pPr>
        <w:pBdr>
          <w:top w:val="nil"/>
          <w:left w:val="nil"/>
          <w:bottom w:val="nil"/>
          <w:right w:val="nil"/>
          <w:between w:val="nil"/>
        </w:pBdr>
        <w:ind w:left="284"/>
        <w:jc w:val="both"/>
        <w:rPr>
          <w:rFonts w:ascii="Times New Roman" w:eastAsia="Times New Roman" w:hAnsi="Times New Roman"/>
          <w:b/>
          <w:noProof/>
          <w:color w:val="000000"/>
          <w:sz w:val="24"/>
          <w:szCs w:val="24"/>
          <w:u w:val="single"/>
        </w:rPr>
      </w:pPr>
      <w:r>
        <w:rPr>
          <w:rFonts w:ascii="Times New Roman" w:hAnsi="Times New Roman"/>
          <w:b/>
          <w:bCs/>
          <w:noProof/>
          <w:color w:val="000000"/>
          <w:sz w:val="24"/>
          <w:szCs w:val="24"/>
          <w:u w:val="single"/>
        </w:rPr>
        <w:t>L.2 Milníky, cíle, ukazatele a harmonogram monitorování a provádění nevratné finanční podpory</w:t>
      </w:r>
    </w:p>
    <w:tbl>
      <w:tblPr>
        <w:tblW w:w="14460" w:type="dxa"/>
        <w:jc w:val="center"/>
        <w:tblLayout w:type="fixed"/>
        <w:tblLook w:val="0400" w:firstRow="0" w:lastRow="0" w:firstColumn="0" w:lastColumn="0" w:noHBand="0" w:noVBand="1"/>
      </w:tblPr>
      <w:tblGrid>
        <w:gridCol w:w="665"/>
        <w:gridCol w:w="993"/>
        <w:gridCol w:w="992"/>
        <w:gridCol w:w="1701"/>
        <w:gridCol w:w="1134"/>
        <w:gridCol w:w="850"/>
        <w:gridCol w:w="567"/>
        <w:gridCol w:w="567"/>
        <w:gridCol w:w="709"/>
        <w:gridCol w:w="709"/>
        <w:gridCol w:w="5573"/>
      </w:tblGrid>
      <w:tr>
        <w:trPr>
          <w:trHeight w:val="945"/>
          <w:tblHeader/>
          <w:jc w:val="center"/>
        </w:trPr>
        <w:tc>
          <w:tcPr>
            <w:tcW w:w="665" w:type="dxa"/>
            <w:vMerge w:val="restart"/>
            <w:tcBorders>
              <w:top w:val="single" w:sz="4" w:space="0" w:color="auto"/>
              <w:left w:val="single" w:sz="4" w:space="0" w:color="auto"/>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Poř. č.</w:t>
            </w:r>
          </w:p>
        </w:tc>
        <w:tc>
          <w:tcPr>
            <w:tcW w:w="993"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Související opatření (reforma nebo investice)</w:t>
            </w:r>
          </w:p>
        </w:tc>
        <w:tc>
          <w:tcPr>
            <w:tcW w:w="992"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Milník/cíl</w:t>
            </w:r>
          </w:p>
        </w:tc>
        <w:tc>
          <w:tcPr>
            <w:tcW w:w="1701"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Název</w:t>
            </w:r>
          </w:p>
        </w:tc>
        <w:tc>
          <w:tcPr>
            <w:tcW w:w="1134" w:type="dxa"/>
            <w:vMerge w:val="restart"/>
            <w:tcBorders>
              <w:top w:val="single" w:sz="4" w:space="0" w:color="auto"/>
              <w:left w:val="single" w:sz="8" w:space="0" w:color="000000"/>
              <w:bottom w:val="single" w:sz="4" w:space="0" w:color="auto"/>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 xml:space="preserve">Kvalitativní ukazatele </w:t>
            </w:r>
            <w:r>
              <w:rPr>
                <w:noProof/>
                <w:sz w:val="18"/>
                <w:szCs w:val="18"/>
              </w:rPr>
              <w:br/>
            </w:r>
            <w:r>
              <w:rPr>
                <w:rFonts w:ascii="Times New Roman" w:hAnsi="Times New Roman"/>
                <w:b/>
                <w:bCs/>
                <w:noProof/>
                <w:sz w:val="18"/>
                <w:szCs w:val="18"/>
              </w:rPr>
              <w:t>(pro milníky)</w:t>
            </w:r>
          </w:p>
        </w:tc>
        <w:tc>
          <w:tcPr>
            <w:tcW w:w="1417" w:type="dxa"/>
            <w:gridSpan w:val="2"/>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noProof/>
                <w:sz w:val="18"/>
                <w:szCs w:val="18"/>
              </w:rPr>
            </w:pPr>
            <w:r>
              <w:rPr>
                <w:rFonts w:ascii="Times New Roman" w:hAnsi="Times New Roman"/>
                <w:b/>
                <w:bCs/>
                <w:noProof/>
                <w:sz w:val="18"/>
                <w:szCs w:val="18"/>
              </w:rPr>
              <w:t xml:space="preserve">Kvantitativní ukazatele </w:t>
            </w:r>
            <w:r>
              <w:rPr>
                <w:noProof/>
                <w:sz w:val="18"/>
                <w:szCs w:val="18"/>
              </w:rPr>
              <w:br/>
            </w:r>
            <w:r>
              <w:rPr>
                <w:rFonts w:ascii="Times New Roman" w:hAnsi="Times New Roman"/>
                <w:b/>
                <w:bCs/>
                <w:noProof/>
                <w:sz w:val="18"/>
                <w:szCs w:val="18"/>
              </w:rPr>
              <w:t>(pro cíle)</w:t>
            </w:r>
          </w:p>
        </w:tc>
        <w:tc>
          <w:tcPr>
            <w:tcW w:w="1985" w:type="dxa"/>
            <w:gridSpan w:val="3"/>
            <w:tcBorders>
              <w:top w:val="single" w:sz="8" w:space="0" w:color="000000"/>
              <w:left w:val="nil"/>
              <w:bottom w:val="single" w:sz="8" w:space="0" w:color="000000"/>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 xml:space="preserve">Orientační harmonogram dokončení </w:t>
            </w:r>
          </w:p>
        </w:tc>
        <w:tc>
          <w:tcPr>
            <w:tcW w:w="5573"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noProof/>
                <w:sz w:val="18"/>
                <w:szCs w:val="18"/>
              </w:rPr>
            </w:pPr>
            <w:r>
              <w:rPr>
                <w:rFonts w:ascii="Times New Roman" w:hAnsi="Times New Roman"/>
                <w:b/>
                <w:bCs/>
                <w:noProof/>
                <w:sz w:val="18"/>
                <w:szCs w:val="18"/>
              </w:rPr>
              <w:t>Popis každého milníku a cíle</w:t>
            </w:r>
          </w:p>
        </w:tc>
      </w:tr>
      <w:tr>
        <w:trPr>
          <w:trHeight w:val="90"/>
          <w:tblHeader/>
          <w:jc w:val="center"/>
        </w:trPr>
        <w:tc>
          <w:tcPr>
            <w:tcW w:w="665" w:type="dxa"/>
            <w:vMerge/>
            <w:tcBorders>
              <w:top w:val="single" w:sz="8" w:space="0" w:color="000000"/>
              <w:left w:val="single" w:sz="4" w:space="0" w:color="auto"/>
              <w:bottom w:val="single" w:sz="4" w:space="0" w:color="auto"/>
              <w:right w:val="single" w:sz="8" w:space="0" w:color="000000"/>
            </w:tcBorders>
            <w:vAlign w:val="center"/>
          </w:tcPr>
          <w:p>
            <w:pPr>
              <w:rPr>
                <w:noProof/>
                <w:sz w:val="18"/>
                <w:szCs w:val="18"/>
              </w:rPr>
            </w:pPr>
          </w:p>
        </w:tc>
        <w:tc>
          <w:tcPr>
            <w:tcW w:w="993"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992"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1701" w:type="dxa"/>
            <w:vMerge/>
            <w:tcBorders>
              <w:top w:val="single" w:sz="8" w:space="0" w:color="000000"/>
              <w:left w:val="single" w:sz="8" w:space="0" w:color="000000"/>
              <w:bottom w:val="single" w:sz="4" w:space="0" w:color="auto"/>
              <w:right w:val="single" w:sz="8" w:space="0" w:color="000000"/>
            </w:tcBorders>
            <w:vAlign w:val="center"/>
          </w:tcPr>
          <w:p>
            <w:pPr>
              <w:rPr>
                <w:noProof/>
                <w:sz w:val="18"/>
                <w:szCs w:val="18"/>
              </w:rPr>
            </w:pPr>
          </w:p>
        </w:tc>
        <w:tc>
          <w:tcPr>
            <w:tcW w:w="1134" w:type="dxa"/>
            <w:vMerge/>
            <w:tcBorders>
              <w:top w:val="single" w:sz="8" w:space="0" w:color="000000"/>
              <w:left w:val="single" w:sz="8" w:space="0" w:color="000000"/>
              <w:bottom w:val="single" w:sz="4" w:space="0" w:color="auto"/>
              <w:right w:val="single" w:sz="4" w:space="0" w:color="auto"/>
            </w:tcBorders>
            <w:vAlign w:val="center"/>
          </w:tcPr>
          <w:p>
            <w:pPr>
              <w:rPr>
                <w:noProof/>
                <w:sz w:val="18"/>
                <w:szCs w:val="18"/>
              </w:rPr>
            </w:pPr>
          </w:p>
        </w:tc>
        <w:tc>
          <w:tcPr>
            <w:tcW w:w="850" w:type="dxa"/>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 xml:space="preserve">Výchozí stav </w:t>
            </w:r>
          </w:p>
        </w:tc>
        <w:tc>
          <w:tcPr>
            <w:tcW w:w="567"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 xml:space="preserve">Cíl </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noProof/>
                <w:sz w:val="16"/>
                <w:szCs w:val="16"/>
              </w:rPr>
            </w:pPr>
            <w:r>
              <w:rPr>
                <w:rFonts w:ascii="Times New Roman" w:hAnsi="Times New Roman"/>
                <w:b/>
                <w:bCs/>
                <w:noProof/>
                <w:sz w:val="16"/>
                <w:szCs w:val="16"/>
              </w:rPr>
              <w:t>Čtvrtletí</w:t>
            </w:r>
          </w:p>
        </w:tc>
        <w:tc>
          <w:tcPr>
            <w:tcW w:w="709" w:type="dxa"/>
            <w:tcBorders>
              <w:top w:val="nil"/>
              <w:left w:val="single" w:sz="8" w:space="0" w:color="000000"/>
              <w:bottom w:val="single" w:sz="8" w:space="0" w:color="000000"/>
              <w:right w:val="single" w:sz="4" w:space="0" w:color="auto"/>
            </w:tcBorders>
            <w:shd w:val="clear" w:color="auto" w:fill="BDD7EE"/>
            <w:vAlign w:val="center"/>
          </w:tcPr>
          <w:p>
            <w:pPr>
              <w:jc w:val="center"/>
              <w:rPr>
                <w:noProof/>
                <w:sz w:val="16"/>
                <w:szCs w:val="16"/>
              </w:rPr>
            </w:pPr>
            <w:r>
              <w:rPr>
                <w:rFonts w:ascii="Times New Roman" w:hAnsi="Times New Roman"/>
                <w:b/>
                <w:bCs/>
                <w:noProof/>
                <w:sz w:val="16"/>
                <w:szCs w:val="16"/>
              </w:rPr>
              <w:t>Rok</w:t>
            </w:r>
          </w:p>
        </w:tc>
        <w:tc>
          <w:tcPr>
            <w:tcW w:w="5573" w:type="dxa"/>
            <w:vMerge/>
            <w:tcBorders>
              <w:left w:val="single" w:sz="4" w:space="0" w:color="auto"/>
              <w:bottom w:val="single" w:sz="4" w:space="0" w:color="auto"/>
              <w:right w:val="single" w:sz="4" w:space="0" w:color="auto"/>
            </w:tcBorders>
            <w:vAlign w:val="center"/>
          </w:tcPr>
          <w:p>
            <w:pPr>
              <w:rPr>
                <w:noProof/>
                <w:sz w:val="18"/>
                <w:szCs w:val="18"/>
              </w:rPr>
            </w:pPr>
          </w:p>
        </w:tc>
      </w:tr>
      <w:tr>
        <w:trPr>
          <w:trHeight w:val="315"/>
          <w:jc w:val="center"/>
        </w:trPr>
        <w:tc>
          <w:tcPr>
            <w:tcW w:w="665"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131</w:t>
            </w:r>
          </w:p>
        </w:tc>
        <w:tc>
          <w:tcPr>
            <w:tcW w:w="993"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Protipovodňová ochrana</w:t>
            </w:r>
          </w:p>
        </w:tc>
        <w:tc>
          <w:tcPr>
            <w:tcW w:w="992"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Oznámení o zadání zakázek týkajících se protipovodňové ochrany</w:t>
            </w:r>
          </w:p>
        </w:tc>
        <w:tc>
          <w:tcPr>
            <w:tcW w:w="1134"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Oznámení vítězných projektů a předkladatelů nabídek, kterým [název řídícího orgánu] zadal zakázku</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2022 </w:t>
            </w:r>
          </w:p>
        </w:tc>
        <w:tc>
          <w:tcPr>
            <w:tcW w:w="5573"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Oznámení vítězných projektů týkajících se protipovodňové ochrany (celkový počet projektů: 40). U každého projektu bude před zahájením jakýchkoli stavebních prací zajištěn a prokázán plný soulad s požadavky rámcové směrnice o vodě. </w:t>
            </w:r>
          </w:p>
        </w:tc>
      </w:tr>
      <w:tr>
        <w:trPr>
          <w:trHeight w:val="671"/>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132</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Protipovodňová ochrana</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C1: Dokončení 20 projektů zaměřených na vybudování odolné protipovodňové ochrany</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20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První zpráva o dokončení vypracovaná nezávislým technickým odborníkem certifikovaným Ministerstvem zemědělství pro 20 uvedených projektů. V souladu s Národním akčním plánem adaptace na změnu klimatu a Státní politikou životního prostředí České republiky 2030 s výhledem do 2050 budou upřednostněna přírodní řešení a bude se předcházet výstavbě a/nebo rekonstrukci umělých betonových prvků protipovodňové infrastruktury.</w:t>
            </w:r>
          </w:p>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Vyjmenované projekty budou realizovány až poté, co příslušný vodoprávní orgán vydá povolení na základě posouzení vlivů na životní prostředí a příslušných posouzení v souvislosti se směrnicí 2000/60/ES. Tato povolení posoudí veškeré možné dopady na stav vodních útvarů v témže povodí a na chráněná stanoviště a druhy přímo závislé na vodě, a to zejména s ohledem na migrační koridory, neregulované řeky nebo téměř nenarušené ekosystémy, jakož i na aktuální tlak související s odběrem vody. Posouzení dopadů musí stanovit, že projekt i) nemá významný nebo nevratný vliv na dotčené vodní útvary, ani nebrání dosažení dobrého stavu nebo potenciálu konkrétního vodního útvaru, kterého se týká, ani jiných vodních útvarů v témže povodí a ii) nemá významný negativní dopad na chráněná stanoviště a druhy přímo závislé na vodě. Je dosaženo dobrého ekologického stavu/potenciálu příslušných vodních útvarů v souladu s požadavky rámcové směrnice o vodě 2000/60/ES, což dokládají nejnovější relevantní podpůrné údaje. </w:t>
            </w:r>
          </w:p>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Obdobně budou zohledněny všechny nezbytné výsledky a podmínky podle posouzení vlivu na životní prostředí, které bude provedeno v souladu se směrnicí 2011/92/EU (zejména konzultace se zúčastněnými stranami), jakož i příslušných posouzení podle směrnice o přírodních stanovištích, jak je uvádějí podmínky stanovené orgány ochrany životního prostředí. </w:t>
            </w:r>
          </w:p>
          <w:p>
            <w:pPr>
              <w:pStyle w:val="CommentText"/>
              <w:rPr>
                <w:rFonts w:eastAsia="Times New Roman"/>
                <w:noProof/>
                <w:color w:val="004300"/>
                <w:sz w:val="18"/>
                <w:szCs w:val="18"/>
              </w:rPr>
            </w:pPr>
            <w:r>
              <w:rPr>
                <w:noProof/>
                <w:color w:val="004300"/>
                <w:sz w:val="18"/>
                <w:szCs w:val="18"/>
              </w:rPr>
              <w:t xml:space="preserve">Pokud jde o projekty rekonstrukce nebo modernizace přehrad (zejména projekt přehrady Orlík): návrh projektu zahrne nezbytné výsledky a podmínky podle posouzení vlivu na životní prostředí, které bude provedeno v souladu se směrnicí 2011/92/EU, jakož i příslušných posouzení podle směrnice 2000/60/ES, včetně realizace požadovaných zmírňujících opatření, a bude zajištěn soulad s technickými pokyny k uplatňování zásady „významně nepoškozovat“ (2021/C58/01). Veškerá opatření určená v rámci posouzení vlivů na životní prostředí a posouzení podle směrnice 2000/60/ES jako nezbytná pro zajištění souladu se zásadou „významně nepoškozovat“, budou zahrnuta do projektu a přísně dodržována ve všech fázích výstavby a provozu dané infrastruktury a vyřazování této infrastruktury z provozu. Zpráva o dokončení potvrdí plné dodržení výsledku posuzování vlivů na životní prostředí včetně provedení požadovaných zmírňujících opatření a zajištění souladu s technickými pokyny k uplatňování zásady „významně nepoškozovat“ (2021/C58/01). </w:t>
            </w:r>
            <w:r>
              <w:rPr>
                <w:iCs/>
                <w:noProof/>
                <w:color w:val="004300"/>
                <w:sz w:val="18"/>
                <w:szCs w:val="18"/>
              </w:rPr>
              <w:t>Provede se analýza rizik projektu. Tato analýza rizik se bude zabývat i budoucími klimatickými podmínkami. Rekonstrukce nebo modernizace nesmí vést ke zvýšení kapacity přehrady.</w:t>
            </w:r>
          </w:p>
        </w:tc>
      </w:tr>
      <w:tr>
        <w:trPr>
          <w:trHeight w:val="109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133</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Protipovodňová ochrana</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C2: Dokončení dalších 20 projektů zaměřených na vybudování odolné protipovodňové ochrany.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rPr>
                <w:rFonts w:ascii="Times New Roman" w:hAnsi="Times New Roman"/>
                <w:noProof/>
                <w:color w:val="004300"/>
                <w:sz w:val="18"/>
                <w:szCs w:val="18"/>
              </w:rPr>
            </w:pPr>
            <w:r>
              <w:rPr>
                <w:rFonts w:ascii="Times New Roman" w:hAnsi="Times New Roman"/>
                <w:noProof/>
                <w:color w:val="004300"/>
                <w:sz w:val="18"/>
                <w:szCs w:val="18"/>
              </w:rPr>
              <w:t xml:space="preserve"> Počet projektů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20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40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2023</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Druhá zpráva nezávislého technického odborníka o dokončení dalších 20 projektů. V souladu s Národním akčním plánem adaptace na změnu klimatu a Státní politikou životního prostředí České republiky 2030 s výhledem do 2050 budou upřednostněna přírodní řešení a bude se předcházet výstavbě a/nebo rekonstrukci umělých betonových prvků protipovodňové infrastruktury.</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Vyjmenované projekty budou realizovány až poté, co příslušný vodoprávní orgán vydá povolení na základě posouzení vlivů na životní prostředí a příslušných posouzení v souvislosti se směrnicí 2000/60/ES. Tato povolení posoudí veškeré možné dopady na stav vodních útvarů v témže povodí a na chráněná stanoviště a druhy přímo závislé na vodě, a to zejména s ohledem na migrační koridory, neregulované řeky nebo téměř nenarušené ekosystémy, jakož i na aktuální tlak související s odběrem vody. Posouzení dopadů musí stanovit, že projekt i) nemá významný nebo nevratný vliv na dotčené vodní útvary, ani nebrání dosažení dobrého stavu nebo potenciálu konkrétního vodního útvaru, kterého se týká, ani jiných vodních útvarů v témže povodí a ii) nemá významný negativní dopad na chráněná stanoviště a druhy přímo závislé na vodě. Je dosaženo dobrého ekologického stavu/potenciálu příslušných vodních útvarů v souladu s požadavky rámcové směrnice o vodě 2000/60/ES, což dokládají nejnovější relevantní podpůrné údaje. </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Obdobně budou zohledněny všechny nezbytné výsledky a podmínky podle posouzení vlivu na životní prostředí, které bude provedeno v souladu se směrnicí 2011/92/EU (zejména konzultace se zúčastněnými stranami), jakož i příslušných posouzení podle směrnice o přírodních stanovištích, jak je uvádějí podmínky stanovené orgány ochrany životního prostředí. </w:t>
            </w:r>
          </w:p>
          <w:p>
            <w:pPr>
              <w:pStyle w:val="CommentText"/>
              <w:rPr>
                <w:noProof/>
                <w:color w:val="004300"/>
                <w:sz w:val="18"/>
                <w:szCs w:val="18"/>
              </w:rPr>
            </w:pPr>
            <w:r>
              <w:rPr>
                <w:noProof/>
                <w:color w:val="004300"/>
                <w:sz w:val="18"/>
                <w:szCs w:val="18"/>
              </w:rPr>
              <w:t xml:space="preserve">Pokud jde o projekty rekonstrukce nebo modernizace přehrad (zejména projekt přehrady Orlík): návrh projektu zahrne nezbytné výsledky a podmínky podle posouzení vlivu na životní prostředí, které bude provedeno v souladu se směrnicí 2011/92/EU, jakož i příslušných posouzení podle směrnice 2000/60/ES, včetně realizace požadovaných zmírňujících opatření, a bude zajištěn soulad s technickými pokyny k uplatňování zásady „významně nepoškozovat“ (2021/C58/01). Veškerá opatření určená v rámci posouzení vlivů na životní prostředí a posouzení podle směrnice 2000/60/ES jako nezbytná pro zajištění souladu se zásadou „významně nepoškozovat“, budou zahrnuta do projektu a přísně dodržována ve všech fázích výstavby a provozu dané infrastruktury a vyřazování této infrastruktury z provozu. Zpráva o dokončení potvrdí plné dodržení výsledku posuzování vlivů na životní prostředí včetně provedení požadovaných zmírňujících opatření a zajištění souladu s technickými pokyny k uplatňování zásady „významně nepoškozovat“ (2021/C58/01). </w:t>
            </w:r>
            <w:r>
              <w:rPr>
                <w:iCs/>
                <w:noProof/>
                <w:color w:val="004300"/>
                <w:sz w:val="18"/>
                <w:szCs w:val="18"/>
              </w:rPr>
              <w:t>Provede se analýza rizik projektu. Tato analýza rizik se bude zabývat i budoucími klimatickými podmínkami. Rekonstrukce nebo modernizace nesmí vést ke zvýšení kapacity přehrady.</w:t>
            </w:r>
          </w:p>
        </w:tc>
      </w:tr>
      <w:tr>
        <w:trPr>
          <w:trHeight w:val="109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134</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Drobné vodní toky a malé vodní nádrže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Ministerstvo zemědělství předloží seznam projektů určených k podpoře v rámci investice č. 2</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Předložení seznamu projektů určených k podpoře v rámci investice č. 2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2021</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Ministerstvo zemědělství předloží Komisi databázi obsahující identifikaci projektů, stručný popis a harmonogram dokončení. Projekty se budou týkat výstavby a rekonstrukce malých vodních nádrží v celé České republice. Návrhy projektů zahrnou nezbytné výsledky a podmínky podle posouzení vlivu na životní prostředí, které bude provedeno v souladu se směrnicí 2011/92/EU, jakož i příslušných posouzení podle směrnice 2000/60/ES a směrnice Rady 92/43/EHS. </w:t>
            </w:r>
          </w:p>
        </w:tc>
      </w:tr>
      <w:tr>
        <w:trPr>
          <w:trHeight w:val="109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135</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Drobné vodní toky a malé vodní nádrže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Cíl </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C1: Dokončení 50 % projektů týkajících se drobných vodních toků a malých vodních nádrží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rPr>
                <w:rFonts w:ascii="Times New Roman" w:hAnsi="Times New Roman"/>
                <w:noProof/>
                <w:color w:val="004300"/>
                <w:sz w:val="18"/>
                <w:szCs w:val="18"/>
              </w:rPr>
            </w:pPr>
            <w:r>
              <w:rPr>
                <w:rFonts w:ascii="Times New Roman" w:hAnsi="Times New Roman"/>
                <w:noProof/>
                <w:color w:val="004300"/>
                <w:sz w:val="18"/>
                <w:szCs w:val="18"/>
              </w:rPr>
              <w:t xml:space="preserve"> Počet projektů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450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Zpráva vypracovaná nezávislým odborníkem o dokončení 50 % projektů. V souladu s Národním akčním plánem adaptace na změnu klimatu a Státní politikou životního prostředí České republiky 2030 s výhledem do 2050 budou upřednostněna přírodní řešení a bude se v maximální možné míře předcházet výstavbě a/nebo rekonstrukci umělých betonových prvků protipovodňové infrastruktury.</w:t>
            </w:r>
          </w:p>
          <w:p>
            <w:pPr>
              <w:jc w:val="both"/>
              <w:rPr>
                <w:rFonts w:ascii="Times New Roman" w:hAnsi="Times New Roman"/>
                <w:noProof/>
                <w:color w:val="004300"/>
                <w:sz w:val="18"/>
                <w:szCs w:val="18"/>
              </w:rPr>
            </w:pPr>
            <w:r>
              <w:rPr>
                <w:rFonts w:ascii="Times New Roman" w:hAnsi="Times New Roman"/>
                <w:noProof/>
                <w:color w:val="004300"/>
                <w:sz w:val="18"/>
                <w:szCs w:val="18"/>
              </w:rPr>
              <w:t>Tyto projekty budou realizovány až poté, co příslušný vodoprávní orgán vydá povolení na základě posouzení vlivů na životní prostředí a příslušných posouzení v souvislosti se směrnicí 2000/60/ES. Tato povolení posoudí veškeré možné dopady na stav vodních útvarů v témže povodí a na chráněná stanoviště a druhy přímo závislé na vodě, a to zejména s ohledem na migrační koridory, neregulované řeky nebo téměř nenarušené ekosystémy, jakož i na aktuální tlak související s odběrem vody. Posouzení dopadů musí stanovit, že projekt i) nemá významný nebo nevratný vliv na dotčené vodní útvary, ani nebrání dosažení dobrého stavu nebo potenciálu konkrétního vodního útvaru, kterého se týká, ani jiných vodních útvarů v témže povodí a ii) nemá významný negativní dopad na chráněná stanoviště a druhy přímo závislé na vodě. Je dosaženo dobrého ekologického stavu/potenciálu příslušných vodních útvarů v souladu s požadavky rámcové směrnice o vodě 2000/60/ES, což dokládají nejnovější relevantní podpůrné údaje.</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Obdobně budou zohledněny všechny nezbytné výsledky a podmínky podle posouzení vlivu na životní prostředí, které bude provedeno v souladu se směrnicí 2011/92/EU (zejména konzultace se zúčastněnými stranami), jakož i příslušných posouzení podle směrnice o přírodních stanovištích, jak je uvádějí podmínky stanovené orgány ochrany životního prostředí. </w:t>
            </w:r>
          </w:p>
          <w:p>
            <w:pPr>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w:t>
            </w:r>
            <w:r>
              <w:rPr>
                <w:rFonts w:ascii="Times New Roman" w:hAnsi="Times New Roman"/>
                <w:iCs/>
                <w:noProof/>
                <w:color w:val="004300"/>
                <w:sz w:val="18"/>
                <w:szCs w:val="18"/>
              </w:rPr>
              <w:t xml:space="preserve">V případě, že jsou vodní nádrže určeny k zavlažování, jakékoli rozšíření stávajícího zavlažovacího systému (včetně zvýšeného využívání vody, tj. nejen fyzické expanze), a to ani účinnějšími metodami, není podporováno, pokud se dotčené vodní útvary (povrchové nebo podzemní vody) nacházejí v horším stavu nebo je zde potenciál ke zhoršení (v souvislosti se zintenzivňováním změny klimatu). </w:t>
            </w:r>
          </w:p>
        </w:tc>
      </w:tr>
      <w:tr>
        <w:trPr>
          <w:trHeight w:val="109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136</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Investice č. 2: Drobné vodní toky a malé vodní nádrže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 xml:space="preserve">C2: Dokončení 50 % dalších projektů týkajících se drobných vodních toků a malých vodních nádrží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rPr>
                <w:rFonts w:ascii="Times New Roman" w:hAnsi="Times New Roman"/>
                <w:noProof/>
                <w:color w:val="004300"/>
                <w:sz w:val="18"/>
                <w:szCs w:val="18"/>
              </w:rPr>
            </w:pPr>
            <w:r>
              <w:rPr>
                <w:rFonts w:ascii="Times New Roman" w:hAnsi="Times New Roman"/>
                <w:noProof/>
                <w:color w:val="004300"/>
                <w:sz w:val="18"/>
                <w:szCs w:val="18"/>
              </w:rPr>
              <w:t xml:space="preserve"> Počet projektů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450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900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2023</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Zpráva vypracovaná nezávislým technickým odborníkem certifikovaným Ministerstvem zemědělství o dokončení zbývajících 50 % projektů. V souladu s Národním akčním plánem adaptace na změnu klimatu a Státní politikou životního prostředí České republiky 2030 s výhledem do 2050 budou upřednostněna přírodní řešení a bude se předcházet výstavbě a/nebo rekonstrukci umělých betonových prvků protipovodňové infrastruktury.</w:t>
            </w:r>
          </w:p>
          <w:p>
            <w:pPr>
              <w:jc w:val="both"/>
              <w:rPr>
                <w:rFonts w:ascii="Times New Roman" w:hAnsi="Times New Roman"/>
                <w:noProof/>
                <w:color w:val="004300"/>
                <w:sz w:val="18"/>
                <w:szCs w:val="18"/>
              </w:rPr>
            </w:pPr>
            <w:r>
              <w:rPr>
                <w:rFonts w:ascii="Times New Roman" w:hAnsi="Times New Roman"/>
                <w:noProof/>
                <w:color w:val="004300"/>
                <w:sz w:val="18"/>
                <w:szCs w:val="18"/>
              </w:rPr>
              <w:t>Tyto projekty budou realizovány až poté, co příslušný vodoprávní orgán vydá povolení na základě posouzení vlivů na životní prostředí a příslušných posouzení v souvislosti se směrnicí 2000/60/ES. Tato povolení posoudí veškeré možné dopady na stav vodních útvarů v témže povodí a na chráněná stanoviště a druhy přímo závislé na vodě, a to zejména s ohledem na migrační koridory, neregulované řeky nebo téměř nenarušené ekosystémy, jakož i na aktuální tlak související s odběrem vody. Posouzení dopadů musí stanovit, že projekt i) nemá významný nebo nevratný vliv na dotčené vodní útvary, ani nebrání dosažení dobrého stavu nebo potenciálu konkrétního vodního útvaru, kterého se týká, ani jiných vodních útvarů v témže povodí a ii) nemá významný negativní dopad na chráněná stanoviště a druhy přímo závislé na vodě. Je dosaženo dobrého ekologického stavu/potenciálu příslušných vodních útvarů v souladu s požadavky rámcové směrnice o vodě 2000/60/ES, což dokládají nejnovější relevantní podpůrné údaje.</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Obdobně budou zohledněny všechny nezbytné výsledky a podmínky podle posouzení vlivu na životní prostředí, které bude provedeno v souladu se směrnicí 2011/92/EU (zejména konzultace se zúčastněnými stranami), jakož i příslušných posouzení podle směrnice o přírodních stanovištích, jak je uvádějí podmínky stanovené orgány ochrany životního prostředí. </w:t>
            </w:r>
          </w:p>
          <w:p>
            <w:pPr>
              <w:jc w:val="both"/>
              <w:rPr>
                <w:rFonts w:ascii="Times New Roman" w:hAnsi="Times New Roman"/>
                <w:noProof/>
                <w:color w:val="004300"/>
                <w:sz w:val="18"/>
                <w:szCs w:val="18"/>
              </w:rPr>
            </w:pPr>
            <w:r>
              <w:rPr>
                <w:rFonts w:ascii="Times New Roman" w:hAnsi="Times New Roman"/>
                <w:iCs/>
                <w:noProof/>
                <w:color w:val="004300"/>
                <w:sz w:val="18"/>
                <w:szCs w:val="18"/>
              </w:rPr>
              <w:t xml:space="preserve">V případě, že jsou vodní nádrže určeny k zavlažování, jakékoli rozšíření stávajícího zavlažovacího systému (včetně zvýšeného využívání vody, tj. nejen fyzické expanze), a to ani účinnějšími metodami, není podporováno, pokud se dotčené vodní útvary (povrchové nebo podzemní vody) nacházejí v horším stavu nebo je zde potenciál ke zhoršení (v souvislosti se zintenzivňováním změny klimatu). </w:t>
            </w:r>
          </w:p>
        </w:tc>
      </w:tr>
      <w:tr>
        <w:trPr>
          <w:trHeight w:val="813"/>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137</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p>
            <w:pPr>
              <w:rPr>
                <w:rFonts w:ascii="Times New Roman" w:hAnsi="Times New Roman"/>
                <w:noProof/>
                <w:color w:val="004300"/>
                <w:sz w:val="18"/>
                <w:szCs w:val="18"/>
              </w:rPr>
            </w:pPr>
            <w:r>
              <w:rPr>
                <w:rFonts w:ascii="Times New Roman" w:hAnsi="Times New Roman"/>
                <w:noProof/>
                <w:color w:val="004300"/>
                <w:sz w:val="18"/>
                <w:szCs w:val="18"/>
              </w:rPr>
              <w:t xml:space="preserve">Investice č. 3: Provádění pozemkových úprav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Dokončení zelené infrastruktury na podporu biologické rozmanitosti, včetně biocenter, biokoridorů a výsadby místně typické zeleně v zemědělské krajině (v ha půdy, na níž se investice uskuteční).</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Hektary projektů zelené infrastruktury</w:t>
            </w:r>
          </w:p>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90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Q4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2023 </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jc w:val="both"/>
              <w:rPr>
                <w:rFonts w:ascii="Times New Roman" w:hAnsi="Times New Roman"/>
                <w:noProof/>
                <w:color w:val="004300"/>
                <w:sz w:val="18"/>
                <w:szCs w:val="18"/>
              </w:rPr>
            </w:pPr>
            <w:r>
              <w:rPr>
                <w:rFonts w:ascii="Times New Roman" w:hAnsi="Times New Roman"/>
                <w:noProof/>
                <w:color w:val="004300"/>
                <w:sz w:val="18"/>
                <w:szCs w:val="18"/>
              </w:rPr>
              <w:t xml:space="preserve">Dokončeno nejméně 90 ha projektů zelené infrastruktury. Tyto projekty jsou založeny na posouzení zadržování vody v krajině místním orgánem státní správy pro ochranu životního prostředí a jsou v souladu s Národním akčním plánem adaptace na změnu klimatu a Strategií ochrany biologické rozmanitosti České republiky, plány povodí a plány pro zvládání povodňových rizik.  </w:t>
            </w:r>
          </w:p>
        </w:tc>
      </w:tr>
      <w:tr>
        <w:trPr>
          <w:trHeight w:val="2243"/>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138</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Investice č. 3: Provádění pozemkových úprav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Dokončení činností na ochranu životního prostředí a přizpůsobení se změně klimatu (v ha půdy, na níž se investice uskuteční)</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Hektary půdy</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150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2023</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 xml:space="preserve">Jsou dokončeny činnosti v oblasti ochrany životního prostředí a přizpůsobení se změně klimatu na nejméně 150 ha. Tyto činnosti se zaměří především na ochranu půdy a vody, a to jak z hlediska kvantity, tak i kvality. V rámci jednotlivých projektů budou realizována protierozní opatření v krajině (příkopy, průlehy, meze, travnaté pásy a další retardační prvky), aby se eliminovaly nepříznivé účinky zejména přívalových dešťů. Tato opatření, která pomáhají zadržovat vodu v krajině, zejména ze stále častějších přívalových dešťů, podpoří infiltraci vody do podzemí, sníží výpar vody v zemědělské krajině a zajistí podporu malého vodního cyklu, sníží znečištění vody a odnos půdy. Vyloučeny jsou investice do infrastruktury (např. místní komunikace). </w:t>
            </w:r>
          </w:p>
        </w:tc>
      </w:tr>
      <w:tr>
        <w:trPr>
          <w:trHeight w:val="7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139</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Investice č. 4: Budování lesů odolných klimatické změně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Změna ministerské vyhlášky o lesním hospodářském plánování (změna vyhlášky č. 84/1996 Sb., o lesním hospodářském plánování)</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Vstup změny ministerské vyhlášky o lesním hospodářském plánování v platnost (změna vyhlášky č. 84/1996 Sb., o lesním hospodářském plánování)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Přijetí změny ministerské vyhlášky o lesním hospodářském plánování, která konkrétně připraví půdu pro vícegenerační, vícedruhové a odolné lesy. Cílem změny vyhlášky o lesním hospodářském plánování je vytvoření skutečného multigeneračního lesa, zavedení inovativních metod plánování lesního hospodářství pro lesy s bohatou věkovou strukturou. Vyhláška zajistí, aby složení druhů stromů v nově vysázených lesích bylo blízké přirozenému druhovému složení s výrazně vyšším podílem listnatých druhů (tzv. „doporučené složení“ vycházející z výzkumu).</w:t>
            </w:r>
          </w:p>
        </w:tc>
      </w:tr>
      <w:tr>
        <w:trPr>
          <w:trHeight w:val="7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140</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Investice č. 4: Budování lesů odolných klimatické změně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C1: Opětovné zalesnění 12 000 ha ploch melioračními a zpevňujícími dřevinami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Hektary opětovně zalesněné plochy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12000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Zpráva o dokončení vypracovaná nezávislým subjektem pro projekty opětovného zalesnění plochy 12 000 ha.  Opětovné zalesnění se zaměří na zajištění vícegeneračního multidruhového lesa, pokud jde o prostorové složení, které je spravováno podle přístupu lesnictví založeného na kontinuálním pokryvu. Jednodruhové lesy se stromy stejného stáří mají být nahrazeny biologicky rozmanitějšími ekosystémy, přičemž se omezí holoseč v případech, kdy je třeba zajistit zdraví lesa a účinnou regeneraci, a rovněž se co nejvíce omezí rozsah holoseče. </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Použijí se původní druhy stromů, s výjimkou případů, kdy lze doložit, že tyto druhy již nejsou přizpůsobeny předpokládaným klimatickým a pedohydrologickým podmínkám. Přípustné jsou rovněž směsi s nejvýše 25 % douglasky ve smíšených porostech:</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    u nichž to povolují vnitrostátní právní předpisy, </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    kromě oblastí Natura 2000 a jiných chráněných oblastí,</w:t>
            </w:r>
          </w:p>
          <w:p>
            <w:pPr>
              <w:autoSpaceDE w:val="0"/>
              <w:autoSpaceDN w:val="0"/>
              <w:spacing w:before="0" w:after="0"/>
              <w:jc w:val="both"/>
              <w:rPr>
                <w:rFonts w:ascii="Times New Roman" w:hAnsi="Times New Roman"/>
                <w:noProof/>
                <w:color w:val="004300"/>
                <w:sz w:val="18"/>
                <w:szCs w:val="18"/>
              </w:rPr>
            </w:pPr>
            <w:r>
              <w:rPr>
                <w:rFonts w:ascii="Times New Roman" w:hAnsi="Times New Roman"/>
                <w:noProof/>
                <w:color w:val="004300"/>
                <w:sz w:val="18"/>
                <w:szCs w:val="18"/>
              </w:rPr>
              <w:t xml:space="preserve">•    a pokud lze doložit vhodnost douglasky pro předpokládané klimatické podmínky na místě zalesňování. </w:t>
            </w:r>
          </w:p>
        </w:tc>
      </w:tr>
      <w:tr>
        <w:trPr>
          <w:trHeight w:val="671"/>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141</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4: Budování lesů odolných klimatické změně</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C2: Opětovné zalesnění 24 000 ha ploch melioračními a zpevňujícími dřevinami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Hektary opětovně zalesněné plochy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12000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36000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2024</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Zpráva o dokončení vypracovaná nezávislým subjektem pro dalších 24 000 ha. Opětovné zalesnění se zaměří na zajištění vícegeneračního multidruhového lesa, pokud jde o prostorové složení, které je spravováno podle přístupu lesnictví založeného na kontinuálním pokryvu. Jednodruhové lesy se stromy stejného stáří mají být nahrazeny biologicky rozmanitějšími ekosystémy, přičemž se omezí holoseč v případech, kdy je třeba zajistit zdraví lesa a účinnou regeneraci, a rovněž se co nejvíce omezí rozsah holoseče. </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Použijí se původní druhy stromů, s výjimkou případů, kdy lze doložit, že tyto druhy již nejsou přizpůsobeny předpokládaným klimatickým a pedohydrologickým podmínkám. Přípustné jsou rovněž směsi s nejvýše 25 % douglasky ve smíšených porostech:</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    u nichž to povolují vnitrostátní právní předpisy, </w:t>
            </w:r>
          </w:p>
          <w:p>
            <w:pPr>
              <w:autoSpaceDE w:val="0"/>
              <w:autoSpaceDN w:val="0"/>
              <w:spacing w:before="40" w:after="40"/>
              <w:jc w:val="both"/>
              <w:rPr>
                <w:rFonts w:ascii="Times New Roman" w:eastAsia="Times New Roman" w:hAnsi="Times New Roman"/>
                <w:noProof/>
                <w:color w:val="004300"/>
                <w:sz w:val="18"/>
                <w:szCs w:val="18"/>
              </w:rPr>
            </w:pPr>
            <w:r>
              <w:rPr>
                <w:rFonts w:ascii="Times New Roman" w:hAnsi="Times New Roman"/>
                <w:noProof/>
                <w:color w:val="004300"/>
                <w:sz w:val="18"/>
                <w:szCs w:val="18"/>
              </w:rPr>
              <w:t>•    kromě oblastí Natura 2000 a jiných chráněných oblastí,</w:t>
            </w:r>
          </w:p>
          <w:p>
            <w:pPr>
              <w:autoSpaceDE w:val="0"/>
              <w:autoSpaceDN w:val="0"/>
              <w:spacing w:before="0" w:after="0"/>
              <w:jc w:val="both"/>
              <w:rPr>
                <w:rFonts w:ascii="Times New Roman" w:hAnsi="Times New Roman"/>
                <w:noProof/>
                <w:color w:val="004300"/>
                <w:sz w:val="18"/>
                <w:szCs w:val="18"/>
              </w:rPr>
            </w:pPr>
            <w:r>
              <w:rPr>
                <w:rFonts w:ascii="Times New Roman" w:hAnsi="Times New Roman"/>
                <w:noProof/>
                <w:color w:val="004300"/>
                <w:sz w:val="18"/>
                <w:szCs w:val="18"/>
              </w:rPr>
              <w:t>•    a pokud lze doložit vhodnost douglasky pro předpokládané klimatické podmínky na místě zalesňování.</w:t>
            </w:r>
          </w:p>
        </w:tc>
      </w:tr>
      <w:tr>
        <w:trPr>
          <w:trHeight w:val="31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142</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5: Zadržování vody v lese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C1: Dokončení 40 projektů regulace přívalových toků (malé přehrady ze dřeva a přírodního kamene) za účelem zpomalení povrchových odtoků a projekty zadržování vody v lesích (zadržování vody a malé vodní nádrže).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40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Zpráva vypracovaná nezávislým subjektem o dokončení 40 projektů. Projekty budou vycházet z přírodě blízkých řešení (v souladu s Národním akčním plánem adaptace na změnu klimatu a politikou České republiky pro boj proti suchu). Návrhy projektů zahrnou nezbytné výsledky a podmínky podle posouzení vlivu na životní prostředí, které bude provedeno v souladu se směrnicí 2011/92/EU, jakož i příslušných posouzení podle směrnice 2000/60/ES a směrnice Rady 92/43/EHS.</w:t>
            </w:r>
          </w:p>
        </w:tc>
      </w:tr>
      <w:tr>
        <w:trPr>
          <w:trHeight w:val="755"/>
          <w:jc w:val="center"/>
        </w:trPr>
        <w:tc>
          <w:tcPr>
            <w:tcW w:w="66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143</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5: Zadržování vody v lese</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70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C2: Dokončení 20 dalších projektů regulace přívalových toků (malé přehrady ze dřeva a přírodního kamene) za účelem zpomalení povrchových odtoků a projekty zadržování vody v lesích (zadržování vody a malé vodní nádrže).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40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60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5573"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 xml:space="preserve">Zpráva vypracovaná nezávislým certifikovaným subjektem o dokončení dalších 20 projektů. Projekty budou vycházet z přírodě blízkých řešení (v souladu s Národním akčním plánem adaptace na změnu klimatu a politikou České republiky pro boj proti suchu). Návrhy projektů zahrnou nezbytné výsledky a podmínky podle posouzení vlivu na životní prostředí, které bude provedeno v souladu se směrnicí 2011/92/EU, jakož i příslušných posouzení podle směrnice 2000/60/ES a směrnice Rady 92/43/EHS. </w:t>
            </w:r>
          </w:p>
        </w:tc>
      </w:tr>
    </w:tbl>
    <w:p>
      <w:pPr>
        <w:pBdr>
          <w:top w:val="nil"/>
          <w:left w:val="nil"/>
          <w:bottom w:val="nil"/>
          <w:right w:val="nil"/>
          <w:between w:val="nil"/>
        </w:pBdr>
        <w:rPr>
          <w:rFonts w:ascii="Times New Roman" w:eastAsia="Times New Roman" w:hAnsi="Times New Roman"/>
          <w:noProof/>
          <w:color w:val="000000"/>
          <w:sz w:val="24"/>
          <w:szCs w:val="24"/>
        </w:rPr>
        <w:sectPr>
          <w:headerReference w:type="even" r:id="rId148"/>
          <w:headerReference w:type="default" r:id="rId149"/>
          <w:footerReference w:type="even" r:id="rId150"/>
          <w:footerReference w:type="default" r:id="rId151"/>
          <w:headerReference w:type="first" r:id="rId152"/>
          <w:footerReference w:type="first" r:id="rId153"/>
          <w:pgSz w:w="16839" w:h="11907" w:orient="landscape"/>
          <w:pgMar w:top="720" w:right="720" w:bottom="720" w:left="720" w:header="709" w:footer="709" w:gutter="0"/>
          <w:cols w:space="720"/>
        </w:sectPr>
      </w:pPr>
    </w:p>
    <w:p>
      <w:pPr>
        <w:keepNext/>
        <w:tabs>
          <w:tab w:val="left" w:pos="850"/>
        </w:tabs>
        <w:jc w:val="both"/>
        <w:outlineLvl w:val="0"/>
        <w:rPr>
          <w:rFonts w:ascii="Times New Roman" w:hAnsi="Times New Roman"/>
          <w:b/>
          <w:smallCaps/>
          <w:noProof/>
          <w:color w:val="000000"/>
          <w:sz w:val="24"/>
          <w:szCs w:val="24"/>
        </w:rPr>
      </w:pPr>
      <w:r>
        <w:rPr>
          <w:rFonts w:ascii="Times New Roman" w:hAnsi="Times New Roman"/>
          <w:b/>
          <w:smallCaps/>
          <w:noProof/>
          <w:sz w:val="24"/>
        </w:rPr>
        <w:t xml:space="preserve">M. KOMPONENTA č. 2.7: </w:t>
      </w:r>
      <w:r>
        <w:rPr>
          <w:rFonts w:ascii="Times New Roman" w:hAnsi="Times New Roman"/>
          <w:b/>
          <w:smallCaps/>
          <w:noProof/>
          <w:color w:val="000000"/>
          <w:sz w:val="24"/>
          <w:szCs w:val="24"/>
        </w:rPr>
        <w:t xml:space="preserve">Cirkulární ekonomika, recyklace a průmyslová voda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Tato komponenta Plánu pro oživení a odolnost České republiky podporuje řešení výzvy týkající se tvorby odpadů a surovinové závislosti s cílem podpořit v Česku přechod na oběhové hospodářství. Bude toho dosaženo pomocí opatření k předcházení vzniku odpadů, rozšířením recyklační infrastruktury, snížením plýtvání druhotnými surovinami, zvýšením podílu recyklovaných materiálů ve výrobcích a zvýšením surovinové bezpečnosti České republiky prostřednictvím snížené závislosti na dovážených surovinách díky trvalé a nepřetržité dostupnosti surovin. Dále se tato komponenta zaměřuje na udržitelné hospodaření s vodou, včetně opatření zaměřených na úsporu a recyklaci vody a optimalizaci jejího využívání v podnicích. Přechod na oběhové hospodářství má pomoci zvýšit odolnost České republiky vůči environmentálním i ekonomickým hrozbám.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Komponenta podporuje plnění doporučení pro zemi, podle něhož má Česko zaměřit investiční hospodářskou politiku na přechod na nízkouhlíkové hospodářství a transformaci energetiky včetně zvýšení energetické účinnosti (doporučení pro zemi č. 3 na rok 2019), a doporučení pro zemi, podle něhož má Česko zaměřit investice na ekologickou a digitální transformaci, zejména na čistou a účinnou výrobu a využívání energie (doporučení pro zemi č. 3 na rok 2020).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Zejména opatření týkající se infrastruktury pro nakládání s odpady a recyklaci musí být v souladu s článkem 28 směrnice 2008/98/ES ve znění směrnice (EU) 2018/851. </w:t>
      </w:r>
    </w:p>
    <w:p>
      <w:pPr>
        <w:pBdr>
          <w:top w:val="nil"/>
          <w:left w:val="nil"/>
          <w:bottom w:val="nil"/>
          <w:right w:val="nil"/>
          <w:between w:val="nil"/>
        </w:pBdr>
        <w:jc w:val="both"/>
        <w:rPr>
          <w:rFonts w:ascii="Times New Roman" w:hAnsi="Times New Roman"/>
          <w:i/>
          <w:noProof/>
          <w:sz w:val="24"/>
          <w:szCs w:val="24"/>
        </w:rPr>
      </w:pPr>
    </w:p>
    <w:p>
      <w:pPr>
        <w:pBdr>
          <w:top w:val="nil"/>
          <w:left w:val="nil"/>
          <w:bottom w:val="nil"/>
          <w:right w:val="nil"/>
          <w:between w:val="nil"/>
        </w:pBdr>
        <w:jc w:val="both"/>
        <w:rPr>
          <w:rFonts w:ascii="Times New Roman" w:hAnsi="Times New Roman"/>
          <w:b/>
          <w:i/>
          <w:noProof/>
          <w:sz w:val="24"/>
          <w:szCs w:val="24"/>
        </w:rPr>
      </w:pPr>
      <w:r>
        <w:rPr>
          <w:rFonts w:ascii="Times New Roman" w:hAnsi="Times New Roman"/>
          <w:b/>
          <w:noProof/>
          <w:color w:val="000000"/>
          <w:sz w:val="24"/>
          <w:szCs w:val="24"/>
          <w:u w:val="single"/>
        </w:rPr>
        <w:t>M.1 Popis reforem a investic pro nevratnou finanční podporu</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b/>
          <w:noProof/>
          <w:color w:val="000000"/>
          <w:sz w:val="24"/>
          <w:szCs w:val="24"/>
        </w:rPr>
        <w:t>Reforma č. 1: Provádění nové legislativy odpadového hospodářství ČR</w:t>
      </w:r>
      <w:r>
        <w:rPr>
          <w:rFonts w:ascii="Times New Roman" w:hAnsi="Times New Roman"/>
          <w:noProof/>
          <w:color w:val="000000"/>
          <w:sz w:val="24"/>
          <w:szCs w:val="24"/>
        </w:rPr>
        <w:t xml:space="preserve"> </w:t>
      </w:r>
    </w:p>
    <w:p>
      <w:pPr>
        <w:jc w:val="both"/>
        <w:rPr>
          <w:rFonts w:ascii="Times New Roman" w:hAnsi="Times New Roman"/>
          <w:noProof/>
          <w:color w:val="000000"/>
          <w:sz w:val="24"/>
          <w:szCs w:val="24"/>
        </w:rPr>
      </w:pPr>
      <w:r>
        <w:rPr>
          <w:rFonts w:ascii="Times New Roman" w:hAnsi="Times New Roman"/>
          <w:noProof/>
          <w:sz w:val="24"/>
          <w:szCs w:val="24"/>
        </w:rPr>
        <w:t>Reforma je zaměřena na předcházení vzniku odpadů, recyklaci, využívání a třídění odpadů a omezení skládkování s cílem posílit zásady odpovědnosti původců a ekomodulace. Do roku 2035 bude recyklováno nejméně 65 % komunálního odpadu</w:t>
      </w:r>
      <w:r>
        <w:rPr>
          <w:rStyle w:val="FootnoteReference"/>
          <w:rFonts w:ascii="Times New Roman" w:eastAsia="Times New Roman" w:hAnsi="Times New Roman"/>
          <w:noProof/>
          <w:sz w:val="24"/>
          <w:szCs w:val="24"/>
        </w:rPr>
        <w:footnoteReference w:id="10"/>
      </w:r>
      <w:r>
        <w:rPr>
          <w:rFonts w:ascii="Times New Roman" w:hAnsi="Times New Roman"/>
          <w:noProof/>
          <w:sz w:val="24"/>
          <w:szCs w:val="24"/>
        </w:rPr>
        <w:t xml:space="preserve"> a na skládku ukládáno maximálně 10 %</w:t>
      </w:r>
      <w:r>
        <w:rPr>
          <w:rStyle w:val="FootnoteReference"/>
          <w:rFonts w:ascii="Times New Roman" w:eastAsia="Times New Roman" w:hAnsi="Times New Roman"/>
          <w:noProof/>
          <w:sz w:val="24"/>
          <w:szCs w:val="24"/>
        </w:rPr>
        <w:footnoteReference w:id="11"/>
      </w:r>
      <w:r>
        <w:rPr>
          <w:rFonts w:ascii="Times New Roman" w:hAnsi="Times New Roman"/>
          <w:noProof/>
          <w:sz w:val="24"/>
          <w:szCs w:val="24"/>
        </w:rPr>
        <w:t>. Nová právní úprava týkající se nakládání s odpady v České republice je v platnosti od 1. ledna 2021. Podle nově přijatých právních předpisů o odpadech budou</w:t>
      </w:r>
      <w:r>
        <w:rPr>
          <w:rFonts w:ascii="Times" w:hAnsi="Times"/>
          <w:noProof/>
          <w:sz w:val="24"/>
          <w:szCs w:val="24"/>
        </w:rPr>
        <w:t xml:space="preserve"> v souladu s prvky, které stanoví článek 28 směrnice 2008/98/ES ve znění směrnice (EU) 2018/851 dokončeny tyto prováděcí akty týkající se nakládání s odpady, které vstoupí v platnost do 30. září 2023</w:t>
      </w:r>
      <w:r>
        <w:rPr>
          <w:rFonts w:ascii="Times New Roman" w:hAnsi="Times New Roman"/>
          <w:noProof/>
          <w:sz w:val="24"/>
          <w:szCs w:val="24"/>
        </w:rPr>
        <w:t xml:space="preserve">: </w:t>
      </w:r>
    </w:p>
    <w:p>
      <w:pPr>
        <w:numPr>
          <w:ilvl w:val="0"/>
          <w:numId w:val="30"/>
        </w:numPr>
        <w:jc w:val="both"/>
        <w:rPr>
          <w:rFonts w:ascii="Times" w:eastAsia="Times" w:hAnsi="Times" w:cs="Times"/>
          <w:noProof/>
          <w:color w:val="000000"/>
          <w:sz w:val="24"/>
          <w:szCs w:val="24"/>
        </w:rPr>
      </w:pPr>
      <w:r>
        <w:rPr>
          <w:rFonts w:ascii="Times" w:hAnsi="Times"/>
          <w:noProof/>
          <w:color w:val="000000"/>
          <w:sz w:val="24"/>
          <w:szCs w:val="24"/>
        </w:rPr>
        <w:t>Vyhláška o Katalogu odpadů č. 8/2021 Sb., kterou se zřizuje nový Katalog odpadů a stanoví pravidla pro hodnocení nebezpečných vlastností odpadu.</w:t>
      </w:r>
    </w:p>
    <w:p>
      <w:pPr>
        <w:numPr>
          <w:ilvl w:val="0"/>
          <w:numId w:val="30"/>
        </w:numPr>
        <w:jc w:val="both"/>
        <w:rPr>
          <w:rFonts w:ascii="Times" w:eastAsia="Times" w:hAnsi="Times" w:cs="Times"/>
          <w:noProof/>
          <w:color w:val="000000"/>
          <w:sz w:val="24"/>
          <w:szCs w:val="24"/>
        </w:rPr>
      </w:pPr>
      <w:r>
        <w:rPr>
          <w:rFonts w:ascii="Times" w:hAnsi="Times"/>
          <w:noProof/>
          <w:sz w:val="24"/>
          <w:szCs w:val="24"/>
        </w:rPr>
        <w:t>Vyhláška o provedení některých ustanovení zákona o obalech č. 30/2021 Sb., kterou se stanoví pravidla pro evidenci obalů a oznamování záznamů z této evidence a metodika vykazování použití obalů.</w:t>
      </w:r>
    </w:p>
    <w:p>
      <w:pPr>
        <w:numPr>
          <w:ilvl w:val="0"/>
          <w:numId w:val="30"/>
        </w:numPr>
        <w:jc w:val="both"/>
        <w:rPr>
          <w:rFonts w:ascii="Times" w:eastAsia="Times" w:hAnsi="Times" w:cs="Times"/>
          <w:noProof/>
          <w:color w:val="000000"/>
          <w:sz w:val="24"/>
          <w:szCs w:val="24"/>
        </w:rPr>
      </w:pPr>
      <w:r>
        <w:rPr>
          <w:rFonts w:ascii="Times" w:hAnsi="Times"/>
          <w:noProof/>
          <w:sz w:val="24"/>
          <w:szCs w:val="24"/>
        </w:rPr>
        <w:t>Připravovaná vyhláška o podrobnostech nakládání s odpady, kterou se provádí novela zákona o odpadech a stanoví pravidla pro nakládání se všemi toky odpadů.</w:t>
      </w:r>
    </w:p>
    <w:p>
      <w:pPr>
        <w:numPr>
          <w:ilvl w:val="0"/>
          <w:numId w:val="30"/>
        </w:numPr>
        <w:jc w:val="both"/>
        <w:rPr>
          <w:rFonts w:ascii="Times" w:eastAsia="Times" w:hAnsi="Times" w:cs="Times"/>
          <w:noProof/>
          <w:color w:val="000000"/>
          <w:sz w:val="24"/>
          <w:szCs w:val="24"/>
        </w:rPr>
      </w:pPr>
      <w:r>
        <w:rPr>
          <w:rFonts w:ascii="Times" w:hAnsi="Times"/>
          <w:noProof/>
          <w:sz w:val="24"/>
          <w:szCs w:val="24"/>
        </w:rPr>
        <w:t>Připravovaná vyhláška o vedlejších produktech a přechodu odpad/neodpad (asfaltová vyhláška), která stanoví podmínky, za nichž je asfaltová směs vedlejším produktem nebo přestává být odpadem.</w:t>
      </w:r>
    </w:p>
    <w:p>
      <w:pPr>
        <w:numPr>
          <w:ilvl w:val="0"/>
          <w:numId w:val="30"/>
        </w:numPr>
        <w:jc w:val="both"/>
        <w:rPr>
          <w:rFonts w:ascii="Times" w:eastAsia="Times" w:hAnsi="Times" w:cs="Times"/>
          <w:noProof/>
          <w:sz w:val="24"/>
          <w:szCs w:val="24"/>
        </w:rPr>
      </w:pPr>
      <w:r>
        <w:rPr>
          <w:rFonts w:ascii="Times" w:hAnsi="Times"/>
          <w:noProof/>
          <w:sz w:val="24"/>
          <w:szCs w:val="24"/>
        </w:rPr>
        <w:t>Připravovaná vyhláška o podrobnostech nakládání s vozidly s ukončenou životností, kterou se stanoví pravidla pro sběr a zpracování vozidel s ukončenou životností a způsob výpočtu úrovně opětovného použití a recyklace nebo jiného využití vozidel s ukončenou životností.</w:t>
      </w:r>
    </w:p>
    <w:p>
      <w:pPr>
        <w:pStyle w:val="ListParagraph"/>
        <w:numPr>
          <w:ilvl w:val="0"/>
          <w:numId w:val="30"/>
        </w:numPr>
        <w:spacing w:after="0" w:line="240" w:lineRule="auto"/>
        <w:jc w:val="both"/>
        <w:rPr>
          <w:rFonts w:ascii="Times" w:eastAsia="Times" w:hAnsi="Times" w:cs="Times"/>
          <w:noProof/>
          <w:sz w:val="24"/>
          <w:szCs w:val="24"/>
        </w:rPr>
      </w:pPr>
      <w:r>
        <w:rPr>
          <w:rFonts w:ascii="Times" w:hAnsi="Times"/>
          <w:noProof/>
          <w:sz w:val="24"/>
          <w:szCs w:val="24"/>
        </w:rPr>
        <w:t>Připravovaná vyhláška o zacházení s výrobky s ukončenou životností, která stanoví požadavky na pořádání informačních kampaní ke zvýšení povědomí veřejnosti o nakládání s výrobky s ukončenou životností a stanoví technické požadavky na skladování a využívání elektrického a elektronického odpadu, jako jsou odpadní baterie a akumulátory, odpadní elektrozařízení a odpadní pneumatiky.</w:t>
      </w:r>
    </w:p>
    <w:p>
      <w:pPr>
        <w:jc w:val="both"/>
        <w:rPr>
          <w:rFonts w:ascii="Times" w:eastAsia="Times" w:hAnsi="Times" w:cs="Times"/>
          <w:noProof/>
          <w:sz w:val="24"/>
          <w:szCs w:val="24"/>
        </w:rPr>
      </w:pPr>
      <w:r>
        <w:rPr>
          <w:rFonts w:ascii="Times" w:hAnsi="Times"/>
          <w:noProof/>
          <w:sz w:val="24"/>
          <w:szCs w:val="24"/>
        </w:rPr>
        <w:t xml:space="preserve">Dokončeny budou vnitrostátní a regionální plány pro nakládání s odpady, jejichž cílem je zlepšit environmentálně šetrnou přípravu k opětovnému použití, recyklaci, využití a odstranění odpadů, které vstoupí v platnost. </w:t>
      </w:r>
    </w:p>
    <w:p>
      <w:pPr>
        <w:jc w:val="both"/>
        <w:rPr>
          <w:rFonts w:ascii="Times" w:eastAsia="Times" w:hAnsi="Times" w:cs="Times"/>
          <w:noProof/>
          <w:color w:val="000000"/>
          <w:sz w:val="24"/>
          <w:szCs w:val="24"/>
        </w:rPr>
      </w:pPr>
      <w:r>
        <w:rPr>
          <w:rFonts w:ascii="Times" w:hAnsi="Times"/>
          <w:noProof/>
          <w:sz w:val="24"/>
          <w:szCs w:val="24"/>
        </w:rPr>
        <w:t xml:space="preserve">Reforma bude dokončena do 31. prosince 2023.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b/>
          <w:noProof/>
          <w:color w:val="000000"/>
          <w:sz w:val="24"/>
          <w:szCs w:val="24"/>
        </w:rPr>
        <w:t>Reforma č. 2: Dopracování a provádění strategie Cirkulární Česko 2040</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Cílem reformy je vytvořit a zahájit provádění strategie pro přechod české společnosti na oběhové hospodářství. Tohoto plánovaného systému oběhového hospodářství bude dosaženo minimalizací vzniku odpadů a využíváním vstupních zdrojů v souladu s novým akčním plánem EU pro oběhové hospodářství.</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sz w:val="24"/>
          <w:szCs w:val="24"/>
        </w:rPr>
        <w:t xml:space="preserve">Reforma spočívá v dokončení a provedení strategie Cirkulární </w:t>
      </w:r>
      <w:r>
        <w:rPr>
          <w:rFonts w:ascii="Times New Roman" w:hAnsi="Times New Roman"/>
          <w:noProof/>
          <w:color w:val="000000"/>
          <w:sz w:val="24"/>
          <w:szCs w:val="24"/>
        </w:rPr>
        <w:t>Česko 2040</w:t>
      </w:r>
      <w:r>
        <w:rPr>
          <w:rFonts w:ascii="Times New Roman" w:hAnsi="Times New Roman"/>
          <w:noProof/>
          <w:sz w:val="24"/>
          <w:szCs w:val="24"/>
        </w:rPr>
        <w:t>, která bude prosazovat zásady oběhového hospodářství a dále definovat nezbytné priority, které zajistí, aby se Česko stalo dlouhodobě odolným vůči budoucím environmentálním hrozbám, včetně změny klimatu a úbytku biologické rozmanitosti, a rozvíjelo celkově udržitelný sociální systém.</w:t>
      </w:r>
      <w:r>
        <w:rPr>
          <w:rFonts w:ascii="Times New Roman" w:hAnsi="Times New Roman"/>
          <w:noProof/>
          <w:color w:val="000000"/>
          <w:sz w:val="24"/>
          <w:szCs w:val="24"/>
        </w:rPr>
        <w:t xml:space="preserve"> Pomocí zkrácených a diverzifikovaných dodavatelských řetězců a nižší závislosti na primárních zdrojích přispěje oběhové hospodářství ke zvýšení strategické autonomie a odolnosti Česka. Strategie bude mimo jiné motivovat podniky, spotřebitele, města a obce k podpoře oběhových řešení prostřednictvím designu a výroby výrobků, inovací, výzkumu, digitalizace a vzdělávání. Strategie bude dokončena do 31. března 2022 a naváže na ni akční plán.</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Reforma bude dokončena do 30. září 2025. </w:t>
      </w:r>
    </w:p>
    <w:p>
      <w:pPr>
        <w:pBdr>
          <w:top w:val="nil"/>
          <w:left w:val="nil"/>
          <w:bottom w:val="nil"/>
          <w:right w:val="nil"/>
          <w:between w:val="nil"/>
        </w:pBdr>
        <w:rPr>
          <w:rFonts w:ascii="Times New Roman" w:hAnsi="Times New Roman"/>
          <w:noProof/>
          <w:color w:val="000000"/>
          <w:sz w:val="24"/>
          <w:szCs w:val="24"/>
        </w:rPr>
      </w:pPr>
      <w:r>
        <w:rPr>
          <w:rFonts w:ascii="Times New Roman" w:hAnsi="Times New Roman"/>
          <w:b/>
          <w:noProof/>
          <w:color w:val="000000"/>
          <w:sz w:val="24"/>
          <w:szCs w:val="24"/>
        </w:rPr>
        <w:t>Investice č. 1:</w:t>
      </w:r>
      <w:r>
        <w:rPr>
          <w:rFonts w:ascii="Times New Roman" w:hAnsi="Times New Roman"/>
          <w:noProof/>
          <w:color w:val="000000"/>
          <w:sz w:val="24"/>
          <w:szCs w:val="24"/>
        </w:rPr>
        <w:t xml:space="preserve"> </w:t>
      </w:r>
      <w:r>
        <w:rPr>
          <w:rFonts w:ascii="Times New Roman" w:hAnsi="Times New Roman"/>
          <w:b/>
          <w:noProof/>
          <w:color w:val="000000"/>
          <w:sz w:val="24"/>
          <w:szCs w:val="24"/>
        </w:rPr>
        <w:t>Budování recyklační infrastruktury</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eastAsia="Times New Roman" w:hAnsi="Times New Roman"/>
          <w:noProof/>
        </w:rPr>
      </w:pPr>
      <w:r>
        <w:rPr>
          <w:rFonts w:ascii="Times New Roman" w:hAnsi="Times New Roman"/>
          <w:noProof/>
          <w:color w:val="000000"/>
          <w:sz w:val="24"/>
          <w:szCs w:val="24"/>
        </w:rPr>
        <w:t xml:space="preserve">Cílem opatření je podpořit investice vedoucí ke zvýšení kapacity recyklační infrastruktury podporou projektů, které přispějí k rozvoji oběhového hospodářství v oblasti nakládání s biologicky rozložitelným odpadem. </w:t>
      </w:r>
      <w:r>
        <w:rPr>
          <w:rFonts w:ascii="Times New Roman" w:hAnsi="Times New Roman"/>
          <w:noProof/>
          <w:sz w:val="24"/>
          <w:szCs w:val="24"/>
        </w:rPr>
        <w:t>Budou podpořena inovativní a pokročilá řešení tříděného sběru, třídění, přípravy k opětovnému použití a recyklaci.</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Opatření podporuje projekty pomáhající v oblasti navracení kompostu a odpadu z bioplynových stanic zpět do půdy na zemědělských pozemcích, čímž se zvyšuje podíl organické hmoty v půdě. Podpora bude mimo jiné směřovat přímo k zemědělským subjektům s cílem zvýšit jejich kapacitu a podpořit využívání kompostu z kompostáren. Očekává se podpora pro 300 projektů, které zvýší kapacitu recyklační infrastruktury nejméně o 250 000 tun.</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Investice bude dokončena do 31. prosince 2025.</w:t>
      </w:r>
    </w:p>
    <w:p>
      <w:pPr>
        <w:rPr>
          <w:rFonts w:ascii="Times New Roman" w:hAnsi="Times New Roman"/>
          <w:b/>
          <w:noProof/>
          <w:color w:val="000000"/>
          <w:sz w:val="24"/>
          <w:szCs w:val="24"/>
        </w:rPr>
      </w:pPr>
      <w:r>
        <w:rPr>
          <w:noProof/>
        </w:rPr>
        <w:br w:type="page"/>
      </w:r>
      <w:r>
        <w:rPr>
          <w:rFonts w:ascii="Times New Roman" w:hAnsi="Times New Roman"/>
          <w:b/>
          <w:noProof/>
          <w:color w:val="000000"/>
          <w:sz w:val="24"/>
          <w:szCs w:val="24"/>
        </w:rPr>
        <w:t>Investice č. 2: Oběhová řešení v podnicích</w:t>
      </w:r>
    </w:p>
    <w:p>
      <w:pPr>
        <w:pBdr>
          <w:top w:val="nil"/>
          <w:left w:val="nil"/>
          <w:bottom w:val="nil"/>
          <w:right w:val="nil"/>
          <w:between w:val="nil"/>
        </w:pBdr>
        <w:jc w:val="both"/>
        <w:rPr>
          <w:rFonts w:ascii="Times New Roman" w:hAnsi="Times New Roman"/>
          <w:noProof/>
          <w:color w:val="000000"/>
          <w:sz w:val="24"/>
          <w:szCs w:val="24"/>
        </w:rPr>
      </w:pPr>
      <w:r>
        <w:rPr>
          <w:rFonts w:ascii="Times New Roman" w:hAnsi="Times New Roman"/>
          <w:noProof/>
          <w:color w:val="000000"/>
          <w:sz w:val="24"/>
          <w:szCs w:val="24"/>
        </w:rPr>
        <w:t xml:space="preserve">Cílem opatření je přispět k ekologické transformaci a udržitelnému využívání primárních surovinových zdrojů. Za tímto účelem opatření podpoří projekty, které prosazují rozvoj řešení oběhového hospodářství v podnicích. </w:t>
      </w:r>
      <w:r>
        <w:rPr>
          <w:rFonts w:ascii="Times New Roman" w:hAnsi="Times New Roman"/>
          <w:noProof/>
          <w:sz w:val="24"/>
          <w:szCs w:val="24"/>
        </w:rPr>
        <w:t xml:space="preserve">Součástí podpory jsou investice do inovativních technologií, které </w:t>
      </w:r>
      <w:r>
        <w:rPr>
          <w:rFonts w:ascii="Times New Roman" w:hAnsi="Times New Roman"/>
          <w:noProof/>
          <w:color w:val="000000"/>
          <w:sz w:val="24"/>
          <w:szCs w:val="24"/>
        </w:rPr>
        <w:t xml:space="preserve">i) </w:t>
      </w:r>
      <w:r>
        <w:rPr>
          <w:rFonts w:ascii="Times New Roman" w:hAnsi="Times New Roman"/>
          <w:noProof/>
          <w:sz w:val="24"/>
          <w:szCs w:val="24"/>
        </w:rPr>
        <w:t xml:space="preserve">umožňují nové nebo důkladnější využití druhotných surovin jako náhrady primárních zdrojů a ii) </w:t>
      </w:r>
      <w:r>
        <w:rPr>
          <w:rFonts w:ascii="Times New Roman" w:hAnsi="Times New Roman"/>
          <w:noProof/>
          <w:sz w:val="24"/>
          <w:szCs w:val="24"/>
          <w:highlight w:val="white"/>
        </w:rPr>
        <w:t>snižují materiálovou náročnost výroby a nahrazují primární suroviny druhotnými</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hAnsi="Times New Roman"/>
          <w:b/>
          <w:bCs/>
          <w:noProof/>
          <w:sz w:val="24"/>
          <w:szCs w:val="24"/>
        </w:rPr>
      </w:pPr>
      <w:r>
        <w:rPr>
          <w:rFonts w:ascii="Times New Roman" w:hAnsi="Times New Roman"/>
          <w:noProof/>
          <w:sz w:val="24"/>
          <w:szCs w:val="24"/>
        </w:rPr>
        <w:t xml:space="preserve">Opatření se rovněž zaměří na </w:t>
      </w:r>
      <w:r>
        <w:rPr>
          <w:rFonts w:ascii="Times New Roman" w:hAnsi="Times New Roman"/>
          <w:noProof/>
          <w:sz w:val="24"/>
          <w:szCs w:val="24"/>
          <w:highlight w:val="white"/>
        </w:rPr>
        <w:t xml:space="preserve">optimalizaci materiálového ekodesignu výrobků s cílem usnadnit recyklaci a opětovné použití, společně s projekty průmyslové symbiózy a dalšími investičními podnikatelskými projekty, které přispívají k přechodu </w:t>
      </w:r>
      <w:r>
        <w:rPr>
          <w:rFonts w:ascii="Times New Roman" w:hAnsi="Times New Roman"/>
          <w:noProof/>
          <w:sz w:val="24"/>
          <w:szCs w:val="24"/>
        </w:rPr>
        <w:t xml:space="preserve">na oběhové hospodářství. V neposlední řadě </w:t>
      </w:r>
      <w:r>
        <w:rPr>
          <w:rFonts w:ascii="Times New Roman" w:hAnsi="Times New Roman"/>
          <w:noProof/>
          <w:sz w:val="24"/>
          <w:szCs w:val="24"/>
          <w:highlight w:val="white"/>
        </w:rPr>
        <w:t>investice podpoří projekty zabývající se cíleným využitím recyklovaných materiálů ve výrobcích</w:t>
      </w:r>
      <w:r>
        <w:rPr>
          <w:rFonts w:ascii="Times New Roman" w:hAnsi="Times New Roman"/>
          <w:noProof/>
          <w:sz w:val="24"/>
          <w:szCs w:val="24"/>
        </w:rPr>
        <w:t xml:space="preserve">. Očekává se podpora pro nejméně 60 podniků.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Investice bude dokončena do 31. prosince 2025.</w:t>
      </w:r>
    </w:p>
    <w:p>
      <w:pPr>
        <w:pBdr>
          <w:top w:val="nil"/>
          <w:left w:val="nil"/>
          <w:bottom w:val="nil"/>
          <w:right w:val="nil"/>
          <w:between w:val="nil"/>
        </w:pBdr>
        <w:rPr>
          <w:rFonts w:ascii="Times New Roman" w:hAnsi="Times New Roman"/>
          <w:b/>
          <w:noProof/>
          <w:color w:val="000000"/>
          <w:sz w:val="24"/>
          <w:szCs w:val="24"/>
        </w:rPr>
      </w:pPr>
      <w:r>
        <w:rPr>
          <w:rFonts w:ascii="Times New Roman" w:hAnsi="Times New Roman"/>
          <w:b/>
          <w:noProof/>
          <w:color w:val="000000"/>
          <w:sz w:val="24"/>
          <w:szCs w:val="24"/>
        </w:rPr>
        <w:t>Investice č. 3:</w:t>
      </w:r>
      <w:r>
        <w:rPr>
          <w:rFonts w:ascii="Times New Roman" w:hAnsi="Times New Roman"/>
          <w:noProof/>
          <w:color w:val="000000"/>
          <w:sz w:val="24"/>
          <w:szCs w:val="24"/>
        </w:rPr>
        <w:t xml:space="preserve"> </w:t>
      </w:r>
      <w:r>
        <w:rPr>
          <w:rFonts w:ascii="Times New Roman" w:hAnsi="Times New Roman"/>
          <w:b/>
          <w:noProof/>
          <w:color w:val="000000"/>
          <w:sz w:val="24"/>
          <w:szCs w:val="24"/>
        </w:rPr>
        <w:t xml:space="preserve">Úspora vody v průmyslu </w:t>
      </w:r>
    </w:p>
    <w:p>
      <w:pPr>
        <w:pBdr>
          <w:top w:val="nil"/>
          <w:left w:val="nil"/>
          <w:bottom w:val="nil"/>
          <w:right w:val="nil"/>
          <w:between w:val="nil"/>
        </w:pBdr>
        <w:rPr>
          <w:rFonts w:ascii="Times New Roman" w:hAnsi="Times New Roman"/>
          <w:noProof/>
          <w:sz w:val="24"/>
          <w:szCs w:val="24"/>
        </w:rPr>
      </w:pPr>
      <w:r>
        <w:rPr>
          <w:rFonts w:ascii="Times New Roman" w:hAnsi="Times New Roman"/>
          <w:noProof/>
          <w:color w:val="000000"/>
          <w:sz w:val="24"/>
          <w:szCs w:val="24"/>
        </w:rPr>
        <w:t xml:space="preserve">Cílem opatření je přispět k oběhovému hospodářství zlepšením hospodaření s vodou v </w:t>
      </w:r>
      <w:r>
        <w:rPr>
          <w:rFonts w:ascii="Times New Roman" w:hAnsi="Times New Roman"/>
          <w:noProof/>
          <w:sz w:val="24"/>
          <w:szCs w:val="24"/>
        </w:rPr>
        <w:t xml:space="preserve">průmyslu. </w:t>
      </w:r>
    </w:p>
    <w:p>
      <w:pPr>
        <w:pBdr>
          <w:top w:val="nil"/>
          <w:left w:val="nil"/>
          <w:bottom w:val="nil"/>
          <w:right w:val="nil"/>
          <w:between w:val="nil"/>
        </w:pBdr>
        <w:rPr>
          <w:rFonts w:ascii="Times New Roman" w:hAnsi="Times New Roman"/>
          <w:noProof/>
          <w:sz w:val="24"/>
          <w:szCs w:val="24"/>
        </w:rPr>
      </w:pPr>
      <w:r>
        <w:rPr>
          <w:rFonts w:ascii="Times New Roman" w:hAnsi="Times New Roman"/>
          <w:noProof/>
          <w:sz w:val="24"/>
          <w:szCs w:val="24"/>
        </w:rPr>
        <w:t xml:space="preserve">Opatření se zaměří na projekty, které řeší tyto otázky: </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 xml:space="preserve">optimalizaci spotřeby vody instalací nových technologií a zařízení pro úsporu vody, </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recyklaci vody ve výrobních odvětvích a dalších obchodních činnostech s vysokou spotřebou vody,</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 xml:space="preserve">opětovné využití znečištěné nebo použité provozní vody v jiných procesech, </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 xml:space="preserve">optimalizaci spotřeby vody v podnicích veřejných služeb, </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snižování ztrát vody v uzavřených vodovodních systémech a rozvodech vody,</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využití potenciálu odpadní páry,</w:t>
      </w:r>
    </w:p>
    <w:p>
      <w:pPr>
        <w:pStyle w:val="ListParagraph"/>
        <w:numPr>
          <w:ilvl w:val="0"/>
          <w:numId w:val="31"/>
        </w:numPr>
        <w:pBdr>
          <w:top w:val="nil"/>
          <w:left w:val="nil"/>
          <w:bottom w:val="nil"/>
          <w:right w:val="nil"/>
          <w:between w:val="nil"/>
        </w:pBdr>
        <w:spacing w:after="120" w:line="240" w:lineRule="auto"/>
        <w:rPr>
          <w:rFonts w:ascii="Times New Roman" w:hAnsi="Times New Roman"/>
          <w:noProof/>
          <w:sz w:val="24"/>
          <w:szCs w:val="24"/>
        </w:rPr>
      </w:pPr>
      <w:r>
        <w:rPr>
          <w:rFonts w:ascii="Times New Roman" w:hAnsi="Times New Roman"/>
          <w:noProof/>
          <w:sz w:val="24"/>
          <w:szCs w:val="24"/>
        </w:rPr>
        <w:t xml:space="preserve">další projekty zaměřené na zlepšení hospodaření s vodou v průmyslu. </w:t>
      </w:r>
    </w:p>
    <w:p>
      <w:pPr>
        <w:pBdr>
          <w:top w:val="nil"/>
          <w:left w:val="nil"/>
          <w:bottom w:val="nil"/>
          <w:right w:val="nil"/>
          <w:between w:val="nil"/>
        </w:pBdr>
        <w:rPr>
          <w:rFonts w:ascii="Times New Roman" w:hAnsi="Times New Roman"/>
          <w:noProof/>
          <w:sz w:val="24"/>
          <w:szCs w:val="24"/>
        </w:rPr>
      </w:pPr>
      <w:r>
        <w:rPr>
          <w:rFonts w:ascii="Times New Roman" w:hAnsi="Times New Roman"/>
          <w:noProof/>
          <w:sz w:val="24"/>
          <w:szCs w:val="24"/>
        </w:rPr>
        <w:t>Očekává se podpora pro nejméně 40 podniků.</w:t>
      </w:r>
    </w:p>
    <w:p>
      <w:pPr>
        <w:pBdr>
          <w:top w:val="nil"/>
          <w:left w:val="nil"/>
          <w:bottom w:val="nil"/>
          <w:right w:val="nil"/>
          <w:between w:val="nil"/>
        </w:pBdr>
        <w:rPr>
          <w:rFonts w:ascii="Times New Roman" w:hAnsi="Times New Roman"/>
          <w:noProof/>
          <w:sz w:val="24"/>
          <w:szCs w:val="24"/>
        </w:rPr>
      </w:pPr>
      <w:r>
        <w:rPr>
          <w:rFonts w:ascii="Times New Roman" w:hAnsi="Times New Roman"/>
          <w:noProof/>
          <w:sz w:val="24"/>
          <w:szCs w:val="24"/>
        </w:rPr>
        <w:t>Investice bude dokončena do 31. prosince 2025.</w:t>
      </w:r>
    </w:p>
    <w:p>
      <w:pPr>
        <w:tabs>
          <w:tab w:val="left" w:pos="993"/>
        </w:tabs>
        <w:jc w:val="both"/>
        <w:rPr>
          <w:rFonts w:ascii="Times New Roman" w:hAnsi="Times New Roman"/>
          <w:b/>
          <w:noProof/>
          <w:sz w:val="24"/>
          <w:u w:val="single"/>
        </w:rPr>
        <w:sectPr>
          <w:headerReference w:type="even" r:id="rId154"/>
          <w:headerReference w:type="default" r:id="rId155"/>
          <w:footerReference w:type="even" r:id="rId156"/>
          <w:footerReference w:type="default" r:id="rId157"/>
          <w:headerReference w:type="first" r:id="rId158"/>
          <w:footerReference w:type="first" r:id="rId159"/>
          <w:pgSz w:w="11907" w:h="16839"/>
          <w:pgMar w:top="1134" w:right="1418" w:bottom="1134" w:left="1418" w:header="709" w:footer="709" w:gutter="0"/>
          <w:cols w:space="720"/>
        </w:sectPr>
      </w:pPr>
    </w:p>
    <w:p>
      <w:pPr>
        <w:tabs>
          <w:tab w:val="left" w:pos="993"/>
        </w:tabs>
        <w:jc w:val="both"/>
        <w:rPr>
          <w:rFonts w:ascii="Times New Roman" w:hAnsi="Times New Roman"/>
          <w:b/>
          <w:bCs/>
          <w:noProof/>
          <w:sz w:val="24"/>
          <w:u w:val="single"/>
        </w:rPr>
      </w:pPr>
      <w:r>
        <w:rPr>
          <w:rFonts w:ascii="Times New Roman" w:hAnsi="Times New Roman"/>
          <w:b/>
          <w:noProof/>
          <w:sz w:val="24"/>
          <w:u w:val="single"/>
        </w:rPr>
        <w:t>M.2 Milníky, cíle, ukazatele a harmonogram monitorování a provádění nevratné finanční podpory</w:t>
      </w:r>
      <w:r>
        <w:rPr>
          <w:rFonts w:ascii="Times New Roman" w:hAnsi="Times New Roman"/>
          <w:b/>
          <w:bCs/>
          <w:noProof/>
          <w:sz w:val="24"/>
          <w:u w:val="single"/>
        </w:rPr>
        <w:t xml:space="preserve"> </w:t>
      </w:r>
    </w:p>
    <w:p>
      <w:pPr>
        <w:jc w:val="both"/>
        <w:rPr>
          <w:rFonts w:ascii="Times New Roman" w:hAnsi="Times New Roman"/>
          <w:b/>
          <w:noProof/>
          <w:sz w:val="24"/>
          <w:highlight w:val="red"/>
          <w:u w:val="single"/>
        </w:rPr>
      </w:pPr>
    </w:p>
    <w:tbl>
      <w:tblPr>
        <w:tblW w:w="14564" w:type="dxa"/>
        <w:jc w:val="center"/>
        <w:tblLayout w:type="fixed"/>
        <w:tblLook w:val="0400" w:firstRow="0" w:lastRow="0" w:firstColumn="0" w:lastColumn="0" w:noHBand="0" w:noVBand="1"/>
      </w:tblPr>
      <w:tblGrid>
        <w:gridCol w:w="675"/>
        <w:gridCol w:w="1307"/>
        <w:gridCol w:w="961"/>
        <w:gridCol w:w="1449"/>
        <w:gridCol w:w="1559"/>
        <w:gridCol w:w="992"/>
        <w:gridCol w:w="567"/>
        <w:gridCol w:w="709"/>
        <w:gridCol w:w="992"/>
        <w:gridCol w:w="709"/>
        <w:gridCol w:w="4644"/>
      </w:tblGrid>
      <w:tr>
        <w:trPr>
          <w:trHeight w:val="533"/>
          <w:tblHeader/>
          <w:jc w:val="center"/>
        </w:trPr>
        <w:tc>
          <w:tcPr>
            <w:tcW w:w="675" w:type="dxa"/>
            <w:vMerge w:val="restart"/>
            <w:tcBorders>
              <w:top w:val="single" w:sz="4" w:space="0" w:color="auto"/>
              <w:left w:val="single" w:sz="4" w:space="0" w:color="auto"/>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Poř. č.</w:t>
            </w:r>
          </w:p>
        </w:tc>
        <w:tc>
          <w:tcPr>
            <w:tcW w:w="1307"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Související opatření (reforma nebo investice)</w:t>
            </w:r>
          </w:p>
        </w:tc>
        <w:tc>
          <w:tcPr>
            <w:tcW w:w="961"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449"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559" w:type="dxa"/>
            <w:vMerge w:val="restart"/>
            <w:tcBorders>
              <w:top w:val="single" w:sz="4" w:space="0" w:color="auto"/>
              <w:left w:val="single" w:sz="8" w:space="0" w:color="000000"/>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w:t>
            </w:r>
          </w:p>
        </w:tc>
        <w:tc>
          <w:tcPr>
            <w:tcW w:w="2268" w:type="dxa"/>
            <w:gridSpan w:val="3"/>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701" w:type="dxa"/>
            <w:gridSpan w:val="2"/>
            <w:tcBorders>
              <w:top w:val="single" w:sz="8" w:space="0" w:color="000000"/>
              <w:left w:val="nil"/>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64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75"/>
          <w:tblHeader/>
          <w:jc w:val="center"/>
        </w:trPr>
        <w:tc>
          <w:tcPr>
            <w:tcW w:w="675" w:type="dxa"/>
            <w:vMerge/>
            <w:tcBorders>
              <w:top w:val="single" w:sz="8" w:space="0" w:color="000000"/>
              <w:left w:val="single" w:sz="4" w:space="0" w:color="auto"/>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307"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61"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49"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559" w:type="dxa"/>
            <w:vMerge/>
            <w:tcBorders>
              <w:top w:val="single" w:sz="8" w:space="0" w:color="000000"/>
              <w:left w:val="single" w:sz="8" w:space="0" w:color="000000"/>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2" w:type="dxa"/>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992"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9" w:type="dxa"/>
            <w:tcBorders>
              <w:top w:val="nil"/>
              <w:left w:val="single" w:sz="8" w:space="0" w:color="000000"/>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644" w:type="dxa"/>
            <w:vMerge/>
            <w:tcBorders>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675"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144</w:t>
            </w:r>
          </w:p>
        </w:tc>
        <w:tc>
          <w:tcPr>
            <w:tcW w:w="1307"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Provádění nové legislativy odpadového hospodářství ČR</w:t>
            </w:r>
          </w:p>
        </w:tc>
        <w:tc>
          <w:tcPr>
            <w:tcW w:w="961"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Vstup v platnost prováděcího rozhodnutí navazujícího na právní předpisy o nakládání s odpady, které vypracuje Ministerstvo životního prostředí</w:t>
            </w:r>
          </w:p>
        </w:tc>
        <w:tc>
          <w:tcPr>
            <w:tcW w:w="1559"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Ustanovení v prováděcích rozhodnutích o vstupu příslušných prováděcích rozhodnutí v platnost.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644"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Mezi tato prováděcí rozhodnutí patří vyhláška o Katalogu odpadů č. 8/2021 Sb., vyhláška o provedení některých ustanovení zákona o obalech č. 30/2021 Sb., vyhláška o podrobnostech nakládání s odpady, vyhláška o vedlejších produktech a přechodu odpad/neodpad (asfaltová vyhláška), vyhláška o podrobnostech nakládání s vozidly s ukončenou životností a vyhláška o podrobnostech nakládání s výrobky s ukončenou životností (pneumatiky, elektro, baterie).</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145</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Provádění nové legislativy odpadového hospodářství ČR</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Přijetí národního a regionálního plánu pro nakládání s odpady</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Ustanovení zákona o vstupu národního a regionálního plánu pro nakládání s odpady v platnost.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2023</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Obsahuje národní a regionální plán pro nakládání s odpady zaměřený na zlepšení environmentálně šetrné přípravy na opětovné použití, recyklaci, využití a odstranění odpadů.</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146</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Dopracování a provádění strategie Cirkulární Česko 2040</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Dopracování strategie Cirkulární Česko 2040 Ministerstvem životního prostředí a její přijetí</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Zveřejnění strategie Cirkulární Česko 2040 v databázi strategických dokumentů České republiky.</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Q1</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Dopracování strategie Oběžník Česka 2040 a její přijetí. Strategie bude formulovat vizi, globální a strategické cíle, prioritní oblasti a zásady nezbytné pro dosažení oběhového hospodářství v České republice. </w:t>
            </w:r>
          </w:p>
        </w:tc>
      </w:tr>
      <w:tr>
        <w:trPr>
          <w:trHeight w:val="624"/>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147</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2: Dopracování a provádění strategie Cirkulární Česko 2040</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monitorovací zprávy hodnotící stav provádění strategie Cirkulární Česko 2040</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Zveřejnění monitorovací zprávy hodnotící stav provádění strategie Cirkulární Česko 2040.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Ministerstvo životního prostředí dokončí a zveřejní monitorovací zprávu, která zhodnotí vývoj oběhového hospodářství v České republice a pokrok dosažený při zavádění prvků strategie Cirkulární Česko 2040.</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148</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Budování recyklační infrastruktury</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Zadání všech veřejných zakázek na projekty investic do recyklační infrastruktury Ministerstvem životního prostředí </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Oznámení o zadání všech veřejných zakázek na projekty investic do recyklační infrastruktury Ministerstvem životního prostředí.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Q3</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Oznámení o zadání všech veřejných zakázek na projekty zlepšující recyklační infrastrukturu Ministerstvem životního prostředí. Vyberou se projekty, které investují do infrastruktury pro energetické využití odpadů, jež je vhodná pro dlouhodobou vizi odpadového hospodářství a recyklačního průmyslu, a to upřednostněním vyšších úrovní hierarchie nakládání s odpady. Projekty se zaměří na přeměnu alespoň 50 % hmotnosti zpracovaného tříděného odpadu, který není klasifikován jako nebezpečný, na druhotné suroviny. </w:t>
            </w:r>
          </w:p>
          <w:p>
            <w:pPr>
              <w:rPr>
                <w:rFonts w:ascii="Times New Roman" w:eastAsia="Times New Roman" w:hAnsi="Times New Roman"/>
                <w:noProof/>
                <w:color w:val="006100"/>
                <w:sz w:val="18"/>
                <w:szCs w:val="18"/>
              </w:rPr>
            </w:pPr>
            <w:r>
              <w:rPr>
                <w:rFonts w:ascii="Times New Roman" w:hAnsi="Times New Roman"/>
                <w:noProof/>
                <w:color w:val="006100"/>
                <w:sz w:val="18"/>
                <w:szCs w:val="18"/>
              </w:rPr>
              <w:t>Budou podpořena inovativní a pokročilá řešení tříděného sběru, třídění, přípravy k opětovnému použití a recyklaci. Projekty se hodnotí podle stanovených kritérií v souladu s národními a regionálními plány pro nakládání s odpady, které jsou v souladu s článkem 28 směrnice 2008/98/ES ve znění směrnice (EU) 2018/851.</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149</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Budování recyklační infrastruktury</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projektů investic do recyklační infrastruktury</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Tuny</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250 000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Investiční podpora bude poskytnuta na investice do výstavby recyklační infrastruktury v oblasti nakládání s biologicky rozložitelným odpadem. Přednostně budou podpořena zařízení pro anaerobní digesci. Projekty se zaměří na přeměnu alespoň 50 % hmotnosti zpracovaného tříděného odpadu, který není klasifikován jako nebezpečný, na druhotné suroviny.</w:t>
            </w:r>
          </w:p>
          <w:p>
            <w:pPr>
              <w:rPr>
                <w:rFonts w:ascii="Times New Roman" w:eastAsia="Times New Roman" w:hAnsi="Times New Roman"/>
                <w:noProof/>
                <w:color w:val="006100"/>
                <w:sz w:val="18"/>
                <w:szCs w:val="18"/>
              </w:rPr>
            </w:pPr>
            <w:r>
              <w:rPr>
                <w:rFonts w:ascii="Times New Roman" w:hAnsi="Times New Roman"/>
                <w:noProof/>
                <w:color w:val="006100"/>
                <w:sz w:val="18"/>
                <w:szCs w:val="18"/>
              </w:rPr>
              <w:t>Očekává se podpora pro 300 projektů, které zvýší kapacitu recyklační infrastruktury nejméně o 250 000 tun.</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150</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Oběhová řešení v podnicích</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Zadání všech veřejných zakázek na projekty investic do oběhových řešení v podnicích Ministerstvem průmyslu a obchodu</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všech veřejných zakázek na projekty investic do oběhových řešení v podnicích Ministerstvem průmyslu a obchodu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všech veřejných zakázek na projekty investic do oběhových řešení v podnicích Ministerstvem průmyslu a obchodu. Vybírány budou projekty, které posilují transformaci průmyslu směrem k nízkouhlíkové, oběhové a digitální společnosti, snižují materiálovou náročnost výroby a spotřebu primárních zdrojů.</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151</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2: Oběhová řešení v podnicích</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projektů investic do oběhových řešení v podnicích</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60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Budou dokončeny projekty, které podporují rozvoj oběhových řešení v průmyslových podnicích, zvyšují využívání druhotných surovin jako náhrady primárních zdrojů, snižují materiálovou náročnost výroby, optimalizují ekodesign materiálů s cílem usnadnit recyklaci a opětovné použití, zavádějí průmyslovou symbiózu a podporují přechod na oběhové hospodářství. Celkový rozpočet vyčerpaný za tímto účelem po dobu trvání opatření činí nejméně 39 000 000 milionů EUR.</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152</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Úspora vody v průmyslu</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Zadání všech veřejných zakázek na projekty úspor a optimalizace spotřeby vody v průmyslu Ministerstvem průmyslu a obchodu</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všech veřejných zakázek na projekty úspor a optimalizace spotřeby vody v průmyslu Ministerstvem průmyslu a obchodu.</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všech veřejných zakázek na projekty úspor a optimalizace spotřeby vody v průmyslu Ministerstvem průmyslu a obchodu. Budou vybrány projekty, které optimalizují spotřebu vody ve výrobním procesu instalací nových technologií a zařízení pro úsporu vody, přímou recyklací vody v průmyslových odvětvích náročných na spotřebu vody, opětovným využitím znečištěné/použité provozní vody v jiných procesech, optimalizací využití vody v podnicích veřejných služeb, snížením ztrát vody v uzavřených okruzích nebo optimalizací využití páry nebo jejího distribučního potenciálu.</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153</w:t>
            </w:r>
          </w:p>
        </w:tc>
        <w:tc>
          <w:tcPr>
            <w:tcW w:w="130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3: Úspora vody v průmyslu</w:t>
            </w:r>
          </w:p>
        </w:tc>
        <w:tc>
          <w:tcPr>
            <w:tcW w:w="96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4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Dokončení projektů na úsporu a optimalizaci spotřeby vody v průmyslu</w:t>
            </w:r>
          </w:p>
        </w:tc>
        <w:tc>
          <w:tcPr>
            <w:tcW w:w="15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64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Budou dokončeny projekty, které optimalizují spotřebu vody ve výrobním procesu instalací nových technologií a zařízení pro úsporu vody, přímou recyklací vody v průmyslových odvětvích náročných na spotřebu vody, opětovným využitím znečištěné/použité provozní vody v jiných procesech, optimalizací využití vody v podnicích veřejných služeb, snížením ztrát vody v uzavřených okruzích nebo optimalizací využití páry nebo jejího distribučního potenciálu. Celkový rozpočet vyčerpaný za tímto účelem po dobu trvání opatření činí nejméně 39 000 000 milionů EUR.</w:t>
            </w:r>
          </w:p>
        </w:tc>
      </w:tr>
    </w:tbl>
    <w:p>
      <w:pPr>
        <w:ind w:left="850"/>
        <w:jc w:val="both"/>
        <w:rPr>
          <w:rFonts w:ascii="Times New Roman" w:hAnsi="Times New Roman"/>
          <w:b/>
          <w:noProof/>
          <w:sz w:val="24"/>
          <w:highlight w:val="red"/>
          <w:u w:val="single"/>
        </w:rPr>
      </w:pPr>
    </w:p>
    <w:p>
      <w:pPr>
        <w:rPr>
          <w:rFonts w:ascii="Times New Roman" w:hAnsi="Times New Roman"/>
          <w:b/>
          <w:smallCaps/>
          <w:noProof/>
          <w:sz w:val="24"/>
        </w:rPr>
        <w:sectPr>
          <w:headerReference w:type="even" r:id="rId160"/>
          <w:headerReference w:type="default" r:id="rId161"/>
          <w:footerReference w:type="even" r:id="rId162"/>
          <w:footerReference w:type="default" r:id="rId163"/>
          <w:headerReference w:type="first" r:id="rId164"/>
          <w:footerReference w:type="first" r:id="rId165"/>
          <w:pgSz w:w="16839" w:h="11907" w:orient="landscape"/>
          <w:pgMar w:top="993" w:right="1134" w:bottom="1418" w:left="1134" w:header="709" w:footer="709" w:gutter="0"/>
          <w:cols w:space="720"/>
          <w:docGrid w:linePitch="299"/>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N. KOMPONENTA č. 2.8: Revitalizace území se starou stavební zátěží</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 podpoře revitalizace bývalých průmyslových nebo nevyužívaných areálů v městských oblastech (dále jen „brownfieldy“), přičemž konečným cílem je:</w:t>
      </w:r>
    </w:p>
    <w:p>
      <w:pPr>
        <w:pStyle w:val="ListParagraph"/>
        <w:numPr>
          <w:ilvl w:val="0"/>
          <w:numId w:val="36"/>
        </w:numPr>
        <w:spacing w:after="120" w:line="240" w:lineRule="auto"/>
        <w:jc w:val="both"/>
        <w:rPr>
          <w:rFonts w:ascii="Times New Roman" w:hAnsi="Times New Roman"/>
          <w:noProof/>
          <w:sz w:val="24"/>
          <w:szCs w:val="24"/>
        </w:rPr>
      </w:pPr>
      <w:r>
        <w:rPr>
          <w:rFonts w:ascii="Times New Roman" w:hAnsi="Times New Roman"/>
          <w:noProof/>
          <w:sz w:val="24"/>
          <w:szCs w:val="24"/>
        </w:rPr>
        <w:t>zlepšit energetickou účinnost renovovaných nebo rekonstruovaných budov,</w:t>
      </w:r>
    </w:p>
    <w:p>
      <w:pPr>
        <w:pStyle w:val="ListParagraph"/>
        <w:numPr>
          <w:ilvl w:val="0"/>
          <w:numId w:val="36"/>
        </w:numPr>
        <w:spacing w:after="120" w:line="240" w:lineRule="auto"/>
        <w:jc w:val="both"/>
        <w:rPr>
          <w:rFonts w:ascii="Times New Roman" w:hAnsi="Times New Roman"/>
          <w:noProof/>
          <w:sz w:val="24"/>
          <w:szCs w:val="24"/>
        </w:rPr>
      </w:pPr>
      <w:r>
        <w:rPr>
          <w:rFonts w:ascii="Times New Roman" w:hAnsi="Times New Roman"/>
          <w:noProof/>
          <w:sz w:val="24"/>
          <w:szCs w:val="24"/>
        </w:rPr>
        <w:t>postavit nové energeticky účinné budovy, pokud by renovace nebyla možná, ani účinná,</w:t>
      </w:r>
    </w:p>
    <w:p>
      <w:pPr>
        <w:pStyle w:val="ListParagraph"/>
        <w:numPr>
          <w:ilvl w:val="0"/>
          <w:numId w:val="36"/>
        </w:numPr>
        <w:spacing w:after="120" w:line="240" w:lineRule="auto"/>
        <w:jc w:val="both"/>
        <w:rPr>
          <w:rFonts w:ascii="Times New Roman" w:hAnsi="Times New Roman"/>
          <w:noProof/>
          <w:sz w:val="24"/>
          <w:szCs w:val="24"/>
        </w:rPr>
      </w:pPr>
      <w:r>
        <w:rPr>
          <w:rFonts w:ascii="Times New Roman" w:hAnsi="Times New Roman"/>
          <w:noProof/>
          <w:sz w:val="24"/>
          <w:szCs w:val="24"/>
        </w:rPr>
        <w:t>vytvořit přirozené propady uhlíku.</w:t>
      </w:r>
    </w:p>
    <w:p>
      <w:pPr>
        <w:jc w:val="both"/>
        <w:rPr>
          <w:rFonts w:ascii="Times New Roman" w:hAnsi="Times New Roman"/>
          <w:noProof/>
          <w:sz w:val="24"/>
          <w:szCs w:val="24"/>
        </w:rPr>
      </w:pPr>
      <w:r>
        <w:rPr>
          <w:rFonts w:ascii="Times New Roman" w:hAnsi="Times New Roman"/>
          <w:noProof/>
          <w:sz w:val="24"/>
          <w:szCs w:val="24"/>
        </w:rPr>
        <w:t xml:space="preserve">Komponenta zahájí komplexní přeměnu areálů a zvýší ekologickou stabilitu území vytvořením nových zelených ploch, aniž by se dotkla zemědělské půdy. Očekává se, že revitalizace území přispěje k efektivnějšímu využití technické a dopravní infrastruktury, snížení spotřeby energie a zvýšení energetické účinnosti.  </w:t>
      </w:r>
    </w:p>
    <w:p>
      <w:pPr>
        <w:jc w:val="both"/>
        <w:rPr>
          <w:rFonts w:ascii="Times New Roman" w:hAnsi="Times New Roman"/>
          <w:noProof/>
          <w:color w:val="000000"/>
          <w:sz w:val="24"/>
          <w:szCs w:val="24"/>
        </w:rPr>
      </w:pPr>
      <w:r>
        <w:rPr>
          <w:rFonts w:ascii="Times New Roman" w:hAnsi="Times New Roman"/>
          <w:noProof/>
          <w:sz w:val="24"/>
          <w:szCs w:val="24"/>
        </w:rPr>
        <w:t xml:space="preserve">Komponenta podporuje plnění doporučení pro zemi, podle něhož se má Česko </w:t>
      </w:r>
      <w:r>
        <w:rPr>
          <w:rFonts w:ascii="Times New Roman" w:hAnsi="Times New Roman"/>
          <w:noProof/>
          <w:color w:val="000000"/>
          <w:sz w:val="24"/>
          <w:szCs w:val="24"/>
          <w:highlight w:val="white"/>
        </w:rPr>
        <w:t xml:space="preserve">zaměřit na přechod na nízkouhlíkové hospodářství a transformaci energetiky včetně zvýšení energetické účinnosti (doporučení pro zemi č. 3 na rok 2019), </w:t>
      </w:r>
      <w:r>
        <w:rPr>
          <w:rFonts w:ascii="Times New Roman" w:hAnsi="Times New Roman"/>
          <w:noProof/>
          <w:color w:val="000000"/>
          <w:sz w:val="24"/>
          <w:szCs w:val="24"/>
        </w:rPr>
        <w:t>a doporučení pro zemi, podle něhož má Česko</w:t>
      </w:r>
      <w:r>
        <w:rPr>
          <w:rFonts w:ascii="Times New Roman" w:hAnsi="Times New Roman"/>
          <w:noProof/>
          <w:color w:val="000000"/>
          <w:sz w:val="24"/>
          <w:szCs w:val="24"/>
          <w:highlight w:val="white"/>
        </w:rPr>
        <w:t xml:space="preserve"> podpořit čistou a účinnou výrobu a využívání energie (doporučení pro zemi č. 3 na rok 2020). </w:t>
      </w:r>
    </w:p>
    <w:p>
      <w:pPr>
        <w:pStyle w:val="ListParagraph"/>
        <w:ind w:left="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Konkrétně bude nejméně 70 % stavebního a demoličního odpadu připraveno k opětovnému použití nebo recyklaci. </w:t>
      </w:r>
    </w:p>
    <w:p>
      <w:pPr>
        <w:jc w:val="both"/>
        <w:rPr>
          <w:rFonts w:ascii="Times New Roman" w:hAnsi="Times New Roman"/>
          <w:noProof/>
        </w:rPr>
      </w:pPr>
    </w:p>
    <w:p>
      <w:pPr>
        <w:jc w:val="both"/>
        <w:rPr>
          <w:rFonts w:ascii="Times New Roman" w:hAnsi="Times New Roman"/>
          <w:noProof/>
          <w:sz w:val="24"/>
          <w:szCs w:val="24"/>
        </w:rPr>
      </w:pPr>
      <w:r>
        <w:rPr>
          <w:rFonts w:ascii="Times New Roman" w:hAnsi="Times New Roman"/>
          <w:b/>
          <w:noProof/>
          <w:sz w:val="24"/>
          <w:szCs w:val="24"/>
          <w:u w:val="single"/>
        </w:rPr>
        <w:t>N.1 Popis reforem a investic pro nevratnou finanční podporu</w:t>
      </w:r>
    </w:p>
    <w:p>
      <w:pPr>
        <w:jc w:val="both"/>
        <w:rPr>
          <w:rFonts w:ascii="Times New Roman" w:hAnsi="Times New Roman"/>
          <w:b/>
          <w:bCs/>
          <w:noProof/>
          <w:sz w:val="24"/>
          <w:szCs w:val="24"/>
        </w:rPr>
      </w:pPr>
      <w:r>
        <w:rPr>
          <w:rFonts w:ascii="Times New Roman" w:hAnsi="Times New Roman"/>
          <w:b/>
          <w:bCs/>
          <w:noProof/>
          <w:sz w:val="24"/>
          <w:szCs w:val="24"/>
        </w:rPr>
        <w:t xml:space="preserve">Investice č. 1: Investiční podpora regenerace specifických brownfieldů </w:t>
      </w:r>
    </w:p>
    <w:p>
      <w:pPr>
        <w:jc w:val="both"/>
        <w:rPr>
          <w:rFonts w:ascii="Times New Roman" w:hAnsi="Times New Roman"/>
          <w:noProof/>
          <w:sz w:val="24"/>
          <w:szCs w:val="24"/>
        </w:rPr>
      </w:pPr>
      <w:r>
        <w:rPr>
          <w:rFonts w:ascii="Times New Roman" w:hAnsi="Times New Roman"/>
          <w:noProof/>
          <w:sz w:val="24"/>
          <w:szCs w:val="24"/>
        </w:rPr>
        <w:t>Investice podpoří projekty obnovy bývalých průmyslových areálů zaměřené na přípravu ploch pro další multifunkční využití (včetně rekonstrukce a výstavby infrastruktury nebo demolice budov). Konkrétní brownfieldy určilo Ministerstvo pro místní rozvoj ve spolupráci s agenturou CzechInvest, českou agenturou pro investice a rozvoj podnikání, která je podřízena Ministerstvu průmyslu a obchodu, a to na základě velikosti lokality, předpokládané výše investice a souladu projektu s evropskými plány přechodu na zelenou ekonomiku. Opatření bude spočívat ve zřízení dotačního programu, který bude poskytovat podporu na přípravu pozemků pro budoucí investice a na samotné investiční projekty. Investice podpoří čtrnáct projektů regenerace brownfieldů.</w:t>
      </w:r>
    </w:p>
    <w:p>
      <w:pPr>
        <w:jc w:val="both"/>
        <w:rPr>
          <w:rFonts w:ascii="Times New Roman" w:hAnsi="Times New Roman"/>
          <w:noProof/>
          <w:sz w:val="24"/>
          <w:szCs w:val="24"/>
        </w:rPr>
      </w:pPr>
      <w:r>
        <w:rPr>
          <w:rFonts w:ascii="Times New Roman" w:hAnsi="Times New Roman"/>
          <w:noProof/>
          <w:sz w:val="24"/>
          <w:szCs w:val="24"/>
        </w:rPr>
        <w:t xml:space="preserve">Investice bude dokončena do 31. prosince 2025. </w:t>
      </w:r>
    </w:p>
    <w:p>
      <w:pPr>
        <w:rPr>
          <w:rFonts w:ascii="Times New Roman" w:hAnsi="Times New Roman"/>
          <w:b/>
          <w:bCs/>
          <w:noProof/>
          <w:sz w:val="24"/>
          <w:szCs w:val="24"/>
        </w:rPr>
      </w:pPr>
      <w:r>
        <w:rPr>
          <w:rFonts w:ascii="Times New Roman" w:hAnsi="Times New Roman"/>
          <w:b/>
          <w:bCs/>
          <w:noProof/>
          <w:sz w:val="24"/>
          <w:szCs w:val="24"/>
        </w:rPr>
        <w:t>Investice č. 2: Investiční podpora regenerace brownfieldů ve vlastnictví obcí a krajů pro nepodnikatelské využití</w:t>
      </w:r>
    </w:p>
    <w:p>
      <w:pPr>
        <w:jc w:val="both"/>
        <w:rPr>
          <w:rFonts w:ascii="Times New Roman" w:hAnsi="Times New Roman"/>
          <w:noProof/>
          <w:sz w:val="24"/>
          <w:szCs w:val="24"/>
        </w:rPr>
      </w:pPr>
      <w:r>
        <w:rPr>
          <w:rFonts w:ascii="Times New Roman" w:hAnsi="Times New Roman"/>
          <w:noProof/>
          <w:sz w:val="24"/>
          <w:szCs w:val="24"/>
        </w:rPr>
        <w:t>Investice podpoří regeneraci brownfieldů ve vlastnictví místních a krajských orgánů, které budou přeměněny na zařízení občanské vybavenosti nebo veřejnou instituci, jako je škola, kulturní centrum, sportoviště, obecní úřad nebo veřejně přístupný park. Podporovány budou výhradně projekty se závazkem buď energeticky účinných renovací nebo vytvoření přirozených propadů uhlíku, včetně vytvoření trvalého travního porostu nebo výsadby stromů. Investice podpoří 45 projektů regenerace brownfieldů pro nepodnikatelské využití.</w:t>
      </w:r>
    </w:p>
    <w:p>
      <w:pPr>
        <w:jc w:val="both"/>
        <w:rPr>
          <w:rFonts w:ascii="Times New Roman" w:hAnsi="Times New Roman"/>
          <w:noProof/>
          <w:sz w:val="24"/>
          <w:szCs w:val="24"/>
        </w:rPr>
      </w:pPr>
      <w:r>
        <w:rPr>
          <w:rFonts w:ascii="Times New Roman" w:hAnsi="Times New Roman"/>
          <w:noProof/>
          <w:sz w:val="24"/>
          <w:szCs w:val="24"/>
        </w:rPr>
        <w:t xml:space="preserve">Investice bude dokončena do 31. prosince 2025. </w:t>
      </w:r>
    </w:p>
    <w:p>
      <w:pPr>
        <w:rPr>
          <w:rFonts w:ascii="Times New Roman" w:hAnsi="Times New Roman"/>
          <w:b/>
          <w:bCs/>
          <w:noProof/>
          <w:sz w:val="24"/>
          <w:szCs w:val="24"/>
        </w:rPr>
      </w:pPr>
      <w:r>
        <w:rPr>
          <w:rFonts w:ascii="Times New Roman" w:hAnsi="Times New Roman"/>
          <w:b/>
          <w:bCs/>
          <w:noProof/>
          <w:sz w:val="24"/>
          <w:szCs w:val="24"/>
        </w:rPr>
        <w:t xml:space="preserve">Investice č. 3: Investiční podpora regenerace brownfieldů ve vlastnictví obcí a krajů pro podnikatelské využití </w:t>
      </w:r>
    </w:p>
    <w:p>
      <w:pPr>
        <w:jc w:val="both"/>
        <w:rPr>
          <w:rFonts w:ascii="Times New Roman" w:hAnsi="Times New Roman"/>
          <w:noProof/>
          <w:sz w:val="24"/>
          <w:szCs w:val="24"/>
        </w:rPr>
      </w:pPr>
      <w:r>
        <w:rPr>
          <w:rFonts w:ascii="Times New Roman" w:hAnsi="Times New Roman"/>
          <w:noProof/>
          <w:sz w:val="24"/>
          <w:szCs w:val="24"/>
        </w:rPr>
        <w:t>Investice napomohou revitalizaci znehodnocených lokalit typu brownfield, které jsou ve vlastnictví obcí, včetně odstranění drobných překážek na povrchu, zejména pro podnikatelské využití a v omezené míře i pro nepodnikatelské využití. Tyto překážky zahrnují části staveb označené jako nebezpečný odpad, například materiály obsahující azbest nebo drobné úniky ropy. Zvláštní důraz bude kladen na přísné dodržování zásad modré a zelené infrastruktury a energetické účinnosti, což znamená, že budou upřednostněny projekty, které zavádějí hospodaření se srážkovou vodou podle zákona č. 254/2001 Sb. („vodní zákon“) a v případě nových budov opatření pro úspory energie nad rámec legislativních požadavků zákona č. 406/2000 Sb. („zákon o hospodaření energií“). Regenerované lokality využívají přednostně malé a střední podniky a místní firmy. Investice podpoří projekty na revitalizaci brownfieldů pro obchodní využití odpovídající cíli nejméně 76 000 m³ zastavěného prostoru.</w:t>
      </w:r>
    </w:p>
    <w:p>
      <w:pPr>
        <w:jc w:val="both"/>
        <w:rPr>
          <w:rFonts w:ascii="Times New Roman" w:hAnsi="Times New Roman"/>
          <w:noProof/>
          <w:sz w:val="24"/>
          <w:szCs w:val="24"/>
        </w:rPr>
      </w:pPr>
      <w:r>
        <w:rPr>
          <w:rFonts w:ascii="Times New Roman" w:hAnsi="Times New Roman"/>
          <w:noProof/>
          <w:sz w:val="24"/>
          <w:szCs w:val="24"/>
        </w:rPr>
        <w:t xml:space="preserve">Investice bude dokončena do 31. prosince 2025. </w:t>
      </w:r>
    </w:p>
    <w:p>
      <w:pPr>
        <w:jc w:val="both"/>
        <w:rPr>
          <w:rFonts w:ascii="Times New Roman" w:eastAsia="Times New Roman" w:hAnsi="Times New Roman"/>
          <w:noProof/>
          <w:color w:val="000000"/>
          <w:sz w:val="24"/>
          <w:szCs w:val="24"/>
        </w:rPr>
        <w:sectPr>
          <w:headerReference w:type="even" r:id="rId166"/>
          <w:headerReference w:type="default" r:id="rId167"/>
          <w:footerReference w:type="even" r:id="rId168"/>
          <w:footerReference w:type="default" r:id="rId169"/>
          <w:headerReference w:type="first" r:id="rId170"/>
          <w:footerReference w:type="first" r:id="rId171"/>
          <w:pgSz w:w="11907" w:h="16839"/>
          <w:pgMar w:top="1134" w:right="1418" w:bottom="1134" w:left="1418" w:header="709" w:footer="709" w:gutter="0"/>
          <w:cols w:space="720"/>
          <w:docGrid w:linePitch="299"/>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N.2 Milníky, cíle, ukazatele a harmonogram monitorování a provádění nevratné finanční podpory </w:t>
      </w:r>
    </w:p>
    <w:p>
      <w:pPr>
        <w:pBdr>
          <w:top w:val="nil"/>
          <w:left w:val="nil"/>
          <w:bottom w:val="nil"/>
          <w:right w:val="nil"/>
          <w:between w:val="nil"/>
        </w:pBdr>
        <w:tabs>
          <w:tab w:val="left" w:pos="993"/>
        </w:tabs>
        <w:rPr>
          <w:rFonts w:ascii="Times New Roman" w:hAnsi="Times New Roman"/>
          <w:b/>
          <w:noProof/>
          <w:color w:val="000000"/>
          <w:sz w:val="24"/>
          <w:szCs w:val="24"/>
          <w:u w:val="single"/>
        </w:rPr>
      </w:pPr>
    </w:p>
    <w:tbl>
      <w:tblPr>
        <w:tblW w:w="14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1259"/>
        <w:gridCol w:w="993"/>
        <w:gridCol w:w="1448"/>
        <w:gridCol w:w="1276"/>
        <w:gridCol w:w="850"/>
        <w:gridCol w:w="567"/>
        <w:gridCol w:w="851"/>
        <w:gridCol w:w="678"/>
        <w:gridCol w:w="597"/>
        <w:gridCol w:w="5495"/>
      </w:tblGrid>
      <w:tr>
        <w:trPr>
          <w:trHeight w:val="75"/>
          <w:tblHeader/>
          <w:jc w:val="center"/>
        </w:trPr>
        <w:tc>
          <w:tcPr>
            <w:tcW w:w="550"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Poř. č.</w:t>
            </w:r>
          </w:p>
        </w:tc>
        <w:tc>
          <w:tcPr>
            <w:tcW w:w="1259"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Související opatření (reforma nebo investice)</w:t>
            </w:r>
          </w:p>
        </w:tc>
        <w:tc>
          <w:tcPr>
            <w:tcW w:w="993"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Milník/cíl</w:t>
            </w:r>
          </w:p>
        </w:tc>
        <w:tc>
          <w:tcPr>
            <w:tcW w:w="1448"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Název</w:t>
            </w:r>
          </w:p>
        </w:tc>
        <w:tc>
          <w:tcPr>
            <w:tcW w:w="1276"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 </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275" w:type="dxa"/>
            <w:gridSpan w:val="2"/>
            <w:tcBorders>
              <w:top w:val="single" w:sz="8" w:space="0" w:color="000000"/>
              <w:left w:val="nil"/>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5495" w:type="dxa"/>
            <w:vMerge w:val="restart"/>
            <w:tcBorders>
              <w:top w:val="single" w:sz="8" w:space="0" w:color="000000"/>
              <w:left w:val="nil"/>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Popis a jasná definice každého milníku a cíle</w:t>
            </w:r>
          </w:p>
        </w:tc>
      </w:tr>
      <w:tr>
        <w:trPr>
          <w:trHeight w:val="600"/>
          <w:tblHeader/>
          <w:jc w:val="center"/>
        </w:trPr>
        <w:tc>
          <w:tcPr>
            <w:tcW w:w="550"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259"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3"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48"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276"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851"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678"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59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5495"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154</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1: Podpora revitalizace specifických území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všech veřejných zakázek na projekty revitalizace konkrétních brownfieldů</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Oznámení o zadání všech veřejných zakázek na projekty revitalizace konkrétních brownfieldů Ministerstvem pro místní rozvoj.</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Vyhlášení dotačního programu pro regeneraci specifických brownfieldů (příprava projektu, příprava území, investiční projekty) v návaznosti na přípravu dotačního programu, který musí být formálně schválen Ministerstvem financí. Projekty budou zaměřeny na podporu demolic i energeticky účinné výstavby, jakož i na energeticky účinné renovace. Pokud jde o energeticky účinnou výstavbu, výzvy budou specifikovat, že nové budovy podpořené z projektů budou mít potřebu primární energie (PED), která je alespoň o 20 % nižší než požadavek na budovy s téměř nulovou spotřebou energie.</w:t>
            </w:r>
          </w:p>
          <w:p>
            <w:pPr>
              <w:rPr>
                <w:rFonts w:ascii="Times New Roman" w:eastAsia="Times New Roman" w:hAnsi="Times New Roman"/>
                <w:noProof/>
                <w:color w:val="004300"/>
                <w:sz w:val="18"/>
                <w:szCs w:val="18"/>
              </w:rPr>
            </w:pPr>
            <w:r>
              <w:rPr>
                <w:rFonts w:ascii="Times New Roman" w:hAnsi="Times New Roman"/>
                <w:noProof/>
                <w:color w:val="004300"/>
                <w:sz w:val="18"/>
                <w:szCs w:val="18"/>
              </w:rPr>
              <w:t>Po vyhodnocení nabídkového řízení se sestaví seznam projektů doporučených k podpoře. Projekty budou předběžně vybrány a doporučeny krajskými stálými konferencemi. Každý region doporučí alespoň jeden projekt, který má být podpořen. V každém kraji Česka bude podpořen nejméně jeden průmyslový areál včetně areálů Terezín a Josefov. Formální kontrolu projektů zajistí Státní fond podpory investic.</w:t>
            </w:r>
          </w:p>
        </w:tc>
      </w:tr>
      <w:tr>
        <w:trPr>
          <w:trHeight w:val="94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155</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1: Podpora revitalizace specifických území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Dokončení projektů revitalizace specifických brownfieldů zaměřených na energetickou účinnost</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projektů</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14</w:t>
            </w: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7" w:lineRule="auto"/>
              <w:rPr>
                <w:rFonts w:ascii="Times New Roman" w:eastAsia="Times New Roman" w:hAnsi="Times New Roman"/>
                <w:noProof/>
                <w:color w:val="004300"/>
                <w:sz w:val="18"/>
                <w:szCs w:val="18"/>
              </w:rPr>
            </w:pPr>
            <w:r>
              <w:rPr>
                <w:rFonts w:ascii="Times New Roman" w:hAnsi="Times New Roman"/>
                <w:noProof/>
                <w:color w:val="004300"/>
                <w:sz w:val="18"/>
                <w:szCs w:val="18"/>
              </w:rPr>
              <w:t xml:space="preserve">30 % investic v rámci tohoto opatření bude cíleno na podporu demolic a energeticky účinné výstavby a 70 % bude zaměřeno na podporu energeticky účinné renovace budov v brownfieldech. </w:t>
            </w:r>
          </w:p>
          <w:p>
            <w:pPr>
              <w:spacing w:line="257" w:lineRule="auto"/>
              <w:rPr>
                <w:rFonts w:ascii="Times New Roman" w:eastAsia="Times New Roman" w:hAnsi="Times New Roman"/>
                <w:noProof/>
                <w:color w:val="004300"/>
                <w:sz w:val="18"/>
                <w:szCs w:val="18"/>
              </w:rPr>
            </w:pPr>
            <w:r>
              <w:rPr>
                <w:rFonts w:ascii="Times New Roman" w:hAnsi="Times New Roman"/>
                <w:noProof/>
                <w:color w:val="004300"/>
                <w:sz w:val="18"/>
                <w:szCs w:val="18"/>
              </w:rPr>
              <w:t>Pokud jde o financování demolic a energeticky účinné výstavby, bude zajištěno, aby podpořené projekty byly takového druhu, že i) nové budovy mít potřebu primární energie (PED), která je alespoň o 20 % nižší než požadavek na budovy s téměř nulovou spotřebou energie; ii) rozsáhlé renovace nejsou možné z technických důvodů, z důvodů zdraví/bezpečnosti nebo vhodnosti pro daný účel; iii) v místě, kde se nacházela původní budova, bude využito nejvýše 5 % nových pozemků. To vylučuje možnost demolice budov na jednom místě a výstavby na jiném místě.</w:t>
            </w:r>
          </w:p>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Pokud jde o podporu renovačních činností, bude zajištěno, aby nejméně 90 % nákladů podporovalo energeticky účinné renovace. </w:t>
            </w:r>
          </w:p>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Celkový rozpočet vyčerpaný za tímto účelem po dobu trvání opatření činí nejméně 79 000 000 milionů EUR.</w:t>
            </w:r>
          </w:p>
        </w:tc>
      </w:tr>
      <w:tr>
        <w:trPr>
          <w:trHeight w:val="94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156</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2: Podpora revitalizace území ve veřejném vlastnictví pro nepodnikatelské využití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všech veřejných zakázek na regeneraci brownfieldů ve veřejném vlastnictví pro nepodnikatelské využití</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Oznámení o zadání všech veřejných zakázek Ministerstvem pro místní rozvoj.</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Vyhlášení nabídkových řízení na regeneraci brownfieldů ve veřejném vlastnictví v návaznosti na přípravu dotačního programu, který musí být formálně schválen Ministerstvem financí. Projekty podpoří energeticky účinné renovace i opatření zaměřená na přeměnu průmyslových areálů a kontaminované půdy na přírodní úložiště uhlíku.</w:t>
            </w:r>
          </w:p>
          <w:p>
            <w:pPr>
              <w:rPr>
                <w:rFonts w:ascii="Times New Roman" w:eastAsia="Times New Roman" w:hAnsi="Times New Roman"/>
                <w:noProof/>
                <w:color w:val="004300"/>
                <w:sz w:val="18"/>
                <w:szCs w:val="18"/>
              </w:rPr>
            </w:pPr>
            <w:r>
              <w:rPr>
                <w:rFonts w:ascii="Times New Roman" w:hAnsi="Times New Roman"/>
                <w:noProof/>
                <w:color w:val="004300"/>
                <w:sz w:val="18"/>
                <w:szCs w:val="18"/>
              </w:rPr>
              <w:t>Projekty budou zadávány ve dvou fázích: nejprve budou do 31. prosince 2022 zadány zakázky alespoň na 35 projektů. Následně budou do 31. prosince 2023 zadány zakázky alespoň na deset dalších projektů.</w:t>
            </w:r>
          </w:p>
        </w:tc>
      </w:tr>
      <w:tr>
        <w:trPr>
          <w:trHeight w:val="94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157</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2: Podpora revitalizace území ve veřejném vlastnictví pro nepodnikatelské využití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Dokončení projektů energeticky účinné revitalizace brownfieldů ve vlastnictví obcí a krajů pro nepodnikatelské využití</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m</w:t>
            </w:r>
            <w:r>
              <w:rPr>
                <w:rFonts w:ascii="Times New Roman" w:hAnsi="Times New Roman"/>
                <w:noProof/>
                <w:color w:val="004300"/>
                <w:sz w:val="18"/>
                <w:szCs w:val="18"/>
                <w:vertAlign w:val="superscript"/>
              </w:rPr>
              <w:t>2</w:t>
            </w:r>
            <w:r>
              <w:rPr>
                <w:rFonts w:ascii="Times New Roman" w:hAnsi="Times New Roman"/>
                <w:noProof/>
                <w:color w:val="004300"/>
                <w:sz w:val="18"/>
                <w:szCs w:val="18"/>
              </w:rPr>
              <w:t xml:space="preserve"> stopy revitalizovaných budov</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94 000</w:t>
            </w: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line="259" w:lineRule="auto"/>
              <w:jc w:val="both"/>
              <w:rPr>
                <w:rFonts w:ascii="Times New Roman" w:hAnsi="Times New Roman"/>
                <w:noProof/>
                <w:color w:val="004300"/>
                <w:sz w:val="18"/>
                <w:szCs w:val="18"/>
              </w:rPr>
            </w:pPr>
            <w:r>
              <w:rPr>
                <w:rFonts w:ascii="Times New Roman" w:hAnsi="Times New Roman"/>
                <w:noProof/>
                <w:color w:val="004300"/>
                <w:sz w:val="18"/>
                <w:szCs w:val="18"/>
              </w:rPr>
              <w:t>80 % investic podpoří energeticky účinné renovace a 20 % bude zaměřeno na opatření k přeměně průmyslových areálů a kontaminované půdy na přírodní úložiště uhlíku. Celkem bude dokončeno nejméně 45 projektů.</w:t>
            </w:r>
          </w:p>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Pokud jde o podporu renovačních činností, bude zajištěno, aby nejméně 90 % nákladů podporovalo energeticky účinné renovace.</w:t>
            </w:r>
          </w:p>
        </w:tc>
      </w:tr>
      <w:tr>
        <w:trPr>
          <w:trHeight w:val="36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158</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3: Podpora revitalizace území ve veřejném vlastnictví pro podnikatelské využití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Zadání všech veřejných zakázek na regeneraci brownfieldů ve veřejném vlastnictví pro podnikatelské využití</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Oznámení o zadání všech veřejných zakázek Ministerstvem pro místní rozvoj.</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2023</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Vyhlášení nabídkových řízení na regeneraci brownfieldů ve veřejném vlastnictví v návaznosti na přípravu dotačního programu. Projekty budou zaměřeny na podporu demolic i energeticky účinné výstavby, jakož i na energeticky účinné renovace. Pokud jde o energeticky účinnou výstavbu, výzvy budou specifikovat, že nové budovy podpořené z projektů budou mít potřebu primární energie (PED), která je alespoň o 20 % nižší než požadavek na budovy s téměř nulovou spotřebou energie.</w:t>
            </w:r>
          </w:p>
          <w:p>
            <w:pPr>
              <w:rPr>
                <w:rFonts w:ascii="Times New Roman" w:eastAsia="Times New Roman" w:hAnsi="Times New Roman"/>
                <w:noProof/>
                <w:color w:val="004300"/>
                <w:sz w:val="18"/>
                <w:szCs w:val="18"/>
              </w:rPr>
            </w:pPr>
            <w:r>
              <w:rPr>
                <w:rFonts w:ascii="Times New Roman" w:hAnsi="Times New Roman"/>
                <w:noProof/>
                <w:color w:val="004300"/>
                <w:sz w:val="18"/>
                <w:szCs w:val="18"/>
              </w:rPr>
              <w:t>Projekty budou zadávány ve dvou fázích: nejprve budou do 31. prosince 2022 zadány zakázky alespoň na 15 projektů. Následně budou do 31. prosince 2023 zadány zakázky alespoň na pět dalších projektů.</w:t>
            </w:r>
          </w:p>
        </w:tc>
      </w:tr>
      <w:tr>
        <w:trPr>
          <w:trHeight w:val="94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159</w:t>
            </w:r>
          </w:p>
        </w:tc>
        <w:tc>
          <w:tcPr>
            <w:tcW w:w="1259"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Investice č. 3: Podpora revitalizace území ve veřejném vlastnictví pro podnikatelské využití</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4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Dokončení projektů revitalizace brownfieldů ve vlastnictví obcí a krajů zaměřených na energetickou účinnost pro podnikatelské využití.</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Počet m</w:t>
            </w:r>
            <w:r>
              <w:rPr>
                <w:rFonts w:ascii="Times New Roman" w:hAnsi="Times New Roman"/>
                <w:noProof/>
                <w:color w:val="004300"/>
                <w:sz w:val="18"/>
                <w:szCs w:val="18"/>
                <w:vertAlign w:val="superscript"/>
              </w:rPr>
              <w:t>3</w:t>
            </w:r>
            <w:r>
              <w:rPr>
                <w:rFonts w:ascii="Times New Roman" w:hAnsi="Times New Roman"/>
                <w:noProof/>
                <w:color w:val="004300"/>
                <w:sz w:val="18"/>
                <w:szCs w:val="18"/>
              </w:rPr>
              <w:t xml:space="preserve"> obestavěného prostoru</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76 000</w:t>
            </w:r>
          </w:p>
        </w:tc>
        <w:tc>
          <w:tcPr>
            <w:tcW w:w="67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59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549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30 % investic v rámci tohoto opatření bude cíleno na podporu demolic a energeticky účinné výstavby a 70 % bude zaměřeno na podporu energeticky účinné renovace budov v brownfieldech. Celkem bude dokončeno nejméně 20 projektů.</w:t>
            </w:r>
          </w:p>
          <w:p>
            <w:pPr>
              <w:spacing w:line="257" w:lineRule="auto"/>
              <w:rPr>
                <w:rFonts w:ascii="Times New Roman" w:eastAsia="Times New Roman" w:hAnsi="Times New Roman"/>
                <w:noProof/>
                <w:color w:val="004300"/>
                <w:sz w:val="18"/>
                <w:szCs w:val="18"/>
              </w:rPr>
            </w:pPr>
            <w:r>
              <w:rPr>
                <w:rFonts w:ascii="Times New Roman" w:hAnsi="Times New Roman"/>
                <w:noProof/>
                <w:color w:val="004300"/>
                <w:sz w:val="18"/>
                <w:szCs w:val="18"/>
              </w:rPr>
              <w:t>Pokud jde o financování demolic a energeticky účinné výstavby, bude zajištěno, aby podpořené projekty byly takového druhu, že i) nové budovy mít potřebu primární energie (PED), která je alespoň o 20 % nižší než požadavek na budovy s téměř nulovou spotřebou energie; ii) rozsáhlé renovace nejsou možné z technických důvodů, z důvodů zdraví/bezpečnosti nebo vhodnosti pro daný účel; iii) v místě, kde se nacházela původní budova, bude využito nejvýše 5 % nových pozemků. To vylučuje možnost demolice budov na jednom místě a výstavby jiné budovy na jiném místě.</w:t>
            </w:r>
          </w:p>
          <w:p>
            <w:pPr>
              <w:rPr>
                <w:rFonts w:ascii="Times New Roman" w:eastAsia="Times New Roman" w:hAnsi="Times New Roman"/>
                <w:noProof/>
                <w:color w:val="004300"/>
                <w:sz w:val="18"/>
                <w:szCs w:val="18"/>
              </w:rPr>
            </w:pPr>
            <w:r>
              <w:rPr>
                <w:rFonts w:ascii="Times New Roman" w:hAnsi="Times New Roman"/>
                <w:noProof/>
                <w:color w:val="004300"/>
                <w:sz w:val="18"/>
                <w:szCs w:val="18"/>
              </w:rPr>
              <w:t>Pokud jde o podporu renovačních činností, bude zajištěno, aby nejméně 90 % nákladů podporovalo energeticky účinné renovace.</w:t>
            </w:r>
          </w:p>
          <w:p>
            <w:pPr>
              <w:rPr>
                <w:rFonts w:ascii="Times New Roman" w:eastAsia="Times New Roman" w:hAnsi="Times New Roman"/>
                <w:noProof/>
                <w:color w:val="004300"/>
                <w:sz w:val="18"/>
                <w:szCs w:val="18"/>
              </w:rPr>
            </w:pPr>
            <w:r>
              <w:rPr>
                <w:rFonts w:ascii="Times New Roman" w:hAnsi="Times New Roman"/>
                <w:noProof/>
                <w:color w:val="004300"/>
                <w:sz w:val="18"/>
                <w:szCs w:val="18"/>
              </w:rPr>
              <w:t>Společnost zajišťující dohled pro poskytovatele grantu (Ministerstvo průmyslu a obchodu) bude na místě provádět kontroly provedené práce a souladu s projektovou dokumentací a výzvami k podávání návrhů.</w:t>
            </w:r>
          </w:p>
        </w:tc>
      </w:tr>
    </w:tbl>
    <w:p>
      <w:pPr>
        <w:pBdr>
          <w:top w:val="nil"/>
          <w:left w:val="nil"/>
          <w:bottom w:val="nil"/>
          <w:right w:val="nil"/>
          <w:between w:val="nil"/>
        </w:pBdr>
        <w:tabs>
          <w:tab w:val="left" w:pos="993"/>
        </w:tabs>
        <w:rPr>
          <w:rFonts w:ascii="Times New Roman" w:hAnsi="Times New Roman"/>
          <w:b/>
          <w:noProof/>
          <w:color w:val="000000"/>
          <w:sz w:val="24"/>
          <w:szCs w:val="24"/>
          <w:u w:val="single"/>
        </w:rPr>
      </w:pPr>
    </w:p>
    <w:p>
      <w:pPr>
        <w:pBdr>
          <w:top w:val="nil"/>
          <w:left w:val="nil"/>
          <w:bottom w:val="nil"/>
          <w:right w:val="nil"/>
          <w:between w:val="nil"/>
        </w:pBdr>
        <w:rPr>
          <w:noProof/>
          <w:color w:val="000000"/>
        </w:rPr>
        <w:sectPr>
          <w:headerReference w:type="even" r:id="rId172"/>
          <w:headerReference w:type="default" r:id="rId173"/>
          <w:footerReference w:type="even" r:id="rId174"/>
          <w:footerReference w:type="default" r:id="rId175"/>
          <w:headerReference w:type="first" r:id="rId176"/>
          <w:footerReference w:type="first" r:id="rId177"/>
          <w:pgSz w:w="16839" w:h="11907" w:orient="landscape"/>
          <w:pgMar w:top="142" w:right="1134" w:bottom="1418" w:left="1134" w:header="709" w:footer="709" w:gutter="0"/>
          <w:cols w:space="720"/>
        </w:sectPr>
      </w:pPr>
    </w:p>
    <w:p>
      <w:pPr>
        <w:keepNext/>
        <w:tabs>
          <w:tab w:val="left" w:pos="850"/>
        </w:tabs>
        <w:jc w:val="both"/>
        <w:outlineLvl w:val="0"/>
        <w:rPr>
          <w:rFonts w:ascii="Times New Roman" w:hAnsi="Times New Roman"/>
          <w:b/>
          <w:bCs/>
          <w:smallCaps/>
          <w:noProof/>
          <w:sz w:val="24"/>
          <w:szCs w:val="24"/>
        </w:rPr>
      </w:pPr>
      <w:r>
        <w:rPr>
          <w:rFonts w:ascii="Times New Roman" w:hAnsi="Times New Roman"/>
          <w:b/>
          <w:bCs/>
          <w:smallCaps/>
          <w:noProof/>
          <w:sz w:val="24"/>
          <w:szCs w:val="24"/>
        </w:rPr>
        <w:t>O. KOMPONENTA č. 2.9: Podpora biodiverzity a boj se suchem</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Tato komponenta Plánu pro oživení a odolnost České republiky přispívá k řešení výzev vyplývajících z nízké retence vody a dopadu změny klimatu v Česku. Cílem této komponenty je zlepšit ochranu před suchem a povodněmi efektivnějším zadržování vody v krajině a v městských oblastech. Plánují se také investice do ochrany lokalit soustavy Natura 2000 a zvláště chráněných území (ZCHÚ). </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Aby bylo zajištěno, že je opatření v souladu s technickými pokyny k uplatňování zásady „významně nepoškozovat“ (2021/C58/01), musí kritéria způsobilosti uvedená v zadávacích podmínkách pro nadcházející výzvy k předkládání projektů vyžadovat, aby byly vybrány pouze činnosti, které jsou v souladu s příslušnými právními předpisy EU a vnitrostátními právními předpisy v oblasti životního prostředí, konkrétně s rámcovou směrnicí o vodě, směrnicí o povodních, směrnicí o stanovištích a směrnicí o ochraně ptáků, směrnicemi o posuzování vlivů na životní prostředí a strategickém posuzování vlivů na životní prostředí.</w:t>
      </w:r>
    </w:p>
    <w:p>
      <w:pPr>
        <w:pBdr>
          <w:top w:val="nil"/>
          <w:left w:val="nil"/>
          <w:bottom w:val="nil"/>
          <w:right w:val="nil"/>
          <w:between w:val="nil"/>
        </w:pBdr>
        <w:jc w:val="both"/>
        <w:rPr>
          <w:rFonts w:ascii="Times New Roman" w:eastAsia="Times New Roman" w:hAnsi="Times New Roman"/>
          <w:noProof/>
          <w:color w:val="000000"/>
          <w:sz w:val="24"/>
          <w:szCs w:val="24"/>
        </w:rPr>
      </w:pPr>
    </w:p>
    <w:p>
      <w:pPr>
        <w:pBdr>
          <w:top w:val="nil"/>
          <w:left w:val="nil"/>
          <w:bottom w:val="nil"/>
          <w:right w:val="nil"/>
          <w:between w:val="nil"/>
        </w:pBdr>
        <w:jc w:val="both"/>
        <w:rPr>
          <w:rFonts w:ascii="Times New Roman" w:eastAsia="Times New Roman" w:hAnsi="Times New Roman"/>
          <w:b/>
          <w:i/>
          <w:noProof/>
          <w:sz w:val="24"/>
          <w:szCs w:val="24"/>
        </w:rPr>
      </w:pPr>
      <w:r>
        <w:rPr>
          <w:rFonts w:ascii="Times New Roman" w:hAnsi="Times New Roman"/>
          <w:b/>
          <w:noProof/>
          <w:color w:val="000000"/>
          <w:sz w:val="24"/>
          <w:szCs w:val="24"/>
          <w:u w:val="single"/>
        </w:rPr>
        <w:t>O.1 Popis reforem a investic pro nevratnou finanční podporu</w:t>
      </w:r>
    </w:p>
    <w:p>
      <w:pPr>
        <w:pBdr>
          <w:top w:val="nil"/>
          <w:left w:val="nil"/>
          <w:bottom w:val="nil"/>
          <w:right w:val="nil"/>
          <w:between w:val="nil"/>
        </w:pBdr>
        <w:jc w:val="both"/>
        <w:rPr>
          <w:rFonts w:ascii="Times New Roman" w:eastAsia="Times New Roman" w:hAnsi="Times New Roman"/>
          <w:b/>
          <w:bCs/>
          <w:i/>
          <w:iCs/>
          <w:noProof/>
          <w:sz w:val="24"/>
          <w:szCs w:val="24"/>
        </w:rPr>
      </w:pPr>
      <w:r>
        <w:rPr>
          <w:rFonts w:ascii="Times New Roman" w:hAnsi="Times New Roman"/>
          <w:b/>
          <w:bCs/>
          <w:noProof/>
          <w:color w:val="000000"/>
          <w:sz w:val="24"/>
          <w:szCs w:val="24"/>
        </w:rPr>
        <w:t>Reforma č. 1: Novela vodního zákona</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Cílem reformy je novelizovat vodní zákon, aby bylo možné systematičtěji řešit sucho a nedostatek vody. Novela vymezí rámec pro předcházení suchu, monitorování sucha, odpovědnost příslušných orgánů a kontrolní mechanismy</w:t>
      </w:r>
      <w:r>
        <w:rPr>
          <w:rFonts w:ascii="Times New Roman" w:hAnsi="Times New Roman"/>
          <w:noProof/>
          <w:sz w:val="24"/>
          <w:szCs w:val="24"/>
        </w:rPr>
        <w:t xml:space="preserve">. </w:t>
      </w:r>
      <w:r>
        <w:rPr>
          <w:rFonts w:ascii="Times New Roman" w:hAnsi="Times New Roman"/>
          <w:noProof/>
          <w:color w:val="000000"/>
          <w:sz w:val="24"/>
          <w:szCs w:val="24"/>
        </w:rPr>
        <w:t xml:space="preserve">Jejím cílem bude zřízení krajských komisí s pravomocí vyhlašovat „stav nedostatku vody“ a uplatňovat odpovídající omezení užívání vody v kraji v souladu s plány zvládání sucha.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Provádění reformy bude dokončeno do 31. prosince 2024.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1: Ochrana proti suchu a protipovodňová ochrana města Brna</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této investice je posílit protipovodňovou ochranu města Brna a revitalizovat řeku Svratku. Realizace projektu bude spočívat v přírodě blízkých řešeních, jako je přirozený rozliv zvýšené hladiny vody v povodí v nivách, zakládání přírodních tůní, luk, záplavových území a vytváření mokřadů. Přírodě blízká řešení budou realizována na řece Svratce, převážně na horním toku od města Brna.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se uskuteční do 31. prosince 2025.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 xml:space="preserve">Investice č. 2: Hospodaření se srážkovými vodami v městských aglomeracích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sz w:val="24"/>
          <w:szCs w:val="24"/>
        </w:rPr>
        <w:t>Cílem této investice je zpomalení odtoku a zadržování a akumulace vody v městských aglomeracích prostřednictvím zvýšení členitosti povrchu, vsakovacích pásů a nádrží, dešťových zahrad, podzemních vsakovacích zařízení, drenáží, retenčních podzemních nádrží a zelených střech.</w:t>
      </w:r>
      <w:r>
        <w:rPr>
          <w:rFonts w:ascii="Times New Roman" w:hAnsi="Times New Roman"/>
          <w:noProof/>
          <w:color w:val="000000"/>
          <w:sz w:val="24"/>
          <w:szCs w:val="24"/>
        </w:rPr>
        <w:t xml:space="preserve">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se uskuteční do 31. prosince 2025.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 xml:space="preserve">Investice č. 3: Péče o území soustavy Natura 2000 a péče o chráněné druhy rostlin a živočichů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této investice je zvýšit ekologickou stabilitu krajiny a biologickou rozmanitost v České republice. Bude spočívat ve vypracování a přijetí plánů péče pro obnovu a revitalizaci lokalit Natura 2000 (zvláště chráněné oblasti a </w:t>
      </w:r>
      <w:r>
        <w:rPr>
          <w:rFonts w:ascii="Times New Roman" w:hAnsi="Times New Roman"/>
          <w:noProof/>
          <w:color w:val="000000"/>
          <w:sz w:val="24"/>
          <w:szCs w:val="24"/>
          <w:highlight w:val="white"/>
        </w:rPr>
        <w:t xml:space="preserve">lokality významné pro Společenství) a </w:t>
      </w:r>
      <w:r>
        <w:rPr>
          <w:rFonts w:ascii="Times New Roman" w:hAnsi="Times New Roman"/>
          <w:noProof/>
          <w:color w:val="000000"/>
          <w:sz w:val="24"/>
          <w:szCs w:val="24"/>
        </w:rPr>
        <w:t xml:space="preserve">lokalit chráněných na vnitrostátní úrovni. Investice dosáhne příznivého stavu z hlediska ochrany provedením ochranných opatření stanovených v plánech péče o přírodu.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se uskuteční do 31. prosince 2025. </w:t>
      </w:r>
    </w:p>
    <w:p>
      <w:pPr>
        <w:pBdr>
          <w:top w:val="nil"/>
          <w:left w:val="nil"/>
          <w:bottom w:val="nil"/>
          <w:right w:val="nil"/>
          <w:between w:val="nil"/>
        </w:pBdr>
        <w:jc w:val="both"/>
        <w:rPr>
          <w:rFonts w:ascii="Times New Roman" w:eastAsia="Times New Roman" w:hAnsi="Times New Roman"/>
          <w:b/>
          <w:noProof/>
          <w:color w:val="000000"/>
          <w:sz w:val="24"/>
          <w:szCs w:val="24"/>
        </w:rPr>
      </w:pPr>
      <w:r>
        <w:rPr>
          <w:rFonts w:ascii="Times New Roman" w:hAnsi="Times New Roman"/>
          <w:b/>
          <w:noProof/>
          <w:color w:val="000000"/>
          <w:sz w:val="24"/>
          <w:szCs w:val="24"/>
        </w:rPr>
        <w:t>Investice č. 4: Adaptace vodních, nelesních a lesních ekosystémů na změnu klimatu</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Cílem této investice je umožnit systémové zadržování vody v krajině (na základě posouzení retenčního potenciálu). Investice bude zahrnovat provádění opatření, jako je zlepšování druhové a prostorové skladby, ochrana nelesních stanovišť, tvorba nebo obnova mokřadů a rybníků, revitalizace vodních toků, obnova krajinných prvků (mimo jiné k rozdělení velkých zemědělských pozemků), výsadba dřevin mimo les a další související opatření.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se uskuteční do 31. prosince 2025. </w:t>
      </w:r>
    </w:p>
    <w:p>
      <w:pPr>
        <w:pBdr>
          <w:top w:val="nil"/>
          <w:left w:val="nil"/>
          <w:bottom w:val="nil"/>
          <w:right w:val="nil"/>
          <w:between w:val="nil"/>
        </w:pBdr>
        <w:jc w:val="both"/>
        <w:rPr>
          <w:rFonts w:ascii="Times New Roman" w:eastAsia="Times New Roman" w:hAnsi="Times New Roman"/>
          <w:noProof/>
          <w:color w:val="000000"/>
          <w:sz w:val="24"/>
          <w:szCs w:val="24"/>
        </w:rPr>
      </w:pPr>
      <w:r>
        <w:rPr>
          <w:rFonts w:ascii="Times New Roman" w:hAnsi="Times New Roman"/>
          <w:noProof/>
          <w:sz w:val="24"/>
          <w:szCs w:val="24"/>
        </w:rPr>
        <w:t xml:space="preserve"> </w:t>
      </w:r>
    </w:p>
    <w:p>
      <w:pPr>
        <w:pBdr>
          <w:top w:val="nil"/>
          <w:left w:val="nil"/>
          <w:bottom w:val="nil"/>
          <w:right w:val="nil"/>
          <w:between w:val="nil"/>
        </w:pBdr>
        <w:jc w:val="both"/>
        <w:rPr>
          <w:rFonts w:ascii="Times New Roman" w:eastAsia="Times New Roman" w:hAnsi="Times New Roman"/>
          <w:b/>
          <w:noProof/>
          <w:color w:val="000000"/>
          <w:sz w:val="24"/>
          <w:szCs w:val="24"/>
          <w:u w:val="single"/>
          <w:lang w:eastAsia="en-GB"/>
        </w:rPr>
        <w:sectPr>
          <w:headerReference w:type="even" r:id="rId178"/>
          <w:headerReference w:type="default" r:id="rId179"/>
          <w:footerReference w:type="even" r:id="rId180"/>
          <w:footerReference w:type="default" r:id="rId181"/>
          <w:headerReference w:type="first" r:id="rId182"/>
          <w:footerReference w:type="first" r:id="rId183"/>
          <w:pgSz w:w="11907" w:h="16839"/>
          <w:pgMar w:top="1134" w:right="1418" w:bottom="1134" w:left="1418" w:header="709" w:footer="709" w:gutter="0"/>
          <w:cols w:space="708"/>
        </w:sectPr>
      </w:pPr>
    </w:p>
    <w:p>
      <w:pPr>
        <w:pBdr>
          <w:top w:val="nil"/>
          <w:left w:val="nil"/>
          <w:bottom w:val="nil"/>
          <w:right w:val="nil"/>
          <w:between w:val="nil"/>
        </w:pBdr>
        <w:jc w:val="both"/>
        <w:rPr>
          <w:rFonts w:ascii="Times New Roman" w:eastAsia="Times New Roman" w:hAnsi="Times New Roman"/>
          <w:b/>
          <w:bCs/>
          <w:noProof/>
          <w:color w:val="000000"/>
          <w:sz w:val="24"/>
          <w:szCs w:val="24"/>
          <w:u w:val="single"/>
        </w:rPr>
      </w:pPr>
      <w:r>
        <w:rPr>
          <w:rFonts w:ascii="Times New Roman" w:hAnsi="Times New Roman"/>
          <w:b/>
          <w:bCs/>
          <w:noProof/>
          <w:color w:val="000000"/>
          <w:sz w:val="24"/>
          <w:szCs w:val="24"/>
          <w:u w:val="single"/>
        </w:rPr>
        <w:t>O.2 Milníky, cíle, ukazatele a harmonogram monitorování a provádění nevratné finanční podpory</w:t>
      </w:r>
    </w:p>
    <w:p>
      <w:pPr>
        <w:pBdr>
          <w:top w:val="nil"/>
          <w:left w:val="nil"/>
          <w:bottom w:val="nil"/>
          <w:right w:val="nil"/>
          <w:between w:val="nil"/>
        </w:pBdr>
        <w:jc w:val="both"/>
        <w:rPr>
          <w:rFonts w:ascii="Times New Roman" w:eastAsia="Times New Roman" w:hAnsi="Times New Roman"/>
          <w:b/>
          <w:bCs/>
          <w:noProof/>
          <w:color w:val="000000"/>
          <w:sz w:val="24"/>
          <w:szCs w:val="24"/>
          <w:u w:val="single"/>
          <w:lang w:eastAsia="en-GB"/>
        </w:rPr>
      </w:pPr>
    </w:p>
    <w:tbl>
      <w:tblPr>
        <w:tblW w:w="14312" w:type="dxa"/>
        <w:tblInd w:w="113" w:type="dxa"/>
        <w:tblLayout w:type="fixed"/>
        <w:tblLook w:val="0400" w:firstRow="0" w:lastRow="0" w:firstColumn="0" w:lastColumn="0" w:noHBand="0" w:noVBand="1"/>
      </w:tblPr>
      <w:tblGrid>
        <w:gridCol w:w="704"/>
        <w:gridCol w:w="1418"/>
        <w:gridCol w:w="850"/>
        <w:gridCol w:w="1418"/>
        <w:gridCol w:w="1275"/>
        <w:gridCol w:w="993"/>
        <w:gridCol w:w="567"/>
        <w:gridCol w:w="708"/>
        <w:gridCol w:w="851"/>
        <w:gridCol w:w="850"/>
        <w:gridCol w:w="4678"/>
      </w:tblGrid>
      <w:tr>
        <w:trPr>
          <w:trHeight w:val="513"/>
          <w:tblHeader/>
        </w:trPr>
        <w:tc>
          <w:tcPr>
            <w:tcW w:w="704" w:type="dxa"/>
            <w:vMerge w:val="restart"/>
            <w:tcBorders>
              <w:top w:val="single" w:sz="4" w:space="0" w:color="auto"/>
              <w:left w:val="single" w:sz="4" w:space="0" w:color="auto"/>
              <w:bottom w:val="single" w:sz="4" w:space="0" w:color="auto"/>
              <w:right w:val="single" w:sz="4" w:space="0" w:color="000000"/>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Poř. č.</w:t>
            </w:r>
          </w:p>
        </w:tc>
        <w:tc>
          <w:tcPr>
            <w:tcW w:w="1418" w:type="dxa"/>
            <w:vMerge w:val="restart"/>
            <w:tcBorders>
              <w:top w:val="single" w:sz="4" w:space="0" w:color="auto"/>
              <w:left w:val="single" w:sz="4" w:space="0" w:color="000000"/>
              <w:bottom w:val="single" w:sz="4" w:space="0" w:color="auto"/>
              <w:right w:val="single" w:sz="4" w:space="0" w:color="000000"/>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Související opatření (reforma nebo investice)</w:t>
            </w:r>
          </w:p>
        </w:tc>
        <w:tc>
          <w:tcPr>
            <w:tcW w:w="850" w:type="dxa"/>
            <w:vMerge w:val="restart"/>
            <w:tcBorders>
              <w:top w:val="single" w:sz="4" w:space="0" w:color="auto"/>
              <w:left w:val="single" w:sz="4" w:space="0" w:color="000000"/>
              <w:bottom w:val="single" w:sz="4" w:space="0" w:color="auto"/>
              <w:right w:val="single" w:sz="4" w:space="0" w:color="000000"/>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Milník/cíl</w:t>
            </w:r>
          </w:p>
        </w:tc>
        <w:tc>
          <w:tcPr>
            <w:tcW w:w="1418" w:type="dxa"/>
            <w:vMerge w:val="restart"/>
            <w:tcBorders>
              <w:top w:val="single" w:sz="4" w:space="0" w:color="auto"/>
              <w:left w:val="nil"/>
              <w:bottom w:val="single" w:sz="4" w:space="0" w:color="auto"/>
              <w:right w:val="single" w:sz="4" w:space="0" w:color="000000"/>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Název</w:t>
            </w:r>
          </w:p>
        </w:tc>
        <w:tc>
          <w:tcPr>
            <w:tcW w:w="1275" w:type="dxa"/>
            <w:vMerge w:val="restart"/>
            <w:tcBorders>
              <w:top w:val="single" w:sz="4" w:space="0" w:color="auto"/>
              <w:left w:val="single" w:sz="4" w:space="0" w:color="000000"/>
              <w:bottom w:val="single" w:sz="4" w:space="0" w:color="auto"/>
              <w:right w:val="single" w:sz="4" w:space="0" w:color="auto"/>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 xml:space="preserve">Kvalitativní ukazatele </w:t>
            </w:r>
            <w:r>
              <w:rPr>
                <w:rFonts w:ascii="Times New Roman" w:hAnsi="Times New Roman"/>
                <w:b/>
                <w:noProof/>
                <w:sz w:val="18"/>
                <w:szCs w:val="18"/>
              </w:rPr>
              <w:br/>
              <w:t>(pro milníky)</w:t>
            </w: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 xml:space="preserve">Kvantitativní ukazatele </w:t>
            </w:r>
            <w:r>
              <w:rPr>
                <w:rFonts w:ascii="Times New Roman" w:hAnsi="Times New Roman"/>
                <w:b/>
                <w:noProof/>
                <w:sz w:val="18"/>
                <w:szCs w:val="18"/>
              </w:rPr>
              <w:br/>
              <w:t>(pro cíle)</w:t>
            </w:r>
          </w:p>
        </w:tc>
        <w:tc>
          <w:tcPr>
            <w:tcW w:w="1701" w:type="dxa"/>
            <w:gridSpan w:val="2"/>
            <w:tcBorders>
              <w:top w:val="single" w:sz="4" w:space="0" w:color="000000"/>
              <w:left w:val="nil"/>
              <w:bottom w:val="single" w:sz="4" w:space="0" w:color="000000"/>
              <w:right w:val="single" w:sz="4" w:space="0" w:color="auto"/>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 xml:space="preserve">Orientační harmonogram dokončení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spacing w:after="0"/>
              <w:jc w:val="center"/>
              <w:rPr>
                <w:rFonts w:ascii="Times New Roman" w:eastAsia="Times New Roman" w:hAnsi="Times New Roman"/>
                <w:b/>
                <w:noProof/>
                <w:sz w:val="18"/>
                <w:szCs w:val="18"/>
              </w:rPr>
            </w:pPr>
            <w:r>
              <w:rPr>
                <w:rFonts w:ascii="Times New Roman" w:hAnsi="Times New Roman"/>
                <w:b/>
                <w:noProof/>
                <w:sz w:val="18"/>
                <w:szCs w:val="18"/>
              </w:rPr>
              <w:t>Popis každého milníku a cíle</w:t>
            </w:r>
          </w:p>
        </w:tc>
      </w:tr>
      <w:tr>
        <w:trPr>
          <w:trHeight w:val="564"/>
          <w:tblHeader/>
        </w:trPr>
        <w:tc>
          <w:tcPr>
            <w:tcW w:w="704" w:type="dxa"/>
            <w:vMerge/>
            <w:tcBorders>
              <w:top w:val="single" w:sz="4" w:space="0" w:color="000000"/>
              <w:left w:val="single" w:sz="4" w:space="0" w:color="auto"/>
              <w:bottom w:val="single" w:sz="4" w:space="0" w:color="auto"/>
              <w:right w:val="single" w:sz="4"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c>
          <w:tcPr>
            <w:tcW w:w="1418" w:type="dxa"/>
            <w:vMerge/>
            <w:tcBorders>
              <w:top w:val="single" w:sz="4" w:space="0" w:color="000000"/>
              <w:left w:val="single" w:sz="4" w:space="0" w:color="000000"/>
              <w:bottom w:val="single" w:sz="4" w:space="0" w:color="auto"/>
              <w:right w:val="single" w:sz="4"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c>
          <w:tcPr>
            <w:tcW w:w="850" w:type="dxa"/>
            <w:vMerge/>
            <w:tcBorders>
              <w:top w:val="single" w:sz="4" w:space="0" w:color="000000"/>
              <w:left w:val="single" w:sz="4" w:space="0" w:color="000000"/>
              <w:bottom w:val="single" w:sz="4" w:space="0" w:color="auto"/>
              <w:right w:val="single" w:sz="4"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c>
          <w:tcPr>
            <w:tcW w:w="1418" w:type="dxa"/>
            <w:vMerge/>
            <w:tcBorders>
              <w:top w:val="single" w:sz="4" w:space="0" w:color="000000"/>
              <w:left w:val="single" w:sz="4" w:space="0" w:color="000000"/>
              <w:bottom w:val="single" w:sz="4" w:space="0" w:color="auto"/>
              <w:right w:val="single" w:sz="4"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c>
          <w:tcPr>
            <w:tcW w:w="1275" w:type="dxa"/>
            <w:vMerge/>
            <w:tcBorders>
              <w:top w:val="single" w:sz="4" w:space="0" w:color="000000"/>
              <w:left w:val="single" w:sz="4" w:space="0" w:color="000000"/>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c>
          <w:tcPr>
            <w:tcW w:w="993" w:type="dxa"/>
            <w:tcBorders>
              <w:top w:val="nil"/>
              <w:left w:val="single" w:sz="4" w:space="0" w:color="auto"/>
              <w:bottom w:val="single" w:sz="4" w:space="0" w:color="000000"/>
              <w:right w:val="single" w:sz="4" w:space="0" w:color="000000"/>
            </w:tcBorders>
            <w:shd w:val="clear" w:color="auto" w:fill="BDD7EE"/>
            <w:vAlign w:val="center"/>
          </w:tcPr>
          <w:p>
            <w:pPr>
              <w:spacing w:after="0"/>
              <w:jc w:val="center"/>
              <w:rPr>
                <w:rFonts w:ascii="Times New Roman" w:eastAsia="Times New Roman" w:hAnsi="Times New Roman"/>
                <w:b/>
                <w:noProof/>
                <w:sz w:val="16"/>
                <w:szCs w:val="16"/>
              </w:rPr>
            </w:pPr>
            <w:r>
              <w:rPr>
                <w:rFonts w:ascii="Times New Roman" w:hAnsi="Times New Roman"/>
                <w:b/>
                <w:noProof/>
                <w:sz w:val="16"/>
                <w:szCs w:val="16"/>
              </w:rPr>
              <w:t>Měrná jednotka</w:t>
            </w:r>
          </w:p>
        </w:tc>
        <w:tc>
          <w:tcPr>
            <w:tcW w:w="567" w:type="dxa"/>
            <w:tcBorders>
              <w:top w:val="nil"/>
              <w:left w:val="nil"/>
              <w:bottom w:val="single" w:sz="4" w:space="0" w:color="000000"/>
              <w:right w:val="single" w:sz="4" w:space="0" w:color="000000"/>
            </w:tcBorders>
            <w:shd w:val="clear" w:color="auto" w:fill="BDD7EE"/>
            <w:vAlign w:val="center"/>
          </w:tcPr>
          <w:p>
            <w:pPr>
              <w:spacing w:after="0"/>
              <w:jc w:val="center"/>
              <w:rPr>
                <w:rFonts w:ascii="Times New Roman" w:eastAsia="Times New Roman" w:hAnsi="Times New Roman"/>
                <w:b/>
                <w:noProof/>
                <w:sz w:val="16"/>
                <w:szCs w:val="16"/>
              </w:rPr>
            </w:pPr>
            <w:r>
              <w:rPr>
                <w:rFonts w:ascii="Times New Roman" w:hAnsi="Times New Roman"/>
                <w:b/>
                <w:noProof/>
                <w:sz w:val="16"/>
                <w:szCs w:val="16"/>
              </w:rPr>
              <w:t xml:space="preserve">Výchozí stav </w:t>
            </w:r>
          </w:p>
        </w:tc>
        <w:tc>
          <w:tcPr>
            <w:tcW w:w="708" w:type="dxa"/>
            <w:tcBorders>
              <w:top w:val="nil"/>
              <w:left w:val="nil"/>
              <w:bottom w:val="single" w:sz="4" w:space="0" w:color="000000"/>
              <w:right w:val="single" w:sz="4" w:space="0" w:color="000000"/>
            </w:tcBorders>
            <w:shd w:val="clear" w:color="auto" w:fill="BDD7EE"/>
            <w:vAlign w:val="center"/>
          </w:tcPr>
          <w:p>
            <w:pPr>
              <w:spacing w:after="0"/>
              <w:jc w:val="center"/>
              <w:rPr>
                <w:rFonts w:ascii="Times New Roman" w:eastAsia="Times New Roman" w:hAnsi="Times New Roman"/>
                <w:b/>
                <w:noProof/>
                <w:sz w:val="16"/>
                <w:szCs w:val="16"/>
              </w:rPr>
            </w:pPr>
            <w:r>
              <w:rPr>
                <w:rFonts w:ascii="Times New Roman" w:hAnsi="Times New Roman"/>
                <w:b/>
                <w:noProof/>
                <w:sz w:val="16"/>
                <w:szCs w:val="16"/>
              </w:rPr>
              <w:t xml:space="preserve">Cíl </w:t>
            </w:r>
          </w:p>
        </w:tc>
        <w:tc>
          <w:tcPr>
            <w:tcW w:w="851" w:type="dxa"/>
            <w:tcBorders>
              <w:top w:val="nil"/>
              <w:left w:val="nil"/>
              <w:bottom w:val="single" w:sz="4" w:space="0" w:color="000000"/>
              <w:right w:val="single" w:sz="4" w:space="0" w:color="000000"/>
            </w:tcBorders>
            <w:shd w:val="clear" w:color="auto" w:fill="BDD7EE"/>
            <w:vAlign w:val="center"/>
          </w:tcPr>
          <w:p>
            <w:pPr>
              <w:spacing w:after="0"/>
              <w:jc w:val="center"/>
              <w:rPr>
                <w:rFonts w:ascii="Times New Roman" w:eastAsia="Times New Roman" w:hAnsi="Times New Roman"/>
                <w:b/>
                <w:noProof/>
                <w:sz w:val="16"/>
                <w:szCs w:val="16"/>
              </w:rPr>
            </w:pPr>
            <w:r>
              <w:rPr>
                <w:rFonts w:ascii="Times New Roman" w:hAnsi="Times New Roman"/>
                <w:b/>
                <w:noProof/>
                <w:sz w:val="16"/>
                <w:szCs w:val="16"/>
              </w:rPr>
              <w:t>Čtvrtletí</w:t>
            </w:r>
          </w:p>
        </w:tc>
        <w:tc>
          <w:tcPr>
            <w:tcW w:w="850" w:type="dxa"/>
            <w:tcBorders>
              <w:top w:val="nil"/>
              <w:left w:val="nil"/>
              <w:bottom w:val="single" w:sz="4" w:space="0" w:color="000000"/>
              <w:right w:val="single" w:sz="4" w:space="0" w:color="auto"/>
            </w:tcBorders>
            <w:shd w:val="clear" w:color="auto" w:fill="BDD7EE"/>
            <w:vAlign w:val="center"/>
          </w:tcPr>
          <w:p>
            <w:pPr>
              <w:spacing w:after="0"/>
              <w:jc w:val="center"/>
              <w:rPr>
                <w:rFonts w:ascii="Times New Roman" w:eastAsia="Times New Roman" w:hAnsi="Times New Roman"/>
                <w:b/>
                <w:noProof/>
                <w:sz w:val="16"/>
                <w:szCs w:val="16"/>
              </w:rPr>
            </w:pPr>
            <w:r>
              <w:rPr>
                <w:rFonts w:ascii="Times New Roman" w:hAnsi="Times New Roman"/>
                <w:b/>
                <w:noProof/>
                <w:sz w:val="16"/>
                <w:szCs w:val="16"/>
              </w:rPr>
              <w:t>Rok</w:t>
            </w:r>
          </w:p>
        </w:tc>
        <w:tc>
          <w:tcPr>
            <w:tcW w:w="4678" w:type="dxa"/>
            <w:vMerge/>
            <w:tcBorders>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b/>
                <w:noProof/>
                <w:sz w:val="18"/>
                <w:szCs w:val="18"/>
              </w:rPr>
            </w:pPr>
          </w:p>
        </w:tc>
      </w:tr>
      <w:tr>
        <w:trPr>
          <w:trHeight w:val="320"/>
        </w:trPr>
        <w:tc>
          <w:tcPr>
            <w:tcW w:w="704" w:type="dxa"/>
            <w:tcBorders>
              <w:top w:val="single" w:sz="4" w:space="0" w:color="auto"/>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160</w:t>
            </w:r>
          </w:p>
        </w:tc>
        <w:tc>
          <w:tcPr>
            <w:tcW w:w="1418"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Reforma č. 1: Novela vodního zákona</w:t>
            </w:r>
          </w:p>
        </w:tc>
        <w:tc>
          <w:tcPr>
            <w:tcW w:w="850"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18"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Novela vodního zákona (zákon č. 254/2001 Sb.) zaměřená na systémový přístup ke zvládání stavu sucha a nedostatku vody. </w:t>
            </w:r>
          </w:p>
        </w:tc>
        <w:tc>
          <w:tcPr>
            <w:tcW w:w="1275"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Vstup novely vodního zákona (zákon č. 254/2001 Sb.) v platnost. </w:t>
            </w:r>
          </w:p>
        </w:tc>
        <w:tc>
          <w:tcPr>
            <w:tcW w:w="993"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p>
        </w:tc>
        <w:tc>
          <w:tcPr>
            <w:tcW w:w="708"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p>
        </w:tc>
        <w:tc>
          <w:tcPr>
            <w:tcW w:w="851"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2024</w:t>
            </w:r>
          </w:p>
        </w:tc>
        <w:tc>
          <w:tcPr>
            <w:tcW w:w="4678" w:type="dxa"/>
            <w:tcBorders>
              <w:top w:val="single" w:sz="4" w:space="0" w:color="auto"/>
              <w:left w:val="nil"/>
              <w:bottom w:val="single" w:sz="4" w:space="0" w:color="000000"/>
              <w:right w:val="single" w:sz="4" w:space="0" w:color="000000"/>
            </w:tcBorders>
            <w:shd w:val="clear" w:color="auto" w:fill="C6EFCE"/>
            <w:vAlign w:val="center"/>
          </w:tcPr>
          <w:p>
            <w:pPr>
              <w:spacing w:after="0"/>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Bude přijata novela vodního zákona, která vymezí rámec pro předcházení suchu a nedostatku vody sledováním sucha, zřízením kontrolních mechanismů a vymezením povinností příslušných orgánů. Bude zřízena krajská a ústřední komise pro prevenci, sledování a zvládání sucha a stavu nedostatku vody. Budou vypracovány a schváleny krajské a národní plány pro zvládání sucha a stavu nedostatku vody. Novela zákona bude v souladu s platným </w:t>
            </w:r>
            <w:r>
              <w:rPr>
                <w:rFonts w:ascii="Times New Roman" w:hAnsi="Times New Roman"/>
                <w:i/>
                <w:noProof/>
                <w:color w:val="004300"/>
                <w:sz w:val="18"/>
                <w:szCs w:val="18"/>
              </w:rPr>
              <w:t>acquis</w:t>
            </w:r>
            <w:r>
              <w:rPr>
                <w:rFonts w:ascii="Times New Roman" w:hAnsi="Times New Roman"/>
                <w:noProof/>
                <w:color w:val="004300"/>
                <w:sz w:val="18"/>
                <w:szCs w:val="18"/>
              </w:rPr>
              <w:t xml:space="preserve"> EU, konkrétně se směrnicí 2000/60/ES. </w:t>
            </w:r>
          </w:p>
        </w:tc>
      </w:tr>
      <w:tr>
        <w:trPr>
          <w:trHeight w:val="320"/>
        </w:trPr>
        <w:tc>
          <w:tcPr>
            <w:tcW w:w="704" w:type="dxa"/>
            <w:tcBorders>
              <w:top w:val="nil"/>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161</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1: Ochrana proti suchu a protipovodňová ochrana města Brna</w:t>
            </w:r>
          </w:p>
        </w:tc>
        <w:tc>
          <w:tcPr>
            <w:tcW w:w="850"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Oznámení o zadání zakázek na projekty ochrany proti suchu a protipovodňové ochrany města Brna. </w:t>
            </w:r>
          </w:p>
        </w:tc>
        <w:tc>
          <w:tcPr>
            <w:tcW w:w="1275"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Oznámení o zadání všech zakázek.</w:t>
            </w:r>
          </w:p>
        </w:tc>
        <w:tc>
          <w:tcPr>
            <w:tcW w:w="993"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567"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p>
        </w:tc>
        <w:tc>
          <w:tcPr>
            <w:tcW w:w="708"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p>
        </w:tc>
        <w:tc>
          <w:tcPr>
            <w:tcW w:w="851"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2022</w:t>
            </w:r>
          </w:p>
        </w:tc>
        <w:tc>
          <w:tcPr>
            <w:tcW w:w="467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Oznámení o zadání všech zakázek na projekty ochrany proti suchu a protipovodňové ochrany města Brna. </w:t>
            </w:r>
          </w:p>
        </w:tc>
      </w:tr>
      <w:tr>
        <w:trPr>
          <w:trHeight w:val="320"/>
        </w:trPr>
        <w:tc>
          <w:tcPr>
            <w:tcW w:w="704" w:type="dxa"/>
            <w:tcBorders>
              <w:top w:val="nil"/>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162</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Investice č. 1: Ochrana proti suchu a protipovodňová ochrana města Brna</w:t>
            </w:r>
          </w:p>
        </w:tc>
        <w:tc>
          <w:tcPr>
            <w:tcW w:w="850"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Dokončení přírodě blízkých protipovodňových opatření na ochranu města Brna</w:t>
            </w:r>
          </w:p>
        </w:tc>
        <w:tc>
          <w:tcPr>
            <w:tcW w:w="1275"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993"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Počet projektů</w:t>
            </w:r>
          </w:p>
        </w:tc>
        <w:tc>
          <w:tcPr>
            <w:tcW w:w="567"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w:t>
            </w:r>
          </w:p>
        </w:tc>
        <w:tc>
          <w:tcPr>
            <w:tcW w:w="851"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 xml:space="preserve">Realizací projektu dojde k vytvoření souboru přírodě blízkých protipovodňových opatření v úseku řeky Svratky. </w:t>
            </w:r>
          </w:p>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Opatření v oblasti protipovodňové ochrany zahrnují:</w:t>
            </w:r>
          </w:p>
          <w:p>
            <w:pPr>
              <w:numPr>
                <w:ilvl w:val="0"/>
                <w:numId w:val="47"/>
              </w:numPr>
              <w:pBdr>
                <w:top w:val="nil"/>
                <w:left w:val="nil"/>
                <w:bottom w:val="nil"/>
                <w:right w:val="nil"/>
                <w:between w:val="nil"/>
              </w:pBdr>
              <w:spacing w:after="0"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zlepšení morfologie koryta vodního toku,</w:t>
            </w:r>
          </w:p>
          <w:p>
            <w:pPr>
              <w:numPr>
                <w:ilvl w:val="0"/>
                <w:numId w:val="47"/>
              </w:numPr>
              <w:pBdr>
                <w:top w:val="nil"/>
                <w:left w:val="nil"/>
                <w:bottom w:val="nil"/>
                <w:right w:val="nil"/>
                <w:between w:val="nil"/>
              </w:pBdr>
              <w:spacing w:after="0"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úpravu břehů na mírnější a variabilnější svahy a jejich případnou stabilizaci, </w:t>
            </w:r>
          </w:p>
          <w:p>
            <w:pPr>
              <w:numPr>
                <w:ilvl w:val="0"/>
                <w:numId w:val="47"/>
              </w:numPr>
              <w:pBdr>
                <w:top w:val="nil"/>
                <w:left w:val="nil"/>
                <w:bottom w:val="nil"/>
                <w:right w:val="nil"/>
                <w:between w:val="nil"/>
              </w:pBdr>
              <w:spacing w:after="0"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výsadbu doprovodných dřevin společně se zatravněním břehů a okolí vodního toku,</w:t>
            </w:r>
          </w:p>
          <w:p>
            <w:pPr>
              <w:numPr>
                <w:ilvl w:val="0"/>
                <w:numId w:val="47"/>
              </w:numPr>
              <w:pBdr>
                <w:top w:val="nil"/>
                <w:left w:val="nil"/>
                <w:bottom w:val="nil"/>
                <w:right w:val="nil"/>
                <w:between w:val="nil"/>
              </w:pBdr>
              <w:spacing w:after="0"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otevření záplavových území pro povodně a úpravy těchto území (např. vybudování mokřadů). Opatření protipovodňové ochrany bude spočívat převážně v přírodě blízkých řešeních provedených na toku před Brnem a bude v souladu s Národním akčním plánem adaptace na změnu klimatu a Státní politikou životního prostředí České republiky 2030 s výhledem do roku 2050.</w:t>
            </w:r>
          </w:p>
          <w:p>
            <w:pPr>
              <w:numPr>
                <w:ilvl w:val="0"/>
                <w:numId w:val="47"/>
              </w:numPr>
              <w:pBdr>
                <w:top w:val="nil"/>
                <w:left w:val="nil"/>
                <w:bottom w:val="nil"/>
                <w:right w:val="nil"/>
                <w:between w:val="nil"/>
              </w:pBdr>
              <w:spacing w:after="0" w:line="259" w:lineRule="auto"/>
              <w:jc w:val="both"/>
              <w:rPr>
                <w:rFonts w:ascii="Times New Roman" w:eastAsia="Times New Roman" w:hAnsi="Times New Roman"/>
                <w:noProof/>
                <w:color w:val="004300"/>
                <w:sz w:val="18"/>
                <w:szCs w:val="18"/>
              </w:rPr>
            </w:pPr>
            <w:r>
              <w:rPr>
                <w:rFonts w:ascii="Times New Roman" w:hAnsi="Times New Roman"/>
                <w:noProof/>
                <w:color w:val="004300"/>
                <w:sz w:val="18"/>
                <w:szCs w:val="18"/>
              </w:rPr>
              <w:t>Doprovodná opatření, kterým nelze jakýmikoli prostředky zabránit, a která jsou nezbytně nutná pro provádění výše uvedených opatření.</w:t>
            </w:r>
          </w:p>
        </w:tc>
      </w:tr>
      <w:tr>
        <w:trPr>
          <w:trHeight w:val="320"/>
        </w:trPr>
        <w:tc>
          <w:tcPr>
            <w:tcW w:w="704" w:type="dxa"/>
            <w:tcBorders>
              <w:top w:val="nil"/>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163</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2: Hospodaření se srážkovými vodami v městských aglomeracích</w:t>
            </w:r>
          </w:p>
        </w:tc>
        <w:tc>
          <w:tcPr>
            <w:tcW w:w="850"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Cíl</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Zvýšení objemu srážkových vod zadržených opatřeními pro hospodaření se srážkovou vodou v městských oblastech</w:t>
            </w:r>
          </w:p>
        </w:tc>
        <w:tc>
          <w:tcPr>
            <w:tcW w:w="1275"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w:t>
            </w:r>
          </w:p>
        </w:tc>
        <w:tc>
          <w:tcPr>
            <w:tcW w:w="993"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Objem zadržených srážkových vod v m</w:t>
            </w:r>
            <w:r>
              <w:rPr>
                <w:rFonts w:ascii="Times New Roman" w:hAnsi="Times New Roman"/>
                <w:noProof/>
                <w:color w:val="004300"/>
                <w:sz w:val="18"/>
                <w:szCs w:val="18"/>
                <w:vertAlign w:val="superscript"/>
              </w:rPr>
              <w:t>3</w:t>
            </w:r>
          </w:p>
        </w:tc>
        <w:tc>
          <w:tcPr>
            <w:tcW w:w="567"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40 000</w:t>
            </w:r>
          </w:p>
        </w:tc>
        <w:tc>
          <w:tcPr>
            <w:tcW w:w="851"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nil"/>
              <w:left w:val="nil"/>
              <w:bottom w:val="single" w:sz="4" w:space="0" w:color="000000"/>
              <w:right w:val="single" w:sz="4" w:space="0" w:color="000000"/>
            </w:tcBorders>
            <w:shd w:val="clear" w:color="auto" w:fill="C6EFCE"/>
            <w:vAlign w:val="center"/>
          </w:tcPr>
          <w:p>
            <w:pPr>
              <w:spacing w:after="0"/>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Zpráva o dokončení, kterou předloží nezávislý subjekt. Toto opatření zahrne ekologická opatření pro povrchovou absorpci a zadržení vody, dešťové zahrady, podzemní zařízení pro zadržování srážkových vod, povrchové a podzemní retenční nádrže. </w:t>
            </w:r>
          </w:p>
        </w:tc>
      </w:tr>
      <w:tr>
        <w:trPr>
          <w:trHeight w:val="320"/>
        </w:trPr>
        <w:tc>
          <w:tcPr>
            <w:tcW w:w="704" w:type="dxa"/>
            <w:tcBorders>
              <w:top w:val="nil"/>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164</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Investice č. 3: Chráněné oblasti, včetně lokalit sítě Natura 2000 a chráněné druhy rostlin a živočichů </w:t>
            </w:r>
          </w:p>
        </w:tc>
        <w:tc>
          <w:tcPr>
            <w:tcW w:w="850"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Cíl </w:t>
            </w:r>
          </w:p>
        </w:tc>
        <w:tc>
          <w:tcPr>
            <w:tcW w:w="1418"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 xml:space="preserve">Dokončení projektů, jejichž cílem je péče o chráněná území a území soustavy Natura 2000 a péče o chráněné druhy rostlin a živočichů </w:t>
            </w:r>
          </w:p>
        </w:tc>
        <w:tc>
          <w:tcPr>
            <w:tcW w:w="1275"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w:t>
            </w:r>
          </w:p>
        </w:tc>
        <w:tc>
          <w:tcPr>
            <w:tcW w:w="993" w:type="dxa"/>
            <w:tcBorders>
              <w:top w:val="nil"/>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Hektary</w:t>
            </w:r>
          </w:p>
        </w:tc>
        <w:tc>
          <w:tcPr>
            <w:tcW w:w="567"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2 625</w:t>
            </w:r>
          </w:p>
        </w:tc>
        <w:tc>
          <w:tcPr>
            <w:tcW w:w="851"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nil"/>
              <w:left w:val="nil"/>
              <w:bottom w:val="single" w:sz="4" w:space="0" w:color="000000"/>
              <w:right w:val="single" w:sz="4" w:space="0" w:color="000000"/>
            </w:tcBorders>
            <w:shd w:val="clear" w:color="auto" w:fill="C6EFCE"/>
            <w:vAlign w:val="center"/>
          </w:tcPr>
          <w:p>
            <w:pPr>
              <w:spacing w:after="0"/>
              <w:jc w:val="both"/>
              <w:rPr>
                <w:rFonts w:ascii="Times New Roman" w:eastAsia="Times New Roman" w:hAnsi="Times New Roman"/>
                <w:noProof/>
                <w:color w:val="004300"/>
                <w:sz w:val="18"/>
                <w:szCs w:val="18"/>
              </w:rPr>
            </w:pPr>
            <w:r>
              <w:rPr>
                <w:rFonts w:ascii="Times New Roman" w:hAnsi="Times New Roman"/>
                <w:noProof/>
                <w:color w:val="004300"/>
                <w:sz w:val="18"/>
                <w:szCs w:val="18"/>
              </w:rPr>
              <w:t>Zpráva o dokončení, kterou předloží Ministerstvo životního prostředí. Investice dosáhne příznivého stavu z hlediska ochrany provedením ochranných opatření stanovených v dokumentech o ochraně přírody. Dokončí vymezení chráněných území, včetně těch v soustavě Natura 2000, a vypracování plánovacích dokumentů obsahujících cíle ochrany a opatření pro chráněná území, včetně těch v soustavě Natura 2000.</w:t>
            </w:r>
          </w:p>
        </w:tc>
      </w:tr>
      <w:tr>
        <w:trPr>
          <w:trHeight w:val="320"/>
        </w:trPr>
        <w:tc>
          <w:tcPr>
            <w:tcW w:w="704" w:type="dxa"/>
            <w:tcBorders>
              <w:top w:val="nil"/>
              <w:left w:val="single" w:sz="4" w:space="0" w:color="000000"/>
              <w:bottom w:val="single" w:sz="4" w:space="0" w:color="auto"/>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165</w:t>
            </w:r>
          </w:p>
        </w:tc>
        <w:tc>
          <w:tcPr>
            <w:tcW w:w="1418"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Investice č. 4: Adaptace vodních, nelesních a lesních ekosystémů na změnu klimatu </w:t>
            </w:r>
          </w:p>
        </w:tc>
        <w:tc>
          <w:tcPr>
            <w:tcW w:w="850"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Milník</w:t>
            </w:r>
          </w:p>
        </w:tc>
        <w:tc>
          <w:tcPr>
            <w:tcW w:w="1418"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xml:space="preserve">Dokončení projektů zaměřených na adaptaci vodních, nelesních a lesních ekosystémů na změnu klimatu </w:t>
            </w:r>
          </w:p>
        </w:tc>
        <w:tc>
          <w:tcPr>
            <w:tcW w:w="1275"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Závěrečná zpráva nezávislého inženýra s osvědčením Ministerstva životního prostředí</w:t>
            </w:r>
          </w:p>
        </w:tc>
        <w:tc>
          <w:tcPr>
            <w:tcW w:w="993"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567" w:type="dxa"/>
            <w:tcBorders>
              <w:top w:val="nil"/>
              <w:left w:val="nil"/>
              <w:bottom w:val="single" w:sz="4" w:space="0" w:color="auto"/>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p>
        </w:tc>
        <w:tc>
          <w:tcPr>
            <w:tcW w:w="708" w:type="dxa"/>
            <w:tcBorders>
              <w:top w:val="nil"/>
              <w:left w:val="nil"/>
              <w:bottom w:val="single" w:sz="4" w:space="0" w:color="auto"/>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851" w:type="dxa"/>
            <w:tcBorders>
              <w:top w:val="nil"/>
              <w:left w:val="nil"/>
              <w:bottom w:val="single" w:sz="4" w:space="0" w:color="auto"/>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nil"/>
              <w:left w:val="nil"/>
              <w:bottom w:val="single" w:sz="4" w:space="0" w:color="auto"/>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nil"/>
              <w:left w:val="nil"/>
              <w:bottom w:val="single" w:sz="4" w:space="0" w:color="auto"/>
              <w:right w:val="single" w:sz="4" w:space="0" w:color="000000"/>
            </w:tcBorders>
            <w:shd w:val="clear" w:color="auto" w:fill="C6EFCE"/>
            <w:vAlign w:val="center"/>
          </w:tcPr>
          <w:p>
            <w:pPr>
              <w:spacing w:after="0"/>
              <w:jc w:val="both"/>
              <w:rPr>
                <w:rFonts w:ascii="Times New Roman" w:eastAsia="Times New Roman" w:hAnsi="Times New Roman"/>
                <w:noProof/>
                <w:color w:val="004300"/>
                <w:sz w:val="18"/>
                <w:szCs w:val="18"/>
              </w:rPr>
            </w:pPr>
            <w:r>
              <w:rPr>
                <w:rFonts w:ascii="Times New Roman" w:hAnsi="Times New Roman"/>
                <w:noProof/>
                <w:color w:val="004300"/>
                <w:sz w:val="18"/>
                <w:szCs w:val="18"/>
              </w:rPr>
              <w:t>Předložení závěrečné zprávy nezávislého inženýra s osvědčením Ministerstva životního prostředí. Projekty přispějí ke zlepšení druhové a prostorové skladby lesa na ploše 200 ha; zajistí péči o cenné nelesní terestrické biotopy v celkové ploše 1 250 ha; vytvoří a obnoví mokřady, tůně a malé vodní nádrže v celkové ploše 48 ha; zajistí revitalizace vodních toků na ploše o celkové velikosti 4 ha a výsadbu 32 tis. kusů dřevin mimo les.</w:t>
            </w:r>
          </w:p>
        </w:tc>
      </w:tr>
      <w:tr>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166</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4: Adaptace vodních, nelesních a lesních ekosystémů na změnu klimatu</w:t>
            </w: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Posouzení potenciálu zadržování vody a návrh konkrétních opatření</w:t>
            </w:r>
          </w:p>
        </w:tc>
        <w:tc>
          <w:tcPr>
            <w:tcW w:w="1275"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Km2</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5 000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single" w:sz="4" w:space="0" w:color="auto"/>
              <w:left w:val="single" w:sz="4" w:space="0" w:color="auto"/>
              <w:bottom w:val="single" w:sz="4" w:space="0" w:color="auto"/>
              <w:right w:val="single" w:sz="4"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Území malých povodí se posoudí z hlediska potenciálu zadržovat vodu, provedou se předběžné studie proveditelnosti, které se projednají se zúčastněnými stranami a s nimiž budou souhlasit vlastníci půdy. </w:t>
            </w:r>
          </w:p>
          <w:p>
            <w:pPr>
              <w:spacing w:after="0"/>
              <w:jc w:val="both"/>
              <w:rPr>
                <w:rFonts w:ascii="Times New Roman" w:eastAsia="Times New Roman" w:hAnsi="Times New Roman"/>
                <w:noProof/>
                <w:color w:val="004300"/>
                <w:sz w:val="18"/>
                <w:szCs w:val="18"/>
              </w:rPr>
            </w:pPr>
            <w:r>
              <w:rPr>
                <w:rFonts w:ascii="Times New Roman" w:hAnsi="Times New Roman"/>
                <w:noProof/>
                <w:color w:val="004300"/>
                <w:sz w:val="18"/>
                <w:szCs w:val="18"/>
              </w:rPr>
              <w:t>Podrobná projektová dokumentace se vypracuje pouze pro vybraná opatření k zadržování vody, a to na základě závazného prohlášení o zájmu ze strany vlastníků půdy.</w:t>
            </w:r>
          </w:p>
        </w:tc>
      </w:tr>
      <w:tr>
        <w:trPr>
          <w:trHeight w:val="320"/>
        </w:trPr>
        <w:tc>
          <w:tcPr>
            <w:tcW w:w="704" w:type="dxa"/>
            <w:tcBorders>
              <w:top w:val="single" w:sz="4" w:space="0" w:color="auto"/>
              <w:left w:val="single" w:sz="4" w:space="0" w:color="000000"/>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167</w:t>
            </w:r>
          </w:p>
        </w:tc>
        <w:tc>
          <w:tcPr>
            <w:tcW w:w="1418"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Investice č. 4: Adaptace vodních, nelesních a lesních ekosystémů na změnu klimatu</w:t>
            </w:r>
          </w:p>
        </w:tc>
        <w:tc>
          <w:tcPr>
            <w:tcW w:w="850"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Cíl</w:t>
            </w:r>
          </w:p>
        </w:tc>
        <w:tc>
          <w:tcPr>
            <w:tcW w:w="1418"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Provádění vybraných navrhovaných opatření za účelem zadržování vody</w:t>
            </w:r>
          </w:p>
        </w:tc>
        <w:tc>
          <w:tcPr>
            <w:tcW w:w="1275"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p>
        </w:tc>
        <w:tc>
          <w:tcPr>
            <w:tcW w:w="993"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 vybraného území použitého pro opatření za účelem zadržování vody</w:t>
            </w:r>
          </w:p>
        </w:tc>
        <w:tc>
          <w:tcPr>
            <w:tcW w:w="567" w:type="dxa"/>
            <w:tcBorders>
              <w:top w:val="single" w:sz="4" w:space="0" w:color="auto"/>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4" w:space="0" w:color="auto"/>
              <w:left w:val="nil"/>
              <w:bottom w:val="single" w:sz="4" w:space="0" w:color="000000"/>
              <w:right w:val="single" w:sz="4" w:space="0" w:color="000000"/>
            </w:tcBorders>
            <w:shd w:val="clear" w:color="auto" w:fill="C6EFCE"/>
            <w:vAlign w:val="center"/>
          </w:tcPr>
          <w:p>
            <w:pPr>
              <w:spacing w:after="0"/>
              <w:rPr>
                <w:rFonts w:ascii="Times New Roman" w:eastAsia="Times New Roman" w:hAnsi="Times New Roman"/>
                <w:noProof/>
                <w:color w:val="004300"/>
                <w:sz w:val="18"/>
                <w:szCs w:val="18"/>
              </w:rPr>
            </w:pPr>
            <w:r>
              <w:rPr>
                <w:rFonts w:ascii="Times New Roman" w:hAnsi="Times New Roman"/>
                <w:noProof/>
                <w:color w:val="004300"/>
                <w:sz w:val="18"/>
                <w:szCs w:val="18"/>
              </w:rPr>
              <w:t>10</w:t>
            </w:r>
          </w:p>
        </w:tc>
        <w:tc>
          <w:tcPr>
            <w:tcW w:w="851" w:type="dxa"/>
            <w:tcBorders>
              <w:top w:val="single" w:sz="4" w:space="0" w:color="auto"/>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850" w:type="dxa"/>
            <w:tcBorders>
              <w:top w:val="single" w:sz="4" w:space="0" w:color="auto"/>
              <w:left w:val="nil"/>
              <w:bottom w:val="single" w:sz="4" w:space="0" w:color="000000"/>
              <w:right w:val="single" w:sz="4" w:space="0" w:color="000000"/>
            </w:tcBorders>
            <w:shd w:val="clear" w:color="auto" w:fill="C6EFCE"/>
            <w:vAlign w:val="center"/>
          </w:tcPr>
          <w:p>
            <w:pPr>
              <w:spacing w:after="0"/>
              <w:jc w:val="center"/>
              <w:rPr>
                <w:rFonts w:ascii="Times New Roman" w:eastAsia="Times New Roman" w:hAnsi="Times New Roman"/>
                <w:noProof/>
                <w:color w:val="004300"/>
                <w:sz w:val="18"/>
                <w:szCs w:val="18"/>
              </w:rPr>
            </w:pPr>
            <w:r>
              <w:rPr>
                <w:rFonts w:ascii="Times New Roman" w:hAnsi="Times New Roman"/>
                <w:noProof/>
                <w:color w:val="004300"/>
                <w:sz w:val="18"/>
                <w:szCs w:val="18"/>
              </w:rPr>
              <w:t>2025</w:t>
            </w:r>
          </w:p>
        </w:tc>
        <w:tc>
          <w:tcPr>
            <w:tcW w:w="4678" w:type="dxa"/>
            <w:tcBorders>
              <w:top w:val="single" w:sz="4" w:space="0" w:color="auto"/>
              <w:left w:val="nil"/>
              <w:bottom w:val="single" w:sz="4" w:space="0" w:color="000000"/>
              <w:right w:val="single" w:sz="4" w:space="0" w:color="000000"/>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Vybraná navrhovaná opatření se provedou na základě posouzení potenciálu zadržovat vodu, předběžných studií proveditelnosti a podrobných projektů.</w:t>
            </w:r>
          </w:p>
        </w:tc>
      </w:tr>
    </w:tbl>
    <w:p>
      <w:pPr>
        <w:keepNext/>
        <w:tabs>
          <w:tab w:val="left" w:pos="850"/>
        </w:tabs>
        <w:spacing w:before="360"/>
        <w:jc w:val="both"/>
        <w:outlineLvl w:val="0"/>
        <w:rPr>
          <w:rFonts w:ascii="Times New Roman" w:hAnsi="Times New Roman"/>
          <w:b/>
          <w:smallCaps/>
          <w:noProof/>
          <w:sz w:val="24"/>
          <w:szCs w:val="24"/>
        </w:rPr>
        <w:sectPr>
          <w:headerReference w:type="even" r:id="rId184"/>
          <w:headerReference w:type="default" r:id="rId185"/>
          <w:footerReference w:type="even" r:id="rId186"/>
          <w:footerReference w:type="default" r:id="rId187"/>
          <w:headerReference w:type="first" r:id="rId188"/>
          <w:footerReference w:type="first" r:id="rId189"/>
          <w:pgSz w:w="16839" w:h="11907" w:orient="landscape"/>
          <w:pgMar w:top="993" w:right="1134" w:bottom="1418" w:left="1134" w:header="709" w:footer="709" w:gutter="0"/>
          <w:cols w:space="708"/>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szCs w:val="24"/>
        </w:rPr>
        <w:t>P. KOMPONENTA č. 3.1: Inovace ve vzdělávání v kontextu digitalizace</w:t>
      </w:r>
    </w:p>
    <w:p>
      <w:pPr>
        <w:jc w:val="both"/>
        <w:rPr>
          <w:rFonts w:ascii="Times New Roman" w:eastAsia="Times New Roman" w:hAnsi="Times New Roman"/>
          <w:noProof/>
          <w:sz w:val="24"/>
          <w:szCs w:val="24"/>
        </w:rPr>
      </w:pPr>
      <w:r>
        <w:rPr>
          <w:rFonts w:ascii="Times New Roman" w:hAnsi="Times New Roman"/>
          <w:noProof/>
          <w:sz w:val="24"/>
          <w:szCs w:val="24"/>
        </w:rPr>
        <w:t>Tato komponenta Plánu pro oživení a odolnost České republiky přispívá k řešení výzev souvisejících s digitální transformací systému vzdělávání, zejména k posílení digitální gramotnosti a výpočetního myšlení žáků a k podpoře využívání digitálních technologií ze strany učitelů. Výše uvedeného bude dosaženo revizí vzdělávacích programů pro základní a sekundární vzdělávání s cílem posílit výuku IT, rozšířit její rozsah na pokročilé digitální technologie a podpořit digitální dovednosti ve všech vzdělávacích oblastech. Komponenta rovněž podpoří digitální dovednosti učitelů a zlepší úroveň digitálního vybavení škol. Jejím cílem je také řešit digitální propast, která se prohloubila v důsledku dlouhodobého uzavření škol, a to zřízením fondu pro mobilní digitální zařízení, která budou k dispozici znevýhodněným žákům a studentům. Konečným cílem komponenty je přizpůsobit vzdělávání měnícím se potřebám trhu práce, řešit nedostatek IT odborníků a pokročilých digitálních dovedností u ekonomicky aktivního obyvatelstva a zajistit dlouhodobou zaměstnatelnost.</w:t>
      </w:r>
    </w:p>
    <w:p>
      <w:pPr>
        <w:jc w:val="both"/>
        <w:rPr>
          <w:rFonts w:ascii="Times New Roman" w:eastAsia="Times New Roman" w:hAnsi="Times New Roman"/>
          <w:noProof/>
          <w:sz w:val="24"/>
          <w:szCs w:val="24"/>
        </w:rPr>
      </w:pPr>
      <w:r>
        <w:rPr>
          <w:rFonts w:ascii="Times New Roman" w:hAnsi="Times New Roman"/>
          <w:noProof/>
          <w:sz w:val="24"/>
          <w:szCs w:val="24"/>
        </w:rPr>
        <w:t>Reformy v rámci této komponenty podporují plnění doporučení pro zemi č. 2 na rok 2019, podle něhož má Česko zvýšit kvalitu a inkluzivnost systémů vzdělávání a odborné přípravy, mimo jiné podporou technických a digitálních dovedností a podporou učitelské profese, a doporučení pro zemi č. 2 na rok 2020, podle něhož má Česko podporovat zaměstnanost aktivními politikami na trhu práce, poskytováním dovedností (včetně digitálních dovedností) a přístupem k digitálnímu učení.</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eastAsia="Times New Roman" w:hAnsi="Times New Roman"/>
          <w:i/>
          <w:noProof/>
          <w:sz w:val="24"/>
          <w:szCs w:val="24"/>
          <w:lang w:eastAsia="en-GB"/>
        </w:rPr>
      </w:pPr>
    </w:p>
    <w:p>
      <w:pPr>
        <w:jc w:val="both"/>
        <w:rPr>
          <w:rFonts w:ascii="Times New Roman" w:eastAsia="Times New Roman" w:hAnsi="Times New Roman"/>
          <w:noProof/>
          <w:sz w:val="24"/>
          <w:szCs w:val="24"/>
        </w:rPr>
      </w:pPr>
      <w:r>
        <w:rPr>
          <w:rFonts w:ascii="Times New Roman" w:hAnsi="Times New Roman"/>
          <w:b/>
          <w:noProof/>
          <w:sz w:val="24"/>
          <w:szCs w:val="24"/>
          <w:u w:val="single"/>
        </w:rPr>
        <w:t>P.1 Popis reforem a investic pro nevratnou finanční podporu</w:t>
      </w:r>
    </w:p>
    <w:p>
      <w:pPr>
        <w:jc w:val="both"/>
        <w:rPr>
          <w:rFonts w:ascii="Times New Roman" w:eastAsia="Times New Roman" w:hAnsi="Times New Roman"/>
          <w:b/>
          <w:noProof/>
          <w:sz w:val="24"/>
          <w:szCs w:val="24"/>
        </w:rPr>
      </w:pPr>
      <w:r>
        <w:rPr>
          <w:rFonts w:ascii="Times New Roman" w:hAnsi="Times New Roman"/>
          <w:b/>
          <w:noProof/>
          <w:sz w:val="24"/>
          <w:szCs w:val="24"/>
        </w:rPr>
        <w:t xml:space="preserve">Reforma č. 1: Reforma kurikula a posílení IT vzdělávání </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zahrnuje revizi vzdělávacích programů základních škol, škol nižší sekundární a vyšší sekundární úrovně (gymnázií) s cílem podpořit počítačovou gramotnost a dovednosti v oblasti informačních technologií. Výuka informatiky bude posílena z hlediska počtu vyučovacích hodin. Bude také rozšířena o nové oblasti, jako je zpracování a modelování dat, kódování a programování, robotika a pokročilé digitální technologie (rozšířená realita, virtuální realita, 3D tisk). Nové vzdělávací programy navíc předpokládají, že tyto digitální dovednosti budou rozvíjeny jako klíčová kompetence napříč vzdělávacími oblastmi, včetně předmětů, které se netýkají informačních technologií. Revize vzdělávacích programů pro základní školy, škol nižší sekundární úrovně a gymnázia bude schválena do 30. září 2021. Očekává se, že školy zavedou nové vzdělávací programy postupně. Termín pro plný soulad s novými vzdělávacími programy je stanoven na 1. září 2023 pro základní školy, 1. září 2024 pro školy nižší sekundární úrovně a 1. září 2025 pro gymnázia. </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bude tudíž plně dokončena do 1. září 2025. </w:t>
      </w:r>
    </w:p>
    <w:p>
      <w:pPr>
        <w:jc w:val="both"/>
        <w:rPr>
          <w:rFonts w:ascii="Times New Roman" w:eastAsia="Times New Roman" w:hAnsi="Times New Roman"/>
          <w:b/>
          <w:noProof/>
          <w:sz w:val="24"/>
          <w:szCs w:val="24"/>
        </w:rPr>
      </w:pPr>
      <w:r>
        <w:rPr>
          <w:rFonts w:ascii="Times New Roman" w:hAnsi="Times New Roman"/>
          <w:b/>
          <w:noProof/>
          <w:sz w:val="24"/>
          <w:szCs w:val="24"/>
        </w:rPr>
        <w:t>Investice č. 1: Implementace revidovaného kurikula a digitálních dovedností učitelů</w:t>
      </w:r>
    </w:p>
    <w:p>
      <w:pPr>
        <w:jc w:val="both"/>
        <w:rPr>
          <w:rFonts w:ascii="Times New Roman" w:eastAsia="Times New Roman" w:hAnsi="Times New Roman"/>
          <w:noProof/>
          <w:sz w:val="24"/>
          <w:szCs w:val="24"/>
        </w:rPr>
      </w:pPr>
      <w:r>
        <w:rPr>
          <w:rFonts w:ascii="Times New Roman" w:hAnsi="Times New Roman"/>
          <w:noProof/>
          <w:sz w:val="24"/>
          <w:szCs w:val="24"/>
        </w:rPr>
        <w:t xml:space="preserve">Cílem opatření je podpořit provádění revidovaných vzdělávacích programů a Rámce digitálních dovedností učitelů (DigCompEdu) ve školách. Podpora se řídí poptávkou a týká se alespoň 4 000 škol. Bude se skládat z: </w:t>
      </w:r>
    </w:p>
    <w:p>
      <w:pPr>
        <w:numPr>
          <w:ilvl w:val="0"/>
          <w:numId w:val="32"/>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 xml:space="preserve">finanční podpory školení učitelů v oblasti digitálních dovedností a IT gramotnosti, jak to vyžadují revidované vzdělávací programy, </w:t>
      </w:r>
    </w:p>
    <w:p>
      <w:pPr>
        <w:numPr>
          <w:ilvl w:val="0"/>
          <w:numId w:val="32"/>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poradenství (semináře, webináře, individuální poradenství) pro ředitele škol, školní koordinátory ICT, koordinátory vzdělávacích programů a učitele IT s cílem pomoci efektivně realizovat reformu vzdělávacích programů,</w:t>
      </w:r>
    </w:p>
    <w:p>
      <w:pPr>
        <w:numPr>
          <w:ilvl w:val="0"/>
          <w:numId w:val="32"/>
        </w:numPr>
        <w:spacing w:line="259" w:lineRule="auto"/>
        <w:ind w:left="360"/>
        <w:contextualSpacing/>
        <w:jc w:val="both"/>
        <w:rPr>
          <w:rFonts w:eastAsia="Times New Roman"/>
          <w:noProof/>
        </w:rPr>
      </w:pPr>
      <w:r>
        <w:rPr>
          <w:rFonts w:ascii="Times New Roman" w:hAnsi="Times New Roman"/>
          <w:noProof/>
          <w:sz w:val="24"/>
          <w:szCs w:val="24"/>
        </w:rPr>
        <w:t xml:space="preserve">vytvoření digitální platformy do 31. prosince 2024, která učitelům poskytne přístup ke stávajícím databázím se vzdělávacím obsahem (např. on-line výukové materiály, webináře, e-learningové kurzy). </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března 2026.</w:t>
      </w:r>
    </w:p>
    <w:p>
      <w:pPr>
        <w:jc w:val="both"/>
        <w:rPr>
          <w:rFonts w:ascii="Times New Roman" w:eastAsia="Times New Roman" w:hAnsi="Times New Roman"/>
          <w:noProof/>
          <w:sz w:val="24"/>
          <w:szCs w:val="24"/>
        </w:rPr>
      </w:pPr>
      <w:r>
        <w:rPr>
          <w:rFonts w:ascii="Times New Roman" w:hAnsi="Times New Roman"/>
          <w:b/>
          <w:noProof/>
          <w:sz w:val="24"/>
          <w:szCs w:val="24"/>
        </w:rPr>
        <w:t>Investice č. 2:</w:t>
      </w:r>
      <w:r>
        <w:rPr>
          <w:rFonts w:ascii="Times New Roman" w:hAnsi="Times New Roman"/>
          <w:noProof/>
          <w:sz w:val="24"/>
          <w:szCs w:val="24"/>
        </w:rPr>
        <w:t xml:space="preserve"> </w:t>
      </w:r>
      <w:r>
        <w:rPr>
          <w:rFonts w:ascii="Times New Roman" w:hAnsi="Times New Roman"/>
          <w:b/>
          <w:noProof/>
          <w:sz w:val="24"/>
          <w:szCs w:val="24"/>
        </w:rPr>
        <w:t>Vybavení škol digitálními technologiemi</w:t>
      </w:r>
    </w:p>
    <w:p>
      <w:pPr>
        <w:jc w:val="both"/>
        <w:rPr>
          <w:rFonts w:ascii="Times New Roman" w:eastAsia="Times New Roman" w:hAnsi="Times New Roman"/>
          <w:noProof/>
          <w:sz w:val="24"/>
          <w:szCs w:val="24"/>
        </w:rPr>
      </w:pPr>
      <w:r>
        <w:rPr>
          <w:rFonts w:ascii="Times New Roman" w:hAnsi="Times New Roman"/>
          <w:noProof/>
          <w:sz w:val="24"/>
          <w:szCs w:val="24"/>
        </w:rPr>
        <w:t>Prvním cílem investice je zabránit digitálnímu vyloučení tím, že se zajistí, aby digitální vybavení bylo dostupné všem žákům. Investice řeší rostoucí nerovnosti ve vzdělávání, které se ještě prohloubily v důsledku dlouhodobého uzavření škol. Jako první krok mělo být do 31. prosince 2020 školám poskytnuto financování vybavení IKT pro distanční vzdělávání, aby bylo možné zajistit distanční vzdělávání během uzavření škol, a to i pro žáky ze znevýhodněného socioekonomického prostředí. Jako druhý krok se do 31. prosince 2025 školám poskytne další financování pro zřízení fondu na mobilní digitální zařízení pro znevýhodněné žáky. Finanční prostředky budou školám přidělovány na základě kritérií odrážejících skutečnost, zda se škola nachází v sociálně vyloučené oblasti, a odhadovaného počtu žáků, kteří potřebují zapůjčit mobilní digitální zařízení. Školy získají 70 000 zařízení a podpoří tak 70 000 potřebných žáků.</w:t>
      </w:r>
    </w:p>
    <w:p>
      <w:pPr>
        <w:jc w:val="both"/>
        <w:rPr>
          <w:rFonts w:ascii="Times New Roman" w:eastAsia="Times New Roman" w:hAnsi="Times New Roman"/>
          <w:noProof/>
          <w:sz w:val="24"/>
          <w:szCs w:val="24"/>
        </w:rPr>
      </w:pPr>
      <w:r>
        <w:rPr>
          <w:rFonts w:ascii="Times New Roman" w:hAnsi="Times New Roman"/>
          <w:noProof/>
          <w:sz w:val="24"/>
          <w:szCs w:val="24"/>
        </w:rPr>
        <w:t>Druhým cílem investice je zajistit, aby školy byly dostatečně vybaveny jak základními, tak pokročilými digitálními technologiemi, které podpoří digitální gramotnost a zavedení revidovaných vzdělávacích programů v rámci investice č. 1 této komponenty. Z celkového počtu přibližně 10 000 školek, základních a středních škol bude do 31. března 2024 vybaveno základními a pokročilými digitálními technologiemi (např. rozšířená realita, virtuální realita, robotika, 3D tisk) nejméně 9 260 škol. Poskytování finančních prostředků doprovodí technická pomoc školám, aby bylo zajištěno efektivní vynakládání finančních prostředků. Tato technická pomoc bude školám poskytována buď prostřednictvím centrálně zajištěného poradenství (specializované internetové stránky, webináře, on-line nástroje pro hodnocení, příklady dobré praxe), nebo prostřednictvím nové sítě IT poradců („IT guru“) na regionální úrovni, kteří budou školám poskytovat cílené poradenství v oblasti nákupu IT vybavení, nastavení správy IT, konektivity a vnitřních školních sítí. Síť IT guru podpoří v období 1. ledna 2022 do 31. prosince 2025 nejméně 1 120 škol, tj. přibližně pětinu škol, a to se zvláštním zaměřením na menší venkovské školy, které mají s využíváním IT největší problémy.</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března 2026.</w:t>
      </w:r>
    </w:p>
    <w:p>
      <w:pPr>
        <w:jc w:val="both"/>
        <w:rPr>
          <w:rFonts w:ascii="Times New Roman" w:eastAsia="Times New Roman" w:hAnsi="Times New Roman"/>
          <w:noProof/>
          <w:sz w:val="24"/>
          <w:szCs w:val="24"/>
          <w:lang w:eastAsia="cs-CZ"/>
        </w:rPr>
        <w:sectPr>
          <w:headerReference w:type="even" r:id="rId190"/>
          <w:headerReference w:type="default" r:id="rId191"/>
          <w:footerReference w:type="even" r:id="rId192"/>
          <w:footerReference w:type="default" r:id="rId193"/>
          <w:headerReference w:type="first" r:id="rId194"/>
          <w:footerReference w:type="first" r:id="rId195"/>
          <w:pgSz w:w="11907" w:h="16839"/>
          <w:pgMar w:top="1134" w:right="1418" w:bottom="1134" w:left="1418" w:header="709" w:footer="709" w:gutter="0"/>
          <w:cols w:space="708"/>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P.2 Milníky, cíle, ukazatele a harmonogram monitorování a provádění nevratné finanční podpory </w:t>
      </w:r>
    </w:p>
    <w:p>
      <w:pPr>
        <w:pBdr>
          <w:top w:val="nil"/>
          <w:left w:val="nil"/>
          <w:bottom w:val="nil"/>
          <w:right w:val="nil"/>
          <w:between w:val="nil"/>
        </w:pBdr>
        <w:ind w:left="850"/>
        <w:jc w:val="both"/>
        <w:rPr>
          <w:rFonts w:ascii="Times New Roman" w:eastAsia="Times New Roman" w:hAnsi="Times New Roman"/>
          <w:b/>
          <w:noProof/>
          <w:color w:val="000000"/>
          <w:sz w:val="24"/>
          <w:szCs w:val="24"/>
          <w:highlight w:val="red"/>
          <w:u w:val="single"/>
          <w:lang w:eastAsia="cs-CZ"/>
        </w:rPr>
      </w:pPr>
    </w:p>
    <w:tbl>
      <w:tblPr>
        <w:tblW w:w="0" w:type="auto"/>
        <w:tblLayout w:type="fixed"/>
        <w:tblLook w:val="04A0" w:firstRow="1" w:lastRow="0" w:firstColumn="1" w:lastColumn="0" w:noHBand="0" w:noVBand="1"/>
      </w:tblPr>
      <w:tblGrid>
        <w:gridCol w:w="675"/>
        <w:gridCol w:w="1276"/>
        <w:gridCol w:w="992"/>
        <w:gridCol w:w="1560"/>
        <w:gridCol w:w="1417"/>
        <w:gridCol w:w="851"/>
        <w:gridCol w:w="567"/>
        <w:gridCol w:w="708"/>
        <w:gridCol w:w="1134"/>
        <w:gridCol w:w="639"/>
        <w:gridCol w:w="4745"/>
      </w:tblGrid>
      <w:tr>
        <w:trPr>
          <w:trHeight w:val="107"/>
          <w:tblHead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560"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417"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126"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773"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276"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992"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560"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417"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851"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567"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708"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1134"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39"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168</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1: Reforma kurikula a posílení IT vzdělávání</w:t>
            </w: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Schválení nových vzdělávacích programů posilujících digitální gramotnost a výpočetní myšlení </w:t>
            </w:r>
          </w:p>
        </w:tc>
        <w:tc>
          <w:tcPr>
            <w:tcW w:w="1417"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Schválení nových vzdělávacích programů pro základní školy, školy nižší sekundární úrovně a gymnázia Ministerstvem školství, mládeže a tělovýchovy.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Q3</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2021</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Nové vzdělávací programy </w:t>
            </w:r>
          </w:p>
          <w:p>
            <w:pPr>
              <w:numPr>
                <w:ilvl w:val="0"/>
                <w:numId w:val="67"/>
              </w:num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posílí výuku informatiky z hlediska počtu vyučovacích hodin,</w:t>
            </w:r>
          </w:p>
          <w:p>
            <w:pPr>
              <w:numPr>
                <w:ilvl w:val="0"/>
                <w:numId w:val="67"/>
              </w:num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rozšíří oblast výuky informatiky o nové oblasti, jako je zpracování a modelování dat, kódování a programování, robotika, rozšířená realita, virtuální realita a digitální technologie,</w:t>
            </w:r>
          </w:p>
          <w:p>
            <w:pPr>
              <w:numPr>
                <w:ilvl w:val="0"/>
                <w:numId w:val="67"/>
              </w:numPr>
              <w:spacing w:after="0" w:line="259" w:lineRule="auto"/>
              <w:contextualSpacing/>
              <w:rPr>
                <w:rFonts w:ascii="Times New Roman" w:eastAsia="Times New Roman" w:hAnsi="Times New Roman"/>
                <w:noProof/>
                <w:color w:val="004300"/>
                <w:sz w:val="18"/>
                <w:szCs w:val="18"/>
              </w:rPr>
            </w:pPr>
            <w:r>
              <w:rPr>
                <w:rFonts w:ascii="Times New Roman" w:hAnsi="Times New Roman"/>
                <w:noProof/>
                <w:color w:val="004300"/>
                <w:sz w:val="18"/>
                <w:szCs w:val="18"/>
              </w:rPr>
              <w:t>zavedou digitální kompetence jako jedny z klíčových kompetencí,</w:t>
            </w:r>
          </w:p>
          <w:p>
            <w:pPr>
              <w:numPr>
                <w:ilvl w:val="0"/>
                <w:numId w:val="67"/>
              </w:num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 xml:space="preserve">budou podporovat využívání digitálních technologií ve všech vzdělávacích oblastech, včetně předmětů, které se netýkají IT.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169</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1: Reforma kurikula a posílení IT vzdělávání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Školy provádějí nové vzdělávací programy posilující digitální gramotnost a výpočetní myšlení</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Provádění nových vzdělávacích programů základními školami, nižšími středními školami a gymnázii.</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Q3</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Školy provádějí nové vzdělávací programy postupně. Plného souladu s novými vzdělávacími programy je v případě základních škol dosaženo 1. září 2023, v případě škol nižší sekundární úrovně 1. září 2024 a v případě gymnázií 1. září 2025.</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Investice č. 1: Implementace revidovaného kurikula a digitálních dovedností učitelů </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Vytvoření digitální platformy pro efektivní sdílení vzdělávacích zdrojů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Plně funkční digitální platforma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val="en-IE"/>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val="en-IE"/>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val="en-IE"/>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Digitální platforma v gesci Ministerstva školství, mládeže a tělovýchovy poskytne učitelům přístup ke stávajícímu vzdělávacímu obsahu (např. digitální vzdělávací zdroje, webináře, e-learningové kurzy). Vytvoří propojení se stávajícími databázemi digitálních vzdělávacích materiálů.  </w:t>
            </w:r>
          </w:p>
        </w:tc>
      </w:tr>
      <w:tr>
        <w:trPr>
          <w:trHeight w:val="340"/>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171</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Implementace revidovaného kurikula a digitálních dovedností učitelů</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Cíl </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škol, které obdržely podporu na zavedení nových vzdělávacích programů v oblasti IT (digitální dovednosti učitelů a poradenství)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4 000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Q1</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Podpora při zavádění nových vzdělávacích programů se zaměří na základní školy a školy nižší sekundární úrovně. Bude se skládat z: </w:t>
            </w:r>
          </w:p>
          <w:p>
            <w:pPr>
              <w:numPr>
                <w:ilvl w:val="0"/>
                <w:numId w:val="48"/>
              </w:num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školení učitelů v oblasti digitálních dovedností a IT gramotnosti,</w:t>
            </w:r>
          </w:p>
          <w:p>
            <w:pPr>
              <w:numPr>
                <w:ilvl w:val="0"/>
                <w:numId w:val="48"/>
              </w:num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poradenství (semináře, webináře, individuální poradenství) pro ředitele, školní koordinátory ICT, koordinátory učebních osnov a učitele IT.</w:t>
            </w:r>
          </w:p>
        </w:tc>
      </w:tr>
      <w:tr>
        <w:trPr>
          <w:trHeight w:val="309"/>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172</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Vybavení škol digitálními technologiemi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digitálních zařízení zakoupených školami za účelem dálkového studia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74 000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2020</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Školy za účelem dálkového studia zakoupily nejméně 74 000 digitálních zařízení (tabletů, notebooků, mobilních telefonů atd.). Finanční prostředky na IT vybavení pro distanční vzdělávání získalo nejméně 4 102 základních a středních škol.</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173</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Vybavení škol digitálními technologiemi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 IT zařízení zakoupených do školního fondu mobilních digitálních zařízení pro znevýhodněné žáky</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70 000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Nákupem 70 000 zařízení se podpoří 70 000 potřebných žáků. Nejméně 80 % škol zřídí fond mobilních digitálních zařízení pro znevýhodněné žáky. Toto IT vybavení doplní vybavení již uvedené v cíli č. 159.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174</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Vybavení škol digitálními technologiemi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škol podpořených digitálními technologiemi a vybavením na podporu digitální gramotnosti a zavedení nových vzdělávacích programů v oblasti IT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9 260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Z celkového počtu přibližně 10 000 škol je nejméně 9 260 škol vybaveno jak základními, tak pokročilými digitálními technologiemi, které jsou nezbytné pro podporu digitální gramotnosti a výuku nové informatiky podle revidovaných vzdělávacích programů.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175</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Vybavení škol digitálními technologiemi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škol podpořených v rámci poradenství a mentoringu v oblasti IT vybavení a vnitřních IT systémů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1 120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Q1</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Na regionální úrovni bude síť krajských poradců pro IT poskytovat cílený mentoring a poradenství nejméně 1 120 školám ohledně nákupu IT vybavení, konektivity, nastavení správy IT a vnitřních školních sítí. </w:t>
            </w:r>
          </w:p>
          <w:p>
            <w:pPr>
              <w:rPr>
                <w:rFonts w:ascii="Times New Roman" w:hAnsi="Times New Roman"/>
                <w:noProof/>
                <w:color w:val="004300"/>
                <w:sz w:val="18"/>
                <w:szCs w:val="18"/>
              </w:rPr>
            </w:pPr>
            <w:r>
              <w:rPr>
                <w:rFonts w:ascii="Times New Roman" w:hAnsi="Times New Roman"/>
                <w:noProof/>
                <w:color w:val="004300"/>
                <w:sz w:val="18"/>
                <w:szCs w:val="18"/>
              </w:rPr>
              <w:t xml:space="preserve">Poradenství zajišťované krajskými poradci bude doplněno centrálně poskytovanými metodickými pokyny, například specializovanými webovými stránkami, webináři, sdílením osvědčených postupů a nástroji pro on-line hodnocení. </w:t>
            </w:r>
          </w:p>
        </w:tc>
      </w:tr>
    </w:tbl>
    <w:p>
      <w:pPr>
        <w:keepNext/>
        <w:tabs>
          <w:tab w:val="left" w:pos="850"/>
        </w:tabs>
        <w:spacing w:before="360"/>
        <w:jc w:val="both"/>
        <w:outlineLvl w:val="0"/>
        <w:rPr>
          <w:rFonts w:ascii="Times New Roman" w:hAnsi="Times New Roman"/>
          <w:b/>
          <w:smallCaps/>
          <w:noProof/>
          <w:sz w:val="24"/>
        </w:rPr>
        <w:sectPr>
          <w:headerReference w:type="even" r:id="rId196"/>
          <w:headerReference w:type="default" r:id="rId197"/>
          <w:footerReference w:type="even" r:id="rId198"/>
          <w:footerReference w:type="default" r:id="rId199"/>
          <w:headerReference w:type="first" r:id="rId200"/>
          <w:footerReference w:type="first" r:id="rId201"/>
          <w:pgSz w:w="16839" w:h="11907" w:orient="landscape"/>
          <w:pgMar w:top="993" w:right="1134" w:bottom="1418" w:left="1134" w:header="709" w:footer="709" w:gutter="0"/>
          <w:cols w:space="720"/>
          <w:docGrid w:linePitch="299"/>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Q. KOMPONENTA č. 3.2: Adaptace školních programů</w:t>
      </w:r>
    </w:p>
    <w:p>
      <w:pPr>
        <w:jc w:val="both"/>
        <w:rPr>
          <w:rFonts w:ascii="Times New Roman" w:eastAsia="Times New Roman" w:hAnsi="Times New Roman"/>
          <w:noProof/>
          <w:sz w:val="24"/>
          <w:szCs w:val="24"/>
        </w:rPr>
      </w:pPr>
      <w:r>
        <w:rPr>
          <w:rFonts w:ascii="Times New Roman" w:hAnsi="Times New Roman"/>
          <w:noProof/>
          <w:sz w:val="24"/>
          <w:szCs w:val="24"/>
        </w:rPr>
        <w:t>Tato komponenta Plánu pro oživení a odolnost České republiky přispívá k řešení výzev v oblasti terciárního, základního, resp. nižšího sekundárního vzdělávání. Na úrovni terciárního vzdělávání se komponenta zaměřuje na zvýšení kapacit vysokých škol a přizpůsobení studijních programů novým formám vzdělávání a novým oborům, zejména digitální odbornosti, v souladu s měnícími se potřebami trhu práce. Budou podpořena i nová vysokoškolská zařízení s cílem rozšířit a modernizovat terciární vzdělávání v oblasti lékařských a farmaceutických věd. Na úrovni základního a nižšího sekundárního vzdělávání se komponenta zaměřuje na řešení rostoucích nerovností ve vzdělávání poskytováním vícevrstvé podpory znevýhodněným školám, doučováním žáků ohrožených neúspěchem a posilováním schopností učitelů a odborníků vyučovat v heterogenních třídách.</w:t>
      </w:r>
    </w:p>
    <w:p>
      <w:pPr>
        <w:jc w:val="both"/>
        <w:rPr>
          <w:rFonts w:ascii="Times New Roman" w:eastAsia="Times New Roman" w:hAnsi="Times New Roman"/>
          <w:noProof/>
          <w:sz w:val="24"/>
          <w:szCs w:val="24"/>
        </w:rPr>
      </w:pPr>
      <w:r>
        <w:rPr>
          <w:rFonts w:ascii="Times New Roman" w:hAnsi="Times New Roman"/>
          <w:noProof/>
          <w:sz w:val="24"/>
          <w:szCs w:val="24"/>
        </w:rPr>
        <w:t>Komponenta podporuje plnění doporučení pro zemi č. 2 na rok 2019, podle něhož má Česko zvýšit kvalitu a inkluzivnost systémů vzdělávání a odborné přípravy, mimo jiné podporou technických a digitálních dovedností a podporou učitelského povolání, a doporučení pro zemi č. 2 na rok 2020, podle něhož má Česko podporovat zaměstnanost aktivními politikami na trhu práce, poskytováním dovedností (včetně digitálních dovedností) a přístupem k digitálnímu učení.</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eastAsia="Times New Roman" w:hAnsi="Times New Roman"/>
          <w:i/>
          <w:noProof/>
          <w:sz w:val="24"/>
          <w:szCs w:val="24"/>
          <w:lang w:eastAsia="en-GB"/>
        </w:rPr>
      </w:pPr>
    </w:p>
    <w:p>
      <w:pPr>
        <w:jc w:val="both"/>
        <w:rPr>
          <w:rFonts w:ascii="Times New Roman" w:eastAsia="Times New Roman" w:hAnsi="Times New Roman"/>
          <w:noProof/>
          <w:sz w:val="24"/>
          <w:szCs w:val="24"/>
        </w:rPr>
      </w:pPr>
      <w:r>
        <w:rPr>
          <w:rFonts w:ascii="Times New Roman" w:hAnsi="Times New Roman"/>
          <w:b/>
          <w:noProof/>
          <w:sz w:val="24"/>
          <w:szCs w:val="24"/>
          <w:u w:val="single"/>
        </w:rPr>
        <w:t>Q.1 Popis reforem a investic pro nevratnou finanční podporu</w:t>
      </w:r>
    </w:p>
    <w:p>
      <w:pPr>
        <w:jc w:val="both"/>
        <w:rPr>
          <w:rFonts w:ascii="Times New Roman" w:eastAsia="Times New Roman" w:hAnsi="Times New Roman"/>
          <w:b/>
          <w:noProof/>
          <w:sz w:val="24"/>
          <w:szCs w:val="24"/>
        </w:rPr>
      </w:pPr>
      <w:r>
        <w:rPr>
          <w:rFonts w:ascii="Times New Roman" w:hAnsi="Times New Roman"/>
          <w:b/>
          <w:noProof/>
          <w:sz w:val="24"/>
          <w:szCs w:val="24"/>
        </w:rPr>
        <w:t xml:space="preserve">Reforma č. 1: Transformace vysokých škol s cílem adaptace na nové formy učení a měnící se potřeby trhu práce </w:t>
      </w:r>
    </w:p>
    <w:p>
      <w:pPr>
        <w:jc w:val="both"/>
        <w:rPr>
          <w:rFonts w:ascii="Times New Roman" w:eastAsia="Times New Roman" w:hAnsi="Times New Roman"/>
          <w:noProof/>
          <w:sz w:val="24"/>
          <w:szCs w:val="24"/>
        </w:rPr>
      </w:pPr>
      <w:r>
        <w:rPr>
          <w:rFonts w:ascii="Times New Roman" w:hAnsi="Times New Roman"/>
          <w:noProof/>
          <w:sz w:val="24"/>
          <w:szCs w:val="24"/>
        </w:rPr>
        <w:t xml:space="preserve">Cílem reformy je zahájit a urychlit transformaci vysokých škol, pokud jde o obsah i formy výuky. Z hlediska obsahu se škála studijních programů přizpůsobí novým trendům a měnícím se potřebám trhu práce, zejména digitální transformaci. Určení prioritních odvětví se provede na vnitrostátní úrovni po konzultaci se sociálními partnery. Akademické zaměření stávajících studijních programů bude rovněž upraveno tak, aby zahrnovalo významný podíl učení se prací, a lépe tak odpovídalo potřebám trhu práce. Reforma rovněž usnadní přechod na nové, především digitální formy učení (kombinované studium, distanční vzdělávání). Zapotřebí budou investice do digitálního vybavení a technologií a školení pracovníků vysokých škol v oblasti digitálních dovedností a moderních výukových metod. Opatření se rovněž zaměří na rozvoj těch kapacit, které by vysokým školám umožnily poskytovat rekvalifikační kurzy a kurzy pro zvýšení kvalifikace, zejména pro pracovníky v oblastech náročných na znalosti. </w:t>
      </w:r>
    </w:p>
    <w:p>
      <w:pPr>
        <w:jc w:val="both"/>
        <w:rPr>
          <w:rFonts w:ascii="Times New Roman" w:eastAsia="Times New Roman" w:hAnsi="Times New Roman"/>
          <w:noProof/>
          <w:sz w:val="24"/>
          <w:szCs w:val="24"/>
        </w:rPr>
      </w:pPr>
      <w:r>
        <w:rPr>
          <w:rFonts w:ascii="Times New Roman" w:hAnsi="Times New Roman"/>
          <w:noProof/>
          <w:sz w:val="24"/>
          <w:szCs w:val="24"/>
        </w:rPr>
        <w:t xml:space="preserve">Podpora bude vysokým školám poskytnuta prostřednictvím otevřeného nabídkového řízení, které bude administrovat Ministerstvo školství, mládeže a tělovýchovy. Očekává se, že bude podpořeno nejméně 20 univerzit. Akreditaci získá nejméně 35 nových studijních programů, včetně: </w:t>
      </w:r>
    </w:p>
    <w:p>
      <w:pPr>
        <w:numPr>
          <w:ilvl w:val="0"/>
          <w:numId w:val="75"/>
        </w:numPr>
        <w:jc w:val="both"/>
        <w:rPr>
          <w:rFonts w:ascii="Times New Roman" w:eastAsia="Times New Roman" w:hAnsi="Times New Roman"/>
          <w:noProof/>
          <w:sz w:val="24"/>
          <w:szCs w:val="24"/>
        </w:rPr>
      </w:pPr>
      <w:r>
        <w:rPr>
          <w:rFonts w:ascii="Times New Roman" w:hAnsi="Times New Roman"/>
          <w:noProof/>
          <w:sz w:val="24"/>
          <w:szCs w:val="24"/>
        </w:rPr>
        <w:t xml:space="preserve">alespoň patnácti studijních programů týkajících se prioritních, rychle rostoucích odvětví s vysokou přidanou hodnotou, která trpí nedostatkem vysoce kvalifikovaných odborníků, jako je kybernetická bezpečnost, umělá inteligence, Průmysl 4.0, služby elektronické veřejné správy.   </w:t>
      </w:r>
    </w:p>
    <w:p>
      <w:pPr>
        <w:numPr>
          <w:ilvl w:val="0"/>
          <w:numId w:val="75"/>
        </w:numPr>
        <w:jc w:val="both"/>
        <w:rPr>
          <w:rFonts w:ascii="Times New Roman" w:eastAsia="Times New Roman" w:hAnsi="Times New Roman"/>
          <w:noProof/>
          <w:sz w:val="24"/>
          <w:szCs w:val="24"/>
        </w:rPr>
      </w:pPr>
      <w:r>
        <w:rPr>
          <w:rFonts w:ascii="Times New Roman" w:hAnsi="Times New Roman"/>
          <w:noProof/>
          <w:sz w:val="24"/>
          <w:szCs w:val="24"/>
        </w:rPr>
        <w:t xml:space="preserve">nejméně 20 dalších studijních programů (bakalář nebo magisterský program) s profesním profilem. </w:t>
      </w:r>
    </w:p>
    <w:p>
      <w:pPr>
        <w:jc w:val="both"/>
        <w:rPr>
          <w:rFonts w:ascii="Times New Roman" w:eastAsia="Times New Roman" w:hAnsi="Times New Roman"/>
          <w:noProof/>
          <w:sz w:val="24"/>
          <w:szCs w:val="24"/>
        </w:rPr>
      </w:pPr>
      <w:r>
        <w:rPr>
          <w:rFonts w:ascii="Times New Roman" w:hAnsi="Times New Roman"/>
          <w:noProof/>
          <w:sz w:val="24"/>
          <w:szCs w:val="24"/>
        </w:rPr>
        <w:t>Kromě toho musí univerzity nabízet alespoň 20 nových kurzů celoživotního učení (včetně mikrocertifikátů).</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a doprovodné investice budou dokončeny do 31. března 2026. </w:t>
      </w:r>
    </w:p>
    <w:p>
      <w:pPr>
        <w:jc w:val="both"/>
        <w:rPr>
          <w:rFonts w:ascii="Times New Roman" w:eastAsia="Times New Roman" w:hAnsi="Times New Roman"/>
          <w:noProof/>
          <w:sz w:val="24"/>
          <w:szCs w:val="24"/>
        </w:rPr>
      </w:pPr>
      <w:r>
        <w:rPr>
          <w:rFonts w:ascii="Times New Roman" w:hAnsi="Times New Roman"/>
          <w:b/>
          <w:noProof/>
          <w:sz w:val="24"/>
          <w:szCs w:val="24"/>
        </w:rPr>
        <w:t xml:space="preserve">Investice č. 1: Rozvoj vybraných klíčových akademických pracovišť </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spočívá v rozšíření vybavení vysokých škol v oblasti lékařství, biomedicíny a farmaceutické vědy. Nová zařízení umožní inovaci akademických programů, rozšíření praktické výuky, rozvoj mezioborového výzkumu a větší internacionalizaci. Konečným cílem je zvýšení podílu studentů medicíny a farmacie a tedy řešení nedostatku zdravotnických pracovníků v Česku. Investice zahrnuje výstavbu a vybavení nových akademických objektů ve třech vysokoškolských kampusech: </w:t>
      </w:r>
    </w:p>
    <w:p>
      <w:pPr>
        <w:numPr>
          <w:ilvl w:val="0"/>
          <w:numId w:val="37"/>
        </w:numPr>
        <w:spacing w:line="259" w:lineRule="auto"/>
        <w:ind w:left="0"/>
        <w:contextualSpacing/>
        <w:jc w:val="both"/>
        <w:rPr>
          <w:rFonts w:ascii="Times New Roman" w:eastAsia="Times New Roman" w:hAnsi="Times New Roman"/>
          <w:noProof/>
          <w:sz w:val="24"/>
          <w:szCs w:val="24"/>
        </w:rPr>
      </w:pPr>
      <w:r>
        <w:rPr>
          <w:rFonts w:ascii="Times New Roman" w:hAnsi="Times New Roman"/>
          <w:noProof/>
          <w:sz w:val="24"/>
          <w:szCs w:val="24"/>
        </w:rPr>
        <w:t xml:space="preserve">MEPHARED 2 – sloučení roztříštěných akademických pracovišť Lékařské fakulty a Farmaceutické fakulty UK v Hradci Králové </w:t>
      </w:r>
    </w:p>
    <w:p>
      <w:pPr>
        <w:numPr>
          <w:ilvl w:val="0"/>
          <w:numId w:val="37"/>
        </w:numPr>
        <w:spacing w:line="259" w:lineRule="auto"/>
        <w:ind w:left="0"/>
        <w:contextualSpacing/>
        <w:jc w:val="both"/>
        <w:rPr>
          <w:rFonts w:ascii="Times New Roman" w:eastAsia="Times New Roman" w:hAnsi="Times New Roman"/>
          <w:noProof/>
          <w:sz w:val="24"/>
          <w:szCs w:val="24"/>
        </w:rPr>
      </w:pPr>
      <w:r>
        <w:rPr>
          <w:rFonts w:ascii="Times New Roman" w:hAnsi="Times New Roman"/>
          <w:noProof/>
          <w:sz w:val="24"/>
          <w:szCs w:val="24"/>
        </w:rPr>
        <w:t>Biocentrum – prostory pro lékařské a biomedicínské studium, jakož i studium přírodních věd v kampusu Albertov Univerzity Karlovy v Praze</w:t>
      </w:r>
    </w:p>
    <w:p>
      <w:pPr>
        <w:numPr>
          <w:ilvl w:val="0"/>
          <w:numId w:val="37"/>
        </w:numPr>
        <w:spacing w:line="259" w:lineRule="auto"/>
        <w:ind w:left="0"/>
        <w:contextualSpacing/>
        <w:jc w:val="both"/>
        <w:rPr>
          <w:rFonts w:ascii="Times New Roman" w:eastAsia="Times New Roman" w:hAnsi="Times New Roman"/>
          <w:noProof/>
          <w:sz w:val="24"/>
          <w:szCs w:val="24"/>
        </w:rPr>
      </w:pPr>
      <w:r>
        <w:rPr>
          <w:rFonts w:ascii="Times New Roman" w:hAnsi="Times New Roman"/>
          <w:noProof/>
          <w:sz w:val="24"/>
          <w:szCs w:val="24"/>
        </w:rPr>
        <w:t>Biopharma Hub – nové zařízení pro farmaceutické a biomedicínské studium umožňující propojení Farmaceutické fakulty s jedním akademickým pracovištěm Masarykovy univerzity v Brně.</w:t>
      </w:r>
    </w:p>
    <w:p>
      <w:pPr>
        <w:jc w:val="both"/>
        <w:rPr>
          <w:rFonts w:ascii="Times New Roman" w:eastAsia="Times New Roman" w:hAnsi="Times New Roman"/>
          <w:noProof/>
          <w:sz w:val="24"/>
          <w:szCs w:val="24"/>
        </w:rPr>
      </w:pPr>
      <w:r>
        <w:rPr>
          <w:rFonts w:ascii="Times New Roman" w:hAnsi="Times New Roman"/>
          <w:noProof/>
          <w:sz w:val="24"/>
          <w:szCs w:val="24"/>
        </w:rPr>
        <w:t>Investice budou dokončeny do 30. června 2026.</w:t>
      </w:r>
    </w:p>
    <w:p>
      <w:pPr>
        <w:jc w:val="both"/>
        <w:rPr>
          <w:rFonts w:ascii="Times New Roman" w:eastAsia="Times New Roman" w:hAnsi="Times New Roman"/>
          <w:b/>
          <w:noProof/>
          <w:sz w:val="24"/>
          <w:szCs w:val="24"/>
        </w:rPr>
      </w:pPr>
      <w:r>
        <w:rPr>
          <w:rFonts w:ascii="Times New Roman" w:hAnsi="Times New Roman"/>
          <w:b/>
          <w:noProof/>
          <w:sz w:val="24"/>
          <w:szCs w:val="24"/>
        </w:rPr>
        <w:t>Reforma č. 2: Podpora znevýhodněných škol</w:t>
      </w:r>
    </w:p>
    <w:p>
      <w:pPr>
        <w:jc w:val="both"/>
        <w:rPr>
          <w:rFonts w:ascii="Times New Roman" w:eastAsia="Times New Roman" w:hAnsi="Times New Roman"/>
          <w:noProof/>
          <w:sz w:val="24"/>
          <w:szCs w:val="24"/>
        </w:rPr>
      </w:pPr>
      <w:r>
        <w:rPr>
          <w:rFonts w:ascii="Times New Roman" w:hAnsi="Times New Roman"/>
          <w:noProof/>
          <w:sz w:val="24"/>
          <w:szCs w:val="24"/>
        </w:rPr>
        <w:t xml:space="preserve">Cílem reformy je řešit rostoucí rozdíly mezi vzdělávacími výsledky škol a zajistit rovný přístup ke kvalitnímu vzdělávání. Bude toho dosaženo prostřednictvím komplexní podpory nejzranitelnějších škol, které mají nadprůměrný podíl žáků ze znevýhodněného socioekonomického prostředí. Bude vypracován a realizován program cílené podpory škol v sociálně vyloučených oblastech a podpory segregovaných škol, jakož i škol s vyšším podílem žáků s odlišným mateřským jazykem. Podpora se zaměří na vzdělávání učitelů pro práci s heterogenními skupinami a znevýhodněnými žáky a na účinnou spolupráci se školními psychology, asistenty pedagoga a školními sociálními pracovníky. </w:t>
      </w:r>
    </w:p>
    <w:p>
      <w:pPr>
        <w:jc w:val="both"/>
        <w:rPr>
          <w:rFonts w:ascii="Times New Roman" w:eastAsia="Times New Roman" w:hAnsi="Times New Roman"/>
          <w:noProof/>
          <w:sz w:val="24"/>
          <w:szCs w:val="24"/>
        </w:rPr>
      </w:pPr>
      <w:r>
        <w:rPr>
          <w:rFonts w:ascii="Times New Roman" w:hAnsi="Times New Roman"/>
          <w:noProof/>
          <w:sz w:val="24"/>
          <w:szCs w:val="24"/>
        </w:rPr>
        <w:t xml:space="preserve">Na základě výsledků programu podpory bude předložena reforma financování škol, která zavede indexové financování zohledňující míru socioekonomického znevýhodnění. Umožní to posílit systematické financování nejzranitelnějších škol a zvýšit tak kvalitu vzdělávání v těchto školách a snížit rozdíly mezi školami. </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bude dokončena do 31. prosince 2025. </w:t>
      </w:r>
    </w:p>
    <w:p>
      <w:pPr>
        <w:jc w:val="both"/>
        <w:rPr>
          <w:rFonts w:ascii="Times New Roman" w:eastAsia="Times New Roman" w:hAnsi="Times New Roman"/>
          <w:b/>
          <w:bCs/>
          <w:noProof/>
          <w:sz w:val="24"/>
          <w:szCs w:val="24"/>
        </w:rPr>
      </w:pPr>
      <w:r>
        <w:rPr>
          <w:rFonts w:ascii="Times New Roman" w:hAnsi="Times New Roman"/>
          <w:b/>
          <w:bCs/>
          <w:noProof/>
          <w:sz w:val="24"/>
          <w:szCs w:val="24"/>
        </w:rPr>
        <w:t xml:space="preserve">Investice č. 2: Doučování žáků </w:t>
      </w:r>
    </w:p>
    <w:p>
      <w:pPr>
        <w:jc w:val="both"/>
        <w:rPr>
          <w:rFonts w:ascii="Times New Roman" w:eastAsia="Times New Roman" w:hAnsi="Times New Roman"/>
          <w:noProof/>
          <w:sz w:val="24"/>
          <w:szCs w:val="24"/>
        </w:rPr>
      </w:pPr>
      <w:r>
        <w:rPr>
          <w:rFonts w:ascii="Times New Roman" w:hAnsi="Times New Roman"/>
          <w:noProof/>
          <w:sz w:val="24"/>
          <w:szCs w:val="24"/>
        </w:rPr>
        <w:t xml:space="preserve">Cílem investice je zajistit doučování pro žáky ze znevýhodněného socioekonomického prostředí, jejichž studijní výsledky se zhoršily v důsledku dlouhodobého uzavření školy. Podle zpráv České školní inspekce se odhaduje, že 500 000 žáků zaostává a potřebuje doučování z důvodu nedostatečné účasti při on-line výuce během desetiměsíčního uzavření škol. Investice tak zabrání dalšímu prohlubování nerovností mezi žáky a školami, které jsou způsobeny sociálním nebo jiným znevýhodněním. Podpora žáků ohrožených neúspěchem bude dočasná, omezená na fázi obnovy znalostí po návratu žáků k prezenční výuce. Pomůže jim obnovit si učební návyky a získat znalosti předepsané vzdělávacími programy v matematice, českém jazyce a cizích jazycích. </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bude dokončena do 31. prosince 2023. </w:t>
      </w:r>
    </w:p>
    <w:p>
      <w:pPr>
        <w:jc w:val="both"/>
        <w:rPr>
          <w:rFonts w:ascii="Times New Roman" w:eastAsia="Times New Roman" w:hAnsi="Times New Roman"/>
          <w:noProof/>
          <w:sz w:val="24"/>
          <w:szCs w:val="24"/>
          <w:lang w:eastAsia="cs-CZ"/>
        </w:rPr>
        <w:sectPr>
          <w:headerReference w:type="even" r:id="rId202"/>
          <w:headerReference w:type="default" r:id="rId203"/>
          <w:footerReference w:type="even" r:id="rId204"/>
          <w:footerReference w:type="default" r:id="rId205"/>
          <w:headerReference w:type="first" r:id="rId206"/>
          <w:footerReference w:type="first" r:id="rId207"/>
          <w:pgSz w:w="11907" w:h="16839"/>
          <w:pgMar w:top="1134" w:right="1418" w:bottom="1134" w:left="1418" w:header="709" w:footer="709" w:gutter="0"/>
          <w:cols w:space="708"/>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Q.2 Milníky, cíle, ukazatele a harmonogram monitorování a provádění nevratné finanční podpory </w:t>
      </w:r>
    </w:p>
    <w:p>
      <w:pPr>
        <w:pBdr>
          <w:top w:val="nil"/>
          <w:left w:val="nil"/>
          <w:bottom w:val="nil"/>
          <w:right w:val="nil"/>
          <w:between w:val="nil"/>
        </w:pBdr>
        <w:jc w:val="both"/>
        <w:rPr>
          <w:rFonts w:ascii="Times New Roman" w:eastAsia="Times New Roman" w:hAnsi="Times New Roman"/>
          <w:noProof/>
          <w:color w:val="000000"/>
          <w:sz w:val="24"/>
          <w:szCs w:val="24"/>
          <w:lang w:eastAsia="cs-CZ"/>
        </w:rPr>
      </w:pPr>
    </w:p>
    <w:tbl>
      <w:tblPr>
        <w:tblW w:w="0" w:type="auto"/>
        <w:tblLayout w:type="fixed"/>
        <w:tblLook w:val="04A0" w:firstRow="1" w:lastRow="0" w:firstColumn="1" w:lastColumn="0" w:noHBand="0" w:noVBand="1"/>
      </w:tblPr>
      <w:tblGrid>
        <w:gridCol w:w="675"/>
        <w:gridCol w:w="1418"/>
        <w:gridCol w:w="850"/>
        <w:gridCol w:w="1418"/>
        <w:gridCol w:w="1134"/>
        <w:gridCol w:w="850"/>
        <w:gridCol w:w="567"/>
        <w:gridCol w:w="851"/>
        <w:gridCol w:w="992"/>
        <w:gridCol w:w="1064"/>
        <w:gridCol w:w="4745"/>
      </w:tblGrid>
      <w:tr>
        <w:trPr>
          <w:trHeight w:val="107"/>
          <w:tblHead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418"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418"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134"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268"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2056"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418"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850"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418"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134"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850"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567"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851"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992"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1064"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176</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Transformace vysokých škol s cílem adaptace na nové formy učení a měnící se potřeby trhu práce</w:t>
            </w:r>
          </w:p>
        </w:tc>
        <w:tc>
          <w:tcPr>
            <w:tcW w:w="850"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Zahájení programu na podporu transformace vysokých škol </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Zahájení programu Ministerstvem školství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6100"/>
                <w:sz w:val="18"/>
                <w:szCs w:val="18"/>
              </w:rPr>
            </w:pPr>
            <w:r>
              <w:rPr>
                <w:rFonts w:ascii="Times New Roman" w:hAnsi="Times New Roman"/>
                <w:noProof/>
                <w:color w:val="006100"/>
                <w:sz w:val="18"/>
                <w:szCs w:val="18"/>
              </w:rPr>
              <w:t xml:space="preserve">Program podpoří adaptaci vysokých škol na nové formy učení a zavádění nových studijních programů. Odvětví, která mají být z programu podporována, se určí na základě analýzy ekonomických údajů a po konzultaci se sociálními partnery. Pozornost bude věnována rychle rostoucím odvětvím s vysokou přidanou hodnotou, která trpí nedostatkem vysoce kvalifikovaných odborníků, jako je kybernetická bezpečnost, umělá inteligence, Průmysl 4.0 nebo služby elektronické veřejné správy. Cílem bude podpořit nejméně 20 vysokých škol.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177</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Transformace vysokých škol s cílem adaptace na nové formy učení a měnící se potřeby trhu práce</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nově akreditovaných studijních programů</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eastAsia="Times New Roman" w:hAnsi="Times New Roman"/>
                <w:noProof/>
                <w:color w:val="006666"/>
                <w:sz w:val="18"/>
                <w:szCs w:val="18"/>
              </w:rPr>
            </w:pPr>
            <w:r>
              <w:rPr>
                <w:rFonts w:ascii="Times New Roman" w:hAnsi="Times New Roman"/>
                <w:noProof/>
                <w:color w:val="006666"/>
                <w:sz w:val="18"/>
                <w:szCs w:val="18"/>
              </w:rPr>
              <w:t>35</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Akreditaci získá nejméně 35 nových studijních programů, z nichž: </w:t>
            </w:r>
          </w:p>
          <w:p>
            <w:pPr>
              <w:pStyle w:val="ListParagraph"/>
              <w:numPr>
                <w:ilvl w:val="0"/>
                <w:numId w:val="71"/>
              </w:numPr>
              <w:spacing w:before="0" w:after="0" w:line="240" w:lineRule="auto"/>
              <w:contextualSpacing w:val="0"/>
              <w:rPr>
                <w:rFonts w:ascii="Times New Roman" w:hAnsi="Times New Roman"/>
                <w:noProof/>
                <w:color w:val="006100"/>
                <w:sz w:val="18"/>
                <w:szCs w:val="18"/>
              </w:rPr>
            </w:pPr>
            <w:r>
              <w:rPr>
                <w:rFonts w:ascii="Times New Roman" w:hAnsi="Times New Roman"/>
                <w:noProof/>
                <w:color w:val="006100"/>
                <w:sz w:val="18"/>
                <w:szCs w:val="18"/>
              </w:rPr>
              <w:t>nejméně 15 studijních programů spadá do odvětví klasifikovaných jako rychle rostoucí odvětví s vysokou přidanou hodnotou, jež trpí nedostatkem vysoce kvalifikovaných odborníků;</w:t>
            </w:r>
          </w:p>
          <w:p>
            <w:pPr>
              <w:pStyle w:val="ListParagraph"/>
              <w:numPr>
                <w:ilvl w:val="0"/>
                <w:numId w:val="71"/>
              </w:numPr>
              <w:spacing w:before="0" w:after="0" w:line="240" w:lineRule="auto"/>
              <w:contextualSpacing w:val="0"/>
              <w:rPr>
                <w:rFonts w:ascii="Times New Roman" w:hAnsi="Times New Roman"/>
                <w:noProof/>
                <w:color w:val="006100"/>
                <w:sz w:val="18"/>
                <w:szCs w:val="18"/>
              </w:rPr>
            </w:pPr>
            <w:r>
              <w:rPr>
                <w:rFonts w:ascii="Times New Roman" w:hAnsi="Times New Roman"/>
                <w:noProof/>
                <w:color w:val="006100"/>
                <w:sz w:val="18"/>
                <w:szCs w:val="18"/>
              </w:rPr>
              <w:t>nejméně 20 nových studijních programů (bakalář nebo magisterský program) má profesní profil.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178</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Transformace vysokých škol s cílem adaptace na nové formy učení a měnící se potřeby trhu práce</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rekvalifikačních a vzdělávacích kurzů</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6100"/>
                <w:sz w:val="18"/>
                <w:szCs w:val="18"/>
                <w:lang w:eastAsia="cs-CZ"/>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Univerzity vytvoří a nabídnou nejméně 20 nových kurzů zaměřených na prohlubování dovedností a rekvalifikaci (včetně kurzů využívajících mikrokredity).</w:t>
            </w:r>
          </w:p>
        </w:tc>
      </w:tr>
      <w:tr>
        <w:trPr>
          <w:trHeight w:val="2846"/>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179</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Rozvoj vybraných klíčových akademických pracovišť</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Milník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Zadání zakázek na výstavbu nových vysokoškolských zařízení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zakázek na výstavbu nových vysokoškolských zařízení</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240"/>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veřejných zakázek na výstavbu nových vysokoškolských zařízení s cílem vybudovat 100 000 m</w:t>
            </w:r>
            <w:r>
              <w:rPr>
                <w:rFonts w:ascii="Times New Roman" w:hAnsi="Times New Roman"/>
                <w:noProof/>
                <w:color w:val="006100"/>
                <w:sz w:val="18"/>
                <w:szCs w:val="18"/>
                <w:vertAlign w:val="superscript"/>
              </w:rPr>
              <w:t>2</w:t>
            </w:r>
            <w:r>
              <w:rPr>
                <w:rFonts w:ascii="Times New Roman" w:hAnsi="Times New Roman"/>
                <w:noProof/>
                <w:color w:val="006100"/>
                <w:sz w:val="18"/>
                <w:szCs w:val="18"/>
              </w:rPr>
              <w:t xml:space="preserve"> nových vysokoškolských areálů včetně materiálního vybavení v členění:</w:t>
            </w:r>
          </w:p>
          <w:p>
            <w:pPr>
              <w:numPr>
                <w:ilvl w:val="0"/>
                <w:numId w:val="38"/>
              </w:numPr>
              <w:spacing w:after="240" w:line="259" w:lineRule="auto"/>
              <w:ind w:left="382" w:hanging="283"/>
              <w:contextualSpacing/>
              <w:rPr>
                <w:rFonts w:ascii="Times New Roman" w:eastAsia="Times New Roman" w:hAnsi="Times New Roman"/>
                <w:noProof/>
                <w:color w:val="006100"/>
                <w:sz w:val="18"/>
                <w:szCs w:val="18"/>
              </w:rPr>
            </w:pPr>
            <w:r>
              <w:rPr>
                <w:rFonts w:ascii="Times New Roman" w:hAnsi="Times New Roman"/>
                <w:noProof/>
                <w:color w:val="006100"/>
                <w:sz w:val="18"/>
                <w:szCs w:val="18"/>
              </w:rPr>
              <w:t xml:space="preserve">Mephared 2 (Univerzita Karlova, Hradec Králové) – 58 092 m² </w:t>
            </w:r>
          </w:p>
          <w:p>
            <w:pPr>
              <w:numPr>
                <w:ilvl w:val="0"/>
                <w:numId w:val="38"/>
              </w:numPr>
              <w:spacing w:after="240" w:line="259" w:lineRule="auto"/>
              <w:ind w:left="382" w:hanging="283"/>
              <w:contextualSpacing/>
              <w:rPr>
                <w:rFonts w:ascii="Times New Roman" w:eastAsia="Times New Roman" w:hAnsi="Times New Roman"/>
                <w:noProof/>
                <w:color w:val="006100"/>
                <w:sz w:val="18"/>
                <w:szCs w:val="18"/>
              </w:rPr>
            </w:pPr>
            <w:r>
              <w:rPr>
                <w:rFonts w:ascii="Times New Roman" w:hAnsi="Times New Roman"/>
                <w:noProof/>
                <w:color w:val="006100"/>
                <w:sz w:val="18"/>
                <w:szCs w:val="18"/>
              </w:rPr>
              <w:t>Biocentrum (Univerzita Karlova, Praha-Albertov) – 33 934 m²</w:t>
            </w:r>
          </w:p>
          <w:p>
            <w:pPr>
              <w:numPr>
                <w:ilvl w:val="0"/>
                <w:numId w:val="38"/>
              </w:numPr>
              <w:spacing w:after="240" w:line="259" w:lineRule="auto"/>
              <w:ind w:left="382" w:hanging="283"/>
              <w:contextualSpacing/>
              <w:rPr>
                <w:rFonts w:ascii="Times New Roman" w:hAnsi="Times New Roman"/>
                <w:i/>
                <w:iCs/>
                <w:noProof/>
                <w:color w:val="006100"/>
                <w:sz w:val="18"/>
                <w:szCs w:val="18"/>
              </w:rPr>
            </w:pPr>
            <w:r>
              <w:rPr>
                <w:rFonts w:ascii="Times New Roman" w:hAnsi="Times New Roman"/>
                <w:noProof/>
                <w:color w:val="006100"/>
                <w:sz w:val="18"/>
                <w:szCs w:val="18"/>
              </w:rPr>
              <w:t>BiopharmaHub (Masarykova univerzita, Brno) – 19 035 m²</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180</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Rozvoj vybraných klíčových akademických pracovišť</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metrů čtverečních nového vysokoškolského areálu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100 000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sz w:val="18"/>
                <w:szCs w:val="18"/>
              </w:rPr>
              <w:t xml:space="preserve">  </w:t>
            </w:r>
            <w:r>
              <w:rPr>
                <w:rFonts w:ascii="Times New Roman" w:hAnsi="Times New Roman"/>
                <w:noProof/>
                <w:color w:val="006100"/>
                <w:sz w:val="18"/>
                <w:szCs w:val="18"/>
              </w:rPr>
              <w:t>Q2</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240"/>
              <w:rPr>
                <w:rFonts w:ascii="Times New Roman" w:hAnsi="Times New Roman"/>
                <w:noProof/>
                <w:color w:val="006100"/>
                <w:sz w:val="18"/>
                <w:szCs w:val="18"/>
              </w:rPr>
            </w:pPr>
            <w:r>
              <w:rPr>
                <w:rFonts w:ascii="Times New Roman" w:hAnsi="Times New Roman"/>
                <w:noProof/>
                <w:color w:val="006100"/>
                <w:sz w:val="18"/>
                <w:szCs w:val="18"/>
              </w:rPr>
              <w:t>Z celkové cílové plochy výstavby 111 000 m² bude vybudováno nejméně 100 000 m² nových vysokoškolských areálů.</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181</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2: Podpora znevýhodněných škol</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podpořených znevýhodněných škol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400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color w:val="006100"/>
                <w:sz w:val="18"/>
                <w:szCs w:val="18"/>
              </w:rPr>
              <w:t>Q4</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Program poskytne podporu nejméně 400 školám s vysokým podílem znevýhodněných žáků. Podpora se zaměří na školení učitelů pro práci s heterogenními skupinami a znevýhodněnými žáky. Výběr škol provede Národní pedagogický institut ve spolupráci s Českou školní inspekcí na základě souboru kritérií, jako je podíl znevýhodněných žáků, podíl žáků s odlišným mateřským jazykem a vzdělávací výsledky dané školy. </w:t>
            </w:r>
          </w:p>
        </w:tc>
      </w:tr>
      <w:tr>
        <w:trPr>
          <w:trHeight w:val="436"/>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182</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2: Podpora znevýhodněných škol</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Návrh nového systému financování škol podle socioekonomického znevýhodnění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Schválení návrhu na indexové financování Ministerstvem školství, mládeže a tělovýchovy.</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eastAsia="cs-CZ"/>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color w:val="006100"/>
                <w:sz w:val="18"/>
                <w:szCs w:val="18"/>
              </w:rPr>
              <w:t>Q4</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Návrh na indexové financování bude vycházet z výsledků programu podpory znevýhodněných škol v rámci reformy č. 2 (Podpora znevýhodněných škol). Index zohlední několik ukazatelů socioekonomického znevýhodnění škol, jako jsou výsledky vzdělávání, podíl žáků se socioekonomickým nebo jiným znevýhodněním a podíl žáků s odlišným mateřským jazykem. </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183</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Investice č. 2: Doučování žáků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žáků, kteří absolvovali doučování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500 000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Doučování se poskytne nejméně 500 000 žákům ohroženým školním neúspěchem. Doučování pomůže žákům obnovit studijní návyky a získat znalosti předepsané vzdělávacími programy v matematice, českém jazyce a cizím jazyce.</w:t>
            </w:r>
          </w:p>
        </w:tc>
      </w:tr>
    </w:tbl>
    <w:p>
      <w:pPr>
        <w:pBdr>
          <w:top w:val="nil"/>
          <w:left w:val="nil"/>
          <w:bottom w:val="nil"/>
          <w:right w:val="nil"/>
          <w:between w:val="nil"/>
        </w:pBdr>
        <w:jc w:val="both"/>
        <w:rPr>
          <w:rFonts w:ascii="Times New Roman" w:eastAsia="Times New Roman" w:hAnsi="Times New Roman"/>
          <w:noProof/>
          <w:color w:val="000000"/>
          <w:sz w:val="24"/>
          <w:szCs w:val="24"/>
          <w:lang w:eastAsia="cs-CZ"/>
        </w:rPr>
        <w:sectPr>
          <w:headerReference w:type="even" r:id="rId208"/>
          <w:headerReference w:type="default" r:id="rId209"/>
          <w:footerReference w:type="even" r:id="rId210"/>
          <w:footerReference w:type="default" r:id="rId211"/>
          <w:headerReference w:type="first" r:id="rId212"/>
          <w:footerReference w:type="first" r:id="rId213"/>
          <w:pgSz w:w="16839" w:h="11907" w:orient="landscape"/>
          <w:pgMar w:top="142" w:right="1134" w:bottom="1418" w:left="1134" w:header="709" w:footer="709" w:gutter="0"/>
          <w:cols w:space="708"/>
        </w:sectPr>
      </w:pPr>
    </w:p>
    <w:p>
      <w:pPr>
        <w:keepNext/>
        <w:tabs>
          <w:tab w:val="left" w:pos="850"/>
        </w:tabs>
        <w:jc w:val="both"/>
        <w:outlineLvl w:val="0"/>
        <w:rPr>
          <w:rFonts w:ascii="Times New Roman" w:hAnsi="Times New Roman"/>
          <w:b/>
          <w:smallCaps/>
          <w:noProof/>
          <w:sz w:val="24"/>
        </w:rPr>
      </w:pPr>
      <w:r>
        <w:rPr>
          <w:rFonts w:ascii="Times New Roman" w:hAnsi="Times New Roman"/>
          <w:b/>
          <w:bCs/>
          <w:smallCaps/>
          <w:noProof/>
          <w:sz w:val="24"/>
          <w:szCs w:val="24"/>
        </w:rPr>
        <w:t xml:space="preserve">R. KOMPONENTA č. 3.3: Modernizace služeb zaměstnanosti a rozvoj trhu práce </w:t>
      </w:r>
    </w:p>
    <w:p>
      <w:pPr>
        <w:jc w:val="both"/>
        <w:rPr>
          <w:rFonts w:ascii="Times New Roman" w:eastAsia="Times New Roman" w:hAnsi="Times New Roman"/>
          <w:noProof/>
          <w:sz w:val="24"/>
          <w:szCs w:val="24"/>
        </w:rPr>
      </w:pPr>
      <w:r>
        <w:rPr>
          <w:rFonts w:ascii="Times New Roman" w:hAnsi="Times New Roman"/>
          <w:noProof/>
          <w:sz w:val="24"/>
          <w:szCs w:val="24"/>
        </w:rPr>
        <w:t>Tato komponenta Plánu pro oživení a odolnost České republiky přispívá k řešení několika výzev v oblasti trhu práce a sociální péče. Zaprvé se zaměřuje na zvýšení adaptability pracovní síly rozvojem dovedností, zejména v digitální oblasti. Zadruhé se zaměřuje na řešení přetrvávajících genderových nerovností na trhu práce, zejména na nízkou účast žen s malými dětmi na trhu práce. Zatřetí se tato komponenta zaměřuje na modernizaci a rozšíření sociálních služeb v souladu se zásadami deinstitucionalizace a nezávislého života, jak je popisuje Úmluva OSN o právech osob se zdravotním postižením.</w:t>
      </w:r>
    </w:p>
    <w:p>
      <w:pPr>
        <w:jc w:val="both"/>
        <w:rPr>
          <w:rFonts w:ascii="Times New Roman" w:eastAsia="Times New Roman" w:hAnsi="Times New Roman"/>
          <w:noProof/>
          <w:sz w:val="24"/>
          <w:szCs w:val="24"/>
        </w:rPr>
      </w:pPr>
      <w:r>
        <w:rPr>
          <w:rFonts w:ascii="Times New Roman" w:hAnsi="Times New Roman"/>
          <w:noProof/>
          <w:sz w:val="24"/>
          <w:szCs w:val="24"/>
        </w:rPr>
        <w:t>Komponenta podporuje plnění doporučení pro zemi č. 2 na rok 2019, podle něhož má Česko podporovat zaměstnávání žen s malými dětmi, mimo jiné zlepšením přístupu k cenově dostupné péči o děti, a zaměstnávání znevýhodněných skupin, a doporučení pro zemi č. 2 na rok 2020, podle něhož má Česko podporovat zaměstnanost aktivními politikami na trhu práce, poskytováním dovedností (včetně digitálních dovedností) a přístupem k digitálnímu učení.</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eastAsia="Times New Roman" w:hAnsi="Times New Roman"/>
          <w:i/>
          <w:noProof/>
          <w:sz w:val="24"/>
          <w:szCs w:val="24"/>
          <w:lang w:eastAsia="en-GB"/>
        </w:rPr>
      </w:pPr>
    </w:p>
    <w:p>
      <w:pPr>
        <w:jc w:val="both"/>
        <w:rPr>
          <w:rFonts w:ascii="Times New Roman" w:eastAsia="Times New Roman" w:hAnsi="Times New Roman"/>
          <w:noProof/>
          <w:sz w:val="24"/>
          <w:szCs w:val="24"/>
        </w:rPr>
      </w:pPr>
      <w:r>
        <w:rPr>
          <w:rFonts w:ascii="Times New Roman" w:hAnsi="Times New Roman"/>
          <w:b/>
          <w:noProof/>
          <w:sz w:val="24"/>
          <w:szCs w:val="24"/>
          <w:u w:val="single"/>
        </w:rPr>
        <w:t>R.1 Popis reforem a investic pro nevratnou finanční podporu</w:t>
      </w:r>
    </w:p>
    <w:p>
      <w:pPr>
        <w:jc w:val="both"/>
        <w:rPr>
          <w:rFonts w:ascii="Times New Roman" w:eastAsia="Times New Roman" w:hAnsi="Times New Roman"/>
          <w:noProof/>
          <w:sz w:val="24"/>
          <w:szCs w:val="24"/>
        </w:rPr>
      </w:pPr>
      <w:r>
        <w:rPr>
          <w:rFonts w:ascii="Times New Roman" w:hAnsi="Times New Roman"/>
          <w:b/>
          <w:bCs/>
          <w:noProof/>
          <w:sz w:val="24"/>
          <w:szCs w:val="24"/>
        </w:rPr>
        <w:t xml:space="preserve">Reforma č. 1: Rozvoj politik zaměstnanosti </w:t>
      </w:r>
    </w:p>
    <w:p>
      <w:pPr>
        <w:jc w:val="both"/>
        <w:rPr>
          <w:rFonts w:ascii="Times New Roman" w:eastAsia="Times New Roman" w:hAnsi="Times New Roman"/>
          <w:noProof/>
          <w:sz w:val="24"/>
          <w:szCs w:val="24"/>
        </w:rPr>
      </w:pPr>
      <w:r>
        <w:rPr>
          <w:rFonts w:ascii="Times New Roman" w:hAnsi="Times New Roman"/>
          <w:noProof/>
          <w:sz w:val="24"/>
          <w:szCs w:val="24"/>
        </w:rPr>
        <w:t xml:space="preserve">Cílem této reformy je podpora celoživotního učení v Česku. Reforma se skládá z řady systémových opatření: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Do 31. března 2022 bude zřízen tripartitní mechanismus, který bude zahrnovat Ministerstvo práce, Ministerstvo školství, zaměstnavatele a zástupce odborových svazů a který bude koordinovat rozvoj programů celoživotního učení v souladu s aktuální a očekávanou poptávkou po dovednostech.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Do 31. prosince 2023 bude vytvořena databáze rekvalifikačních a vzdělávacích kurzů, která zvýší nabídku rekvalifikačních kurzů a zlepší sladění nabídky a poptávky; databáze bude zahrnovat jak rekvalifikační programy certifikované podle zákona o zaměstnanosti, tak i kurzy, jež nabízí odborné školy a vysokoškolské instituce.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Rozšíří se cílové skupiny, které se mohou účastnit rekvalifikací organizovaných úřadem práce, na zaměstnané osoby ohrožené propuštěním a zaměstnané osoby, které si chtějí zvýšit kvalifikaci; očekává se, že se tím zvýší poptávka po dalším vzdělávání a jeho využívání.</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Do 31. prosince 2025 se zřídí nejméně čtrnáct regionálních školicích středisek (v působnosti úřadu práce) dostatečně vybavených pro poskytování celoživotního vzdělávání v oblasti digitálních technologií a Průmyslu 4.0; posílí spolupráci s regionálními odbornými školami a umožní pružněji poskytovat rekvalifikační kurzy podle aktuálních potřeb regionálního trhu práce (bez nutnosti vypisovat výběrová řízení na rekvalifikační programy).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Legislativní změny do 31. prosince 2025 s cílem zvýšit flexibilitu a účinnost rekvalifikačních kurzů organizovaných úřadem práce a lépe zacílit podporu na nejzranitelnější skupiny. </w:t>
      </w:r>
    </w:p>
    <w:p>
      <w:pPr>
        <w:jc w:val="both"/>
        <w:rPr>
          <w:rFonts w:ascii="Times New Roman" w:eastAsia="Times New Roman" w:hAnsi="Times New Roman"/>
          <w:noProof/>
          <w:sz w:val="24"/>
          <w:szCs w:val="24"/>
        </w:rPr>
      </w:pPr>
      <w:r>
        <w:rPr>
          <w:rFonts w:ascii="Times New Roman" w:hAnsi="Times New Roman"/>
          <w:noProof/>
          <w:sz w:val="24"/>
          <w:szCs w:val="24"/>
        </w:rPr>
        <w:t xml:space="preserve">Reformní opatření budou dokončena do 31. prosince 2025. </w:t>
      </w:r>
    </w:p>
    <w:p>
      <w:pPr>
        <w:jc w:val="both"/>
        <w:rPr>
          <w:rFonts w:ascii="Times New Roman" w:eastAsia="Times New Roman" w:hAnsi="Times New Roman"/>
          <w:noProof/>
          <w:sz w:val="24"/>
          <w:szCs w:val="24"/>
        </w:rPr>
      </w:pPr>
      <w:r>
        <w:rPr>
          <w:rFonts w:ascii="Times New Roman" w:hAnsi="Times New Roman"/>
          <w:b/>
          <w:bCs/>
          <w:noProof/>
          <w:sz w:val="24"/>
          <w:szCs w:val="24"/>
        </w:rPr>
        <w:t>Reforma č. 2: Zajištění udržitelného financování zařízení péče o děti</w:t>
      </w:r>
    </w:p>
    <w:p>
      <w:pPr>
        <w:jc w:val="both"/>
        <w:rPr>
          <w:rFonts w:ascii="Times New Roman" w:eastAsia="Times New Roman" w:hAnsi="Times New Roman"/>
          <w:noProof/>
          <w:sz w:val="24"/>
          <w:szCs w:val="24"/>
        </w:rPr>
      </w:pPr>
      <w:r>
        <w:rPr>
          <w:rFonts w:ascii="Times New Roman" w:hAnsi="Times New Roman"/>
          <w:noProof/>
          <w:sz w:val="24"/>
          <w:szCs w:val="24"/>
        </w:rPr>
        <w:t>Cílem tohoto opatření je podpořit dostupnost cenově dostupné péče o děti mladší tří let a umožnit tak návrat rodičů, zejména matek, do zaměstnání nebo jiné pracovní činnosti po rodičovské dovolené. Reforma spočívá v novele zákona o předškolní péči o dítě, která zajistí stabilní financování pro děti mladší tří let. Změna právního předpisu má také zajistit přístup k cenově dostupné péči o děti mladší tří let ve všech regionech Česka.</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prosince 2023.</w:t>
      </w:r>
    </w:p>
    <w:p>
      <w:pPr>
        <w:jc w:val="both"/>
        <w:rPr>
          <w:rFonts w:ascii="Times New Roman" w:eastAsia="Times New Roman" w:hAnsi="Times New Roman"/>
          <w:b/>
          <w:bCs/>
          <w:noProof/>
          <w:sz w:val="24"/>
          <w:szCs w:val="24"/>
        </w:rPr>
      </w:pPr>
      <w:r>
        <w:rPr>
          <w:rFonts w:ascii="Times New Roman" w:hAnsi="Times New Roman"/>
          <w:b/>
          <w:bCs/>
          <w:noProof/>
          <w:sz w:val="24"/>
          <w:szCs w:val="24"/>
        </w:rPr>
        <w:t>Reforma č. 3: Reforma v oblasti dlouhodobé péče</w:t>
      </w:r>
    </w:p>
    <w:p>
      <w:pPr>
        <w:jc w:val="both"/>
        <w:rPr>
          <w:rFonts w:ascii="Times New Roman" w:eastAsia="Times New Roman" w:hAnsi="Times New Roman"/>
          <w:noProof/>
          <w:sz w:val="24"/>
          <w:szCs w:val="24"/>
        </w:rPr>
      </w:pPr>
      <w:r>
        <w:rPr>
          <w:rFonts w:ascii="Times New Roman" w:hAnsi="Times New Roman"/>
          <w:noProof/>
          <w:sz w:val="24"/>
          <w:szCs w:val="24"/>
        </w:rPr>
        <w:t xml:space="preserve">Cílem reformy je řešit výzvu spočívající v roztříštěné správě a financování dlouhodobé péče a nízkém podílu komunitních a domácích služeb v Česku. Podstatou opatření je legislativní reforma, jejímž cílem bude integrace zdravotní a sociální dlouhodobé péče, zajištění stabilního systému odpovídajícího financování kvalitních dlouhodobých služeb, poskytování pobídek pro komunitní a domácí péči, umožnění přístupu soukromých poskytovatelů a zlepšení dohledu nad sociální péčí. Do 31. prosince 2022 má být přijat systém mapování potřeb sociální a dlouhodobé péče a akční plán deinstitucionalizace. </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prosince 2023.</w:t>
      </w:r>
    </w:p>
    <w:p>
      <w:pPr>
        <w:jc w:val="both"/>
        <w:rPr>
          <w:rFonts w:ascii="Times New Roman" w:eastAsia="Times New Roman" w:hAnsi="Times New Roman"/>
          <w:b/>
          <w:bCs/>
          <w:noProof/>
          <w:sz w:val="24"/>
          <w:szCs w:val="24"/>
        </w:rPr>
      </w:pPr>
      <w:r>
        <w:rPr>
          <w:rFonts w:ascii="Times New Roman" w:hAnsi="Times New Roman"/>
          <w:b/>
          <w:bCs/>
          <w:noProof/>
          <w:sz w:val="24"/>
          <w:szCs w:val="24"/>
        </w:rPr>
        <w:t xml:space="preserve">Investice č. 1: Rozvoj politik zaměstnanosti </w:t>
      </w:r>
    </w:p>
    <w:p>
      <w:pPr>
        <w:jc w:val="both"/>
        <w:rPr>
          <w:rFonts w:ascii="Times New Roman" w:eastAsia="Times New Roman" w:hAnsi="Times New Roman"/>
          <w:noProof/>
          <w:sz w:val="24"/>
          <w:szCs w:val="24"/>
        </w:rPr>
      </w:pPr>
      <w:r>
        <w:rPr>
          <w:rFonts w:ascii="Times New Roman" w:hAnsi="Times New Roman"/>
          <w:noProof/>
          <w:sz w:val="24"/>
          <w:szCs w:val="24"/>
        </w:rPr>
        <w:t xml:space="preserve">Cílem opatření je zvýšit adaptabilitu pracovních sil vůči měnícím se potřebám trhu práce. Opatření zahrnuje především projekty rekvalifikace a zvyšování kvalifikace se zaměřením na osoby se sníženou schopností přizpůsobit se měnícím se podmínkám na trhu práce. </w:t>
      </w:r>
    </w:p>
    <w:p>
      <w:pPr>
        <w:jc w:val="both"/>
        <w:rPr>
          <w:rFonts w:ascii="Times New Roman" w:eastAsia="Times New Roman" w:hAnsi="Times New Roman"/>
          <w:noProof/>
          <w:sz w:val="24"/>
          <w:szCs w:val="24"/>
        </w:rPr>
      </w:pPr>
      <w:r>
        <w:rPr>
          <w:rFonts w:ascii="Times New Roman" w:hAnsi="Times New Roman"/>
          <w:noProof/>
          <w:sz w:val="24"/>
          <w:szCs w:val="24"/>
        </w:rPr>
        <w:t>Poskytování dovedností má na jedné straně zajistit nabídku kvalifikovaných pracovních sil, která je předpokladem konkurenceschopnosti, a na druhé straně zabránit nezaměstnanosti a podpořit sociální soudržnost. Do 31. prosince 2025 bude 130 000 osob poskytnuta vyšší kvalifikace nebo rekvalifikace v oblasti digitálních dovedností nebo jiných dovedností, které vyžaduje přechod na digitální technologie a Průmysl 4.0. Předpokládá se, že z tohoto počtu získá 65 000 osob podporu prostřednictvím Úřadu práce ČR a dalších 65 000 osob bude podpořeno formou odborného vzdělávání zajišťovaného přímo zaměstnavateli (upřednostněny budou malé a střední podniky a osoby samostatně výdělečně činné).</w:t>
      </w:r>
    </w:p>
    <w:p>
      <w:pPr>
        <w:jc w:val="both"/>
        <w:rPr>
          <w:rFonts w:ascii="Times New Roman" w:eastAsia="Times New Roman" w:hAnsi="Times New Roman"/>
          <w:noProof/>
        </w:rPr>
      </w:pPr>
      <w:r>
        <w:rPr>
          <w:rFonts w:ascii="Times New Roman" w:hAnsi="Times New Roman"/>
          <w:noProof/>
          <w:sz w:val="24"/>
          <w:szCs w:val="24"/>
        </w:rPr>
        <w:t>Investice bude dokončena do 31. prosince 2025.</w:t>
      </w:r>
    </w:p>
    <w:p>
      <w:pPr>
        <w:jc w:val="both"/>
        <w:rPr>
          <w:rFonts w:ascii="Times New Roman" w:eastAsia="Times New Roman" w:hAnsi="Times New Roman"/>
          <w:noProof/>
          <w:sz w:val="24"/>
          <w:szCs w:val="24"/>
        </w:rPr>
      </w:pPr>
      <w:r>
        <w:rPr>
          <w:rFonts w:ascii="Times New Roman" w:hAnsi="Times New Roman"/>
          <w:b/>
          <w:bCs/>
          <w:noProof/>
          <w:sz w:val="24"/>
          <w:szCs w:val="24"/>
        </w:rPr>
        <w:t>Investice č. 2: Zvýšení kapacity zařízení péče o děti</w:t>
      </w:r>
    </w:p>
    <w:p>
      <w:pPr>
        <w:jc w:val="both"/>
        <w:rPr>
          <w:rFonts w:ascii="Times New Roman" w:eastAsia="Times New Roman" w:hAnsi="Times New Roman"/>
          <w:noProof/>
          <w:sz w:val="24"/>
          <w:szCs w:val="24"/>
        </w:rPr>
      </w:pPr>
      <w:r>
        <w:rPr>
          <w:rFonts w:ascii="Times New Roman" w:hAnsi="Times New Roman"/>
          <w:noProof/>
          <w:sz w:val="24"/>
          <w:szCs w:val="24"/>
        </w:rPr>
        <w:t xml:space="preserve">Cílem investice je zvýšit dostupnost služeb péče o děti mladší tří let. Pomůže řešit nízkou účast žen s malými dětmi na trhu práce a snížit přetrvávající genderové nerovnosti na trhu práce, které se projevují ve vysokých rozdílech v zaměstnanosti mužů a žen, rozdílech v odměňování a rozdílech v důchodech. Cílem investice je rovněž zvýšit přístup k péči o děti pro rodiny s nižšími příjmy, které si nemohou dovolit stávající služby péče o děti, což dále prohlubuje riziko sociálního vyloučení a slabých vzdělávacích výsledků jejich dětí. Očekává se, že investice zvýší počet dětských skupin a jeslí o 40 %. Tyto investice zahrnují: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investice do nových jeslí. Z celkového cíle, kterým je zřízení 435 nových jeslí, bude vybudováno nejméně 391 jeslí,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rekonstrukce nebo rozšíření kapacit stávajících zařízení tak, aby splňovala nové technické normy (hygienické a požární) stanovené novelou zákona o dětských skupinách. Z celkového cíle, kterým je rekonstrukce 370 zařízení, bude rekonstruováno nejméně 333 zařízení.</w:t>
      </w:r>
    </w:p>
    <w:p>
      <w:pPr>
        <w:ind w:left="227" w:hanging="227"/>
        <w:jc w:val="both"/>
        <w:rPr>
          <w:rFonts w:ascii="Times New Roman" w:eastAsia="Times New Roman" w:hAnsi="Times New Roman"/>
          <w:noProof/>
          <w:sz w:val="24"/>
          <w:szCs w:val="24"/>
        </w:rPr>
      </w:pPr>
      <w:r>
        <w:rPr>
          <w:rFonts w:ascii="Times New Roman" w:hAnsi="Times New Roman"/>
          <w:noProof/>
          <w:sz w:val="24"/>
          <w:szCs w:val="24"/>
        </w:rPr>
        <w:t xml:space="preserve">Investice do nových kapacit přispějí k dosažení cílů v oblasti klimatu zvýšením energetické účinnosti, a to následujícím způsobem: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25 % se přidělí novým stavbám s potřebou primární energie alespoň o 20 % nižší, než je požadavek na budovy s téměř nulovou spotřebou energie,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45 % se přidělí na renovace zaměřené na energetickou účinnost, které v průměru dosáhnou buď alespoň 30% úspory primární energie, nebo alespoň 30% snížení přímých a nepřímých emisí skleníkových plynů, </w:t>
      </w:r>
    </w:p>
    <w:p>
      <w:pPr>
        <w:numPr>
          <w:ilvl w:val="0"/>
          <w:numId w:val="39"/>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30 % se přidělí na jiné energeticky účinné renovace.</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prosince 2025.</w:t>
      </w:r>
    </w:p>
    <w:p>
      <w:pPr>
        <w:jc w:val="both"/>
        <w:rPr>
          <w:rFonts w:ascii="Times New Roman" w:eastAsia="Times New Roman" w:hAnsi="Times New Roman"/>
          <w:b/>
          <w:noProof/>
          <w:sz w:val="24"/>
          <w:szCs w:val="24"/>
        </w:rPr>
      </w:pPr>
      <w:r>
        <w:rPr>
          <w:rFonts w:ascii="Times New Roman" w:hAnsi="Times New Roman"/>
          <w:b/>
          <w:noProof/>
          <w:sz w:val="24"/>
          <w:szCs w:val="24"/>
        </w:rPr>
        <w:t>Investice č. 3: Rozvoj a modernizace infrastruktury sociální péče</w:t>
      </w:r>
    </w:p>
    <w:p>
      <w:pPr>
        <w:jc w:val="both"/>
        <w:rPr>
          <w:rFonts w:ascii="Times New Roman" w:eastAsia="Times New Roman" w:hAnsi="Times New Roman"/>
          <w:noProof/>
          <w:sz w:val="24"/>
          <w:szCs w:val="24"/>
        </w:rPr>
      </w:pPr>
      <w:r>
        <w:rPr>
          <w:rFonts w:ascii="Times New Roman" w:hAnsi="Times New Roman"/>
          <w:noProof/>
          <w:sz w:val="24"/>
          <w:szCs w:val="24"/>
        </w:rPr>
        <w:t xml:space="preserve">Cílem tohoto opatření je řešit nedostatečnou infrastrukturu sociální péče a potřebu podpořit proces přechodu ke komunitní sociální a dlouhodobé péči v České republice. </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podpoří vybudování další infrastruktury zařízení sociální péče, a to buď prostřednictvím rekonstrukcí stávajících budov, nebo prostřednictvím nové výstavby. Tyto investiční projekty budou provádět autonomní obce na základě posouzení územních potřeb; bude zajištěn soulad nových a renovovaných pobytových zařízení s Úmluvou OSN o právech osob se zdravotním postižením. Upřednostněny budou investice do zařízení domácí a komunitní péče a u všech investičních projektů bude dodržena zásada svobody volby a nezávislého života. Investice do nových kapacit přispějí k dosažení cílů v oblasti klimatu zvýšením energetické účinnosti, a to následujícím způsobem: </w:t>
      </w:r>
    </w:p>
    <w:p>
      <w:pPr>
        <w:numPr>
          <w:ilvl w:val="0"/>
          <w:numId w:val="40"/>
        </w:numPr>
        <w:pBdr>
          <w:top w:val="nil"/>
          <w:left w:val="nil"/>
          <w:bottom w:val="nil"/>
          <w:right w:val="nil"/>
          <w:between w:val="nil"/>
        </w:pBdr>
        <w:spacing w:line="259" w:lineRule="auto"/>
        <w:ind w:left="360"/>
        <w:jc w:val="both"/>
        <w:rPr>
          <w:rFonts w:cs="Calibri"/>
          <w:b/>
          <w:noProof/>
          <w:color w:val="000000"/>
        </w:rPr>
      </w:pPr>
      <w:r>
        <w:rPr>
          <w:rFonts w:ascii="Times New Roman" w:hAnsi="Times New Roman"/>
          <w:noProof/>
          <w:color w:val="000000"/>
          <w:sz w:val="24"/>
          <w:szCs w:val="24"/>
        </w:rPr>
        <w:t xml:space="preserve">jedna třetina přídělu se použije na podporu nových staveb, jejichž potřeba primární energie je alespoň o 20 % nižší než požadavek na budovy s téměř nulovou spotřebou energie, </w:t>
      </w:r>
    </w:p>
    <w:p>
      <w:pPr>
        <w:numPr>
          <w:ilvl w:val="0"/>
          <w:numId w:val="40"/>
        </w:numPr>
        <w:pBdr>
          <w:top w:val="nil"/>
          <w:left w:val="nil"/>
          <w:bottom w:val="nil"/>
          <w:right w:val="nil"/>
          <w:between w:val="nil"/>
        </w:pBdr>
        <w:spacing w:line="259" w:lineRule="auto"/>
        <w:ind w:left="360"/>
        <w:jc w:val="both"/>
        <w:rPr>
          <w:rFonts w:cs="Calibri"/>
          <w:b/>
          <w:bCs/>
          <w:noProof/>
          <w:color w:val="000000"/>
        </w:rPr>
      </w:pPr>
      <w:r>
        <w:rPr>
          <w:rFonts w:ascii="Times New Roman" w:hAnsi="Times New Roman"/>
          <w:noProof/>
          <w:color w:val="000000"/>
          <w:sz w:val="24"/>
          <w:szCs w:val="24"/>
        </w:rPr>
        <w:t>jedna třetina přídělu bude vyhrazena na renovace, které v průměru dosahují buď alespoň 30% úspor primární energie, nebo alespoň 30% snížení přímých a nepřímých emisí skleníkových plynů,</w:t>
      </w:r>
    </w:p>
    <w:p>
      <w:pPr>
        <w:numPr>
          <w:ilvl w:val="0"/>
          <w:numId w:val="40"/>
        </w:numPr>
        <w:pBdr>
          <w:top w:val="nil"/>
          <w:left w:val="nil"/>
          <w:bottom w:val="nil"/>
          <w:right w:val="nil"/>
          <w:between w:val="nil"/>
        </w:pBdr>
        <w:spacing w:line="259" w:lineRule="auto"/>
        <w:ind w:left="360"/>
        <w:jc w:val="both"/>
        <w:rPr>
          <w:rFonts w:cs="Calibri"/>
          <w:b/>
          <w:noProof/>
          <w:color w:val="000000"/>
        </w:rPr>
      </w:pPr>
      <w:r>
        <w:rPr>
          <w:rFonts w:ascii="Times New Roman" w:hAnsi="Times New Roman"/>
          <w:noProof/>
          <w:color w:val="000000"/>
          <w:sz w:val="24"/>
          <w:szCs w:val="24"/>
        </w:rPr>
        <w:t>jedna třetina přídělu bude vyhrazena na renovace, které v průměru nedosáhnou alespoň 30% úspor primární energie, ani alespoň 30% snížení přímých a nepřímých emisí skleníkových plynů,</w:t>
      </w:r>
    </w:p>
    <w:p>
      <w:pPr>
        <w:numPr>
          <w:ilvl w:val="0"/>
          <w:numId w:val="40"/>
        </w:numPr>
        <w:pBdr>
          <w:top w:val="nil"/>
          <w:left w:val="nil"/>
          <w:bottom w:val="nil"/>
          <w:right w:val="nil"/>
          <w:between w:val="nil"/>
        </w:pBdr>
        <w:spacing w:line="259" w:lineRule="auto"/>
        <w:ind w:left="360"/>
        <w:jc w:val="both"/>
        <w:rPr>
          <w:rFonts w:cs="Calibri"/>
          <w:b/>
          <w:noProof/>
          <w:color w:val="000000"/>
        </w:rPr>
      </w:pPr>
      <w:r>
        <w:rPr>
          <w:rFonts w:ascii="Times New Roman" w:hAnsi="Times New Roman"/>
          <w:noProof/>
          <w:color w:val="000000"/>
          <w:sz w:val="24"/>
          <w:szCs w:val="24"/>
        </w:rPr>
        <w:t xml:space="preserve">pro účely sociální prevence, poradenství a služeb domácí péče bude pořízeno nejméně 100 elektromobilů a nejméně 151 vozidel na hybridní pohon typu plug-in. </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bude dokončena do 31. prosince 2025. </w:t>
      </w:r>
    </w:p>
    <w:p>
      <w:pPr>
        <w:jc w:val="both"/>
        <w:rPr>
          <w:rFonts w:ascii="Times New Roman" w:eastAsia="Times New Roman" w:hAnsi="Times New Roman"/>
          <w:b/>
          <w:bCs/>
          <w:noProof/>
          <w:lang w:eastAsia="en-GB"/>
        </w:rPr>
        <w:sectPr>
          <w:headerReference w:type="even" r:id="rId214"/>
          <w:headerReference w:type="default" r:id="rId215"/>
          <w:footerReference w:type="even" r:id="rId216"/>
          <w:footerReference w:type="default" r:id="rId217"/>
          <w:headerReference w:type="first" r:id="rId218"/>
          <w:footerReference w:type="first" r:id="rId219"/>
          <w:pgSz w:w="11907" w:h="16839"/>
          <w:pgMar w:top="1134" w:right="1418" w:bottom="1134" w:left="1418" w:header="709" w:footer="709" w:gutter="0"/>
          <w:cols w:space="720"/>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R.2 Milníky, cíle, ukazatele a harmonogram monitorování a provádění nevratné finanční podpory </w:t>
      </w:r>
    </w:p>
    <w:p>
      <w:pPr>
        <w:pBdr>
          <w:top w:val="nil"/>
          <w:left w:val="nil"/>
          <w:bottom w:val="nil"/>
          <w:right w:val="nil"/>
          <w:between w:val="nil"/>
        </w:pBdr>
        <w:jc w:val="both"/>
        <w:rPr>
          <w:rFonts w:ascii="Times New Roman" w:eastAsia="Times New Roman" w:hAnsi="Times New Roman"/>
          <w:noProof/>
          <w:color w:val="000000"/>
          <w:sz w:val="24"/>
          <w:szCs w:val="24"/>
          <w:lang w:eastAsia="en-GB"/>
        </w:rPr>
      </w:pPr>
    </w:p>
    <w:tbl>
      <w:tblPr>
        <w:tblW w:w="0" w:type="auto"/>
        <w:jc w:val="center"/>
        <w:tblLayout w:type="fixed"/>
        <w:tblLook w:val="04A0" w:firstRow="1" w:lastRow="0" w:firstColumn="1" w:lastColumn="0" w:noHBand="0" w:noVBand="1"/>
      </w:tblPr>
      <w:tblGrid>
        <w:gridCol w:w="675"/>
        <w:gridCol w:w="1307"/>
        <w:gridCol w:w="992"/>
        <w:gridCol w:w="1701"/>
        <w:gridCol w:w="1276"/>
        <w:gridCol w:w="709"/>
        <w:gridCol w:w="567"/>
        <w:gridCol w:w="850"/>
        <w:gridCol w:w="1134"/>
        <w:gridCol w:w="608"/>
        <w:gridCol w:w="4745"/>
      </w:tblGrid>
      <w:tr>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307"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Související opatření (reforma nebo investice)</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701"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276" w:type="dxa"/>
            <w:vMerge w:val="restart"/>
            <w:tcBorders>
              <w:top w:val="single" w:sz="8" w:space="0" w:color="auto"/>
              <w:left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126" w:type="dxa"/>
            <w:gridSpan w:val="3"/>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742"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307"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992"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701"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1276" w:type="dxa"/>
            <w:vMerge/>
            <w:tcBorders>
              <w:left w:val="single" w:sz="4" w:space="0" w:color="auto"/>
            </w:tcBorders>
            <w:vAlign w:val="center"/>
          </w:tcPr>
          <w:p>
            <w:pPr>
              <w:jc w:val="center"/>
              <w:rPr>
                <w:rFonts w:ascii="Times New Roman" w:hAnsi="Times New Roman"/>
                <w:noProof/>
                <w:sz w:val="18"/>
                <w:szCs w:val="18"/>
                <w:lang w:val="pl-PL"/>
              </w:rPr>
            </w:pPr>
          </w:p>
        </w:tc>
        <w:tc>
          <w:tcPr>
            <w:tcW w:w="709"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567"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850"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1134"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08"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184</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Reforma č. 1: Rozvoj politik zaměstnanosti</w:t>
            </w:r>
          </w:p>
          <w:p>
            <w:pPr>
              <w:rPr>
                <w:rFonts w:ascii="Times New Roman" w:hAnsi="Times New Roman"/>
                <w:noProof/>
                <w:color w:val="006100"/>
                <w:sz w:val="18"/>
                <w:szCs w:val="18"/>
                <w:lang w:val="en-IE"/>
              </w:rPr>
            </w:pP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Milník</w:t>
            </w:r>
          </w:p>
          <w:p>
            <w:pPr>
              <w:rPr>
                <w:rFonts w:ascii="Times New Roman" w:hAnsi="Times New Roman"/>
                <w:noProof/>
                <w:color w:val="006100"/>
                <w:sz w:val="18"/>
                <w:szCs w:val="18"/>
                <w:lang w:val="en-IE"/>
              </w:rPr>
            </w:pPr>
          </w:p>
        </w:tc>
        <w:tc>
          <w:tcPr>
            <w:tcW w:w="1701"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Zřízení tripartitního výboru pro rekvalifikace a zvyšování kvalifikace </w:t>
            </w:r>
          </w:p>
          <w:p>
            <w:pPr>
              <w:rPr>
                <w:rFonts w:ascii="Times New Roman" w:hAnsi="Times New Roman"/>
                <w:noProof/>
                <w:color w:val="006100"/>
                <w:sz w:val="18"/>
                <w:szCs w:val="18"/>
                <w:lang w:val="en-IE"/>
              </w:rPr>
            </w:pP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Vstup v platnost vyhlášky o zřízení stálého Výboru pro rekvalifikace a další vzdělávání v rámci Rady hospodářské a sociální dohody (tripartity)</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6100"/>
                <w:sz w:val="18"/>
                <w:szCs w:val="18"/>
              </w:rPr>
            </w:pPr>
            <w:r>
              <w:rPr>
                <w:rFonts w:ascii="Times New Roman" w:hAnsi="Times New Roman"/>
                <w:noProof/>
                <w:color w:val="006100"/>
                <w:sz w:val="18"/>
                <w:szCs w:val="18"/>
              </w:rPr>
              <w:t>Výbor pro rekvalifikace a další vzdělávání bude koordinovat rozvoj celoživotního vzdělávání v souladu s aktuální a očekávanou poptávkou po dovednostech. Bude se skládat ze zástupců Ministerstva práce a sociálních věcí, Ministerstva školství, mládeže a tělovýchovy, zaměstnavatelských svazů a odborů.</w:t>
            </w:r>
          </w:p>
        </w:tc>
      </w:tr>
      <w:tr>
        <w:trPr>
          <w:trHeight w:val="2263"/>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Rozvoj politik zaměstnanosti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Vstup v platnost novely zákona o zaměstnanosti, která zvýší efektivitu služeb zaměstnanosti a umožní lepší zacílení na nejzranitelnější skupiny</w:t>
            </w:r>
          </w:p>
          <w:p>
            <w:pPr>
              <w:rPr>
                <w:rFonts w:ascii="Times New Roman" w:hAnsi="Times New Roman"/>
                <w:noProof/>
                <w:color w:val="006100"/>
                <w:sz w:val="18"/>
                <w:szCs w:val="18"/>
              </w:rPr>
            </w:pPr>
            <w:r>
              <w:rPr>
                <w:rFonts w:ascii="Times New Roman" w:hAnsi="Times New Roman"/>
                <w:noProof/>
                <w:color w:val="006100"/>
                <w:sz w:val="18"/>
                <w:szCs w:val="18"/>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Ustanovení novely zákona o zaměstnanosti, v němž je uveden vstup novelizovaného zákona o zaměstnanosti v platnost. </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240"/>
              <w:rPr>
                <w:rFonts w:ascii="Times New Roman" w:hAnsi="Times New Roman"/>
                <w:noProof/>
                <w:color w:val="006100"/>
                <w:sz w:val="18"/>
                <w:szCs w:val="18"/>
              </w:rPr>
            </w:pPr>
            <w:r>
              <w:rPr>
                <w:rFonts w:ascii="Times New Roman" w:hAnsi="Times New Roman"/>
                <w:noProof/>
                <w:color w:val="006100"/>
                <w:sz w:val="18"/>
                <w:szCs w:val="18"/>
              </w:rPr>
              <w:t xml:space="preserve">Zákon </w:t>
            </w:r>
          </w:p>
          <w:p>
            <w:pPr>
              <w:numPr>
                <w:ilvl w:val="0"/>
                <w:numId w:val="49"/>
              </w:numPr>
              <w:spacing w:after="0" w:line="259" w:lineRule="auto"/>
              <w:rPr>
                <w:rFonts w:ascii="Times New Roman" w:hAnsi="Times New Roman"/>
                <w:noProof/>
                <w:color w:val="006100"/>
                <w:sz w:val="18"/>
                <w:szCs w:val="18"/>
              </w:rPr>
            </w:pPr>
            <w:r>
              <w:rPr>
                <w:rFonts w:ascii="Times New Roman" w:hAnsi="Times New Roman"/>
                <w:noProof/>
                <w:color w:val="006100"/>
                <w:sz w:val="18"/>
                <w:szCs w:val="18"/>
              </w:rPr>
              <w:t>stanoví definici znevýhodněných osob na trhu práce,</w:t>
            </w:r>
          </w:p>
          <w:p>
            <w:pPr>
              <w:numPr>
                <w:ilvl w:val="0"/>
                <w:numId w:val="49"/>
              </w:numPr>
              <w:spacing w:after="0" w:line="259" w:lineRule="auto"/>
              <w:rPr>
                <w:rFonts w:ascii="Times New Roman" w:hAnsi="Times New Roman"/>
                <w:noProof/>
                <w:color w:val="006100"/>
                <w:sz w:val="18"/>
                <w:szCs w:val="18"/>
              </w:rPr>
            </w:pPr>
            <w:r>
              <w:rPr>
                <w:rFonts w:ascii="Times New Roman" w:hAnsi="Times New Roman"/>
                <w:noProof/>
                <w:color w:val="006100"/>
                <w:sz w:val="18"/>
                <w:szCs w:val="18"/>
              </w:rPr>
              <w:t>lépe zacílí podporu na nejzranitelnější skupiny (zejména osoby s nízkou kvalifikací, vyloučené osoby nebo osoby ohrožené sociálním vyloučením),</w:t>
            </w:r>
          </w:p>
          <w:p>
            <w:pPr>
              <w:numPr>
                <w:ilvl w:val="0"/>
                <w:numId w:val="49"/>
              </w:numPr>
              <w:spacing w:after="240" w:line="259" w:lineRule="auto"/>
              <w:rPr>
                <w:rFonts w:ascii="Times New Roman" w:hAnsi="Times New Roman"/>
                <w:noProof/>
                <w:color w:val="006100"/>
                <w:sz w:val="18"/>
                <w:szCs w:val="18"/>
              </w:rPr>
            </w:pPr>
            <w:r>
              <w:rPr>
                <w:rFonts w:ascii="Times New Roman" w:hAnsi="Times New Roman"/>
                <w:noProof/>
                <w:color w:val="006100"/>
                <w:sz w:val="18"/>
                <w:szCs w:val="18"/>
              </w:rPr>
              <w:t>zvýší flexibilitu a efektivitu rekvalifikačních kurzů pořádaných Úřadem práce.</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Rozvoj politik zaměstnanosti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Milník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Databáze rekvalifikačních a vzdělávacích kurzů</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6100"/>
                <w:sz w:val="18"/>
                <w:szCs w:val="18"/>
              </w:rPr>
            </w:pPr>
            <w:r>
              <w:rPr>
                <w:rFonts w:ascii="Times New Roman" w:hAnsi="Times New Roman"/>
                <w:noProof/>
                <w:color w:val="006100"/>
                <w:sz w:val="18"/>
                <w:szCs w:val="18"/>
              </w:rPr>
              <w:t>Zprovoznění veřejné databáze vzdělávacích a rekvalifikačních kurzů</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i/>
                <w:iCs/>
                <w:noProof/>
                <w:color w:val="006100"/>
                <w:sz w:val="18"/>
                <w:szCs w:val="18"/>
              </w:rPr>
            </w:pPr>
            <w:r>
              <w:rPr>
                <w:rFonts w:ascii="Times New Roman" w:hAnsi="Times New Roman"/>
                <w:noProof/>
                <w:color w:val="006100"/>
                <w:sz w:val="18"/>
                <w:szCs w:val="18"/>
              </w:rPr>
              <w:t>Databáze bude zahrnovat programy zvyšování kvalifikace a rekvalifikace certifikované podle zákona o zaměstnanosti (poskytované Úřadem práce), jakož i kurzy nabízené odbornými školami, vysokými školami a dalšími poskytovateli.</w:t>
            </w:r>
          </w:p>
        </w:tc>
      </w:tr>
      <w:tr>
        <w:trPr>
          <w:trHeight w:val="479"/>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Rozvoj politik zaměstnanosti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Cíl</w:t>
            </w:r>
          </w:p>
          <w:p>
            <w:pPr>
              <w:rPr>
                <w:rFonts w:ascii="Times New Roman" w:hAnsi="Times New Roman"/>
                <w:noProof/>
                <w:color w:val="006100"/>
                <w:sz w:val="18"/>
                <w:szCs w:val="18"/>
                <w:lang w:val="en-IE"/>
              </w:rPr>
            </w:pP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Počet osob, které získaly rekvalifikaci a zvýšily si kvalifikaci v oblasti digitálních dovedností a dovedností potřebných pro Průmysl 4.0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130 000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Nejméně 65 000 osob si zvýší kvalifikaci nebo se rekvalifikuje v oblasti digitálních dovedností. Kromě toho nejméně 65 000 osob si zvýší kvalifikaci nebo se rekvalifikuje v oblasti dovedností potřebných pro Průmysl 4.0.</w:t>
            </w:r>
          </w:p>
          <w:p>
            <w:pPr>
              <w:rPr>
                <w:rFonts w:ascii="Times New Roman" w:hAnsi="Times New Roman"/>
                <w:noProof/>
                <w:color w:val="006100"/>
                <w:sz w:val="18"/>
                <w:szCs w:val="18"/>
              </w:rPr>
            </w:pPr>
            <w:r>
              <w:rPr>
                <w:rFonts w:ascii="Times New Roman" w:hAnsi="Times New Roman"/>
                <w:noProof/>
                <w:color w:val="006100"/>
                <w:sz w:val="18"/>
                <w:szCs w:val="18"/>
              </w:rPr>
              <w:t>Podpora zvyšování kvalifikace a rekvalifikace bude poskytována prostřednictvím Úřadu práce ČR nebo prostřednictvím podnikového vzdělávání zajišťovaného zaměstnavateli. Kritéria výběru zajistí, aby byly upřednostňovány malé a střední podniky a osoby samostatně výdělečně činné.</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188</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Rozvoj politik zaměstnanosti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regionálních vzdělávacích center zřízených na podporu Průmyslu 4.0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14</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Zřízení, vybavení a zprovoznění nejméně 14 vzdělávacích středisek (jedno středisko v každém kraji). Střediska zřizuje Úřad práce. Budou vybavena tak, aby ve spolupráci s regionálními odbornými školami poskytovala další vzdělávání a rekvalifikační kurzy v oblasti digitálních dovedností a dovedností potřebných pro přechod na Průmysl 4.0.</w:t>
            </w:r>
          </w:p>
        </w:tc>
      </w:tr>
      <w:tr>
        <w:trPr>
          <w:trHeight w:val="114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189</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Zvýšení kapacity předškolních zařízení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zrekonstruovaných stávajících předškolních zařízení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333</w:t>
            </w:r>
            <w:r>
              <w:rPr>
                <w:rFonts w:ascii="Times New Roman" w:hAnsi="Times New Roman"/>
                <w:noProof/>
                <w:sz w:val="18"/>
                <w:szCs w:val="18"/>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Z celkového cíle zrekonstruovat nebo rozšířit kapacitu 370 zařízení bude zrekonstruováno nejméně 333 zařízení tak, aby splňovala nové technické normy stanovené novelou zákona č. 247/2014 o poskytování služby péče o dítě v dětské skupině (zákon o dětských skupinách).</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190</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Zvýšení kapacity předškolních zařízení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nových předškolních zařízení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391</w:t>
            </w:r>
            <w:r>
              <w:rPr>
                <w:rFonts w:ascii="Times New Roman" w:hAnsi="Times New Roman"/>
                <w:noProof/>
                <w:sz w:val="18"/>
                <w:szCs w:val="18"/>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Z celkového cíle zřídit 435 nových jeslí jich má vzniknout nejméně 391 výstavbou nových budov a rekonstrukcí stávajících budov.</w:t>
            </w:r>
            <w:r>
              <w:rPr>
                <w:rFonts w:ascii="Times New Roman" w:hAnsi="Times New Roman"/>
                <w:noProof/>
                <w:sz w:val="18"/>
                <w:szCs w:val="18"/>
              </w:rPr>
              <w:t xml:space="preserve"> </w:t>
            </w:r>
            <w:r>
              <w:rPr>
                <w:rFonts w:ascii="Times New Roman" w:hAnsi="Times New Roman"/>
                <w:noProof/>
                <w:color w:val="006100"/>
                <w:sz w:val="18"/>
                <w:szCs w:val="18"/>
              </w:rPr>
              <w:t xml:space="preserve">Investice zahrnuje využití grantové podpory na: </w:t>
            </w:r>
          </w:p>
          <w:p>
            <w:pPr>
              <w:numPr>
                <w:ilvl w:val="0"/>
                <w:numId w:val="66"/>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nejméně 98 zařízení, která budou tvořit novostavby s potřebou primární energie alespoň o 20 % nižší, než je požadavek na budovy s téměř nulovou spotřebou energie, </w:t>
            </w:r>
          </w:p>
          <w:p>
            <w:pPr>
              <w:numPr>
                <w:ilvl w:val="0"/>
                <w:numId w:val="66"/>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nejméně 176 zařízení, která budou tvořit renovované budovy, jež dosáhnou v průměru buď alespoň 30% úspory primární energie, nebo alespoň 30% snížení přímých a nepřímých emisí skleníkových plynů,</w:t>
            </w:r>
          </w:p>
          <w:p>
            <w:pPr>
              <w:numPr>
                <w:ilvl w:val="0"/>
                <w:numId w:val="66"/>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nejméně 117 investic budou tvořit jiné energeticky účinné renovace.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191</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Zvýšení kapacity předškolních zařízení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Cíl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nových míst v předškolních zařízeních</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7430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6100"/>
                <w:sz w:val="18"/>
                <w:szCs w:val="18"/>
              </w:rPr>
            </w:pPr>
            <w:r>
              <w:rPr>
                <w:rFonts w:ascii="Times New Roman" w:hAnsi="Times New Roman"/>
                <w:noProof/>
                <w:color w:val="006100"/>
                <w:sz w:val="18"/>
                <w:szCs w:val="18"/>
              </w:rPr>
              <w:t xml:space="preserve">Zřízení nejméně 7 430 nových míst v zařízeních předškolní péče o děti mladší tří let. Tato zařízení budou odlišena od zařízení financovaných z jiných finančních programů EU.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192</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Reforma č. 2: Zajištění udržitelnosti financování zařízení péče o děti </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Milník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Vstup v platnost zákona o předškolní péči o děti (novela zákona č. 247/2014 Sb. o poskytování služby péče o dítě v dětské skupině)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Ustanovení zákona o péči o děti (novela zákona č. 247/2014 o poskytování služby péče o dítě v dětské skupině) s uvedením vstupu zákona v platnost</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Zákon o předškolní péči o děti (novela zákona č. 247/2014 Sb. o poskytování služby péče o dítě v dětské skupině) </w:t>
            </w:r>
          </w:p>
          <w:p>
            <w:pPr>
              <w:numPr>
                <w:ilvl w:val="0"/>
                <w:numId w:val="50"/>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zajistí stabilní financování předškolních zařízení pro děti mladší tří let, </w:t>
            </w:r>
          </w:p>
          <w:p>
            <w:pPr>
              <w:numPr>
                <w:ilvl w:val="0"/>
                <w:numId w:val="50"/>
              </w:numPr>
              <w:rPr>
                <w:rFonts w:ascii="Times New Roman" w:hAnsi="Times New Roman"/>
                <w:noProof/>
                <w:color w:val="006100"/>
                <w:sz w:val="18"/>
                <w:szCs w:val="18"/>
              </w:rPr>
            </w:pPr>
            <w:r>
              <w:rPr>
                <w:rFonts w:ascii="Times New Roman" w:hAnsi="Times New Roman"/>
                <w:noProof/>
                <w:color w:val="006100"/>
                <w:sz w:val="18"/>
                <w:szCs w:val="18"/>
              </w:rPr>
              <w:t>usiluje o zajištění přístupu k cenově dostupné péči o děti mladší tří let ve všech regionech.</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3: Reforma v oblasti dlouhodobé péče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Milník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Přijetí zákona o dlouhodobé péči</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Ustanovení zákona o dlouhodobé péči s uvedením vstupu zákona v platnost</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Zákon o dlouhodobé péči </w:t>
            </w:r>
          </w:p>
          <w:p>
            <w:pPr>
              <w:numPr>
                <w:ilvl w:val="0"/>
                <w:numId w:val="51"/>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se zaměřuje na integraci zdravotní a sociální dlouhodobé péče, </w:t>
            </w:r>
          </w:p>
          <w:p>
            <w:pPr>
              <w:numPr>
                <w:ilvl w:val="0"/>
                <w:numId w:val="51"/>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zajišťuje vysoké standardy kvality pro všechny druhy služeb dlouhodobé péče,</w:t>
            </w:r>
          </w:p>
          <w:p>
            <w:pPr>
              <w:numPr>
                <w:ilvl w:val="0"/>
                <w:numId w:val="51"/>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podporuje komunitní péči a domácí péči zajišťující nezávislý život v přirozeném prostředí,</w:t>
            </w:r>
          </w:p>
          <w:p>
            <w:pPr>
              <w:numPr>
                <w:ilvl w:val="0"/>
                <w:numId w:val="51"/>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zajišťuje stabilní systém odpovídajícího financování služeb dlouhodobé péče, včetně komunitní a domácí péče,</w:t>
            </w:r>
          </w:p>
          <w:p>
            <w:pPr>
              <w:numPr>
                <w:ilvl w:val="0"/>
                <w:numId w:val="51"/>
              </w:numPr>
              <w:pBdr>
                <w:top w:val="nil"/>
                <w:left w:val="nil"/>
                <w:bottom w:val="nil"/>
                <w:right w:val="nil"/>
                <w:between w:val="nil"/>
              </w:pBdr>
              <w:spacing w:after="0" w:line="259" w:lineRule="auto"/>
              <w:rPr>
                <w:rFonts w:ascii="Times New Roman" w:hAnsi="Times New Roman"/>
                <w:i/>
                <w:iCs/>
                <w:noProof/>
                <w:color w:val="006100"/>
                <w:sz w:val="18"/>
                <w:szCs w:val="18"/>
              </w:rPr>
            </w:pPr>
            <w:r>
              <w:rPr>
                <w:rFonts w:ascii="Times New Roman" w:hAnsi="Times New Roman"/>
                <w:noProof/>
                <w:color w:val="006100"/>
                <w:sz w:val="18"/>
                <w:szCs w:val="18"/>
              </w:rPr>
              <w:t>definuje pravidla pro sledování kvality péče, požadavky na personál (včetně kvalifikace) a vybavení,</w:t>
            </w:r>
          </w:p>
          <w:p>
            <w:pPr>
              <w:numPr>
                <w:ilvl w:val="0"/>
                <w:numId w:val="51"/>
              </w:numPr>
              <w:pBdr>
                <w:top w:val="nil"/>
                <w:left w:val="nil"/>
                <w:bottom w:val="nil"/>
                <w:right w:val="nil"/>
                <w:between w:val="nil"/>
              </w:pBdr>
              <w:spacing w:after="0" w:line="259" w:lineRule="auto"/>
              <w:rPr>
                <w:rFonts w:ascii="Times New Roman" w:hAnsi="Times New Roman"/>
                <w:i/>
                <w:iCs/>
                <w:noProof/>
                <w:color w:val="006100"/>
                <w:sz w:val="18"/>
                <w:szCs w:val="18"/>
              </w:rPr>
            </w:pPr>
            <w:r>
              <w:rPr>
                <w:rFonts w:ascii="Times New Roman" w:hAnsi="Times New Roman"/>
                <w:noProof/>
                <w:color w:val="006100"/>
                <w:sz w:val="18"/>
                <w:szCs w:val="18"/>
              </w:rPr>
              <w:t>umožní přístup soukromým poskytovatelům dlouhodobé péče při současném uplatňování stejných pravidel a norem kvality pro všechny poskytovatele.</w:t>
            </w:r>
          </w:p>
        </w:tc>
      </w:tr>
      <w:tr>
        <w:trPr>
          <w:trHeight w:val="19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Rozvoj a modernizace infrastruktury sociální péče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C1: Počet vybudovaných nebo rekonstruovaných komunitních pobytových zařízení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zařízení</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121</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Vznikne nejméně 121 zařízení, z toho: </w:t>
            </w:r>
          </w:p>
          <w:p>
            <w:pPr>
              <w:numPr>
                <w:ilvl w:val="0"/>
                <w:numId w:val="52"/>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69 zařízení budou novostavby s potřebou primární energie alespoň o 20 % nižší, než je požadavek na budovy s téměř nulovou spotřebou energie, </w:t>
            </w:r>
          </w:p>
          <w:p>
            <w:pPr>
              <w:numPr>
                <w:ilvl w:val="0"/>
                <w:numId w:val="52"/>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26 zařízení bude renovováno a dosáhne v průměru buď alespoň 30% úspory primární energie, nebo alespoň 30% snížení přímých a nepřímých emisí skleníkových plynů,</w:t>
            </w:r>
          </w:p>
          <w:p>
            <w:pPr>
              <w:numPr>
                <w:ilvl w:val="0"/>
                <w:numId w:val="52"/>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u 26 zařízení se bude jednat o jiné energeticky účinné renovace. </w:t>
            </w:r>
          </w:p>
          <w:p>
            <w:pPr>
              <w:spacing w:after="0"/>
              <w:rPr>
                <w:rFonts w:ascii="Times New Roman" w:hAnsi="Times New Roman"/>
                <w:noProof/>
                <w:color w:val="006100"/>
                <w:sz w:val="18"/>
                <w:szCs w:val="18"/>
              </w:rPr>
            </w:pPr>
            <w:r>
              <w:rPr>
                <w:rFonts w:ascii="Times New Roman" w:hAnsi="Times New Roman"/>
                <w:noProof/>
                <w:color w:val="006100"/>
                <w:sz w:val="18"/>
                <w:szCs w:val="18"/>
              </w:rPr>
              <w:t xml:space="preserve">Zařízení budou vybudována/rekonstruována v souladu s podmínkami Úmluvy OSN o právech osob se zdravotním postižením, zejména se zásadami svobody volby a nezávislého života. </w:t>
            </w:r>
          </w:p>
        </w:tc>
      </w:tr>
      <w:tr>
        <w:trPr>
          <w:trHeight w:val="3388"/>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Rozvoj a modernizace infrastruktury sociální péče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C2: Počet vybudovaných nebo rekonstruovaných komunitních pobytových zařízení</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zařízení</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121</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288</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Vznikne nejméně 288 zařízení, z toho: </w:t>
            </w:r>
          </w:p>
          <w:p>
            <w:pPr>
              <w:numPr>
                <w:ilvl w:val="0"/>
                <w:numId w:val="53"/>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116 zařízení budou novostavby s potřebou primární energie alespoň o 20 % nižší, než je požadavek na budovy s téměř nulovou spotřebou energie, </w:t>
            </w:r>
          </w:p>
          <w:p>
            <w:pPr>
              <w:numPr>
                <w:ilvl w:val="0"/>
                <w:numId w:val="53"/>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106 zařízení bude renovováno a dosáhne v průměru buď alespoň 30% úspory primární energie, nebo alespoň 30% snížení přímých a nepřímých emisí skleníkových plynů,</w:t>
            </w:r>
          </w:p>
          <w:p>
            <w:pPr>
              <w:numPr>
                <w:ilvl w:val="0"/>
                <w:numId w:val="53"/>
              </w:numP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u 66 zařízení se bude jednat o jiné energeticky účinné renovace, které v průměru nedosáhnou ani nejméně 30% úspor primární energie, ani nejméně 30% snížení přímých a nepřímých emisí skleníkových plynů. Zařízení budou vybudována/rekonstruována v souladu s podmínkami Úmluvy OSN o právech osob se zdravotním postižením, zejména se zásadami svobody volby a nezávislého života. </w:t>
            </w:r>
          </w:p>
          <w:p>
            <w:pPr>
              <w:spacing w:after="0"/>
              <w:rPr>
                <w:rFonts w:ascii="Times New Roman" w:hAnsi="Times New Roman"/>
                <w:i/>
                <w:iCs/>
                <w:noProof/>
                <w:color w:val="006100"/>
                <w:sz w:val="18"/>
                <w:szCs w:val="18"/>
              </w:rPr>
            </w:pPr>
            <w:r>
              <w:rPr>
                <w:rFonts w:ascii="Times New Roman" w:hAnsi="Times New Roman"/>
                <w:noProof/>
                <w:color w:val="006100"/>
                <w:sz w:val="18"/>
                <w:szCs w:val="18"/>
              </w:rPr>
              <w:t xml:space="preserve">Očekává se, že opatření vytvoří nejméně 5 000 nových lůžek v zařízeních sociální péče.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Rozvoj a modernizace infrastruktury sociální péče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Cíl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C1: Počet nízkoemisních vozidel zakoupených pro služby sociální prevence, poradenství a domácí péče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Bude zakoupeno nejméně 120 nízkoemisních vozidel, z toho: </w:t>
            </w:r>
          </w:p>
          <w:p>
            <w:pPr>
              <w:numPr>
                <w:ilvl w:val="0"/>
                <w:numId w:val="54"/>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40 elektromobilů </w:t>
            </w:r>
          </w:p>
          <w:p>
            <w:pPr>
              <w:numPr>
                <w:ilvl w:val="0"/>
                <w:numId w:val="54"/>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80 vozidel s hybridním pohonem typu plug-in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Rozvoj a modernizace infrastruktury sociální péče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C2: Počet nízkoemisních vozidel zakoupených pro služby sociální prevence, poradenství a domácí péče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Počet </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120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251</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sz w:val="18"/>
                <w:szCs w:val="18"/>
              </w:rPr>
              <w:t xml:space="preserve">  </w:t>
            </w: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6100"/>
                <w:sz w:val="18"/>
                <w:szCs w:val="18"/>
              </w:rPr>
            </w:pPr>
            <w:r>
              <w:rPr>
                <w:rFonts w:ascii="Times New Roman" w:hAnsi="Times New Roman"/>
                <w:noProof/>
                <w:color w:val="006100"/>
                <w:sz w:val="18"/>
                <w:szCs w:val="18"/>
              </w:rPr>
              <w:t xml:space="preserve">Bude zakoupeno nejméně 251 nízkoemisních vozidel, z toho: </w:t>
            </w:r>
          </w:p>
          <w:p>
            <w:pPr>
              <w:numPr>
                <w:ilvl w:val="0"/>
                <w:numId w:val="55"/>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100 elektromobilů </w:t>
            </w:r>
          </w:p>
          <w:p>
            <w:pPr>
              <w:numPr>
                <w:ilvl w:val="0"/>
                <w:numId w:val="55"/>
              </w:num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151 vozidel s hybridním pohonem typu plug-in</w:t>
            </w:r>
          </w:p>
        </w:tc>
      </w:tr>
    </w:tbl>
    <w:p>
      <w:pPr>
        <w:pBdr>
          <w:top w:val="nil"/>
          <w:left w:val="nil"/>
          <w:bottom w:val="nil"/>
          <w:right w:val="nil"/>
          <w:between w:val="nil"/>
        </w:pBdr>
        <w:jc w:val="both"/>
        <w:rPr>
          <w:rFonts w:ascii="Times New Roman" w:eastAsia="Times New Roman" w:hAnsi="Times New Roman"/>
          <w:noProof/>
          <w:color w:val="000000"/>
          <w:sz w:val="24"/>
          <w:szCs w:val="24"/>
          <w:lang w:eastAsia="en-GB"/>
        </w:rPr>
        <w:sectPr>
          <w:headerReference w:type="even" r:id="rId220"/>
          <w:headerReference w:type="default" r:id="rId221"/>
          <w:footerReference w:type="even" r:id="rId222"/>
          <w:footerReference w:type="default" r:id="rId223"/>
          <w:headerReference w:type="first" r:id="rId224"/>
          <w:footerReference w:type="first" r:id="rId225"/>
          <w:pgSz w:w="16839" w:h="11907" w:orient="landscape"/>
          <w:pgMar w:top="142" w:right="1134" w:bottom="1418" w:left="1134" w:header="709" w:footer="709" w:gutter="0"/>
          <w:cols w:space="72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 xml:space="preserve">S. KOMPONENTA č. 4.2: Nové kvazikapitálové nástroje na podporu podnikání a rozvoj Českomoravské záruční a rozvojové banky (ČMZRB) v roli národní rozvojové banky </w:t>
      </w:r>
    </w:p>
    <w:p>
      <w:pPr>
        <w:pStyle w:val="Text1"/>
        <w:ind w:left="0"/>
        <w:rPr>
          <w:rFonts w:eastAsia="Times New Roman"/>
          <w:noProof/>
          <w:color w:val="000000"/>
        </w:rPr>
      </w:pPr>
      <w:r>
        <w:rPr>
          <w:noProof/>
        </w:rPr>
        <w:t>Tato komponenta Plánu pro oživení a odolnost České republiky řeší výzvy týkající se přístupu malých a středních podniků k financování.</w:t>
      </w:r>
    </w:p>
    <w:p>
      <w:pPr>
        <w:jc w:val="both"/>
        <w:rPr>
          <w:rFonts w:eastAsia="Times New Roman"/>
          <w:noProof/>
        </w:rPr>
      </w:pPr>
      <w:r>
        <w:rPr>
          <w:rFonts w:ascii="Times New Roman" w:hAnsi="Times New Roman"/>
          <w:noProof/>
          <w:sz w:val="24"/>
          <w:szCs w:val="24"/>
        </w:rPr>
        <w:t>Cílem této komponenty je rozšíření produktové řady ČMZRB o nový kvazikapitálový nástroj a posílení kapacit ČMZRB pro jeho provádění, včetně nastavení vnitřních předpisů a IT systémů. Nedílnou součástí reformy bude aktualizace strategie ČMZRB tak, aby zahrnovala zásady udržitelného financování v souladu s cíli EU v oblasti životního prostředí při plném uplatňování zásady „významně nepoškozovat“.</w:t>
      </w:r>
    </w:p>
    <w:p>
      <w:pPr>
        <w:pStyle w:val="Text1"/>
        <w:ind w:left="0"/>
        <w:rPr>
          <w:rFonts w:eastAsia="Times New Roman"/>
          <w:noProof/>
        </w:rPr>
      </w:pPr>
      <w:r>
        <w:rPr>
          <w:noProof/>
        </w:rPr>
        <w:t xml:space="preserve">Komponenta podporuje plnění doporučení pro zemi, které se týká </w:t>
      </w:r>
      <w:r>
        <w:rPr>
          <w:noProof/>
          <w:color w:val="000000"/>
        </w:rPr>
        <w:t xml:space="preserve">podpory pro malé a střední podniky větším využíváním finančních nástrojů k zajištění podpory likvidity (doporučení pro zemi č. 3 na rok </w:t>
      </w:r>
      <w:r>
        <w:rPr>
          <w:noProof/>
        </w:rPr>
        <w:t>2019).</w:t>
      </w:r>
    </w:p>
    <w:p>
      <w:pPr>
        <w:pStyle w:val="Text1"/>
        <w:ind w:left="0"/>
        <w:rPr>
          <w:noProof/>
          <w:szCs w:val="24"/>
        </w:rPr>
      </w:pPr>
    </w:p>
    <w:p>
      <w:pPr>
        <w:pStyle w:val="Text1"/>
        <w:ind w:left="0"/>
        <w:rPr>
          <w:b/>
          <w:i/>
          <w:noProof/>
          <w:szCs w:val="24"/>
        </w:rPr>
      </w:pPr>
      <w:r>
        <w:rPr>
          <w:b/>
          <w:noProof/>
          <w:u w:val="single"/>
        </w:rPr>
        <w:t xml:space="preserve">S.1 </w:t>
      </w:r>
      <w:r>
        <w:rPr>
          <w:b/>
          <w:noProof/>
          <w:szCs w:val="24"/>
          <w:u w:val="single"/>
        </w:rPr>
        <w:t>Popis reforem a investic pro nevratnou finanční podporu</w:t>
      </w:r>
    </w:p>
    <w:p>
      <w:pPr>
        <w:pBdr>
          <w:top w:val="nil"/>
          <w:left w:val="nil"/>
          <w:bottom w:val="nil"/>
          <w:right w:val="nil"/>
          <w:between w:val="nil"/>
        </w:pBdr>
        <w:rPr>
          <w:rFonts w:ascii="Times New Roman" w:hAnsi="Times New Roman"/>
          <w:b/>
          <w:iCs/>
          <w:noProof/>
          <w:sz w:val="24"/>
          <w:szCs w:val="24"/>
        </w:rPr>
      </w:pPr>
      <w:r>
        <w:rPr>
          <w:rFonts w:ascii="Times New Roman" w:hAnsi="Times New Roman"/>
          <w:b/>
          <w:iCs/>
          <w:noProof/>
          <w:sz w:val="24"/>
          <w:szCs w:val="24"/>
        </w:rPr>
        <w:t>Reforma č. 1: Rozvoj Českomoravské záruční a rozvojové banky jako národní rozvojové banky</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sz w:val="24"/>
          <w:szCs w:val="24"/>
        </w:rPr>
        <w:t xml:space="preserve">Cílem reformy je posílit postavení ČMZRB jako národní rozvojové banky, její schopnost zavádět finanční nástroje, zejména nástroje podporující cíle zelené transformace. </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sz w:val="24"/>
          <w:szCs w:val="24"/>
        </w:rPr>
        <w:t>Reforma se zaměří na splnění následujících cílů:</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Aktualizace strategie ČMZRB o zásady udržitelného financování v souladu s cíli EU v oblasti životního prostředí.</w:t>
      </w:r>
    </w:p>
    <w:p>
      <w:pPr>
        <w:pStyle w:val="ListParagraph"/>
        <w:numPr>
          <w:ilvl w:val="0"/>
          <w:numId w:val="24"/>
        </w:numPr>
        <w:pBdr>
          <w:top w:val="nil"/>
          <w:left w:val="nil"/>
          <w:bottom w:val="nil"/>
          <w:right w:val="nil"/>
          <w:between w:val="nil"/>
        </w:pBdr>
        <w:spacing w:after="120"/>
        <w:ind w:left="360"/>
        <w:jc w:val="both"/>
        <w:rPr>
          <w:rFonts w:ascii="Times New Roman" w:hAnsi="Times New Roman"/>
          <w:noProof/>
          <w:sz w:val="24"/>
          <w:szCs w:val="24"/>
        </w:rPr>
      </w:pPr>
      <w:r>
        <w:rPr>
          <w:rFonts w:ascii="Times New Roman" w:hAnsi="Times New Roman"/>
          <w:noProof/>
          <w:sz w:val="24"/>
          <w:szCs w:val="24"/>
        </w:rPr>
        <w:t xml:space="preserve">Posílení institucionálních a lidských zdrojů pro zajištění účinného řízení nového druhu finančních nástrojů, včetně úpravou vnitřních regulačních postupů a rozvojem systému IT. </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 xml:space="preserve">Vypracování metodiky pro hodnocení a výběr projektů, která bude v </w:t>
      </w:r>
      <w:r>
        <w:rPr>
          <w:rFonts w:ascii="Times New Roman" w:hAnsi="Times New Roman"/>
          <w:noProof/>
          <w:color w:val="000000"/>
          <w:sz w:val="24"/>
          <w:szCs w:val="24"/>
        </w:rPr>
        <w:t xml:space="preserve">souladu s požadavky technických pokynů k uplatňování zásady „významně nepoškozovat“ (2021/C58/01) </w:t>
      </w:r>
      <w:r>
        <w:rPr>
          <w:rFonts w:ascii="Times New Roman" w:hAnsi="Times New Roman"/>
          <w:noProof/>
          <w:sz w:val="24"/>
          <w:szCs w:val="24"/>
        </w:rPr>
        <w:t xml:space="preserve">a s kritérii pro zelené označování stanovenými v příloze VI nařízení o Nástroji pro oživení a odolnost a umožňuje podporovat činnosti s klimatickým koeficientem 40 % nebo 100 %. </w:t>
      </w:r>
    </w:p>
    <w:p>
      <w:pPr>
        <w:pStyle w:val="Text1"/>
        <w:ind w:left="0"/>
        <w:rPr>
          <w:noProof/>
          <w:szCs w:val="24"/>
        </w:rPr>
      </w:pPr>
      <w:r>
        <w:rPr>
          <w:noProof/>
        </w:rPr>
        <w:t xml:space="preserve">Reforma bude dokončena do 31. prosince 2021. </w:t>
      </w:r>
    </w:p>
    <w:p>
      <w:pPr>
        <w:pStyle w:val="Text1"/>
        <w:ind w:left="0"/>
        <w:jc w:val="left"/>
        <w:rPr>
          <w:b/>
          <w:bCs/>
          <w:noProof/>
          <w:szCs w:val="24"/>
        </w:rPr>
      </w:pPr>
      <w:r>
        <w:rPr>
          <w:b/>
          <w:bCs/>
          <w:noProof/>
          <w:szCs w:val="24"/>
        </w:rPr>
        <w:t>Investice č. 1: Vývoj nové řady kvazikapitálových nástrojů na podporu podnikání</w:t>
      </w:r>
    </w:p>
    <w:p>
      <w:pPr>
        <w:pStyle w:val="Text1"/>
        <w:ind w:left="0"/>
        <w:rPr>
          <w:rFonts w:eastAsia="Times New Roman"/>
          <w:noProof/>
          <w:color w:val="000000"/>
        </w:rPr>
      </w:pPr>
      <w:r>
        <w:rPr>
          <w:noProof/>
        </w:rPr>
        <w:t xml:space="preserve">Účelem investice je poskytnout podporu ve výši 32 400 000 milionů EUR nejméně 30 projektům splňujícím environmentální a klimatická kritéria na základě nové metodiky, v souladu s novou střednědobou strategií ČMZRB vypracovanou v rámci reformy a na základě transparentního a soutěžního výběrového řízení. </w:t>
      </w:r>
      <w:r>
        <w:rPr>
          <w:noProof/>
          <w:color w:val="000000"/>
        </w:rPr>
        <w:t xml:space="preserve">Očekává se, že </w:t>
      </w:r>
      <w:r>
        <w:rPr>
          <w:noProof/>
        </w:rPr>
        <w:t>podpora poskytovaná v rámci plánu pro oživení a odolnost České republiky mobilizuje soukromý kapitál jako soukromé spolufinancování a v dlouhodobějším horizontu zvýší základní kapitál ČMZRB, který bude k dispozici pro další financování firem prostřednictvím finančních nástrojů.</w:t>
      </w:r>
    </w:p>
    <w:p>
      <w:pPr>
        <w:pBdr>
          <w:top w:val="nil"/>
          <w:left w:val="nil"/>
          <w:bottom w:val="nil"/>
          <w:right w:val="nil"/>
          <w:between w:val="nil"/>
        </w:pBdr>
        <w:jc w:val="both"/>
        <w:rPr>
          <w:rFonts w:ascii="Times New Roman" w:eastAsia="Times New Roman" w:hAnsi="Times New Roman"/>
          <w:noProof/>
          <w:sz w:val="24"/>
          <w:szCs w:val="24"/>
        </w:rPr>
      </w:pPr>
      <w:r>
        <w:rPr>
          <w:rFonts w:ascii="Times New Roman" w:hAnsi="Times New Roman"/>
          <w:noProof/>
          <w:sz w:val="24"/>
          <w:szCs w:val="24"/>
        </w:rPr>
        <w:t>Česko dokončí tato opatření:</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Uzavření dohody o financování mezi ČMZRB a Ministerstvem průmyslu a obchodu, která jasně stanoví, že projekty podporované ČMZRB v rámci plánu pro oživení a odolnost budou v souladu s cíli nařízení (EU) 2021/241, včetně kritérií podle zásady „významně nepoškozovat“ a zeleného označování, a také že do 31. prosince 2026 budou navrácené prostředky z nového kvazikapitálového nástroje znovu použity pouze pro účely tohoto nástroje.</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Rozšíření produktových řad ČMZRB o nové kvazikapitálové nástroje na podporu malých a středních podniků (mezaninové úvěry). Nový nástroj bude kvazikapitálovým nástrojem ve smyslu podřízenosti příslušnému seniornímu úvěru, budou však zajišťovat financování konkrétních projektů.</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 xml:space="preserve">Poskytnutí podpory ve výši nejméně 32 400 000 milionů EUR (30 projektů) financováním investic, které jsou v souladu s technickými pokyny k uplatňování zásady „významně nepoškozovat“ (2021/C58/01) a s klimatickým koeficientem 40 % nebo 100 %, a to prostřednictvím kvazikapitálových nástrojů v návaznosti na transparentní a soutěžní výběrové řízení. </w:t>
      </w:r>
    </w:p>
    <w:p>
      <w:pPr>
        <w:pStyle w:val="ListParagraph"/>
        <w:numPr>
          <w:ilvl w:val="0"/>
          <w:numId w:val="24"/>
        </w:numPr>
        <w:pBdr>
          <w:top w:val="nil"/>
          <w:left w:val="nil"/>
          <w:bottom w:val="nil"/>
          <w:right w:val="nil"/>
          <w:between w:val="nil"/>
        </w:pBdr>
        <w:spacing w:after="120"/>
        <w:ind w:left="360"/>
        <w:jc w:val="both"/>
        <w:rPr>
          <w:rFonts w:ascii="Times New Roman" w:eastAsia="Times New Roman" w:hAnsi="Times New Roman"/>
          <w:noProof/>
          <w:sz w:val="24"/>
          <w:szCs w:val="24"/>
        </w:rPr>
      </w:pPr>
      <w:r>
        <w:rPr>
          <w:rFonts w:ascii="Times New Roman" w:hAnsi="Times New Roman"/>
          <w:noProof/>
          <w:sz w:val="24"/>
          <w:szCs w:val="24"/>
        </w:rPr>
        <w:t>Aby bylo zajištěno, že opatření je v souladu s technickými pokyny „významně nepoškozovat“ (2021/C58/01), musí právní dohoda mezi ministerstvy průmyslu a obchodu, financí a místního rozvoje a ČMZRB a následná investiční politika finančního nástroje:</w:t>
      </w:r>
    </w:p>
    <w:p>
      <w:pPr>
        <w:pStyle w:val="ListParagraph"/>
        <w:numPr>
          <w:ilvl w:val="0"/>
          <w:numId w:val="69"/>
        </w:numPr>
        <w:spacing w:after="120"/>
        <w:jc w:val="both"/>
        <w:rPr>
          <w:rFonts w:ascii="Times New Roman" w:eastAsia="Times New Roman" w:hAnsi="Times New Roman"/>
          <w:noProof/>
          <w:sz w:val="24"/>
          <w:szCs w:val="24"/>
        </w:rPr>
      </w:pPr>
      <w:r>
        <w:rPr>
          <w:rFonts w:ascii="Times New Roman" w:hAnsi="Times New Roman"/>
          <w:noProof/>
          <w:sz w:val="24"/>
          <w:szCs w:val="24"/>
        </w:rPr>
        <w:t>požadovat uplatňování technických pokynů Evropské komise k ověřování udržitelnosti pro Fond InvestEU a</w:t>
      </w:r>
    </w:p>
    <w:p>
      <w:pPr>
        <w:pStyle w:val="ListParagraph"/>
        <w:numPr>
          <w:ilvl w:val="0"/>
          <w:numId w:val="69"/>
        </w:numPr>
        <w:spacing w:after="120"/>
        <w:jc w:val="both"/>
        <w:rPr>
          <w:rFonts w:ascii="Times New Roman" w:eastAsia="Times New Roman" w:hAnsi="Times New Roman"/>
          <w:noProof/>
          <w:sz w:val="24"/>
          <w:szCs w:val="24"/>
        </w:rPr>
      </w:pPr>
      <w:r>
        <w:rPr>
          <w:rFonts w:ascii="Times New Roman" w:hAnsi="Times New Roman"/>
          <w:noProof/>
          <w:sz w:val="24"/>
          <w:szCs w:val="24"/>
        </w:rPr>
        <w:t>vyloučit ze způsobilosti tyto činnosti a aktiva: i) činnosti a aktiva související s fosilními palivy, včetně následného využívání</w:t>
      </w:r>
      <w:r>
        <w:rPr>
          <w:rStyle w:val="FootnoteReference"/>
          <w:rFonts w:ascii="Times New Roman" w:eastAsia="Times New Roman" w:hAnsi="Times New Roman"/>
          <w:noProof/>
          <w:sz w:val="24"/>
          <w:szCs w:val="24"/>
        </w:rPr>
        <w:footnoteReference w:id="12"/>
      </w:r>
      <w:r>
        <w:rPr>
          <w:rFonts w:ascii="Times New Roman" w:hAnsi="Times New Roman"/>
          <w:noProof/>
          <w:sz w:val="24"/>
          <w:szCs w:val="24"/>
        </w:rPr>
        <w:t>; ii) činnosti a aktiva v rámci systému EU pro obchodování s emisemi (ETS) dosahujících předpokládaných emisí skleníkových plynů, které nejsou nižší než příslušné referenční hodnoty</w:t>
      </w:r>
      <w:r>
        <w:rPr>
          <w:rStyle w:val="FootnoteReference"/>
          <w:rFonts w:ascii="Times New Roman" w:eastAsia="Times New Roman" w:hAnsi="Times New Roman"/>
          <w:noProof/>
          <w:sz w:val="24"/>
          <w:szCs w:val="24"/>
        </w:rPr>
        <w:footnoteReference w:id="13"/>
      </w:r>
      <w:r>
        <w:rPr>
          <w:rFonts w:ascii="Times New Roman" w:hAnsi="Times New Roman"/>
          <w:noProof/>
          <w:sz w:val="24"/>
          <w:szCs w:val="24"/>
        </w:rPr>
        <w:t>; iii) činnosti a aktiva související se skládkami odpadů, spalovnami</w:t>
      </w:r>
      <w:r>
        <w:rPr>
          <w:rStyle w:val="FootnoteReference"/>
          <w:rFonts w:ascii="Times New Roman" w:eastAsia="Times New Roman" w:hAnsi="Times New Roman"/>
          <w:noProof/>
          <w:sz w:val="24"/>
          <w:szCs w:val="24"/>
        </w:rPr>
        <w:footnoteReference w:id="14"/>
      </w:r>
      <w:r>
        <w:rPr>
          <w:rFonts w:ascii="Times New Roman" w:hAnsi="Times New Roman"/>
          <w:noProof/>
          <w:sz w:val="24"/>
          <w:szCs w:val="24"/>
        </w:rPr>
        <w:t xml:space="preserve"> a zařízeními na mechanicko-biologickou úpravu</w:t>
      </w:r>
      <w:r>
        <w:rPr>
          <w:rStyle w:val="FootnoteReference"/>
          <w:rFonts w:ascii="Times New Roman" w:eastAsia="Times New Roman" w:hAnsi="Times New Roman"/>
          <w:noProof/>
          <w:sz w:val="24"/>
          <w:szCs w:val="24"/>
        </w:rPr>
        <w:footnoteReference w:id="15"/>
      </w:r>
      <w:r>
        <w:rPr>
          <w:rFonts w:ascii="Times New Roman" w:hAnsi="Times New Roman"/>
          <w:noProof/>
          <w:sz w:val="24"/>
          <w:szCs w:val="24"/>
        </w:rPr>
        <w:t>; a iv) činnosti a aktiva, u nichž může dlouhodobé odstraňování odpadů poškodit životní prostředí; a</w:t>
      </w:r>
    </w:p>
    <w:p>
      <w:pPr>
        <w:pStyle w:val="ListParagraph"/>
        <w:numPr>
          <w:ilvl w:val="0"/>
          <w:numId w:val="69"/>
        </w:numPr>
        <w:spacing w:after="120"/>
        <w:jc w:val="both"/>
        <w:rPr>
          <w:rFonts w:ascii="Times New Roman" w:eastAsia="Times New Roman" w:hAnsi="Times New Roman"/>
          <w:noProof/>
          <w:sz w:val="24"/>
          <w:szCs w:val="24"/>
        </w:rPr>
      </w:pPr>
      <w:r>
        <w:rPr>
          <w:rFonts w:ascii="Times New Roman" w:hAnsi="Times New Roman"/>
          <w:noProof/>
          <w:sz w:val="24"/>
          <w:szCs w:val="24"/>
        </w:rPr>
        <w:t>požadovat, aby pověřený subjekt nebo finanční zprostředkovatel u všech transakcí, včetně transakcí, které jsou vyňaty z prokazování udržitelnosti, ověřil soulad s příslušnými právními předpisy EU a vnitrostátními právními předpisy příjemce v oblasti životního prostředí.</w:t>
      </w:r>
    </w:p>
    <w:p>
      <w:pPr>
        <w:pStyle w:val="Text1"/>
        <w:ind w:left="0"/>
        <w:rPr>
          <w:rFonts w:eastAsia="Times New Roman"/>
          <w:noProof/>
        </w:rPr>
      </w:pPr>
      <w:r>
        <w:rPr>
          <w:noProof/>
        </w:rPr>
        <w:t>Aby se zajistilo, že činnosti jsou v souladu s přílohou VI nařízení (EU) 2021/241, kritéria výběru vyžadují, aby podporované činnosti splňovaly požadavky příslušných oblastí intervence podle přílohy VI uvedeného nařízení (s koeficientem 40 % nebo 100 %).</w:t>
      </w:r>
    </w:p>
    <w:p>
      <w:pPr>
        <w:pStyle w:val="NumPar1"/>
        <w:numPr>
          <w:ilvl w:val="0"/>
          <w:numId w:val="0"/>
        </w:numPr>
        <w:rPr>
          <w:rStyle w:val="IntenseEmphasis"/>
          <w:i w:val="0"/>
          <w:iCs w:val="0"/>
          <w:noProof/>
          <w:color w:val="auto"/>
        </w:rPr>
      </w:pPr>
      <w:r>
        <w:rPr>
          <w:noProof/>
        </w:rPr>
        <w:t>Investice bude dokončena do 31. prosince 2025.</w:t>
      </w:r>
    </w:p>
    <w:p>
      <w:pPr>
        <w:rPr>
          <w:b/>
          <w:noProof/>
        </w:rPr>
      </w:pPr>
    </w:p>
    <w:p>
      <w:pPr>
        <w:rPr>
          <w:noProof/>
        </w:rPr>
        <w:sectPr>
          <w:headerReference w:type="even" r:id="rId226"/>
          <w:headerReference w:type="default" r:id="rId227"/>
          <w:footerReference w:type="even" r:id="rId228"/>
          <w:footerReference w:type="default" r:id="rId229"/>
          <w:headerReference w:type="first" r:id="rId230"/>
          <w:footerReference w:type="first" r:id="rId231"/>
          <w:pgSz w:w="11907" w:h="16839"/>
          <w:pgMar w:top="1134" w:right="1418" w:bottom="1134" w:left="1418" w:header="709" w:footer="709" w:gutter="0"/>
          <w:cols w:space="720"/>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S.2 Milníky, cíle, ukazatele a harmonogram monitorování a provádění nevratné finanční podpory </w:t>
      </w:r>
    </w:p>
    <w:p>
      <w:pPr>
        <w:pBdr>
          <w:top w:val="nil"/>
          <w:left w:val="nil"/>
          <w:bottom w:val="nil"/>
          <w:right w:val="nil"/>
          <w:between w:val="nil"/>
        </w:pBdr>
        <w:rPr>
          <w:noProof/>
          <w:color w:val="000000"/>
        </w:rPr>
      </w:pPr>
    </w:p>
    <w:tbl>
      <w:tblPr>
        <w:tblW w:w="14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308"/>
        <w:gridCol w:w="850"/>
        <w:gridCol w:w="1418"/>
        <w:gridCol w:w="1134"/>
        <w:gridCol w:w="850"/>
        <w:gridCol w:w="567"/>
        <w:gridCol w:w="1276"/>
        <w:gridCol w:w="992"/>
        <w:gridCol w:w="709"/>
        <w:gridCol w:w="4788"/>
      </w:tblGrid>
      <w:tr>
        <w:trPr>
          <w:trHeight w:val="610"/>
          <w:tblHeader/>
          <w:jc w:val="center"/>
        </w:trPr>
        <w:tc>
          <w:tcPr>
            <w:tcW w:w="675"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308"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850"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418"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134"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 </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701" w:type="dxa"/>
            <w:gridSpan w:val="2"/>
            <w:tcBorders>
              <w:top w:val="single" w:sz="8" w:space="0" w:color="000000"/>
              <w:left w:val="nil"/>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788" w:type="dxa"/>
            <w:vMerge w:val="restart"/>
            <w:tcBorders>
              <w:top w:val="single" w:sz="8" w:space="0" w:color="000000"/>
              <w:left w:val="nil"/>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Popis a jasná definice každého milníku a cíle </w:t>
            </w:r>
          </w:p>
        </w:tc>
      </w:tr>
      <w:tr>
        <w:trPr>
          <w:trHeight w:val="506"/>
          <w:tblHeader/>
          <w:jc w:val="center"/>
        </w:trPr>
        <w:tc>
          <w:tcPr>
            <w:tcW w:w="675"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308"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0"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18"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134"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1276"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992"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788" w:type="dxa"/>
            <w:vMerge/>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198</w:t>
            </w:r>
          </w:p>
        </w:tc>
        <w:tc>
          <w:tcPr>
            <w:tcW w:w="13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Rozvoj Českomoravské záruční a rozvojové banky jako národní rozvojové banky</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Přijetí střednědobé strategie Českomoravské záruční a rozvojové banky (ČMZRB) schválené akcionáři banky (zastoupenými ministerstvy průmyslu a obchodu, financí a místního rozvoje)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Přijetí střednědobé strategie Českomoravské záruční a rozvojové banky (ČMZRB)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2021</w:t>
            </w:r>
          </w:p>
        </w:tc>
        <w:tc>
          <w:tcPr>
            <w:tcW w:w="478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Novou strategii schvalují akcionáři banky: ministerstva průmyslu a obchodu, financí a místního rozvoje. Strategie obsahuje ustanovení o zajištění souladu s technickými pokyny k uplatňování zásady „významně nepoškozovat“ (2021/C58/01).</w:t>
            </w:r>
          </w:p>
        </w:tc>
      </w:tr>
      <w:tr>
        <w:trPr>
          <w:trHeight w:val="573"/>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199</w:t>
            </w:r>
          </w:p>
        </w:tc>
        <w:tc>
          <w:tcPr>
            <w:tcW w:w="13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Rozvoj Českomoravské záruční a rozvojové banky jako národní rozvojové banky</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Připravení modelu správy nového kvazikapitálového nástroje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Schválení prováděcího plánu a vnitřních předpisů pro správu nového druhu finančních nástrojů představenstvem Českomoravské záruční a rozvojové banky (ČMZRB)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2021</w:t>
            </w:r>
          </w:p>
        </w:tc>
        <w:tc>
          <w:tcPr>
            <w:tcW w:w="478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Milníku bude dosaženo schválením prováděcího plánu a vnitřních předpisů pro správu nového druhu finančních nástrojů představenstvem Českomoravské záruční a rozvojové banky (ČMZRB).</w:t>
            </w:r>
          </w:p>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Nová pravidla budou obsahovat podmínky a metody hodnocení projektů, které budou zajišťovat soulad s technickými pokyny k uplatňování zásady „významně nepoškozovat“ (2021/C58/01) a s požadavky příslušných oblastí intervence uvedených v příloze VI nařízení (EU) 2021/241 (s koeficientem 40 % nebo 100 %). Nová pravidla budou konzultována se subjekty trhu a odbornými poradci.</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jc w:val="center"/>
              <w:rPr>
                <w:rFonts w:ascii="Times New Roman" w:eastAsia="Times New Roman" w:hAnsi="Times New Roman"/>
                <w:noProof/>
                <w:color w:val="006100"/>
                <w:sz w:val="18"/>
                <w:szCs w:val="18"/>
              </w:rPr>
            </w:pPr>
            <w:r>
              <w:rPr>
                <w:rFonts w:ascii="Times New Roman" w:hAnsi="Times New Roman"/>
                <w:noProof/>
                <w:color w:val="006100"/>
                <w:sz w:val="18"/>
                <w:szCs w:val="18"/>
              </w:rPr>
              <w:t>200</w:t>
            </w:r>
          </w:p>
        </w:tc>
        <w:tc>
          <w:tcPr>
            <w:tcW w:w="13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Investice č. 1: Vývoj nové řady kvazikapitálových nástrojů na podporu podnikání</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Dohoda o financování s Českomoravskou záruční a rozvojovou bankou jako národní rozvojovou bankou (ČMZRB)</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Podpis dohody o financování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2021</w:t>
            </w:r>
          </w:p>
        </w:tc>
        <w:tc>
          <w:tcPr>
            <w:tcW w:w="478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Milníku bude dosaženo po podpisu dohody o financování s Českomoravskou záruční a rozvojovou bankou jako národní rozvojovou bankou (ČMZRB) a Ministerstvem průmyslu a obchodu. Dohoda bude obsahovat: 1) investiční politiku; 2) kritéria způsobilosti; 3) soulad podporovaných příjemců v rámci tohoto opatření s technickými pokyny k uplatňování zásady „významně nepoškozovat“ (2021/C58/01) prostřednictvím ověřování udržitelnosti, použití seznamu výjimek a požadavku na soulad s příslušnými právními předpisy EU a vnitrostátními právními předpisy v oblasti životního prostředí.</w:t>
            </w:r>
          </w:p>
          <w:p>
            <w:pPr>
              <w:spacing w:after="0"/>
              <w:rPr>
                <w:rFonts w:ascii="Times New Roman" w:eastAsia="Times New Roman" w:hAnsi="Times New Roman"/>
                <w:noProof/>
                <w:color w:val="006100"/>
                <w:sz w:val="18"/>
                <w:szCs w:val="18"/>
              </w:rPr>
            </w:pPr>
          </w:p>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 xml:space="preserve"> Kritéria výběru vyžadují, aby podporované činnosti byly v souladu s požadavky příslušných oblastí intervence podle přílohy VI nařízení (EU) 2021/241 (s koeficientem 40 % nebo 100 %). V dohodě o financování se stanoví, že prostředky získané z dřívějších operací finančního nástroje budou znovu využity pro základní kapitál Českomoravské záruční a rozvojové banky jako národní rozvojové banky (ČMZRB) až po roce 2026.</w:t>
            </w:r>
          </w:p>
        </w:tc>
      </w:tr>
      <w:tr>
        <w:trPr>
          <w:trHeight w:val="945"/>
          <w:jc w:val="center"/>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201</w:t>
            </w:r>
          </w:p>
        </w:tc>
        <w:tc>
          <w:tcPr>
            <w:tcW w:w="130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Investice č. 1: Vývoj nové řady kvazikapitálových nástrojů na podporu podnikání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v celkové výši 32 400 000 milionů EUR do kvazikapitálových nástrojů na podporu udržitelných projektů malých a středních podniků</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EUR </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32 400 000</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788" w:type="dxa"/>
            <w:tcBorders>
              <w:top w:val="single" w:sz="8" w:space="0" w:color="000000"/>
              <w:left w:val="single" w:sz="8" w:space="0" w:color="000000"/>
              <w:bottom w:val="single" w:sz="8" w:space="0" w:color="000000"/>
              <w:right w:val="single" w:sz="8" w:space="0" w:color="000000"/>
            </w:tcBorders>
            <w:shd w:val="clear" w:color="auto" w:fill="C6EFCE"/>
            <w:vAlign w:val="center"/>
          </w:tcPr>
          <w:p>
            <w:pPr>
              <w:spacing w:after="0"/>
              <w:rPr>
                <w:rFonts w:ascii="Times New Roman" w:eastAsia="Times New Roman" w:hAnsi="Times New Roman"/>
                <w:noProof/>
                <w:color w:val="006100"/>
                <w:sz w:val="18"/>
                <w:szCs w:val="18"/>
              </w:rPr>
            </w:pPr>
            <w:r>
              <w:rPr>
                <w:rFonts w:ascii="Times New Roman" w:hAnsi="Times New Roman"/>
                <w:noProof/>
                <w:color w:val="006100"/>
                <w:sz w:val="18"/>
                <w:szCs w:val="18"/>
              </w:rPr>
              <w:t xml:space="preserve">Do konce roku 2025 podpoří investice částkou 32 400 000 EUR nejméně 30 projektů, a to v souladu s investiční politikou a v návaznosti na transparentní a soutěžní výběrové řízení. </w:t>
            </w:r>
          </w:p>
          <w:p>
            <w:pPr>
              <w:rPr>
                <w:rFonts w:ascii="Times New Roman" w:eastAsia="Times New Roman" w:hAnsi="Times New Roman"/>
                <w:noProof/>
                <w:color w:val="006100"/>
                <w:sz w:val="18"/>
                <w:szCs w:val="18"/>
              </w:rPr>
            </w:pPr>
            <w:r>
              <w:rPr>
                <w:rFonts w:ascii="Times New Roman" w:hAnsi="Times New Roman"/>
                <w:noProof/>
                <w:color w:val="006100"/>
                <w:sz w:val="18"/>
                <w:szCs w:val="18"/>
              </w:rPr>
              <w:t>Projekty musí být v souladu s technickými pokyny k uplatňování zásady „významně nepoškozovat“ (2021/C58/01) a s příslušnými požadavky vyplývajícími z použitelných oblastí intervence v příloze VI nařízení (EU) 2021/241 (s koeficientem 40 % nebo 100 %).</w:t>
            </w:r>
          </w:p>
        </w:tc>
      </w:tr>
    </w:tbl>
    <w:p>
      <w:pPr>
        <w:pStyle w:val="Text1"/>
        <w:ind w:left="0"/>
        <w:rPr>
          <w:noProof/>
        </w:rPr>
        <w:sectPr>
          <w:headerReference w:type="even" r:id="rId232"/>
          <w:headerReference w:type="default" r:id="rId233"/>
          <w:footerReference w:type="even" r:id="rId234"/>
          <w:footerReference w:type="default" r:id="rId235"/>
          <w:headerReference w:type="first" r:id="rId236"/>
          <w:footerReference w:type="first" r:id="rId237"/>
          <w:pgSz w:w="16839" w:h="11907" w:orient="landscape"/>
          <w:pgMar w:top="1417" w:right="1134" w:bottom="1417" w:left="1134" w:header="709" w:footer="709" w:gutter="0"/>
          <w:cols w:space="720"/>
          <w:docGrid w:linePitch="36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T. KOMPONENTA č. 4.3: Protikorupční reformy</w:t>
      </w:r>
    </w:p>
    <w:p>
      <w:pPr>
        <w:jc w:val="both"/>
        <w:rPr>
          <w:rFonts w:ascii="Times New Roman" w:eastAsia="Times New Roman" w:hAnsi="Times New Roman"/>
          <w:noProof/>
          <w:sz w:val="24"/>
          <w:szCs w:val="24"/>
        </w:rPr>
      </w:pPr>
      <w:r>
        <w:rPr>
          <w:rFonts w:ascii="Times New Roman" w:hAnsi="Times New Roman"/>
          <w:noProof/>
          <w:sz w:val="24"/>
          <w:szCs w:val="24"/>
        </w:rPr>
        <w:t xml:space="preserve">Tato komponenta Plánu pro oživení a odolnost České republiky přispívá k řešení výzvy spočívající v posílení protikorupčního rámce České republiky přijetím právních předpisů o ochraně oznamovatelů korupce a regulaci lobbování. Reforma se rovněž zaměří na budování analytických databází týkajících se korupce, které mohou být následně využity při navrhování a realizaci účinnějších a cílenějších protikorupčních opatření. Součástí komponenty je také reforma soudnictví zaměřená na posílení legislativního rámce a transparentnosti v oblasti soudů, soudců, státních zástupců a soudních exekutorů. </w:t>
      </w:r>
    </w:p>
    <w:p>
      <w:pPr>
        <w:jc w:val="both"/>
        <w:rPr>
          <w:rFonts w:ascii="Times New Roman" w:eastAsia="Times New Roman" w:hAnsi="Times New Roman"/>
          <w:noProof/>
          <w:sz w:val="24"/>
          <w:szCs w:val="24"/>
        </w:rPr>
      </w:pPr>
      <w:r>
        <w:rPr>
          <w:rFonts w:ascii="Times New Roman" w:hAnsi="Times New Roman"/>
          <w:noProof/>
          <w:sz w:val="24"/>
          <w:szCs w:val="24"/>
        </w:rPr>
        <w:t>Komponenta podporuje plnění doporučení pro zemi č. 1 na rok 2019, podle něhož má Česko přijmout projednávaná protikorupční opatření.</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eastAsia="Times New Roman" w:hAnsi="Times New Roman"/>
          <w:i/>
          <w:noProof/>
          <w:sz w:val="24"/>
          <w:szCs w:val="24"/>
          <w:lang w:eastAsia="en-GB"/>
        </w:rPr>
      </w:pPr>
    </w:p>
    <w:p>
      <w:pPr>
        <w:jc w:val="both"/>
        <w:rPr>
          <w:rFonts w:ascii="Times New Roman" w:eastAsia="Times New Roman" w:hAnsi="Times New Roman"/>
          <w:noProof/>
          <w:sz w:val="24"/>
          <w:szCs w:val="24"/>
        </w:rPr>
      </w:pPr>
      <w:r>
        <w:rPr>
          <w:rFonts w:ascii="Times New Roman" w:hAnsi="Times New Roman"/>
          <w:b/>
          <w:noProof/>
          <w:sz w:val="24"/>
          <w:szCs w:val="24"/>
          <w:u w:val="single"/>
        </w:rPr>
        <w:t>T.1 Popis reforem a investic pro nevratnou finanční podporu</w:t>
      </w:r>
    </w:p>
    <w:p>
      <w:pPr>
        <w:jc w:val="both"/>
        <w:rPr>
          <w:rFonts w:ascii="Times New Roman" w:eastAsia="Times New Roman" w:hAnsi="Times New Roman"/>
          <w:b/>
          <w:noProof/>
          <w:sz w:val="24"/>
          <w:szCs w:val="24"/>
        </w:rPr>
      </w:pPr>
      <w:r>
        <w:rPr>
          <w:rFonts w:ascii="Times New Roman" w:hAnsi="Times New Roman"/>
          <w:b/>
          <w:noProof/>
          <w:sz w:val="24"/>
          <w:szCs w:val="24"/>
        </w:rPr>
        <w:t>Reforma č. 1: Ochrana oznamovatelů korupce</w:t>
      </w:r>
    </w:p>
    <w:p>
      <w:pPr>
        <w:jc w:val="both"/>
        <w:rPr>
          <w:rFonts w:ascii="Times New Roman" w:eastAsia="Times New Roman" w:hAnsi="Times New Roman"/>
          <w:noProof/>
          <w:color w:val="000000"/>
          <w:sz w:val="24"/>
          <w:szCs w:val="24"/>
        </w:rPr>
      </w:pPr>
      <w:r>
        <w:rPr>
          <w:rFonts w:ascii="Times New Roman" w:hAnsi="Times New Roman"/>
          <w:noProof/>
          <w:sz w:val="24"/>
          <w:szCs w:val="24"/>
        </w:rPr>
        <w:t xml:space="preserve">Cílem opatření je zdokonalit právní záruky pro oznamovatele a zlepšit vnímání oznamovatelů ve veřejné správě a ve společnosti. </w:t>
      </w:r>
      <w:r>
        <w:rPr>
          <w:rFonts w:ascii="Times New Roman" w:hAnsi="Times New Roman"/>
          <w:noProof/>
          <w:color w:val="000000"/>
          <w:sz w:val="24"/>
          <w:szCs w:val="24"/>
        </w:rPr>
        <w:t xml:space="preserve">Předpokládá se </w:t>
      </w:r>
      <w:r>
        <w:rPr>
          <w:rFonts w:ascii="Times New Roman" w:hAnsi="Times New Roman"/>
          <w:noProof/>
          <w:sz w:val="24"/>
          <w:szCs w:val="24"/>
        </w:rPr>
        <w:t>nová právní úprava, která zajistí účinnou ochranu oznamovatelů před odvetnými opatřeními v zaměstnání a zavede vnitřní kanály pro oznamování korupce ze strany veřejných institucí, obcí a velkých podniků.</w:t>
      </w:r>
      <w:r>
        <w:rPr>
          <w:rFonts w:ascii="Times New Roman" w:hAnsi="Times New Roman"/>
          <w:noProof/>
          <w:color w:val="000000"/>
          <w:sz w:val="24"/>
          <w:szCs w:val="24"/>
        </w:rPr>
        <w:t xml:space="preserve"> Na ministerstvu spravedlnosti se zřídí vnější oznamovací systém pro oznamování korupce. Za účelem zlepšení vnímání oznamovatelů se provede osvětová kampaň zaměřená jak na veřejnou správu a justici, tak na širokou veřejnost. </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bude dokončena do 31. prosince 2025. </w:t>
      </w:r>
    </w:p>
    <w:p>
      <w:pPr>
        <w:jc w:val="both"/>
        <w:rPr>
          <w:rFonts w:ascii="Times New Roman" w:eastAsia="Times New Roman" w:hAnsi="Times New Roman"/>
          <w:b/>
          <w:noProof/>
          <w:sz w:val="24"/>
          <w:szCs w:val="24"/>
        </w:rPr>
      </w:pPr>
      <w:r>
        <w:rPr>
          <w:rFonts w:ascii="Times New Roman" w:hAnsi="Times New Roman"/>
          <w:b/>
          <w:noProof/>
          <w:sz w:val="24"/>
          <w:szCs w:val="24"/>
        </w:rPr>
        <w:t>Reforma č. 2: Posílení legislativního rámce a transparentnosti v oblasti soudů, soudců, státních zástupců a soudních exekutorů</w:t>
      </w:r>
    </w:p>
    <w:p>
      <w:pPr>
        <w:jc w:val="both"/>
        <w:rPr>
          <w:rFonts w:ascii="Times New Roman" w:eastAsia="Times New Roman" w:hAnsi="Times New Roman"/>
          <w:noProof/>
          <w:sz w:val="24"/>
          <w:szCs w:val="24"/>
        </w:rPr>
      </w:pPr>
      <w:r>
        <w:rPr>
          <w:rFonts w:ascii="Times New Roman" w:hAnsi="Times New Roman"/>
          <w:noProof/>
          <w:sz w:val="24"/>
          <w:szCs w:val="24"/>
        </w:rPr>
        <w:t xml:space="preserve">Cílem této reformy je vybudovat transparentní a jednotný systém náboru a výběru soudců a soudních funkcionářů na základě přesných, objektivních a transparentních kritérií. Kromě toho je cílem reformy podrobnější regulace vedlejší činnosti soudců a zefektivnění soudních řízení, na kterých se podílejí přísedící. Reforma má rovněž posílit záruky zákonnosti řízení ve věcech soudců, státních zástupců a soudních exekutorů zavedením odvolacího přezkumu. Reformy bude dosaženo těmito opatřeními: </w:t>
      </w:r>
    </w:p>
    <w:p>
      <w:pPr>
        <w:numPr>
          <w:ilvl w:val="0"/>
          <w:numId w:val="42"/>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sz w:val="24"/>
          <w:szCs w:val="24"/>
        </w:rPr>
        <w:t xml:space="preserve">vstupem </w:t>
      </w:r>
      <w:r>
        <w:rPr>
          <w:rFonts w:ascii="Times New Roman" w:hAnsi="Times New Roman"/>
          <w:noProof/>
          <w:color w:val="000000"/>
          <w:sz w:val="24"/>
          <w:szCs w:val="24"/>
        </w:rPr>
        <w:t>zákona o soudech, soudcích, přísedících a státní správě soudů (zákon o soudech a soudcích) v platnost do 31. prosince 2021,</w:t>
      </w:r>
    </w:p>
    <w:p>
      <w:pPr>
        <w:numPr>
          <w:ilvl w:val="0"/>
          <w:numId w:val="42"/>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vstupem zákona o řízení ve věcech soudců, státních zástupců a soudních exekutorů v platnost do 31. prosince 2024. </w:t>
      </w:r>
    </w:p>
    <w:p>
      <w:pPr>
        <w:jc w:val="both"/>
        <w:rPr>
          <w:rFonts w:ascii="Times New Roman" w:eastAsia="Times New Roman" w:hAnsi="Times New Roman"/>
          <w:b/>
          <w:noProof/>
          <w:sz w:val="24"/>
          <w:szCs w:val="24"/>
        </w:rPr>
      </w:pPr>
      <w:r>
        <w:rPr>
          <w:rFonts w:ascii="Times New Roman" w:hAnsi="Times New Roman"/>
          <w:b/>
          <w:noProof/>
          <w:sz w:val="24"/>
          <w:szCs w:val="24"/>
        </w:rPr>
        <w:t xml:space="preserve">Reforma č. 3: Sběr a analýza dat o korupci </w:t>
      </w:r>
    </w:p>
    <w:p>
      <w:pPr>
        <w:jc w:val="both"/>
        <w:rPr>
          <w:rFonts w:ascii="Times New Roman" w:eastAsia="Times New Roman" w:hAnsi="Times New Roman"/>
          <w:noProof/>
          <w:sz w:val="24"/>
          <w:szCs w:val="24"/>
        </w:rPr>
      </w:pPr>
      <w:r>
        <w:rPr>
          <w:rFonts w:ascii="Times New Roman" w:hAnsi="Times New Roman"/>
          <w:noProof/>
          <w:sz w:val="24"/>
          <w:szCs w:val="24"/>
        </w:rPr>
        <w:t xml:space="preserve">Cílem reformy je získat kvantitativní a kvalitativní údaje o výskytu korupce a rozšířit škálu nástrojů pro mapování a analýzu převládajících typů korupce v různých odvětvích. Bude toho dosaženo výzkumným projektem, který bude zjišťovat rozsah a formy korupce ve vybraných odvětvích v České republice. Výsledkem analýzy budou doporučená opatření ke snížení korupce ve vybraných odvětvích a očekává se, že se promítnou do budoucích protikorupčních strategií vlády. Závěrečná zpráva z výzkumu navrhne metodiku měření přímých a nepřímých zkušeností s korupcí. Metodika bude poskytnuta státním orgánům, neziskovým organizacím a akademické obci k dalšímu rozvoji a využití. </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března 2026.</w:t>
      </w:r>
    </w:p>
    <w:p>
      <w:pPr>
        <w:jc w:val="both"/>
        <w:rPr>
          <w:rFonts w:ascii="Times New Roman" w:eastAsia="Times New Roman" w:hAnsi="Times New Roman"/>
          <w:b/>
          <w:noProof/>
          <w:sz w:val="24"/>
          <w:szCs w:val="24"/>
        </w:rPr>
      </w:pPr>
      <w:r>
        <w:rPr>
          <w:rFonts w:ascii="Times New Roman" w:hAnsi="Times New Roman"/>
          <w:b/>
          <w:noProof/>
          <w:sz w:val="24"/>
          <w:szCs w:val="24"/>
        </w:rPr>
        <w:t>Reforma č. 4: Stanovení pravidel pro lobbování</w:t>
      </w:r>
    </w:p>
    <w:p>
      <w:pPr>
        <w:jc w:val="both"/>
        <w:rPr>
          <w:rFonts w:ascii="Times New Roman" w:eastAsia="Times New Roman" w:hAnsi="Times New Roman"/>
          <w:noProof/>
          <w:sz w:val="24"/>
          <w:szCs w:val="24"/>
        </w:rPr>
      </w:pPr>
      <w:r>
        <w:rPr>
          <w:rFonts w:ascii="Times New Roman" w:hAnsi="Times New Roman"/>
          <w:noProof/>
          <w:sz w:val="24"/>
          <w:szCs w:val="24"/>
        </w:rPr>
        <w:t>Lobbování není v České republice v současné době regulováno. Cílem této reformy je vytvořit právní rámec pro lobbistické aktivity v legislativním procesu, umožnit veřejnou kontrolu lobbování a zvýšit tak transparentnost celého legislativního procesu. Bude přijat nový zákon o lobbování, který stanoví pravidla pro lobbistické aktivity tak, aby bylo možné rozlišit mezi oprávněnými lobbistickými aktivitami a nežádoucím, netransparentním lobbováním.</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března 2026.</w:t>
      </w:r>
    </w:p>
    <w:p>
      <w:pPr>
        <w:jc w:val="both"/>
        <w:rPr>
          <w:rFonts w:ascii="Times New Roman" w:eastAsia="Times New Roman" w:hAnsi="Times New Roman"/>
          <w:b/>
          <w:noProof/>
          <w:sz w:val="24"/>
          <w:szCs w:val="24"/>
        </w:rPr>
      </w:pPr>
      <w:r>
        <w:rPr>
          <w:rFonts w:ascii="Times New Roman" w:hAnsi="Times New Roman"/>
          <w:b/>
          <w:noProof/>
          <w:sz w:val="24"/>
          <w:szCs w:val="24"/>
        </w:rPr>
        <w:t>Reforma č. 5: Kontrola a audit</w:t>
      </w:r>
    </w:p>
    <w:p>
      <w:pPr>
        <w:jc w:val="both"/>
        <w:rPr>
          <w:rFonts w:ascii="Times New Roman" w:hAnsi="Times New Roman"/>
          <w:noProof/>
          <w:sz w:val="24"/>
          <w:szCs w:val="24"/>
        </w:rPr>
      </w:pPr>
      <w:r>
        <w:rPr>
          <w:rFonts w:ascii="Times New Roman" w:hAnsi="Times New Roman"/>
          <w:noProof/>
          <w:sz w:val="24"/>
          <w:szCs w:val="24"/>
        </w:rPr>
        <w:t>Účinná ochrana finančních zájmů Unie při provádění Nástroje pro oživení a odolnost je podmíněna zavedením vhodných opatření k prevenci, odhalování a nápravě podvodů, korupce a střetu zájmů, jak je stanoveno v článku 61 finančního nařízení. Zlepšení kontrolního a auditního prostředí je proto předpokladem pro účinné provádění plánu v souladu s platnými právními předpisy Unie a vnitrostátními právními předpisy. Tato reforma zahrnuje několik opatření na ochranu finančních zájmů Unie, zejména i) zlepšení vnitrostátního kontrolního systému s cílem předcházet situacím střetu zájmů, odhalovat je a napravovat, ii) přezkum souladu vnitrostátních postupů s cílem zajistit, aby uplatňování skutečného vlastnictví v souvislosti se systémem vnitřní kontroly nástroje bylo plně v souladu s definicí „skutečných majitelů“, jak je uvedena v čl. 3 bodě 6 směrnice 2015/849, a ve znění směrnice 2018/843, iii) přijetí strategie auditu zajišťující nezávislý a účinný audit provádění Nástroje pro oživení a odolnost, iv) schválení postupů pro systém shromažďování, uchovávání a zpracování údajů týkajících se všech konečných příjemců, včetně všech skutečných majitelů, jak je stanoveno v článku 3 směrnice (EU) 2015/849, a v) systém evidence pro sledování provádění Nástroje pro oživení a odolnost a pro shromažďování a uchovávání všech údajů uvedených v čl. 22 odst. 2 písm. d) nařízení (EU) 2021/241.</w:t>
      </w:r>
    </w:p>
    <w:p>
      <w:pPr>
        <w:jc w:val="both"/>
        <w:rPr>
          <w:rFonts w:ascii="Times New Roman" w:hAnsi="Times New Roman"/>
          <w:noProof/>
          <w:sz w:val="24"/>
          <w:szCs w:val="24"/>
          <w:lang w:eastAsia="cs-CZ"/>
        </w:rPr>
      </w:pPr>
    </w:p>
    <w:p>
      <w:pPr>
        <w:jc w:val="both"/>
        <w:rPr>
          <w:rFonts w:ascii="Times New Roman" w:hAnsi="Times New Roman"/>
          <w:noProof/>
          <w:sz w:val="24"/>
          <w:szCs w:val="24"/>
        </w:rPr>
      </w:pPr>
      <w:r>
        <w:rPr>
          <w:rFonts w:ascii="Times New Roman" w:hAnsi="Times New Roman"/>
          <w:noProof/>
          <w:sz w:val="24"/>
          <w:szCs w:val="24"/>
        </w:rPr>
        <w:t>Reforma bude dokončena do 30. června 2022. Všechny tyto milníky musí být splněny před předložením první žádosti o platbu Komisi.</w:t>
      </w:r>
    </w:p>
    <w:p>
      <w:pPr>
        <w:jc w:val="both"/>
        <w:rPr>
          <w:rFonts w:ascii="Times New Roman" w:hAnsi="Times New Roman"/>
          <w:noProof/>
          <w:sz w:val="24"/>
          <w:szCs w:val="24"/>
          <w:lang w:eastAsia="cs-CZ"/>
        </w:rPr>
      </w:pPr>
    </w:p>
    <w:p>
      <w:pPr>
        <w:jc w:val="both"/>
        <w:rPr>
          <w:rFonts w:ascii="Times New Roman" w:eastAsia="Times New Roman" w:hAnsi="Times New Roman"/>
          <w:b/>
          <w:noProof/>
          <w:sz w:val="24"/>
          <w:szCs w:val="24"/>
          <w:lang w:eastAsia="cs-CZ"/>
        </w:rPr>
      </w:pPr>
    </w:p>
    <w:p>
      <w:pPr>
        <w:jc w:val="both"/>
        <w:rPr>
          <w:rFonts w:ascii="Times New Roman" w:eastAsia="Times New Roman" w:hAnsi="Times New Roman"/>
          <w:noProof/>
          <w:lang w:eastAsia="cs-CZ"/>
        </w:rPr>
      </w:pPr>
    </w:p>
    <w:p>
      <w:pPr>
        <w:jc w:val="both"/>
        <w:rPr>
          <w:rFonts w:ascii="Times New Roman" w:eastAsia="Times New Roman" w:hAnsi="Times New Roman"/>
          <w:b/>
          <w:bCs/>
          <w:noProof/>
          <w:highlight w:val="yellow"/>
          <w:lang w:eastAsia="cs-CZ"/>
        </w:rPr>
        <w:sectPr>
          <w:headerReference w:type="even" r:id="rId238"/>
          <w:headerReference w:type="default" r:id="rId239"/>
          <w:footerReference w:type="even" r:id="rId240"/>
          <w:footerReference w:type="default" r:id="rId241"/>
          <w:headerReference w:type="first" r:id="rId242"/>
          <w:footerReference w:type="first" r:id="rId243"/>
          <w:pgSz w:w="11907" w:h="16839"/>
          <w:pgMar w:top="1134" w:right="1418" w:bottom="1134" w:left="1418" w:header="709" w:footer="709" w:gutter="0"/>
          <w:cols w:space="708"/>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T.2 Milníky, cíle, ukazatele a harmonogram monitorování a provádění nevratné finanční podpory </w:t>
      </w:r>
    </w:p>
    <w:p>
      <w:pPr>
        <w:pBdr>
          <w:top w:val="nil"/>
          <w:left w:val="nil"/>
          <w:bottom w:val="nil"/>
          <w:right w:val="nil"/>
          <w:between w:val="nil"/>
        </w:pBdr>
        <w:jc w:val="both"/>
        <w:rPr>
          <w:rFonts w:ascii="Times New Roman" w:eastAsia="Times New Roman" w:hAnsi="Times New Roman"/>
          <w:noProof/>
          <w:color w:val="000000"/>
          <w:sz w:val="24"/>
          <w:szCs w:val="24"/>
          <w:lang w:eastAsia="cs-CZ"/>
        </w:rPr>
      </w:pPr>
    </w:p>
    <w:tbl>
      <w:tblPr>
        <w:tblW w:w="0" w:type="auto"/>
        <w:jc w:val="center"/>
        <w:tblLayout w:type="fixed"/>
        <w:tblLook w:val="04A0" w:firstRow="1" w:lastRow="0" w:firstColumn="1" w:lastColumn="0" w:noHBand="0" w:noVBand="1"/>
      </w:tblPr>
      <w:tblGrid>
        <w:gridCol w:w="675"/>
        <w:gridCol w:w="1307"/>
        <w:gridCol w:w="992"/>
        <w:gridCol w:w="1276"/>
        <w:gridCol w:w="1559"/>
        <w:gridCol w:w="851"/>
        <w:gridCol w:w="850"/>
        <w:gridCol w:w="567"/>
        <w:gridCol w:w="851"/>
        <w:gridCol w:w="891"/>
        <w:gridCol w:w="4745"/>
      </w:tblGrid>
      <w:tr>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307"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559"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268"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742"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307"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992"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276"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559"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851"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850"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567"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51"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891"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1950"/>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Reforma č. 1: Ochrana oznamovatelů korupce </w:t>
            </w: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Přijetí zákona o ochraně oznamovatelů a souvisejícího změnového zákona</w:t>
            </w:r>
          </w:p>
        </w:tc>
        <w:tc>
          <w:tcPr>
            <w:tcW w:w="1559"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Ustanovení zákona o ochraně oznamovatelů s uvedením vstupu v platnost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Zákon o ochraně oznamovatelů: </w:t>
            </w:r>
          </w:p>
          <w:p>
            <w:pPr>
              <w:numPr>
                <w:ilvl w:val="0"/>
                <w:numId w:val="56"/>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zakáže odvetná opatření proti oznamovatelům, </w:t>
            </w:r>
          </w:p>
          <w:p>
            <w:pPr>
              <w:numPr>
                <w:ilvl w:val="0"/>
                <w:numId w:val="56"/>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bude požadovat zřízení vnějšího oznamovacího kanálu pro oznamování korupce na Ministerstvu spravedlnosti,</w:t>
            </w:r>
          </w:p>
          <w:p>
            <w:pPr>
              <w:numPr>
                <w:ilvl w:val="0"/>
                <w:numId w:val="56"/>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bude požadovat, aby veřejné instituce, velké obce a velké podniky zavedly vnitřní systémy pro oznamování korupce.</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Reforma soudnictví zaměřená na posílení legislativního rámce a transparentnosti v oblasti soudů, soudců, státních zástupců a soudních exekutorů</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Přijetí zákona o soudech a soudcích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Ustanovení zákona o soudech a soudcích s uvedením vstupu v platnost</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Zákon o soudech a soudcích: </w:t>
            </w:r>
          </w:p>
          <w:p>
            <w:pPr>
              <w:numPr>
                <w:ilvl w:val="0"/>
                <w:numId w:val="57"/>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zavede objektivní pravidla pro výběr soudců a soudních úředníků, </w:t>
            </w:r>
          </w:p>
          <w:p>
            <w:pPr>
              <w:numPr>
                <w:ilvl w:val="0"/>
                <w:numId w:val="57"/>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podrobněji upraví vedlejší činnost soudců,</w:t>
            </w:r>
          </w:p>
          <w:p>
            <w:pPr>
              <w:numPr>
                <w:ilvl w:val="0"/>
                <w:numId w:val="57"/>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zefektivní soudní řízení, na kterých se podílejí přísedící. </w:t>
            </w:r>
          </w:p>
        </w:tc>
      </w:tr>
      <w:tr>
        <w:trPr>
          <w:trHeight w:val="32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Reforma soudnictví zaměřená na posílení legislativního rámce a transparentnosti v oblasti soudů, soudců, státních zástupců a soudních exekutorů</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Přijetí zákona o řízení ve věcech soudců, státních zástupců a soudních exekutorů</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Ustanovení zákona o řízení ve věcech soudců, státních zástupců a soudních exekutorů s uvedením vstupu v platnost</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Zákon o řízení ve věcech soudců, státních zástupců a soudních exekutorů: </w:t>
            </w:r>
          </w:p>
          <w:p>
            <w:pPr>
              <w:numPr>
                <w:ilvl w:val="0"/>
                <w:numId w:val="58"/>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zavede instanční přezkum rozhodnutí kárného senátu na základě opravného prostředku,</w:t>
            </w:r>
          </w:p>
          <w:p>
            <w:pPr>
              <w:numPr>
                <w:ilvl w:val="0"/>
                <w:numId w:val="58"/>
              </w:numPr>
              <w:spacing w:after="0" w:line="259" w:lineRule="auto"/>
              <w:contextualSpacing/>
              <w:rPr>
                <w:rFonts w:ascii="Times New Roman" w:hAnsi="Times New Roman"/>
                <w:i/>
                <w:iCs/>
                <w:noProof/>
                <w:color w:val="004300"/>
                <w:sz w:val="18"/>
                <w:szCs w:val="18"/>
              </w:rPr>
            </w:pPr>
            <w:r>
              <w:rPr>
                <w:rFonts w:ascii="Times New Roman" w:hAnsi="Times New Roman"/>
                <w:noProof/>
                <w:color w:val="004300"/>
                <w:sz w:val="18"/>
                <w:szCs w:val="18"/>
              </w:rPr>
              <w:t>zavede opatření ke zvýšení efektivity řízení ve věcech soudců, státních zástupců a soudních exekutorů, zejména pokud jde o složení kárných senátů, platy státních zaměstnanců odsouzených za kárné provinění a řešení kárné věci dohodou.</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3: Sběr a analýza dat o korupci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Vytvoření metodiky měření korupce v České republice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Zveřejnění metodiky Ministerstvem spravedlnosti</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val="en-IE"/>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val="en-IE"/>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Nová metodika umožní replikovatelné a efektivní měření přímé a nepřímé zkušenosti s korupcí v České republice. Bude součástí závěrečné výzkumné zprávy, která rovněž: </w:t>
            </w:r>
          </w:p>
          <w:p>
            <w:pPr>
              <w:numPr>
                <w:ilvl w:val="0"/>
                <w:numId w:val="59"/>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určí rozsah a formy korupce ve vybraných společenských odvětvích v České republice,</w:t>
            </w:r>
          </w:p>
          <w:p>
            <w:pPr>
              <w:numPr>
                <w:ilvl w:val="0"/>
                <w:numId w:val="59"/>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zformuluje doporučená opatření ke snížení korupce ve vybraných odvětvích.</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Reforma č. 4: Regulace lobbování </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Přijetí zákona o lobbování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Ustanovení zákona o lobbování s uvedením vstupu v platnost</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Q1</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Zákon o lobbování: </w:t>
            </w:r>
          </w:p>
          <w:p>
            <w:pPr>
              <w:numPr>
                <w:ilvl w:val="0"/>
                <w:numId w:val="60"/>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definuje lobbování, </w:t>
            </w:r>
          </w:p>
          <w:p>
            <w:pPr>
              <w:numPr>
                <w:ilvl w:val="0"/>
                <w:numId w:val="60"/>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požaduje zřízení registru lobbistů a lobbovaných osob, </w:t>
            </w:r>
          </w:p>
          <w:p>
            <w:pPr>
              <w:numPr>
                <w:ilvl w:val="0"/>
                <w:numId w:val="60"/>
              </w:numPr>
              <w:rPr>
                <w:rFonts w:ascii="Times New Roman" w:hAnsi="Times New Roman"/>
                <w:noProof/>
                <w:color w:val="004300"/>
                <w:sz w:val="18"/>
                <w:szCs w:val="18"/>
              </w:rPr>
            </w:pPr>
            <w:r>
              <w:rPr>
                <w:rFonts w:ascii="Times New Roman" w:hAnsi="Times New Roman"/>
                <w:noProof/>
                <w:color w:val="004300"/>
                <w:sz w:val="18"/>
                <w:szCs w:val="18"/>
              </w:rPr>
              <w:t xml:space="preserve">zavádí povinnost registrovat lobbování a sankce za její nedodržení.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Systém pro shromažďování, uchovávání a zpřístupňování údajů týkajících se všech konečných příjemců včetně všech skutečných majitelů (jak je stanoveno v čl. 3 odst. 6 směrnice o boji proti praní peněz).</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Postup schválený a zavedený oddělením realizace s popisem systému pro sběr a zpřístupňování údajů o konečných příjemcích</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eastAsia="cs-CZ"/>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lang w:eastAsia="cs-CZ"/>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Q2</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Úspěšné provádění postupu, který popisuje, jak mají být shromažďovány a ukládány údaje o konečných příjemcích, dodavatelích, subdodavatelích, skutečných majitelích a seznam všech opatření pro provádění reforem a investičních projektů. Systém shromažďování a zpřístupňování údajů o konečných příjemcích musí být v souladu s požadavky čl. 22 odst. 2 písm. d) nařízení o Nástroji pro oživení a odolnost. Tento popis výslovně zahrnuje všechny kategorie údajů uvedené v čl. 22 odst. 2 písm. d), včetně údajů o „skutečných majitelích“, jak jsou definovány v čl. 3 bodě 6 směrnice 2015/849 ve znění směrnice 2018/843. </w:t>
            </w:r>
          </w:p>
          <w:p>
            <w:pPr>
              <w:rPr>
                <w:rFonts w:ascii="Times New Roman" w:hAnsi="Times New Roman"/>
                <w:noProof/>
                <w:color w:val="004300"/>
                <w:sz w:val="18"/>
                <w:szCs w:val="18"/>
              </w:rPr>
            </w:pPr>
            <w:r>
              <w:rPr>
                <w:rFonts w:ascii="Times New Roman" w:hAnsi="Times New Roman"/>
                <w:noProof/>
                <w:color w:val="004300"/>
                <w:sz w:val="18"/>
                <w:szCs w:val="18"/>
              </w:rPr>
              <w:t>Tyto postupy schvaluje a provádí Řídící rada Nástroje pro oživení a odolnost. Systém sběru údajů bude vycházet z osvědčených postupů získaných v souvislosti se systémem MS2014+ a bude se jimi řídit.</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208</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Vytvoření a provádění akčního plánu pro správní systém koordinačního subjektu, zejména pokud jde o dostatečné a systematické předcházení střetu zájmů v souvislosti s Nástrojem pro oživení a odolnost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Účinné provádění akčního plánu potvrzené aktualizovanými postupy a procesy koordinačního subjektu</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Provádění akčního plánu zajistí účinný vnitřní správní systém koordinačního subjektu, zejména pokud jde o dostatečné a systematické předcházení střetu zájmů.</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Akční plán obsahuje opatření, která zajistí, aby platby konečným příjemcům, dodavatelům a subdodavatelům v rámci plánu podléhaly předchozím kontrolám ověřování střetu zájmů až do úrovně skutečných majitelů podle definice v čl. 3 bodě 6 směrnice Evropského parlamentu a Rady (EU) 2015/849.</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209</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Opatření proti střetu zájmů prováděná koordinačním subjektem.</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Zpráva o auditu potvrzující účinné provádění akčního plánu.</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Q2</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Auditní subjekt provede následný audit s cílem potvrdit provádění akčního plánu.</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210</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Systém úložišť</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Zpráva o auditu potvrzující funkce archivačního systému</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Q2</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Musí být zaveden a zprovozněn archivační systém pro monitorování provádění Nástroje pro oživení a odolnost. </w:t>
            </w:r>
          </w:p>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Systém musí zahrnovat přinejmenším tyto funkce: </w:t>
            </w:r>
          </w:p>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a) shromažďování údajů a monitorování dosahování milníků a cílů; </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b) shromažďování, uchovávání a zajišťování přístupu k údajům požadovaným v čl. 22 odst. 2 písm. d) bodech i) až iii) nařízení o Nástroji pro oživení a odolnost.</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211</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Auditní strategie zajišťující nezávislý a účinný audit provádění Nástroje pro oživení a odolnost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Auditní strategie schválená vedoucím auditního subjektu</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Přijetí a vstup v platnost auditní strategie pro auditní subjekt zajišťující nezávislý a účinný audit provádění Nástroje pro oživení a odolnost v souladu s mezinárodně uznávanými auditorskými standardy.  </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Strategie stanoví alespoň metodiku a přístup k posuzování rizik, četnost a druh auditů (jako jsou audity systémů a projektů, audity dokumentů a audity na místě), které mají být uskutečněny v různých fázích provádění reforem a investic v rámci plánu, jakož i spolehlivost údajů podporujících dosažení milníků a cílů.</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212</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Přezkum definice skutečného vlastnictví v souvislosti se systémem kontroly Nástroje pro oživení a odolnost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Zpráva z přezkumu souladu včetně návrhů na případná následná opatření.</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Q4</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Provede se přezkum souladu vnitrostátních postupů s cílem zajistit, aby uplatňování skutečného vlastnictví v souvislosti s kontrolním systémem Nástroje pro oživení a odolnost bylo plně v souladu s definicí „skutečných majitelů“ ve smyslu čl. 3 bodu 6 směrnice 2015/849 ve znění směrnice 2018/843. Přezkum zahrnuje jak právní předpisy, tak pokyny, včetně příručky pro rejstřík skutečných majitelů. Přezkum se rovněž zaměří na účinné, přiměřené a odrazující sankce v případě porušení povinnosti získat a mít informace o skutečném vlastnictví, jak stanoví čl. 30 odst. 1 směrnice 2015/849 ve znění směrnice 2018/843. </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Po přezkumu se potenciální zjištěné nedostatky odstraní.</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213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Pokyny pro předcházení střetům zájmů a jejich řešení</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Pokyny pro předcházení střetům zájmů a jejich řešení vydané oddělením realizace koordinačního subjektu. Revize ze strany auditního orgánu</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Q2</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Oddělení realizace koordinačního orgánu přijme pokyny s cílem zajistit, aby subjekty odpovědné za jednotlivé komponenty a další subjekty provádějící reformy a investice v rámci Plánu pro oživení a odolnost předcházeli střetům zájmů a řešily je. Pokyny odrážejí celou šíři nezbytných opatření na ochranu rozpočtu EU proti podvodům a nesrovnalostem. Vycházejí ze Sdělení Komise Pokyny k zabránění střetu zájmů a jeho řešení podle finančního nařízení (Úř. věst. C 121, 9.4.2021, s. 1). </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Pokyny harmonizují opatření, která mají přijmout subjekty odpovědné za jednotlivé komponenty a další subjekty provádějící reformy a investice v rámci plánu na podporu oživení a odolnosti (ministerstva, jiné veřejné orgány, státní fondy atd.).</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jc w:val="center"/>
              <w:rPr>
                <w:rFonts w:ascii="Times New Roman" w:hAnsi="Times New Roman"/>
                <w:noProof/>
                <w:color w:val="004300"/>
                <w:sz w:val="18"/>
                <w:szCs w:val="18"/>
                <w:highlight w:val="yellow"/>
              </w:rPr>
            </w:pPr>
            <w:r>
              <w:rPr>
                <w:rFonts w:ascii="Times New Roman" w:hAnsi="Times New Roman"/>
                <w:noProof/>
                <w:color w:val="004300"/>
                <w:sz w:val="18"/>
                <w:szCs w:val="18"/>
              </w:rPr>
              <w:t>214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Reforma č. 5: Kontrola a audit</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Milník</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Postupy pro předcházení střetu zájmů v souladu s článkem 61 finančního nařízení</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Zpráva auditora s výrokem auditora bez výhrad o účinnosti systému vnitřní kontroly Nástroje pro oživení a odolnost pro předcházení, odhalování a nápravu situací střetu zájmů</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highlight w:val="yellow"/>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Q2</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Systém vnitřní kontroly Nástroje pro oživení a odolnost, který má zabránit střetu zájmů, musí být účinný a musí zejména zajistit účinnost: </w:t>
            </w:r>
          </w:p>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a) shromažďování, uchovávání a zpracovávání údajů týkajících se všech konečných příjemců, včetně všech skutečných majitelů podle čl. 3 bodu 6 směrnice (EU) 2015/849; </w:t>
            </w:r>
          </w:p>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b) souladu systému vnitřní kontroly pro předcházení, odhalování a nápravu situací střetu zájmů s článkem 61 finančního nařízení a </w:t>
            </w:r>
          </w:p>
          <w:p>
            <w:pPr>
              <w:rPr>
                <w:rFonts w:ascii="Times New Roman" w:eastAsia="Times New Roman" w:hAnsi="Times New Roman"/>
                <w:noProof/>
                <w:color w:val="004300"/>
                <w:sz w:val="18"/>
                <w:szCs w:val="18"/>
                <w:highlight w:val="yellow"/>
              </w:rPr>
            </w:pPr>
            <w:r>
              <w:rPr>
                <w:rFonts w:ascii="Times New Roman" w:hAnsi="Times New Roman"/>
                <w:noProof/>
                <w:color w:val="004300"/>
                <w:sz w:val="18"/>
                <w:szCs w:val="18"/>
              </w:rPr>
              <w:t>c) vnitrostátních kontrolních postupů, které mají zabránit situacím střetu zájmů u všech skutečných majitelů.</w:t>
            </w:r>
          </w:p>
        </w:tc>
      </w:tr>
    </w:tbl>
    <w:p>
      <w:pPr>
        <w:pBdr>
          <w:top w:val="nil"/>
          <w:left w:val="nil"/>
          <w:bottom w:val="nil"/>
          <w:right w:val="nil"/>
          <w:between w:val="nil"/>
        </w:pBdr>
        <w:jc w:val="both"/>
        <w:rPr>
          <w:rFonts w:ascii="Times New Roman" w:eastAsia="Times New Roman" w:hAnsi="Times New Roman"/>
          <w:noProof/>
          <w:color w:val="000000"/>
          <w:sz w:val="24"/>
          <w:szCs w:val="24"/>
          <w:highlight w:val="yellow"/>
          <w:lang w:eastAsia="cs-CZ"/>
        </w:rPr>
        <w:sectPr>
          <w:headerReference w:type="even" r:id="rId244"/>
          <w:headerReference w:type="default" r:id="rId245"/>
          <w:footerReference w:type="even" r:id="rId246"/>
          <w:footerReference w:type="default" r:id="rId247"/>
          <w:headerReference w:type="first" r:id="rId248"/>
          <w:footerReference w:type="first" r:id="rId249"/>
          <w:pgSz w:w="16839" w:h="11907" w:orient="landscape"/>
          <w:pgMar w:top="142" w:right="1134" w:bottom="1418" w:left="1134" w:header="709" w:footer="709" w:gutter="0"/>
          <w:cols w:space="708"/>
        </w:sectPr>
      </w:pPr>
    </w:p>
    <w:p>
      <w:pPr>
        <w:pStyle w:val="ManualHeading1"/>
        <w:spacing w:before="120"/>
        <w:rPr>
          <w:noProof/>
        </w:rPr>
      </w:pPr>
      <w:r>
        <w:rPr>
          <w:noProof/>
        </w:rPr>
        <w:t>U. KOMPONENTA č. 4.4</w:t>
      </w:r>
      <w:r>
        <w:rPr>
          <w:b w:val="0"/>
          <w:smallCaps w:val="0"/>
          <w:noProof/>
        </w:rPr>
        <w:t xml:space="preserve">: </w:t>
      </w:r>
      <w:r>
        <w:rPr>
          <w:noProof/>
        </w:rPr>
        <w:t>Zvýšení efektivity výkonu veřejné správy</w:t>
      </w:r>
    </w:p>
    <w:p>
      <w:pPr>
        <w:pStyle w:val="Text1"/>
        <w:ind w:left="0"/>
        <w:rPr>
          <w:noProof/>
        </w:rPr>
      </w:pPr>
      <w:r>
        <w:rPr>
          <w:noProof/>
        </w:rPr>
        <w:t xml:space="preserve">Tato komponenta Plánu pro oživení a odolnost České republiky přispívá k řešení výzvy spočívající v posílení použití přístupu založeného na důkazech pro tvorbě veřejných politik a zároveň ve zlepšení koordinace mezi různými úrovněmi veřejné správy (ústřední a regionální). Jejím cílem je řešit nedostatečné analytické kapacity ve veřejné správě v České republice. </w:t>
      </w:r>
    </w:p>
    <w:p>
      <w:pPr>
        <w:pStyle w:val="Text1"/>
        <w:ind w:left="0"/>
        <w:rPr>
          <w:rFonts w:eastAsia="Times New Roman"/>
          <w:noProof/>
          <w:color w:val="000000"/>
        </w:rPr>
      </w:pPr>
      <w:r>
        <w:rPr>
          <w:noProof/>
        </w:rPr>
        <w:t xml:space="preserve">Komponenta podporuje plnění doporučení pro zemi, podle něhož se má Česko zaměřit na </w:t>
      </w:r>
      <w:r>
        <w:rPr>
          <w:noProof/>
          <w:color w:val="000000"/>
        </w:rPr>
        <w:t>snížení administrativní zátěže a zlepšení elektronické veřejné správy</w:t>
      </w:r>
      <w:r>
        <w:rPr>
          <w:noProof/>
        </w:rPr>
        <w:t xml:space="preserve"> </w:t>
      </w:r>
      <w:r>
        <w:rPr>
          <w:noProof/>
          <w:color w:val="000000"/>
        </w:rPr>
        <w:t xml:space="preserve">(doporučení pro zemi č. 3 na rok </w:t>
      </w:r>
      <w:r>
        <w:rPr>
          <w:noProof/>
        </w:rPr>
        <w:t>2019).</w:t>
      </w:r>
      <w:r>
        <w:rPr>
          <w:noProof/>
          <w:color w:val="000000"/>
        </w:rPr>
        <w:t xml:space="preserve"> </w:t>
      </w:r>
    </w:p>
    <w:p>
      <w:pPr>
        <w:pStyle w:val="Text1"/>
        <w:ind w:left="0"/>
        <w:rPr>
          <w:noProof/>
        </w:rPr>
      </w:pPr>
      <w:r>
        <w:rPr>
          <w:noProof/>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pStyle w:val="Text1"/>
        <w:ind w:left="0"/>
        <w:rPr>
          <w:rFonts w:eastAsia="Times New Roman"/>
          <w:noProof/>
        </w:rPr>
      </w:pPr>
    </w:p>
    <w:p>
      <w:pPr>
        <w:pStyle w:val="Text1"/>
        <w:ind w:left="0"/>
        <w:rPr>
          <w:b/>
          <w:i/>
          <w:noProof/>
        </w:rPr>
      </w:pPr>
      <w:r>
        <w:rPr>
          <w:b/>
          <w:noProof/>
          <w:u w:val="single"/>
        </w:rPr>
        <w:t>U.1 Popis reforem a investic pro nevratnou finanční podporu</w:t>
      </w:r>
    </w:p>
    <w:p>
      <w:pPr>
        <w:pStyle w:val="Text1"/>
        <w:pBdr>
          <w:top w:val="nil"/>
          <w:left w:val="nil"/>
          <w:bottom w:val="nil"/>
          <w:right w:val="nil"/>
          <w:between w:val="nil"/>
        </w:pBdr>
        <w:ind w:left="0"/>
        <w:jc w:val="left"/>
        <w:rPr>
          <w:b/>
          <w:bCs/>
          <w:noProof/>
        </w:rPr>
      </w:pPr>
      <w:r>
        <w:rPr>
          <w:b/>
          <w:bCs/>
          <w:noProof/>
        </w:rPr>
        <w:t xml:space="preserve">Reforma č. 1: Zvýšení efektivity, proklientské orientace a využití principů „evidence-informed“ při rozhodování ve veřejné správě. </w:t>
      </w:r>
    </w:p>
    <w:p>
      <w:pPr>
        <w:pStyle w:val="Text1"/>
        <w:pBdr>
          <w:top w:val="nil"/>
          <w:left w:val="nil"/>
          <w:bottom w:val="nil"/>
          <w:right w:val="nil"/>
          <w:between w:val="nil"/>
        </w:pBdr>
        <w:ind w:left="0"/>
        <w:rPr>
          <w:noProof/>
        </w:rPr>
      </w:pPr>
      <w:r>
        <w:rPr>
          <w:noProof/>
        </w:rPr>
        <w:t>V rámci této reformy budou realizována tato opatření, jejichž cílem je zvýšit efektivitu veřejné správy:</w:t>
      </w:r>
    </w:p>
    <w:p>
      <w:pPr>
        <w:pStyle w:val="ListParagraph"/>
        <w:numPr>
          <w:ilvl w:val="0"/>
          <w:numId w:val="25"/>
        </w:numPr>
        <w:pBdr>
          <w:top w:val="nil"/>
          <w:left w:val="nil"/>
          <w:bottom w:val="nil"/>
          <w:right w:val="nil"/>
          <w:between w:val="nil"/>
        </w:pBdr>
        <w:spacing w:after="120" w:line="240" w:lineRule="auto"/>
        <w:ind w:left="357" w:hanging="357"/>
        <w:jc w:val="both"/>
        <w:rPr>
          <w:rFonts w:ascii="Times New Roman" w:hAnsi="Times New Roman"/>
          <w:noProof/>
          <w:sz w:val="24"/>
          <w:szCs w:val="24"/>
        </w:rPr>
      </w:pPr>
      <w:r>
        <w:rPr>
          <w:rFonts w:ascii="Times New Roman" w:hAnsi="Times New Roman"/>
          <w:noProof/>
          <w:sz w:val="24"/>
          <w:szCs w:val="24"/>
        </w:rPr>
        <w:t>Zřízení centrálního analytického týmu, který bude zvyšovat povědomí o důležitosti principů rozhodování založeného na faktech („evidence-informed“) mezi všemi příslušnými zúčastněnými stranami ve veřejné správě a zároveň bude podporovat příslušné útvary ve správném používání kvalitativních a kvantitativních analytických metod.</w:t>
      </w:r>
    </w:p>
    <w:p>
      <w:pPr>
        <w:pStyle w:val="ListParagraph"/>
        <w:numPr>
          <w:ilvl w:val="0"/>
          <w:numId w:val="24"/>
        </w:numPr>
        <w:pBdr>
          <w:top w:val="nil"/>
          <w:left w:val="nil"/>
          <w:bottom w:val="nil"/>
          <w:right w:val="nil"/>
          <w:between w:val="nil"/>
        </w:pBdr>
        <w:spacing w:after="120" w:line="240" w:lineRule="auto"/>
        <w:ind w:left="357" w:hanging="357"/>
        <w:jc w:val="both"/>
        <w:rPr>
          <w:rFonts w:ascii="Times New Roman" w:hAnsi="Times New Roman"/>
          <w:noProof/>
          <w:sz w:val="24"/>
          <w:szCs w:val="24"/>
        </w:rPr>
      </w:pPr>
      <w:r>
        <w:rPr>
          <w:rFonts w:ascii="Times New Roman" w:hAnsi="Times New Roman"/>
          <w:noProof/>
          <w:sz w:val="24"/>
          <w:szCs w:val="24"/>
        </w:rPr>
        <w:t>Vypracování metodiky pro shromažďování údajů o činnosti úřadů a jejich sdílení napříč orgány veřejné správy.</w:t>
      </w:r>
    </w:p>
    <w:p>
      <w:pPr>
        <w:pStyle w:val="ListParagraph"/>
        <w:numPr>
          <w:ilvl w:val="0"/>
          <w:numId w:val="24"/>
        </w:numPr>
        <w:pBdr>
          <w:top w:val="nil"/>
          <w:left w:val="nil"/>
          <w:bottom w:val="nil"/>
          <w:right w:val="nil"/>
          <w:between w:val="nil"/>
        </w:pBdr>
        <w:spacing w:after="120" w:line="240" w:lineRule="auto"/>
        <w:ind w:left="357" w:hanging="357"/>
        <w:jc w:val="both"/>
        <w:rPr>
          <w:rFonts w:ascii="Times New Roman" w:hAnsi="Times New Roman"/>
          <w:noProof/>
          <w:sz w:val="24"/>
          <w:szCs w:val="24"/>
        </w:rPr>
      </w:pPr>
      <w:r>
        <w:rPr>
          <w:rFonts w:ascii="Times New Roman" w:hAnsi="Times New Roman"/>
          <w:noProof/>
          <w:sz w:val="24"/>
          <w:szCs w:val="24"/>
        </w:rPr>
        <w:t>Vývoj elektronického nástroje pro sběr dat o činnostech veřejné správy.</w:t>
      </w:r>
    </w:p>
    <w:p>
      <w:pPr>
        <w:pStyle w:val="ListParagraph"/>
        <w:numPr>
          <w:ilvl w:val="0"/>
          <w:numId w:val="24"/>
        </w:numPr>
        <w:pBdr>
          <w:top w:val="nil"/>
          <w:left w:val="nil"/>
          <w:bottom w:val="nil"/>
          <w:right w:val="nil"/>
          <w:between w:val="nil"/>
        </w:pBdr>
        <w:spacing w:after="120" w:line="240" w:lineRule="auto"/>
        <w:ind w:left="357" w:hanging="357"/>
        <w:jc w:val="both"/>
        <w:rPr>
          <w:rFonts w:ascii="Times New Roman" w:hAnsi="Times New Roman"/>
          <w:noProof/>
          <w:sz w:val="24"/>
          <w:szCs w:val="24"/>
        </w:rPr>
      </w:pPr>
      <w:r>
        <w:rPr>
          <w:rFonts w:ascii="Times New Roman" w:hAnsi="Times New Roman"/>
          <w:noProof/>
          <w:sz w:val="24"/>
          <w:szCs w:val="24"/>
        </w:rPr>
        <w:t>Vytvoření databáze relevantních údajů, jako jsou informace o procesech, výkonech, personálních kapacitách ve veřejné správě na centrální i místní úrovni.</w:t>
      </w:r>
    </w:p>
    <w:p>
      <w:pPr>
        <w:pStyle w:val="ListParagraph"/>
        <w:numPr>
          <w:ilvl w:val="0"/>
          <w:numId w:val="24"/>
        </w:numPr>
        <w:pBdr>
          <w:top w:val="nil"/>
          <w:left w:val="nil"/>
          <w:bottom w:val="nil"/>
          <w:right w:val="nil"/>
          <w:between w:val="nil"/>
        </w:pBdr>
        <w:spacing w:after="120" w:line="240" w:lineRule="auto"/>
        <w:ind w:left="357" w:hanging="357"/>
        <w:jc w:val="both"/>
        <w:rPr>
          <w:rFonts w:ascii="Times New Roman" w:hAnsi="Times New Roman"/>
          <w:noProof/>
          <w:sz w:val="24"/>
          <w:szCs w:val="24"/>
        </w:rPr>
      </w:pPr>
      <w:r>
        <w:rPr>
          <w:rFonts w:ascii="Times New Roman" w:hAnsi="Times New Roman"/>
          <w:noProof/>
          <w:sz w:val="24"/>
          <w:szCs w:val="24"/>
        </w:rPr>
        <w:t xml:space="preserve">Zavedení cílených proklientských vzdělávacích </w:t>
      </w:r>
      <w:r>
        <w:rPr>
          <w:rFonts w:ascii="Times New Roman" w:hAnsi="Times New Roman"/>
          <w:bCs/>
          <w:noProof/>
          <w:color w:val="000000"/>
          <w:sz w:val="24"/>
          <w:szCs w:val="24"/>
        </w:rPr>
        <w:t>programů pro nejméně 1 000 úředníků poskytujících služby přímo klientům.(„front office“)</w:t>
      </w:r>
    </w:p>
    <w:p>
      <w:pPr>
        <w:pStyle w:val="Text1"/>
        <w:ind w:left="0"/>
        <w:jc w:val="left"/>
        <w:rPr>
          <w:noProof/>
        </w:rPr>
        <w:sectPr>
          <w:headerReference w:type="even" r:id="rId250"/>
          <w:headerReference w:type="default" r:id="rId251"/>
          <w:footerReference w:type="even" r:id="rId252"/>
          <w:footerReference w:type="default" r:id="rId253"/>
          <w:headerReference w:type="first" r:id="rId254"/>
          <w:footerReference w:type="first" r:id="rId255"/>
          <w:pgSz w:w="11907" w:h="16839"/>
          <w:pgMar w:top="1134" w:right="1418" w:bottom="1134" w:left="1418" w:header="709" w:footer="709" w:gutter="0"/>
          <w:cols w:space="720"/>
        </w:sectPr>
      </w:pPr>
      <w:r>
        <w:rPr>
          <w:noProof/>
        </w:rPr>
        <w:t xml:space="preserve">Reforma bude dokončena do 31. prosince 2025. </w:t>
      </w:r>
    </w:p>
    <w:p>
      <w:pPr>
        <w:pStyle w:val="Text1"/>
        <w:ind w:left="0"/>
        <w:rPr>
          <w:b/>
          <w:noProof/>
          <w:u w:val="single"/>
        </w:rPr>
      </w:pPr>
      <w:r>
        <w:rPr>
          <w:b/>
          <w:noProof/>
          <w:u w:val="single"/>
        </w:rPr>
        <w:t>U.2 Milníky, cíle, ukazatele a harmonogram monitorování a provádění nevratné finanční podpory</w:t>
      </w:r>
    </w:p>
    <w:p>
      <w:pPr>
        <w:pStyle w:val="Text1"/>
        <w:ind w:left="0"/>
        <w:rPr>
          <w:b/>
          <w:noProof/>
          <w:u w:val="single"/>
        </w:rPr>
      </w:pPr>
    </w:p>
    <w:tbl>
      <w:tblPr>
        <w:tblW w:w="14564" w:type="dxa"/>
        <w:tblLayout w:type="fixed"/>
        <w:tblLook w:val="0400" w:firstRow="0" w:lastRow="0" w:firstColumn="0" w:lastColumn="0" w:noHBand="0" w:noVBand="1"/>
      </w:tblPr>
      <w:tblGrid>
        <w:gridCol w:w="615"/>
        <w:gridCol w:w="1338"/>
        <w:gridCol w:w="990"/>
        <w:gridCol w:w="1418"/>
        <w:gridCol w:w="1417"/>
        <w:gridCol w:w="851"/>
        <w:gridCol w:w="850"/>
        <w:gridCol w:w="709"/>
        <w:gridCol w:w="851"/>
        <w:gridCol w:w="638"/>
        <w:gridCol w:w="4887"/>
      </w:tblGrid>
      <w:tr>
        <w:trPr>
          <w:trHeight w:val="75"/>
        </w:trPr>
        <w:tc>
          <w:tcPr>
            <w:tcW w:w="615" w:type="dxa"/>
            <w:vMerge w:val="restart"/>
            <w:tcBorders>
              <w:top w:val="single" w:sz="4" w:space="0" w:color="auto"/>
              <w:left w:val="single" w:sz="4" w:space="0" w:color="auto"/>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338"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0"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418" w:type="dxa"/>
            <w:vMerge w:val="restart"/>
            <w:tcBorders>
              <w:top w:val="single" w:sz="4" w:space="0" w:color="auto"/>
              <w:left w:val="single" w:sz="8" w:space="0" w:color="000000"/>
              <w:bottom w:val="single" w:sz="4" w:space="0" w:color="auto"/>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1417" w:type="dxa"/>
            <w:vMerge w:val="restart"/>
            <w:tcBorders>
              <w:top w:val="single" w:sz="4" w:space="0" w:color="auto"/>
              <w:left w:val="single" w:sz="8" w:space="0" w:color="000000"/>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bCs/>
                <w:noProof/>
                <w:sz w:val="18"/>
                <w:szCs w:val="18"/>
              </w:rPr>
              <w:t>Kvalitativní ukazatele</w:t>
            </w:r>
            <w:r>
              <w:rPr>
                <w:noProof/>
                <w:sz w:val="18"/>
                <w:szCs w:val="18"/>
              </w:rPr>
              <w:br/>
            </w:r>
            <w:r>
              <w:rPr>
                <w:rFonts w:ascii="Times New Roman" w:hAnsi="Times New Roman"/>
                <w:b/>
                <w:bCs/>
                <w:noProof/>
                <w:sz w:val="18"/>
                <w:szCs w:val="18"/>
              </w:rPr>
              <w:t xml:space="preserve"> (pro milníky) </w:t>
            </w:r>
          </w:p>
        </w:tc>
        <w:tc>
          <w:tcPr>
            <w:tcW w:w="2410" w:type="dxa"/>
            <w:gridSpan w:val="3"/>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bCs/>
                <w:noProof/>
                <w:sz w:val="18"/>
                <w:szCs w:val="18"/>
              </w:rPr>
              <w:t>Kvantitativní ukazatele</w:t>
            </w:r>
            <w:r>
              <w:rPr>
                <w:noProof/>
                <w:sz w:val="18"/>
                <w:szCs w:val="18"/>
              </w:rPr>
              <w:br/>
            </w:r>
            <w:r>
              <w:rPr>
                <w:rFonts w:ascii="Times New Roman" w:hAnsi="Times New Roman"/>
                <w:b/>
                <w:bCs/>
                <w:noProof/>
                <w:sz w:val="18"/>
                <w:szCs w:val="18"/>
              </w:rPr>
              <w:t xml:space="preserve"> (pro cíle)</w:t>
            </w:r>
          </w:p>
        </w:tc>
        <w:tc>
          <w:tcPr>
            <w:tcW w:w="1489" w:type="dxa"/>
            <w:gridSpan w:val="2"/>
            <w:tcBorders>
              <w:top w:val="single" w:sz="8" w:space="0" w:color="000000"/>
              <w:left w:val="nil"/>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488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Popis a jasná definice každého milníku a cíle </w:t>
            </w:r>
          </w:p>
        </w:tc>
      </w:tr>
      <w:tr>
        <w:trPr>
          <w:trHeight w:val="75"/>
        </w:trPr>
        <w:tc>
          <w:tcPr>
            <w:tcW w:w="615" w:type="dxa"/>
            <w:vMerge/>
            <w:tcBorders>
              <w:top w:val="single" w:sz="8" w:space="0" w:color="000000"/>
              <w:left w:val="single" w:sz="4" w:space="0" w:color="auto"/>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338"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990"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18" w:type="dxa"/>
            <w:vMerge/>
            <w:tcBorders>
              <w:top w:val="single" w:sz="8" w:space="0" w:color="000000"/>
              <w:left w:val="single" w:sz="8" w:space="0" w:color="000000"/>
              <w:bottom w:val="single" w:sz="4" w:space="0" w:color="auto"/>
              <w:right w:val="single" w:sz="8" w:space="0" w:color="000000"/>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1417" w:type="dxa"/>
            <w:vMerge/>
            <w:tcBorders>
              <w:top w:val="single" w:sz="8" w:space="0" w:color="000000"/>
              <w:left w:val="single" w:sz="8" w:space="0" w:color="000000"/>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c>
          <w:tcPr>
            <w:tcW w:w="851" w:type="dxa"/>
            <w:tcBorders>
              <w:top w:val="single" w:sz="8" w:space="0" w:color="000000"/>
              <w:left w:val="single" w:sz="4" w:space="0" w:color="auto"/>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850"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851"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638" w:type="dxa"/>
            <w:tcBorders>
              <w:top w:val="nil"/>
              <w:left w:val="single" w:sz="8" w:space="0" w:color="000000"/>
              <w:bottom w:val="single" w:sz="8" w:space="0" w:color="000000"/>
              <w:right w:val="single" w:sz="4" w:space="0" w:color="auto"/>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4887" w:type="dxa"/>
            <w:vMerge/>
            <w:tcBorders>
              <w:left w:val="single" w:sz="4" w:space="0" w:color="auto"/>
              <w:bottom w:val="single" w:sz="4" w:space="0" w:color="auto"/>
              <w:right w:val="single" w:sz="4" w:space="0" w:color="auto"/>
            </w:tcBorders>
            <w:vAlign w:val="center"/>
          </w:tcPr>
          <w:p>
            <w:pPr>
              <w:widowControl w:val="0"/>
              <w:pBdr>
                <w:top w:val="nil"/>
                <w:left w:val="nil"/>
                <w:bottom w:val="nil"/>
                <w:right w:val="nil"/>
                <w:between w:val="nil"/>
              </w:pBdr>
              <w:spacing w:before="0" w:after="0" w:line="276" w:lineRule="auto"/>
              <w:rPr>
                <w:rFonts w:ascii="Times New Roman" w:eastAsia="Times New Roman" w:hAnsi="Times New Roman"/>
                <w:noProof/>
                <w:sz w:val="18"/>
                <w:szCs w:val="18"/>
              </w:rPr>
            </w:pPr>
          </w:p>
        </w:tc>
      </w:tr>
      <w:tr>
        <w:trPr>
          <w:trHeight w:val="2175"/>
        </w:trPr>
        <w:tc>
          <w:tcPr>
            <w:tcW w:w="615" w:type="dxa"/>
            <w:tcBorders>
              <w:top w:val="single" w:sz="4" w:space="0" w:color="auto"/>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highlight w:val="yellow"/>
              </w:rPr>
            </w:pPr>
            <w:r>
              <w:rPr>
                <w:rFonts w:ascii="Times New Roman" w:hAnsi="Times New Roman"/>
                <w:noProof/>
                <w:color w:val="006100"/>
                <w:sz w:val="18"/>
                <w:szCs w:val="18"/>
              </w:rPr>
              <w:t>215</w:t>
            </w:r>
          </w:p>
        </w:tc>
        <w:tc>
          <w:tcPr>
            <w:tcW w:w="1338"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Zvýšení efektivity, pro-klientské orientace a využití principů evidence-informed při rozhodování ve veřejné správě</w:t>
            </w:r>
          </w:p>
        </w:tc>
        <w:tc>
          <w:tcPr>
            <w:tcW w:w="990"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Ministerstvo vnitra dokončí databázi relevantních údajů o procesech, výkonech a personálních kapacitách ve veřejné správě</w:t>
            </w:r>
          </w:p>
        </w:tc>
        <w:tc>
          <w:tcPr>
            <w:tcW w:w="1417"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Budou přijaty protokoly pro operativní databázi, které zajistí Ministerstvo vnitra </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63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887" w:type="dxa"/>
            <w:tcBorders>
              <w:top w:val="single" w:sz="4" w:space="0" w:color="auto"/>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Pro veřejnou správu bude zřízen zvláštní veřejně dostupný datový sklad, který bude obsahovat jednotlivé dostupné údaje z vybraných informačních systémů, z otevřených dat a údajů získaných prostřednictvím nově vytvořeného elektronického nástroje pro sběr dat o činnosti úřadů. Databázi zrealizuje Ministerstvo vnitra. </w:t>
            </w:r>
          </w:p>
        </w:tc>
      </w:tr>
      <w:tr>
        <w:trPr>
          <w:trHeight w:val="945"/>
        </w:trPr>
        <w:tc>
          <w:tcPr>
            <w:tcW w:w="61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216</w:t>
            </w:r>
          </w:p>
        </w:tc>
        <w:tc>
          <w:tcPr>
            <w:tcW w:w="133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Reforma č. 1: Zvýšení efektivity, pro-klientské orientace a využití principů evidence-informed při rozhodování ve veřejné správě</w:t>
            </w:r>
          </w:p>
        </w:tc>
        <w:tc>
          <w:tcPr>
            <w:tcW w:w="990"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Proškolení front-office úředníků ústředních, krajských nebo místních orgánů v klientsky orientovaných přístupech v rámci vzdělávacího programu akreditovaného u Ministerstva vnitra </w:t>
            </w:r>
          </w:p>
        </w:tc>
        <w:tc>
          <w:tcPr>
            <w:tcW w:w="141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Počet </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638"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4887"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Bude dokončen cílený vzdělávací program pro front-office úředníky ústředních, regionálních nebo místních orgánů v klientsky orientovaném přístupu. Vzdělávací program se provádí na úrovni okresů v malých skupinách maximálně 20 úředníků a je zaměřen na praktické dovednosti v modelových situacích. Vzdělávací program bude akreditován u Ministerstva vnitra a pro všechny účastníky bude zdarma.</w:t>
            </w:r>
          </w:p>
        </w:tc>
      </w:tr>
    </w:tbl>
    <w:p>
      <w:pPr>
        <w:pStyle w:val="Text1"/>
        <w:ind w:left="0"/>
        <w:rPr>
          <w:b/>
          <w:noProof/>
          <w:u w:val="single"/>
        </w:rPr>
      </w:pPr>
    </w:p>
    <w:p>
      <w:pPr>
        <w:keepNext/>
        <w:tabs>
          <w:tab w:val="left" w:pos="850"/>
        </w:tabs>
        <w:spacing w:before="360"/>
        <w:jc w:val="both"/>
        <w:outlineLvl w:val="0"/>
        <w:rPr>
          <w:rFonts w:ascii="Times New Roman" w:hAnsi="Times New Roman"/>
          <w:b/>
          <w:smallCaps/>
          <w:noProof/>
          <w:sz w:val="24"/>
        </w:rPr>
        <w:sectPr>
          <w:headerReference w:type="even" r:id="rId256"/>
          <w:headerReference w:type="default" r:id="rId257"/>
          <w:footerReference w:type="even" r:id="rId258"/>
          <w:footerReference w:type="default" r:id="rId259"/>
          <w:headerReference w:type="first" r:id="rId260"/>
          <w:footerReference w:type="first" r:id="rId261"/>
          <w:pgSz w:w="16839" w:h="11907" w:orient="landscape"/>
          <w:pgMar w:top="993" w:right="1134" w:bottom="1418" w:left="1134" w:header="709" w:footer="709" w:gutter="0"/>
          <w:cols w:space="720"/>
          <w:docGrid w:linePitch="299"/>
        </w:sectPr>
      </w:pPr>
    </w:p>
    <w:p>
      <w:pPr>
        <w:keepNext/>
        <w:tabs>
          <w:tab w:val="left" w:pos="850"/>
        </w:tabs>
        <w:jc w:val="both"/>
        <w:outlineLvl w:val="0"/>
        <w:rPr>
          <w:rFonts w:ascii="Times New Roman" w:eastAsia="Times New Roman" w:hAnsi="Times New Roman"/>
          <w:b/>
          <w:noProof/>
          <w:sz w:val="24"/>
          <w:szCs w:val="24"/>
        </w:rPr>
      </w:pPr>
      <w:r>
        <w:rPr>
          <w:rFonts w:ascii="Times New Roman" w:hAnsi="Times New Roman"/>
          <w:b/>
          <w:smallCaps/>
          <w:noProof/>
          <w:sz w:val="24"/>
        </w:rPr>
        <w:t xml:space="preserve">V. KOMPONENTA č. 4.5: Rozvoj kulturního a kreativního sektoru </w:t>
      </w:r>
    </w:p>
    <w:p>
      <w:pPr>
        <w:jc w:val="both"/>
        <w:rPr>
          <w:rFonts w:ascii="Times New Roman" w:eastAsia="Times New Roman" w:hAnsi="Times New Roman"/>
          <w:noProof/>
          <w:color w:val="000000"/>
          <w:sz w:val="24"/>
          <w:szCs w:val="24"/>
          <w:highlight w:val="white"/>
        </w:rPr>
      </w:pPr>
      <w:r>
        <w:rPr>
          <w:rFonts w:ascii="Times New Roman" w:hAnsi="Times New Roman"/>
          <w:noProof/>
          <w:sz w:val="24"/>
          <w:szCs w:val="24"/>
        </w:rPr>
        <w:t xml:space="preserve">Tato komponenta Plánu pro oživení a odolnost České republiky přispívá k řešení potřeby podpořit obnovu kulturního a kreativního sektoru, které byly těžce zasaženy pandemií COVID-19, a učinit z něj pevnou součást celkové hospodářské a sociální obnovy České republiky. Komponenta má rovněž stimulovat přechod k digitalizaci v </w:t>
      </w:r>
      <w:r>
        <w:rPr>
          <w:rFonts w:ascii="Times New Roman" w:hAnsi="Times New Roman"/>
          <w:noProof/>
          <w:color w:val="000000"/>
          <w:sz w:val="24"/>
          <w:szCs w:val="24"/>
          <w:highlight w:val="white"/>
        </w:rPr>
        <w:t xml:space="preserve">kulturním a kreativním sektoru a jeho integraci do inovativnějšího ekosystému v Česku. Dále </w:t>
      </w:r>
      <w:r>
        <w:rPr>
          <w:rFonts w:ascii="Times New Roman" w:hAnsi="Times New Roman"/>
          <w:noProof/>
          <w:sz w:val="24"/>
          <w:szCs w:val="24"/>
        </w:rPr>
        <w:t>je cílem posílit odolnost kulturního a kreativního sektoru zavedením statusu „umělce/umělkyně“ do legislativy a investováním do dovedností umělců a kulturních pracovníků s cílem podpořit jejich adaptabilitu na nové, zejména digitální pracovní prostředí. Součástí komponenty jsou opatření zaměřená na oživení činností souvisejících s kulturou a cestovním ruchem v regionech, což přispívá k regionální soudržnosti.</w:t>
      </w:r>
    </w:p>
    <w:p>
      <w:pPr>
        <w:jc w:val="both"/>
        <w:rPr>
          <w:rFonts w:ascii="Times New Roman" w:eastAsia="Times New Roman" w:hAnsi="Times New Roman"/>
          <w:noProof/>
          <w:sz w:val="24"/>
          <w:szCs w:val="24"/>
        </w:rPr>
      </w:pPr>
      <w:r>
        <w:rPr>
          <w:rFonts w:ascii="Times New Roman" w:hAnsi="Times New Roman"/>
          <w:noProof/>
          <w:sz w:val="24"/>
          <w:szCs w:val="24"/>
        </w:rPr>
        <w:t>Komponenta podporuje plnění doporučení pro zemi č. 3 na rok 2019, podle něhož má Česko odstranit překážky bránící rozvoji plně funkčního inovačního ekosystému, a doporučení pro zemi č. 2 na rok 2020, podle něhož má Česko podporovat zaměstnanost aktivními politikami na trhu práce, poskytováním dovedností (včetně digitálních dovedností) a přístupem k digitálnímu učení.</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eastAsia="Times New Roman" w:hAnsi="Times New Roman"/>
          <w:i/>
          <w:noProof/>
          <w:sz w:val="24"/>
          <w:szCs w:val="24"/>
          <w:lang w:eastAsia="en-GB"/>
        </w:rPr>
      </w:pPr>
    </w:p>
    <w:p>
      <w:pPr>
        <w:jc w:val="both"/>
        <w:rPr>
          <w:rFonts w:ascii="Times New Roman" w:eastAsia="Times New Roman" w:hAnsi="Times New Roman"/>
          <w:noProof/>
          <w:sz w:val="24"/>
          <w:szCs w:val="24"/>
        </w:rPr>
      </w:pPr>
      <w:r>
        <w:rPr>
          <w:rFonts w:ascii="Times New Roman" w:hAnsi="Times New Roman"/>
          <w:b/>
          <w:noProof/>
          <w:sz w:val="24"/>
          <w:szCs w:val="24"/>
          <w:u w:val="single"/>
        </w:rPr>
        <w:t>V.1 Popis reforem a investic pro nevratnou finanční podporu</w:t>
      </w:r>
    </w:p>
    <w:p>
      <w:pPr>
        <w:jc w:val="both"/>
        <w:rPr>
          <w:rFonts w:ascii="Times New Roman" w:eastAsia="Times New Roman" w:hAnsi="Times New Roman"/>
          <w:b/>
          <w:noProof/>
          <w:sz w:val="24"/>
          <w:szCs w:val="24"/>
        </w:rPr>
      </w:pPr>
      <w:r>
        <w:rPr>
          <w:rFonts w:ascii="Times New Roman" w:hAnsi="Times New Roman"/>
          <w:b/>
          <w:noProof/>
          <w:sz w:val="24"/>
          <w:szCs w:val="24"/>
        </w:rPr>
        <w:t>Reforma č. 1: Status umělce/umělkyně</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se bude zabývat neexistencí odpovídajícího regulačního prostředí pro umělce: ta zhoršila negativní dopad pandemie Covid-19 na profesionály v kulturním a kreativním sektoru, kteří pracovali v nejistých pracovních podmínkách a mimo sociální záchrannou síť. Nový právní předpis zavede status „umělce/umělkyně“ s cílem zlepšit a stabilizovat pracovní podmínky umělců a kulturních pracovníků a zvýšit odolnost tohoto sektoru. Právní předpis doplní metodické pokyny zaměřené na zacházení s profesionály s nejistými pracovními smlouvami, spravedlivé využívání duševního vlastnictví a podporu umělců v počátcích jejich kariéry. </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zahrnuje také komplexní program na podporu dovedností kulturních a kreativních pracovníků, zejména digitálních dovedností, finanční gramotnosti, manažerských dovedností, propojení kultury a kreativity se vzděláváním a prosazování mobility. Očekává se, že program zvýší odolnost kulturního a kreativního sektoru, podpoří adaptabilitu kulturních a kreativních pracovníků na digitální technologie a nová pracovní prostředí a pomůže obnovit narušené sítě spolupráce v kulturním a kreativním sektoru. </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prosince 2025.</w:t>
      </w:r>
    </w:p>
    <w:p>
      <w:pPr>
        <w:jc w:val="both"/>
        <w:rPr>
          <w:rFonts w:ascii="Times New Roman" w:eastAsia="Times New Roman" w:hAnsi="Times New Roman"/>
          <w:b/>
          <w:noProof/>
          <w:sz w:val="24"/>
          <w:szCs w:val="24"/>
        </w:rPr>
      </w:pPr>
      <w:r>
        <w:rPr>
          <w:rFonts w:ascii="Times New Roman" w:hAnsi="Times New Roman"/>
          <w:b/>
          <w:noProof/>
          <w:sz w:val="24"/>
          <w:szCs w:val="24"/>
        </w:rPr>
        <w:t>Reforma č. 2: Legislativní reforma zavádějící vícefondové financování kulturních institucí</w:t>
      </w:r>
      <w:r>
        <w:rPr>
          <w:rFonts w:ascii="Times New Roman" w:hAnsi="Times New Roman"/>
          <w:noProof/>
          <w:sz w:val="24"/>
          <w:szCs w:val="24"/>
        </w:rPr>
        <w:t xml:space="preserve"> </w:t>
      </w:r>
    </w:p>
    <w:p>
      <w:pPr>
        <w:jc w:val="both"/>
        <w:rPr>
          <w:rFonts w:ascii="Times New Roman" w:eastAsia="Times New Roman" w:hAnsi="Times New Roman"/>
          <w:noProof/>
          <w:sz w:val="24"/>
          <w:szCs w:val="24"/>
        </w:rPr>
      </w:pPr>
      <w:r>
        <w:rPr>
          <w:rFonts w:ascii="Times New Roman" w:hAnsi="Times New Roman"/>
          <w:noProof/>
          <w:sz w:val="24"/>
          <w:szCs w:val="24"/>
        </w:rPr>
        <w:t>Cílem této reformy je podpořit finanční stabilitu a udržitelnost kulturních institucí. Spočívá v legislativní reformě, která zavede vícezdrojové kooperativní financování kulturních institucí, a tím zvýší jejich finanční odolnost. Reforma zjednoduší spolupráci mezi městy, regiony a státem při financování kulturních institucí v Česku a upřesní podmínky účasti financování ze soukromých zdrojů. Reforma zahrnuje i regionální a celostátní mapování kulturního a kreativního odvětví.</w:t>
      </w:r>
    </w:p>
    <w:p>
      <w:pPr>
        <w:jc w:val="both"/>
        <w:rPr>
          <w:rFonts w:ascii="Times New Roman" w:eastAsia="Times New Roman" w:hAnsi="Times New Roman"/>
          <w:noProof/>
          <w:sz w:val="24"/>
          <w:szCs w:val="24"/>
        </w:rPr>
      </w:pPr>
      <w:r>
        <w:rPr>
          <w:rFonts w:ascii="Times New Roman" w:hAnsi="Times New Roman"/>
          <w:noProof/>
          <w:sz w:val="24"/>
          <w:szCs w:val="24"/>
        </w:rPr>
        <w:t xml:space="preserve">Reforma bude dokončena do 31. prosince 2024. </w:t>
      </w:r>
    </w:p>
    <w:p>
      <w:pPr>
        <w:jc w:val="both"/>
        <w:rPr>
          <w:rFonts w:ascii="Times New Roman" w:eastAsia="Times New Roman" w:hAnsi="Times New Roman"/>
          <w:b/>
          <w:noProof/>
          <w:sz w:val="24"/>
          <w:szCs w:val="24"/>
        </w:rPr>
      </w:pPr>
      <w:r>
        <w:rPr>
          <w:rFonts w:ascii="Times New Roman" w:hAnsi="Times New Roman"/>
          <w:b/>
          <w:noProof/>
          <w:sz w:val="24"/>
          <w:szCs w:val="24"/>
        </w:rPr>
        <w:t>Investice č. 1: Rozvoj regionálního kulturního a kreativního sektoru</w:t>
      </w:r>
    </w:p>
    <w:p>
      <w:pPr>
        <w:jc w:val="both"/>
        <w:rPr>
          <w:rFonts w:ascii="Times New Roman" w:eastAsia="Times New Roman" w:hAnsi="Times New Roman"/>
          <w:noProof/>
          <w:sz w:val="24"/>
          <w:szCs w:val="24"/>
        </w:rPr>
      </w:pPr>
      <w:r>
        <w:rPr>
          <w:rFonts w:ascii="Times New Roman" w:hAnsi="Times New Roman"/>
          <w:noProof/>
          <w:sz w:val="24"/>
          <w:szCs w:val="24"/>
        </w:rPr>
        <w:t xml:space="preserve">Hlavním cílem je zajistit rovnoměrný rozvoj kulturního a kreativního sektoru na celém území České republiky. Cílem investice je vytvořit patnáct kulturních a kreativních center, která budou podporovat vazby mezi kulturním sektorem, kreativním sektorem a regionálními inovačními ekosystémy. Z investic budou mít prospěch strukturálně znevýhodněné regiony a oblasti trpící nedostatkem kulturní infrastruktury, čímž se podpoří územní soudržnost. Přednost budou mít projekty, které revitalizují stávající objekty, přispívají k obnově kulturního dědictví nebo rozšiřují funkce stávajících kulturních institucí. Investice zahrnuje podporu přípravy projektů a vypracování regionálních strategických dokumentů týkajících se kulturního sektoru a kreativního sektoru.  </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prosince 2025.</w:t>
      </w:r>
    </w:p>
    <w:p>
      <w:pPr>
        <w:jc w:val="both"/>
        <w:rPr>
          <w:rFonts w:ascii="Times New Roman" w:eastAsia="Times New Roman" w:hAnsi="Times New Roman"/>
          <w:b/>
          <w:bCs/>
          <w:noProof/>
          <w:sz w:val="24"/>
          <w:szCs w:val="24"/>
        </w:rPr>
      </w:pPr>
      <w:r>
        <w:rPr>
          <w:rFonts w:ascii="Times New Roman" w:hAnsi="Times New Roman"/>
          <w:b/>
          <w:bCs/>
          <w:noProof/>
          <w:sz w:val="24"/>
          <w:szCs w:val="24"/>
        </w:rPr>
        <w:t>Investice č. 2: Digitalizace kulturního a kreativního sektoru</w:t>
      </w:r>
    </w:p>
    <w:p>
      <w:pPr>
        <w:jc w:val="both"/>
        <w:rPr>
          <w:rFonts w:ascii="Times New Roman" w:eastAsia="Times New Roman" w:hAnsi="Times New Roman"/>
          <w:noProof/>
          <w:sz w:val="24"/>
          <w:szCs w:val="24"/>
        </w:rPr>
      </w:pPr>
      <w:r>
        <w:rPr>
          <w:rFonts w:ascii="Times New Roman" w:hAnsi="Times New Roman"/>
          <w:noProof/>
          <w:sz w:val="24"/>
          <w:szCs w:val="24"/>
        </w:rPr>
        <w:t xml:space="preserve">Cílem je podpořit digitalizaci kulturního obsahu, aby bylo zajištěno jeho uchování a zlepšila se jeho dostupnost. Investice řeší nízkou úroveň digitalizace kulturního obsahu v Česku a nedostatek ucelené metodiky a sdílení dobré praxe v této oblasti. Toho je dosaženo: </w:t>
      </w:r>
    </w:p>
    <w:p>
      <w:pPr>
        <w:numPr>
          <w:ilvl w:val="0"/>
          <w:numId w:val="41"/>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grantovým programem na podporu nejméně 80 projektů digitalizace kulturního obsahu, přičemž přednost mají projekty umožňující sdílení vybavení a kapacit;</w:t>
      </w:r>
    </w:p>
    <w:p>
      <w:pPr>
        <w:numPr>
          <w:ilvl w:val="0"/>
          <w:numId w:val="41"/>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vypracováním metodiky pro usnadnění digitalizace kulturního obsahu v knihovnách, muzeích a dalších kulturních institucích,</w:t>
      </w:r>
    </w:p>
    <w:p>
      <w:pPr>
        <w:numPr>
          <w:ilvl w:val="0"/>
          <w:numId w:val="41"/>
        </w:numPr>
        <w:pBdr>
          <w:top w:val="nil"/>
          <w:left w:val="nil"/>
          <w:bottom w:val="nil"/>
          <w:right w:val="nil"/>
          <w:between w:val="nil"/>
        </w:pBdr>
        <w:spacing w:line="259" w:lineRule="auto"/>
        <w:ind w:left="360"/>
        <w:jc w:val="both"/>
        <w:rPr>
          <w:rFonts w:ascii="Times New Roman" w:eastAsia="Times New Roman" w:hAnsi="Times New Roman"/>
          <w:noProof/>
          <w:color w:val="000000"/>
          <w:sz w:val="24"/>
          <w:szCs w:val="24"/>
        </w:rPr>
      </w:pPr>
      <w:r>
        <w:rPr>
          <w:rFonts w:ascii="Times New Roman" w:hAnsi="Times New Roman"/>
          <w:noProof/>
          <w:color w:val="000000"/>
          <w:sz w:val="24"/>
          <w:szCs w:val="24"/>
        </w:rPr>
        <w:t xml:space="preserve">digitalizací grantového systému Ministerstva kultury, která umožní efektivní správu žádostí. </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prosince 2025.</w:t>
      </w:r>
    </w:p>
    <w:p>
      <w:pPr>
        <w:jc w:val="both"/>
        <w:rPr>
          <w:rFonts w:ascii="Times New Roman" w:eastAsia="Times New Roman" w:hAnsi="Times New Roman"/>
          <w:b/>
          <w:noProof/>
          <w:sz w:val="24"/>
          <w:szCs w:val="24"/>
        </w:rPr>
      </w:pPr>
      <w:r>
        <w:rPr>
          <w:rFonts w:ascii="Times New Roman" w:hAnsi="Times New Roman"/>
          <w:b/>
          <w:noProof/>
          <w:sz w:val="24"/>
          <w:szCs w:val="24"/>
        </w:rPr>
        <w:t>Investice č. 3: Kreativní vouchery</w:t>
      </w:r>
    </w:p>
    <w:p>
      <w:pPr>
        <w:jc w:val="both"/>
        <w:rPr>
          <w:rFonts w:ascii="Times New Roman" w:eastAsia="Times New Roman" w:hAnsi="Times New Roman"/>
          <w:noProof/>
          <w:sz w:val="24"/>
          <w:szCs w:val="24"/>
        </w:rPr>
      </w:pPr>
      <w:r>
        <w:rPr>
          <w:rFonts w:ascii="Times New Roman" w:hAnsi="Times New Roman"/>
          <w:noProof/>
          <w:sz w:val="24"/>
          <w:szCs w:val="24"/>
        </w:rPr>
        <w:t xml:space="preserve">Cílem investice je podpořit inovace prostřednictvím propojení mezi malými a středními podniky a nově vznikajícími kreativními sektory. Externí služby kreativních profesionálů mohou malým a středním podnikům pomoci inovovat jejich postprodukční služby, rychle reagovat na požadavky trhu a tím podpořit jejich konkurenceschopnost. Investice se uskuteční prostřednictvím systému poukázek na podporu „měkkých“ inovací v malých a středních podnicích, jako je návrh webových stránek, design produktů a služeb, grafický design nebo marketingové strategie. Malým a středním podnikům se přidělí nejméně 3 000 kreativních poukázek ve třech po sobě následujících výzvách (2022–24). Kromě toho se malým a středním podnikům přidělí nejméně 300 projektových kreditů v rámci doplňkového režimu podporujícího činnosti v oblasti propagace vývozu a konzultací souvisejících s návrhy či designem. Poukázky určené malým a středním podnikům se cíleně rozdělí rovnoměrně mezi regiony a tvůrčí profesionálové budou moci poskytovat služby nejvýše třem malým a středním podnikům, aby se zabránilo jejich koncentraci ve velkých tvůrčích a reklamních společnostech. Součástí investice bude zřízení kreativní galerie, která bude sloužit k provádění a správě programu voucherů a jako širší komunikační platforma pro kulturní sektor a kreativní sektor. Program voucherů bude vycházet z úspěšného místního programu organizovaného na jižní Moravě. </w:t>
      </w:r>
    </w:p>
    <w:p>
      <w:pPr>
        <w:jc w:val="both"/>
        <w:rPr>
          <w:rFonts w:ascii="Times New Roman" w:eastAsia="Times New Roman" w:hAnsi="Times New Roman"/>
          <w:noProof/>
          <w:sz w:val="24"/>
          <w:szCs w:val="24"/>
        </w:rPr>
      </w:pPr>
      <w:r>
        <w:rPr>
          <w:rFonts w:ascii="Times New Roman" w:hAnsi="Times New Roman"/>
          <w:noProof/>
          <w:sz w:val="24"/>
          <w:szCs w:val="24"/>
        </w:rPr>
        <w:t>Investice bude dokončena do 31. prosince 2025.</w:t>
      </w:r>
    </w:p>
    <w:p>
      <w:pPr>
        <w:jc w:val="both"/>
        <w:rPr>
          <w:rFonts w:ascii="Times New Roman" w:eastAsia="Times New Roman" w:hAnsi="Times New Roman"/>
          <w:noProof/>
          <w:sz w:val="24"/>
          <w:szCs w:val="24"/>
          <w:lang w:eastAsia="en-GB"/>
        </w:rPr>
        <w:sectPr>
          <w:headerReference w:type="even" r:id="rId262"/>
          <w:headerReference w:type="default" r:id="rId263"/>
          <w:footerReference w:type="even" r:id="rId264"/>
          <w:footerReference w:type="default" r:id="rId265"/>
          <w:headerReference w:type="first" r:id="rId266"/>
          <w:footerReference w:type="first" r:id="rId267"/>
          <w:pgSz w:w="11907" w:h="16839"/>
          <w:pgMar w:top="1134" w:right="1418" w:bottom="1134" w:left="1418" w:header="709" w:footer="709" w:gutter="0"/>
          <w:cols w:space="720"/>
        </w:sect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V.2 Milníky, cíle, ukazatele a harmonogram monitorování a provádění nevratné finanční podpory </w:t>
      </w:r>
    </w:p>
    <w:p>
      <w:pPr>
        <w:pBdr>
          <w:top w:val="nil"/>
          <w:left w:val="nil"/>
          <w:bottom w:val="nil"/>
          <w:right w:val="nil"/>
          <w:between w:val="nil"/>
        </w:pBdr>
        <w:jc w:val="both"/>
        <w:rPr>
          <w:rFonts w:ascii="Times New Roman" w:eastAsia="Times New Roman" w:hAnsi="Times New Roman"/>
          <w:noProof/>
          <w:color w:val="000000"/>
          <w:sz w:val="24"/>
          <w:szCs w:val="24"/>
          <w:lang w:eastAsia="en-GB"/>
        </w:rPr>
      </w:pPr>
    </w:p>
    <w:tbl>
      <w:tblPr>
        <w:tblW w:w="0" w:type="auto"/>
        <w:jc w:val="center"/>
        <w:tblLayout w:type="fixed"/>
        <w:tblLook w:val="04A0" w:firstRow="1" w:lastRow="0" w:firstColumn="1" w:lastColumn="0" w:noHBand="0" w:noVBand="1"/>
      </w:tblPr>
      <w:tblGrid>
        <w:gridCol w:w="675"/>
        <w:gridCol w:w="1165"/>
        <w:gridCol w:w="992"/>
        <w:gridCol w:w="1560"/>
        <w:gridCol w:w="1559"/>
        <w:gridCol w:w="850"/>
        <w:gridCol w:w="851"/>
        <w:gridCol w:w="709"/>
        <w:gridCol w:w="850"/>
        <w:gridCol w:w="608"/>
        <w:gridCol w:w="4745"/>
      </w:tblGrid>
      <w:tr>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165"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560"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559"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410"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458"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165"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992"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560"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8"/>
                <w:szCs w:val="18"/>
                <w:lang w:val="pl-PL"/>
              </w:rPr>
            </w:pPr>
          </w:p>
        </w:tc>
        <w:tc>
          <w:tcPr>
            <w:tcW w:w="1559"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8"/>
                <w:szCs w:val="18"/>
                <w:lang w:val="pl-PL"/>
              </w:rPr>
            </w:pPr>
          </w:p>
        </w:tc>
        <w:tc>
          <w:tcPr>
            <w:tcW w:w="850"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851"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709"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08"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8"/>
                <w:szCs w:val="18"/>
                <w:lang w:val="en-IE"/>
              </w:rPr>
            </w:pPr>
          </w:p>
        </w:tc>
      </w:tr>
      <w:tr>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217</w:t>
            </w:r>
          </w:p>
        </w:tc>
        <w:tc>
          <w:tcPr>
            <w:tcW w:w="1165"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Reforma č. 1: Status umělce/umělkyně </w:t>
            </w: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Vstup legislativy zavádějící status umělce/umělkyně v platnost</w:t>
            </w:r>
          </w:p>
        </w:tc>
        <w:tc>
          <w:tcPr>
            <w:tcW w:w="1559"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Ustanovení zákona o statusu umělce/umělkyně s uvedením vstupu v platnost</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Zákon o statusu umělce/umělkyně zajistí stabilní pracovní prostřední pro umělce a kreativní profesionály. Legislativa bude doplněna metodickými materiály zaměřenými na zacházení s pracovníky, kteří mají nestandardní pracovní zapojení, na spravedlivé využití duševního vlastnictví a na podporu umělců v prvních fázích jejich kariéry.</w:t>
            </w:r>
          </w:p>
        </w:tc>
      </w:tr>
      <w:tr>
        <w:trPr>
          <w:trHeight w:val="1369"/>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218</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1: Status umělce/umělkyně</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 profesionálů v kulturním sektoru a kreativním sektoru podporovaný prostřednictvím rozvoje dovedností</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2000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before="0" w:after="0"/>
              <w:rPr>
                <w:rFonts w:ascii="Times New Roman" w:hAnsi="Times New Roman"/>
                <w:noProof/>
                <w:color w:val="004300"/>
                <w:sz w:val="18"/>
                <w:szCs w:val="18"/>
              </w:rPr>
            </w:pPr>
            <w:r>
              <w:rPr>
                <w:rFonts w:ascii="Times New Roman" w:hAnsi="Times New Roman"/>
                <w:noProof/>
                <w:color w:val="004300"/>
                <w:sz w:val="18"/>
                <w:szCs w:val="18"/>
              </w:rPr>
              <w:t xml:space="preserve">Podpora bude poskytována prostřednictvím grantového programu s celkovým přídělem ve výši 27 100 000 EUR. Rozvoj dovedností bude zaměřen na digitální dovednosti, finanční gramotnost a manažerské dovednosti, kulturní inovace, internacionalizaci a podporu propojení umění a kultury s odvětvím vzdělávání.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219</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Rozvoj regionálního kulturního sektoru a kreativního sektoru</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Otevření nových regionálních kulturních a kreativních center pro veřejnost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15</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 xml:space="preserve">  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i/>
                <w:iCs/>
                <w:noProof/>
                <w:color w:val="004300"/>
                <w:sz w:val="18"/>
                <w:szCs w:val="18"/>
              </w:rPr>
            </w:pPr>
            <w:r>
              <w:rPr>
                <w:rFonts w:ascii="Times New Roman" w:hAnsi="Times New Roman"/>
                <w:noProof/>
                <w:color w:val="004300"/>
                <w:sz w:val="18"/>
                <w:szCs w:val="18"/>
              </w:rPr>
              <w:t>Bude podpořeno a veřejnosti otevřeno nejméně 15 kulturních a kreativních center. Podpora bude poskytována prostřednictvím grantového programu s celkovým přídělem ve výši 125 677 000 EUR. Upřednostněny budou projekty, jež revitalizují již existující objekty, přispívají k obnově kulturního dědictví a sledují cíle v oblasti klimatu. Výběr projektů bude respektovat geografickou vyváženost. V rámci jednotlivých krajů jsou upřednostněny strukturálně znevýhodněné oblasti a oblasti s nedostatečnou kulturní infrastrukturou.</w:t>
            </w:r>
          </w:p>
        </w:tc>
      </w:tr>
      <w:tr>
        <w:trPr>
          <w:trHeight w:val="373"/>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220</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Legislativní reforma zavádějící vícefondové financování kulturních institucí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Vstup v platnost legislativní změny umožňující kooperativní financování kultury z více zdrojů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Ustanovení v legislativní změně umožňující kooperativní financování kultury z více zdrojů, kterým se upravuje její vstup v platnost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Legislativní změna: </w:t>
            </w:r>
          </w:p>
          <w:p>
            <w:pPr>
              <w:numPr>
                <w:ilvl w:val="0"/>
                <w:numId w:val="61"/>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umožní financování kultury z více zdrojů, </w:t>
            </w:r>
          </w:p>
          <w:p>
            <w:pPr>
              <w:numPr>
                <w:ilvl w:val="0"/>
                <w:numId w:val="61"/>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zjednoduší spolupráci mezi městy, regiony a státem,</w:t>
            </w:r>
          </w:p>
          <w:p>
            <w:pPr>
              <w:numPr>
                <w:ilvl w:val="0"/>
                <w:numId w:val="61"/>
              </w:num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posílí finanční udržitelnost kulturních institucí.  </w:t>
            </w:r>
          </w:p>
        </w:tc>
      </w:tr>
      <w:tr>
        <w:trPr>
          <w:trHeight w:val="32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221</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Digitalizace kulturního a kreativního sektoru</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 dokončených projektů digitalizace kulturního obsahu</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80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   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Grantový program podpoří nejméně 80 projektů digitalizace kulturního obsahu, přičemž přednost mají projekty umožňující sdílení vybavení a kapacit. Kulturním institucím bude zpřístupněna metodika účinné digitalizace kulturního obsahu, která bude vycházet z osvědčených postupů v této oblasti. Celkový rozpočet čerpaný na tento účel bude činit 31 419 000 EUR. </w:t>
            </w:r>
          </w:p>
        </w:tc>
      </w:tr>
      <w:tr>
        <w:trPr>
          <w:trHeight w:val="114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222</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3: Kreativní vouchery</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kreativních voucherů přidělených malým a středním podnikům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3 300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after="0"/>
              <w:rPr>
                <w:rFonts w:ascii="Times New Roman" w:hAnsi="Times New Roman"/>
                <w:noProof/>
                <w:color w:val="004300"/>
                <w:sz w:val="18"/>
                <w:szCs w:val="18"/>
              </w:rPr>
            </w:pPr>
            <w:r>
              <w:rPr>
                <w:rFonts w:ascii="Times New Roman" w:hAnsi="Times New Roman"/>
                <w:noProof/>
                <w:color w:val="004300"/>
                <w:sz w:val="18"/>
                <w:szCs w:val="18"/>
              </w:rPr>
              <w:t xml:space="preserve">Opatření podpoří měkké inovace v malých a středních podnicích, jako je návrh webových stránek, design produktů a služeb, grafické návrhy nebo marketingové strategie a propagační činnosti v oblasti vývozu. Podpora bude poskytována prostřednictvím dvou grantových programů s celkovým přídělem ve výši 20 800 000 EUR. Malým a středním podnikům se přidělí nejméně 3 000 kreativních poukázek a 300 projektových kreditů. Distribuce voucherů bude respektovat geografickou vyváženost. Tvůrčí pracovníci mohou poskytovat služby nejvýše třem malým a středním podnikům. </w:t>
            </w:r>
          </w:p>
          <w:p>
            <w:pPr>
              <w:rPr>
                <w:rFonts w:ascii="Times New Roman" w:hAnsi="Times New Roman"/>
                <w:noProof/>
                <w:color w:val="004300"/>
                <w:sz w:val="18"/>
                <w:szCs w:val="18"/>
              </w:rPr>
            </w:pPr>
            <w:r>
              <w:rPr>
                <w:rFonts w:ascii="Times New Roman" w:hAnsi="Times New Roman"/>
                <w:noProof/>
                <w:color w:val="004300"/>
                <w:sz w:val="18"/>
                <w:szCs w:val="18"/>
              </w:rPr>
              <w:t xml:space="preserve">Vznikne kreativní galerie, která bude sloužit k provádění a správě programu a také coby širší komunikační kanál. </w:t>
            </w:r>
          </w:p>
        </w:tc>
      </w:tr>
    </w:tbl>
    <w:p>
      <w:pPr>
        <w:rPr>
          <w:rFonts w:ascii="Times New Roman" w:hAnsi="Times New Roman"/>
          <w:b/>
          <w:smallCaps/>
          <w:noProof/>
          <w:sz w:val="24"/>
        </w:rPr>
        <w:sectPr>
          <w:headerReference w:type="even" r:id="rId268"/>
          <w:headerReference w:type="default" r:id="rId269"/>
          <w:footerReference w:type="even" r:id="rId270"/>
          <w:footerReference w:type="default" r:id="rId271"/>
          <w:headerReference w:type="first" r:id="rId272"/>
          <w:footerReference w:type="first" r:id="rId273"/>
          <w:pgSz w:w="16839" w:h="11907" w:orient="landscape"/>
          <w:pgMar w:top="993" w:right="1134" w:bottom="1418" w:left="1134" w:header="709" w:footer="709" w:gutter="0"/>
          <w:cols w:space="720"/>
          <w:docGrid w:linePitch="299"/>
        </w:sectPr>
      </w:pPr>
    </w:p>
    <w:p>
      <w:pPr>
        <w:pStyle w:val="Heading1"/>
        <w:numPr>
          <w:ilvl w:val="0"/>
          <w:numId w:val="0"/>
        </w:numPr>
        <w:spacing w:before="120"/>
        <w:rPr>
          <w:noProof/>
        </w:rPr>
      </w:pPr>
      <w:r>
        <w:rPr>
          <w:noProof/>
        </w:rPr>
        <w:t xml:space="preserve">W. KOMPONENTA č. 5.1: Excelentní výzkum a vývoj ve zdravotnictví </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řeší výzvu spočívající ve zlepšení excelence ve výzkumu v oblasti lékařských věd a souvisejících oborů. To zahrnuje výzkum v oblastech: infekční nemoci, rakovina, neurovědy, metabolické poruchy nebo kardiovaskulární onemocnění a výzkum socioekonomického dopadu zdravotních rizik. Tyto oblasti byly určeny na základě tří kritérií: stávajících údajů o úmrtnosti, potenciálu dosáhnout excelence a stávající existence struktur pro spolupráci.</w:t>
      </w:r>
    </w:p>
    <w:p>
      <w:pPr>
        <w:jc w:val="both"/>
        <w:rPr>
          <w:rFonts w:ascii="Times New Roman" w:hAnsi="Times New Roman"/>
          <w:noProof/>
          <w:sz w:val="24"/>
          <w:szCs w:val="24"/>
        </w:rPr>
      </w:pPr>
      <w:r>
        <w:rPr>
          <w:rFonts w:ascii="Times New Roman" w:hAnsi="Times New Roman"/>
          <w:noProof/>
          <w:sz w:val="24"/>
          <w:szCs w:val="24"/>
        </w:rPr>
        <w:t xml:space="preserve">Cílem komponenty je modernizovat a renovovat vědeckou infrastrukturu Česka tak, aby odpovídala evropským normám, rozvíjet síťové struktury v oblasti výzkumu a vývoje a snižovat roztříštěnost v oblasti odvětví výzkumu v Česku a tím zlepšovat jeho řízení. </w:t>
      </w:r>
    </w:p>
    <w:p>
      <w:pPr>
        <w:jc w:val="both"/>
        <w:rPr>
          <w:rFonts w:ascii="Times New Roman" w:hAnsi="Times New Roman"/>
          <w:noProof/>
          <w:sz w:val="24"/>
          <w:szCs w:val="24"/>
        </w:rPr>
      </w:pPr>
      <w:r>
        <w:rPr>
          <w:rFonts w:ascii="Times New Roman" w:hAnsi="Times New Roman"/>
          <w:noProof/>
          <w:sz w:val="24"/>
          <w:szCs w:val="24"/>
        </w:rPr>
        <w:t xml:space="preserve">Komponenta poskytuje dodatečnou podporu vedle komponent 6.1 a 6.2, týkajících podpory zdravotního systému. </w:t>
      </w:r>
    </w:p>
    <w:p>
      <w:pPr>
        <w:jc w:val="both"/>
        <w:rPr>
          <w:rFonts w:ascii="Times New Roman" w:hAnsi="Times New Roman"/>
          <w:i/>
          <w:iCs/>
          <w:noProof/>
        </w:rPr>
      </w:pPr>
      <w:r>
        <w:rPr>
          <w:rFonts w:ascii="Times New Roman" w:hAnsi="Times New Roman"/>
          <w:noProof/>
          <w:sz w:val="24"/>
          <w:szCs w:val="24"/>
        </w:rPr>
        <w:t xml:space="preserve">Komponenta podporuje plnění doporučení pro zemi, které se týká spolupráce veřejného a soukromého sektoru v oblasti výzkumu a vývoje </w:t>
      </w:r>
      <w:r>
        <w:rPr>
          <w:rFonts w:ascii="Times New Roman" w:hAnsi="Times New Roman"/>
          <w:noProof/>
          <w:color w:val="000000"/>
          <w:sz w:val="24"/>
          <w:szCs w:val="24"/>
        </w:rPr>
        <w:t xml:space="preserve">(doporučení pro zemi č. 3 na rok </w:t>
      </w:r>
      <w:r>
        <w:rPr>
          <w:rFonts w:ascii="Times New Roman" w:hAnsi="Times New Roman"/>
          <w:noProof/>
          <w:sz w:val="24"/>
          <w:szCs w:val="24"/>
        </w:rPr>
        <w:t xml:space="preserve">2020). </w:t>
      </w:r>
    </w:p>
    <w:p>
      <w:pPr>
        <w:jc w:val="both"/>
        <w:rPr>
          <w:rFonts w:ascii="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ind w:hanging="283"/>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b/>
          <w:noProof/>
          <w:sz w:val="24"/>
          <w:szCs w:val="24"/>
          <w:u w:val="single"/>
        </w:rPr>
        <w:t>W.1 Popis reforem a investic pro nevratnou finanční podporu</w:t>
      </w:r>
    </w:p>
    <w:p>
      <w:pPr>
        <w:jc w:val="both"/>
        <w:rPr>
          <w:rFonts w:ascii="Times New Roman" w:hAnsi="Times New Roman"/>
          <w:b/>
          <w:bCs/>
          <w:noProof/>
          <w:sz w:val="24"/>
          <w:szCs w:val="24"/>
        </w:rPr>
      </w:pPr>
      <w:r>
        <w:rPr>
          <w:rFonts w:ascii="Times New Roman" w:hAnsi="Times New Roman"/>
          <w:b/>
          <w:bCs/>
          <w:noProof/>
          <w:sz w:val="24"/>
          <w:szCs w:val="24"/>
        </w:rPr>
        <w:t>Investice č. 1: Veřejná podpora výzkumu a vývoje pro prioritní oblasti lékařských věd a souvisejících společenskovědních disciplín</w:t>
      </w:r>
    </w:p>
    <w:p>
      <w:pPr>
        <w:jc w:val="both"/>
        <w:rPr>
          <w:rFonts w:ascii="Times New Roman" w:hAnsi="Times New Roman"/>
          <w:noProof/>
          <w:sz w:val="24"/>
          <w:szCs w:val="24"/>
        </w:rPr>
      </w:pPr>
      <w:r>
        <w:rPr>
          <w:rFonts w:ascii="Times New Roman" w:hAnsi="Times New Roman"/>
          <w:noProof/>
          <w:sz w:val="24"/>
          <w:szCs w:val="24"/>
        </w:rPr>
        <w:t>Tato investice má podpořit nejméně čtyři výzkumná konsorcia, z nichž každé bude zaměřeno na zlepšování systematického poskytování potřebných odborných znalostí v jednom z vybraných oborů: výzkum infekčních nemocí, výzkum rakoviny, neurovědy, metabolické poruchy nebo kardiovaskulární onemocnění a výzkum socioekonomického dopadu zdravotních rizik. Tím se posílí vědecká podpora veřejné správy a umožní rychlejší a transparentnější sdílení relevantních a vědecky ověřených informací a výsledků výzkumu, vývoje a inovací.</w:t>
      </w:r>
    </w:p>
    <w:p>
      <w:pPr>
        <w:jc w:val="both"/>
        <w:rPr>
          <w:rFonts w:ascii="Times New Roman" w:eastAsia="Times New Roman" w:hAnsi="Times New Roman"/>
          <w:noProof/>
        </w:rPr>
      </w:pPr>
      <w:r>
        <w:rPr>
          <w:rFonts w:ascii="Times New Roman" w:hAnsi="Times New Roman"/>
          <w:noProof/>
          <w:sz w:val="24"/>
          <w:szCs w:val="24"/>
        </w:rPr>
        <w:t>Předpokládá se, že konsorcia budou zřízena mezi relevantními univerzitami, veřejnými výzkumnými institucemi a dalšími veřejnými a soukromými subjekty zajišťujícími potřebný transfer znalostí. Tato konsorcia povedou ke zřízení národních výzkumných autorit, které mají do vybraných oblastí výzkumu a vývoje přinést kvalitativní změnu s dopadem z hlediska vědeckých výstupů i z hlediska fungování státní správy Česka v situacích zdravotních krizí.</w:t>
      </w:r>
    </w:p>
    <w:p>
      <w:pPr>
        <w:jc w:val="both"/>
        <w:rPr>
          <w:rFonts w:ascii="Times New Roman" w:hAnsi="Times New Roman"/>
          <w:noProof/>
          <w:sz w:val="24"/>
          <w:szCs w:val="24"/>
        </w:rPr>
      </w:pPr>
      <w:r>
        <w:rPr>
          <w:rFonts w:ascii="Times New Roman" w:hAnsi="Times New Roman"/>
          <w:noProof/>
          <w:sz w:val="24"/>
          <w:szCs w:val="24"/>
        </w:rPr>
        <w:t xml:space="preserve">Investice by měla zahrnovat podporu činností základního a aplikovaného výzkumu, vybavení výzkumných subjektů vědeckou infrastrukturou nové kvality, vytvoření jednotné vědecké platformy pro každou podporovanou prioritní oblast a zlepšení kapacit výzkumných pracovníků konsorcia prostřednictvím činností zaměřených na prohlubování dovedností. </w:t>
      </w:r>
    </w:p>
    <w:p>
      <w:pPr>
        <w:jc w:val="both"/>
        <w:rPr>
          <w:rFonts w:ascii="Times New Roman" w:hAnsi="Times New Roman"/>
          <w:noProof/>
          <w:sz w:val="24"/>
          <w:szCs w:val="24"/>
        </w:rPr>
      </w:pPr>
      <w:r>
        <w:rPr>
          <w:rFonts w:ascii="Times New Roman" w:hAnsi="Times New Roman"/>
          <w:noProof/>
          <w:sz w:val="24"/>
          <w:szCs w:val="24"/>
        </w:rPr>
        <w:t xml:space="preserve">Investice se uskuteční do 31. prosince 2025. </w:t>
      </w:r>
    </w:p>
    <w:p>
      <w:pPr>
        <w:rPr>
          <w:b/>
          <w:noProof/>
        </w:rPr>
      </w:pPr>
    </w:p>
    <w:p>
      <w:pPr>
        <w:rPr>
          <w:noProof/>
        </w:rPr>
        <w:sectPr>
          <w:headerReference w:type="even" r:id="rId274"/>
          <w:headerReference w:type="default" r:id="rId275"/>
          <w:footerReference w:type="even" r:id="rId276"/>
          <w:footerReference w:type="default" r:id="rId277"/>
          <w:headerReference w:type="first" r:id="rId278"/>
          <w:footerReference w:type="first" r:id="rId279"/>
          <w:pgSz w:w="11907" w:h="16839"/>
          <w:pgMar w:top="1134" w:right="1418" w:bottom="1134" w:left="1418" w:header="709" w:footer="709" w:gutter="0"/>
          <w:cols w:space="720"/>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W.2 Milníky, cíle, ukazatele a harmonogram monitorování a provádění nevratné finanční podpory </w:t>
      </w:r>
    </w:p>
    <w:p>
      <w:pPr>
        <w:pBdr>
          <w:top w:val="nil"/>
          <w:left w:val="nil"/>
          <w:bottom w:val="nil"/>
          <w:right w:val="nil"/>
          <w:between w:val="nil"/>
        </w:pBdr>
        <w:rPr>
          <w:noProof/>
          <w:color w:val="000000"/>
        </w:rPr>
      </w:pPr>
    </w:p>
    <w:tbl>
      <w:tblPr>
        <w:tblW w:w="14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276"/>
        <w:gridCol w:w="992"/>
        <w:gridCol w:w="1134"/>
        <w:gridCol w:w="993"/>
        <w:gridCol w:w="992"/>
        <w:gridCol w:w="850"/>
        <w:gridCol w:w="567"/>
        <w:gridCol w:w="851"/>
        <w:gridCol w:w="709"/>
        <w:gridCol w:w="5525"/>
      </w:tblGrid>
      <w:tr>
        <w:trPr>
          <w:trHeight w:val="827"/>
          <w:tblHeader/>
        </w:trPr>
        <w:tc>
          <w:tcPr>
            <w:tcW w:w="675"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Poř. č. </w:t>
            </w:r>
          </w:p>
        </w:tc>
        <w:tc>
          <w:tcPr>
            <w:tcW w:w="1276"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Související opatření (reforma nebo investice) </w:t>
            </w:r>
          </w:p>
        </w:tc>
        <w:tc>
          <w:tcPr>
            <w:tcW w:w="992"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Milník/cíl </w:t>
            </w:r>
          </w:p>
        </w:tc>
        <w:tc>
          <w:tcPr>
            <w:tcW w:w="1134"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Název </w:t>
            </w:r>
          </w:p>
        </w:tc>
        <w:tc>
          <w:tcPr>
            <w:tcW w:w="993" w:type="dxa"/>
            <w:vMerge w:val="restart"/>
            <w:tcBorders>
              <w:top w:val="single" w:sz="8" w:space="0" w:color="000000"/>
              <w:left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Kvalitativní ukazatele</w:t>
            </w:r>
            <w:r>
              <w:rPr>
                <w:rFonts w:ascii="Times New Roman" w:hAnsi="Times New Roman"/>
                <w:noProof/>
                <w:sz w:val="18"/>
                <w:szCs w:val="18"/>
              </w:rPr>
              <w:br/>
            </w:r>
            <w:r>
              <w:rPr>
                <w:rFonts w:ascii="Times New Roman" w:hAnsi="Times New Roman"/>
                <w:b/>
                <w:noProof/>
                <w:sz w:val="18"/>
                <w:szCs w:val="18"/>
              </w:rPr>
              <w:t xml:space="preserve"> (pro milníky) </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Kvantitativní ukazatele</w:t>
            </w:r>
            <w:r>
              <w:rPr>
                <w:rFonts w:ascii="Times New Roman" w:hAnsi="Times New Roman"/>
                <w:noProof/>
                <w:sz w:val="18"/>
                <w:szCs w:val="18"/>
              </w:rPr>
              <w:br/>
            </w:r>
            <w:r>
              <w:rPr>
                <w:rFonts w:ascii="Times New Roman" w:hAnsi="Times New Roman"/>
                <w:b/>
                <w:noProof/>
                <w:sz w:val="18"/>
                <w:szCs w:val="18"/>
              </w:rPr>
              <w:t xml:space="preserve"> (pro cíle)</w:t>
            </w:r>
          </w:p>
        </w:tc>
        <w:tc>
          <w:tcPr>
            <w:tcW w:w="1560" w:type="dxa"/>
            <w:gridSpan w:val="2"/>
            <w:tcBorders>
              <w:top w:val="single" w:sz="8" w:space="0" w:color="000000"/>
              <w:left w:val="nil"/>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Orientační harmonogram dokončení </w:t>
            </w:r>
          </w:p>
        </w:tc>
        <w:tc>
          <w:tcPr>
            <w:tcW w:w="5525" w:type="dxa"/>
            <w:vMerge w:val="restart"/>
            <w:tcBorders>
              <w:top w:val="single" w:sz="8" w:space="0" w:color="000000"/>
              <w:left w:val="nil"/>
              <w:right w:val="single" w:sz="8" w:space="0" w:color="000000"/>
            </w:tcBorders>
            <w:shd w:val="clear" w:color="auto" w:fill="BDD7EE"/>
            <w:vAlign w:val="center"/>
          </w:tcPr>
          <w:p>
            <w:pPr>
              <w:jc w:val="center"/>
              <w:rPr>
                <w:rFonts w:ascii="Times New Roman" w:eastAsia="Times New Roman" w:hAnsi="Times New Roman"/>
                <w:noProof/>
                <w:sz w:val="18"/>
                <w:szCs w:val="18"/>
              </w:rPr>
            </w:pPr>
            <w:r>
              <w:rPr>
                <w:rFonts w:ascii="Times New Roman" w:hAnsi="Times New Roman"/>
                <w:b/>
                <w:noProof/>
                <w:sz w:val="18"/>
                <w:szCs w:val="18"/>
              </w:rPr>
              <w:t xml:space="preserve">Popis a jasná definice každého milníku a cíle </w:t>
            </w:r>
          </w:p>
        </w:tc>
      </w:tr>
      <w:tr>
        <w:trPr>
          <w:trHeight w:val="600"/>
          <w:tblHeader/>
        </w:trPr>
        <w:tc>
          <w:tcPr>
            <w:tcW w:w="675" w:type="dxa"/>
            <w:vMerge/>
            <w:vAlign w:val="center"/>
          </w:tcPr>
          <w:p>
            <w:pPr>
              <w:jc w:val="center"/>
              <w:rPr>
                <w:rFonts w:ascii="Times New Roman" w:eastAsia="Times New Roman" w:hAnsi="Times New Roman"/>
                <w:noProof/>
                <w:sz w:val="16"/>
                <w:szCs w:val="16"/>
              </w:rPr>
            </w:pPr>
          </w:p>
        </w:tc>
        <w:tc>
          <w:tcPr>
            <w:tcW w:w="1276" w:type="dxa"/>
            <w:vMerge/>
            <w:vAlign w:val="center"/>
          </w:tcPr>
          <w:p>
            <w:pPr>
              <w:jc w:val="center"/>
              <w:rPr>
                <w:rFonts w:ascii="Times New Roman" w:eastAsia="Times New Roman" w:hAnsi="Times New Roman"/>
                <w:noProof/>
                <w:sz w:val="16"/>
                <w:szCs w:val="16"/>
              </w:rPr>
            </w:pPr>
          </w:p>
        </w:tc>
        <w:tc>
          <w:tcPr>
            <w:tcW w:w="992" w:type="dxa"/>
            <w:vMerge/>
            <w:vAlign w:val="center"/>
          </w:tcPr>
          <w:p>
            <w:pPr>
              <w:jc w:val="center"/>
              <w:rPr>
                <w:rFonts w:ascii="Times New Roman" w:eastAsia="Times New Roman" w:hAnsi="Times New Roman"/>
                <w:noProof/>
                <w:sz w:val="16"/>
                <w:szCs w:val="16"/>
              </w:rPr>
            </w:pPr>
          </w:p>
        </w:tc>
        <w:tc>
          <w:tcPr>
            <w:tcW w:w="1134" w:type="dxa"/>
            <w:vMerge/>
            <w:vAlign w:val="center"/>
          </w:tcPr>
          <w:p>
            <w:pPr>
              <w:jc w:val="center"/>
              <w:rPr>
                <w:rFonts w:ascii="Times New Roman" w:eastAsia="Times New Roman" w:hAnsi="Times New Roman"/>
                <w:noProof/>
                <w:sz w:val="16"/>
                <w:szCs w:val="16"/>
              </w:rPr>
            </w:pPr>
          </w:p>
        </w:tc>
        <w:tc>
          <w:tcPr>
            <w:tcW w:w="993" w:type="dxa"/>
            <w:vMerge/>
            <w:vAlign w:val="center"/>
          </w:tcPr>
          <w:p>
            <w:pPr>
              <w:jc w:val="center"/>
              <w:rPr>
                <w:rFonts w:ascii="Times New Roman" w:eastAsia="Times New Roman" w:hAnsi="Times New Roman"/>
                <w:noProof/>
                <w:sz w:val="16"/>
                <w:szCs w:val="16"/>
              </w:rPr>
            </w:pPr>
          </w:p>
        </w:tc>
        <w:tc>
          <w:tcPr>
            <w:tcW w:w="992"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Měrná jednotka</w:t>
            </w:r>
          </w:p>
        </w:tc>
        <w:tc>
          <w:tcPr>
            <w:tcW w:w="850"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Výchozí stav</w:t>
            </w:r>
          </w:p>
        </w:tc>
        <w:tc>
          <w:tcPr>
            <w:tcW w:w="567"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Cíl</w:t>
            </w:r>
          </w:p>
        </w:tc>
        <w:tc>
          <w:tcPr>
            <w:tcW w:w="851" w:type="dxa"/>
            <w:tcBorders>
              <w:top w:val="single" w:sz="8" w:space="0" w:color="000000"/>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Čtvrtletí</w:t>
            </w:r>
          </w:p>
        </w:tc>
        <w:tc>
          <w:tcPr>
            <w:tcW w:w="709" w:type="dxa"/>
            <w:tcBorders>
              <w:top w:val="nil"/>
              <w:left w:val="single" w:sz="8" w:space="0" w:color="000000"/>
              <w:bottom w:val="single" w:sz="8" w:space="0" w:color="000000"/>
              <w:right w:val="single" w:sz="8" w:space="0" w:color="000000"/>
            </w:tcBorders>
            <w:shd w:val="clear" w:color="auto" w:fill="BDD7EE"/>
            <w:vAlign w:val="center"/>
          </w:tcPr>
          <w:p>
            <w:pPr>
              <w:jc w:val="center"/>
              <w:rPr>
                <w:rFonts w:ascii="Times New Roman" w:eastAsia="Times New Roman" w:hAnsi="Times New Roman"/>
                <w:noProof/>
                <w:sz w:val="16"/>
                <w:szCs w:val="16"/>
              </w:rPr>
            </w:pPr>
            <w:r>
              <w:rPr>
                <w:rFonts w:ascii="Times New Roman" w:hAnsi="Times New Roman"/>
                <w:b/>
                <w:noProof/>
                <w:sz w:val="16"/>
                <w:szCs w:val="16"/>
              </w:rPr>
              <w:t>Rok</w:t>
            </w:r>
          </w:p>
        </w:tc>
        <w:tc>
          <w:tcPr>
            <w:tcW w:w="5525" w:type="dxa"/>
            <w:vMerge/>
            <w:vAlign w:val="center"/>
          </w:tcPr>
          <w:p>
            <w:pPr>
              <w:jc w:val="center"/>
              <w:rPr>
                <w:rFonts w:ascii="Times New Roman" w:eastAsia="Times New Roman" w:hAnsi="Times New Roman"/>
                <w:noProof/>
                <w:sz w:val="16"/>
                <w:szCs w:val="16"/>
              </w:rPr>
            </w:pPr>
          </w:p>
        </w:tc>
      </w:tr>
      <w:tr>
        <w:trPr>
          <w:trHeight w:val="945"/>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223</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Investice č. 1: Veřejná podpora výzkumu a vývoje pro prioritní oblasti lékařských věd a souvisejících společenskovědních disciplín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Milník</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Spuštění nového programu podpory výzkumu a vývoje </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Přijetí programu českou vládou a vyhlášení veřejné soutěže </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2021</w:t>
            </w:r>
          </w:p>
        </w:tc>
        <w:tc>
          <w:tcPr>
            <w:tcW w:w="552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Milníku bude dosaženo po spuštění nového systémového nástroje programu podpory výzkumu a vývoje v prioritních lékařských a souvisejících společenskovědních oborech, které zahrnují konkrétně: výzkum infekčních chorob, onkologický výzkum, neurovědy, výzkum metabolických poruch nebo kardiovaskulárních onemocnění a výzkum socioekonomických dopadů onemocnění v souladu s vnitrostátními pravidly stanovenými v zákoně č. 130/2002 Sb. o podpoře výzkumu a vývoje z veřejných prostředků. </w:t>
            </w:r>
          </w:p>
          <w:p>
            <w:pPr>
              <w:rPr>
                <w:rFonts w:ascii="Times New Roman" w:hAnsi="Times New Roman"/>
                <w:noProof/>
                <w:color w:val="006100"/>
                <w:sz w:val="18"/>
                <w:szCs w:val="18"/>
              </w:rPr>
            </w:pPr>
            <w:r>
              <w:rPr>
                <w:rFonts w:ascii="Times New Roman" w:hAnsi="Times New Roman"/>
                <w:noProof/>
                <w:color w:val="006100"/>
                <w:sz w:val="18"/>
                <w:szCs w:val="18"/>
              </w:rPr>
              <w:t xml:space="preserve">Vláda má program přijmout po konzultacích se všemi zúčastněnými stranami, po projednání v rámci interních a meziresortních konzultačních postupů, po konzultacích se zástupci akademické i aplikační obce a univerzit v Radě pro výzkum, vývoj a inovace a po prověření absorpční kapacity programu. </w:t>
            </w:r>
          </w:p>
          <w:p>
            <w:pPr>
              <w:rPr>
                <w:rFonts w:ascii="Times New Roman" w:eastAsia="Times New Roman" w:hAnsi="Times New Roman"/>
                <w:noProof/>
                <w:color w:val="006100"/>
                <w:sz w:val="18"/>
                <w:szCs w:val="18"/>
              </w:rPr>
            </w:pPr>
            <w:r>
              <w:rPr>
                <w:rFonts w:ascii="Times New Roman" w:hAnsi="Times New Roman"/>
                <w:noProof/>
                <w:color w:val="006100"/>
                <w:sz w:val="18"/>
                <w:szCs w:val="18"/>
              </w:rPr>
              <w:t>Otevřená výzva k podávání nabídek v oblasti výzkumu, vývoje a inovací v rámci nového programu pro výzkum a vývoj se řídí vnitrostátními pravidly stanovenými zejména zákonem č. 130/2002 Sb., o podpoře výzkumu, experimentálního vývoje a inovací z veřejných prostředků.</w:t>
            </w:r>
          </w:p>
        </w:tc>
      </w:tr>
      <w:tr>
        <w:trPr>
          <w:trHeight w:val="369"/>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224</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Veřejná podpora výzkumu a vývoje pro prioritní oblasti lékařských věd a souvisejících společenskovědních disciplín</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Zadání veřejných zakázek nejméně čtyřem konsorciím pro výzkum a vývoj</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smluv</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Q2</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2022</w:t>
            </w:r>
          </w:p>
        </w:tc>
        <w:tc>
          <w:tcPr>
            <w:tcW w:w="552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 xml:space="preserve">Cíle bude dosaženo oznámením přidělení veřejných zakázek nejméně čtyřem konsorciím pro výzkum a vývoj v prioritních lékařských a souvisejících společenskovědních oborech, které zahrnují konkrétně: výzkum infekčních nemocí, výzkum rakoviny, neurovědy, metabolické poruchy nebo výzkum kardiovaskulárních onemocnění a výzkum socioekonomického dopadu onemocnění. </w:t>
            </w:r>
          </w:p>
          <w:p>
            <w:pPr>
              <w:rPr>
                <w:rFonts w:ascii="Times New Roman" w:hAnsi="Times New Roman"/>
                <w:noProof/>
                <w:color w:val="006100"/>
                <w:sz w:val="18"/>
                <w:szCs w:val="18"/>
              </w:rPr>
            </w:pPr>
            <w:r>
              <w:rPr>
                <w:rFonts w:ascii="Times New Roman" w:hAnsi="Times New Roman"/>
                <w:noProof/>
                <w:color w:val="006100"/>
                <w:sz w:val="18"/>
                <w:szCs w:val="18"/>
              </w:rPr>
              <w:t>Celkový rozpočet čerpaný na tento účel bude činit nejméně 196 371 000 EUR.</w:t>
            </w:r>
          </w:p>
        </w:tc>
      </w:tr>
      <w:tr>
        <w:trPr>
          <w:trHeight w:val="945"/>
        </w:trPr>
        <w:tc>
          <w:tcPr>
            <w:tcW w:w="675"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225</w:t>
            </w:r>
          </w:p>
        </w:tc>
        <w:tc>
          <w:tcPr>
            <w:tcW w:w="1276"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Investice č. 1: Veřejná podpora výzkumu a vývoje pro prioritní oblasti lékařských věd a souvisejících společenskovědních disciplín</w:t>
            </w: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Cíl</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Potvrzení nejméně čtyř národních konsorcií pro výzkum a vývoj a jejich začlenění do českého systému výzkumu a vývoje jako národních výzkumných autorit </w:t>
            </w:r>
          </w:p>
        </w:tc>
        <w:tc>
          <w:tcPr>
            <w:tcW w:w="993"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Počet konsorcií potvrzených Ministerstvem školství, mládeže a tělovýchovy</w:t>
            </w:r>
          </w:p>
        </w:tc>
        <w:tc>
          <w:tcPr>
            <w:tcW w:w="850"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4</w:t>
            </w:r>
          </w:p>
        </w:tc>
        <w:tc>
          <w:tcPr>
            <w:tcW w:w="851"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Q4</w:t>
            </w:r>
          </w:p>
        </w:tc>
        <w:tc>
          <w:tcPr>
            <w:tcW w:w="709" w:type="dxa"/>
            <w:tcBorders>
              <w:top w:val="single" w:sz="8" w:space="0" w:color="000000"/>
              <w:left w:val="single" w:sz="8" w:space="0" w:color="000000"/>
              <w:bottom w:val="single" w:sz="8" w:space="0" w:color="000000"/>
              <w:right w:val="single" w:sz="8" w:space="0" w:color="000000"/>
            </w:tcBorders>
            <w:shd w:val="clear" w:color="auto" w:fill="C6EFCE"/>
            <w:vAlign w:val="center"/>
          </w:tcPr>
          <w:p>
            <w:pPr>
              <w:jc w:val="center"/>
              <w:rPr>
                <w:rFonts w:ascii="Times New Roman" w:eastAsia="Times New Roman" w:hAnsi="Times New Roman"/>
                <w:noProof/>
                <w:color w:val="006100"/>
                <w:sz w:val="18"/>
                <w:szCs w:val="18"/>
              </w:rPr>
            </w:pPr>
            <w:r>
              <w:rPr>
                <w:rFonts w:ascii="Times New Roman" w:hAnsi="Times New Roman"/>
                <w:noProof/>
                <w:color w:val="006100"/>
                <w:sz w:val="18"/>
                <w:szCs w:val="18"/>
              </w:rPr>
              <w:t>2025</w:t>
            </w:r>
          </w:p>
        </w:tc>
        <w:tc>
          <w:tcPr>
            <w:tcW w:w="5525" w:type="dxa"/>
            <w:tcBorders>
              <w:top w:val="single" w:sz="8" w:space="0" w:color="000000"/>
              <w:left w:val="single" w:sz="8" w:space="0" w:color="000000"/>
              <w:bottom w:val="single" w:sz="8" w:space="0" w:color="000000"/>
              <w:right w:val="single" w:sz="8" w:space="0" w:color="000000"/>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Cíle bude dosaženo, jakmile bude potvrzeno fungování nejméně čtyř konsorcií v oblastech výzkumu infekčních chorob, onkologického výzkumu, neurověd, výzkumu metabolických poruch nebo kardiovaskulárních onemocnění a výzkumu socioekonomických dopadů onemocnění a jejich začlenění do českého systému výzkumu a vývoje jakožto národních výzkumných autorit, které zajistí Ministerstvo školství, mládeže a tělovýchovy. </w:t>
            </w:r>
          </w:p>
          <w:p>
            <w:pPr>
              <w:rPr>
                <w:rFonts w:ascii="Times New Roman" w:eastAsia="Times New Roman" w:hAnsi="Times New Roman"/>
                <w:noProof/>
                <w:color w:val="006100"/>
                <w:sz w:val="18"/>
                <w:szCs w:val="18"/>
              </w:rPr>
            </w:pPr>
            <w:r>
              <w:rPr>
                <w:rFonts w:ascii="Times New Roman" w:hAnsi="Times New Roman"/>
                <w:noProof/>
                <w:color w:val="006100"/>
                <w:sz w:val="18"/>
                <w:szCs w:val="18"/>
              </w:rPr>
              <w:t>Proces validace se provádí na základě posouzení a hodnocení v souladu s vnitrostátními pravidly stanovenými zákonem č. 130/2002 Sb., o podpoře výzkumu, experimentálního vývoje a inovací z veřejných prostředků, vzájemném hodnocení a návštěvách odborných pracovišť.</w:t>
            </w:r>
          </w:p>
        </w:tc>
      </w:tr>
    </w:tbl>
    <w:p>
      <w:pPr>
        <w:rPr>
          <w:noProof/>
        </w:rPr>
      </w:pPr>
    </w:p>
    <w:p>
      <w:pPr>
        <w:pBdr>
          <w:top w:val="nil"/>
          <w:left w:val="nil"/>
          <w:bottom w:val="nil"/>
          <w:right w:val="nil"/>
          <w:between w:val="nil"/>
        </w:pBdr>
        <w:rPr>
          <w:noProof/>
          <w:color w:val="000000"/>
        </w:rPr>
        <w:sectPr>
          <w:headerReference w:type="even" r:id="rId280"/>
          <w:headerReference w:type="default" r:id="rId281"/>
          <w:footerReference w:type="even" r:id="rId282"/>
          <w:footerReference w:type="default" r:id="rId283"/>
          <w:headerReference w:type="first" r:id="rId284"/>
          <w:footerReference w:type="first" r:id="rId285"/>
          <w:pgSz w:w="16839" w:h="11907" w:orient="landscape"/>
          <w:pgMar w:top="142" w:right="1134" w:bottom="1418" w:left="1134" w:header="709" w:footer="709" w:gutter="0"/>
          <w:cols w:space="720"/>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 xml:space="preserve">X. KOMPONENTA č. 5.2: Podpora výzkumu a vývoje v podnicích a zavádění inovací do podnikové praxe </w:t>
      </w:r>
    </w:p>
    <w:p>
      <w:pPr>
        <w:jc w:val="both"/>
        <w:rPr>
          <w:rFonts w:ascii="Times New Roman" w:hAnsi="Times New Roman"/>
          <w:noProof/>
          <w:sz w:val="24"/>
          <w:szCs w:val="24"/>
        </w:rPr>
      </w:pPr>
      <w:r>
        <w:rPr>
          <w:rFonts w:ascii="Times New Roman" w:hAnsi="Times New Roman"/>
          <w:noProof/>
          <w:sz w:val="24"/>
          <w:szCs w:val="24"/>
        </w:rPr>
        <w:t xml:space="preserve">Tato komponenta Plánu pro oživení a odolnost České republiky přispívá k řešení výzvy spočívající ve zvýšení inovační výkonnosti endogenních podnikatelských subjektů a zkvalitnění spolupráce v rámci inovačního ekosystému Česka. Toho bude dosaženo prostřednictvím podpory inovativních podniků se zvláštním zřetelem na digitalizaci, organizační inovace a propojení s akademickou sférou. Podpora bude klást důraz na mezinárodní spolupráci a synergie s rámcovým programem na podporu výzkumu a inovací. </w:t>
      </w:r>
    </w:p>
    <w:p>
      <w:pPr>
        <w:jc w:val="both"/>
        <w:rPr>
          <w:rFonts w:ascii="Times New Roman" w:eastAsia="Times New Roman" w:hAnsi="Times New Roman"/>
          <w:noProof/>
          <w:color w:val="000000"/>
          <w:sz w:val="24"/>
          <w:szCs w:val="24"/>
        </w:rPr>
      </w:pPr>
      <w:r>
        <w:rPr>
          <w:rFonts w:ascii="Times New Roman" w:hAnsi="Times New Roman"/>
          <w:noProof/>
          <w:sz w:val="24"/>
          <w:szCs w:val="24"/>
        </w:rPr>
        <w:t>Komponenta podporuje plnění doporučení pro zemi č. 3 na rok 2019, podle něhož má Česko odstranit překážky bránící rozvoji plně funkčního inovačního ekosystému, a doporučení pro zemi č. 3 na rok 2020, podle něhož má Česko zajistit inovativním podnikům přístup k financování a zlepšit spolupráci veřejného a soukromého sektoru v oblasti výzkumu a vývoje.</w:t>
      </w:r>
    </w:p>
    <w:p>
      <w:pPr>
        <w:jc w:val="both"/>
        <w:rPr>
          <w:rFonts w:ascii="Times New Roman" w:eastAsia="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Zejména výsledky procesu výzkumu a inovací budou na úrovni uplatňování technologicky neutrální (tj. budou uplatňovány u všech dostupných technologií, včetně těch šetrných) a z opatření je předem vyloučen výzkum a vývoj zaměřený na prvky „hnědého výzkumu a inovací“ (tj. na černé a hnědé uhlí, olej/ropu, zemní plyn, na který se nevztahuje příloha III technických pokynů k uplatňování zásady „významně nepoškozovat“, modrý a šedý vodík, spalovací zařízení a skládky).</w:t>
      </w:r>
    </w:p>
    <w:p>
      <w:pPr>
        <w:jc w:val="both"/>
        <w:rPr>
          <w:rFonts w:ascii="Times New Roman" w:eastAsia="Times New Roman" w:hAnsi="Times New Roman"/>
          <w:noProof/>
          <w:sz w:val="24"/>
          <w:szCs w:val="24"/>
        </w:rPr>
      </w:pPr>
    </w:p>
    <w:p>
      <w:pPr>
        <w:jc w:val="both"/>
        <w:rPr>
          <w:rFonts w:ascii="Times New Roman" w:hAnsi="Times New Roman"/>
          <w:b/>
          <w:bCs/>
          <w:i/>
          <w:iCs/>
          <w:noProof/>
          <w:sz w:val="24"/>
          <w:szCs w:val="24"/>
        </w:rPr>
      </w:pPr>
      <w:r>
        <w:rPr>
          <w:rFonts w:ascii="Times New Roman" w:hAnsi="Times New Roman"/>
          <w:b/>
          <w:bCs/>
          <w:noProof/>
          <w:sz w:val="24"/>
          <w:szCs w:val="24"/>
          <w:u w:val="single"/>
        </w:rPr>
        <w:t>X.1 Popis reforem a investic pro nevratnou finanční podporu</w:t>
      </w:r>
    </w:p>
    <w:p>
      <w:pPr>
        <w:pBdr>
          <w:top w:val="nil"/>
          <w:left w:val="nil"/>
          <w:bottom w:val="nil"/>
          <w:right w:val="nil"/>
          <w:between w:val="nil"/>
        </w:pBdr>
        <w:rPr>
          <w:rFonts w:ascii="Times New Roman" w:hAnsi="Times New Roman"/>
          <w:b/>
          <w:bCs/>
          <w:noProof/>
          <w:sz w:val="24"/>
          <w:szCs w:val="24"/>
        </w:rPr>
      </w:pPr>
      <w:r>
        <w:rPr>
          <w:rFonts w:ascii="Times New Roman" w:hAnsi="Times New Roman"/>
          <w:b/>
          <w:bCs/>
          <w:noProof/>
          <w:sz w:val="24"/>
          <w:szCs w:val="24"/>
        </w:rPr>
        <w:t xml:space="preserve">Reforma č. 1: Ustavení Národní koordinační skupiny pro podporu průmyslového výzkumu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 xml:space="preserve">Součástí reformy je ustavení Národní koordinační skupiny pro podporu průmyslového výzkumu, která sjednotí politiku podpory průmyslového výzkumu a vývoje uplatňovanou tvůrci politik, stávajícími poskytovateli podpory výzkumu, vývoje a inovací a vládní Radou pro výzkum, vývoj a inovace. </w:t>
      </w:r>
    </w:p>
    <w:p>
      <w:pPr>
        <w:pBdr>
          <w:top w:val="nil"/>
          <w:left w:val="nil"/>
          <w:bottom w:val="nil"/>
          <w:right w:val="nil"/>
          <w:between w:val="nil"/>
        </w:pBdr>
        <w:jc w:val="both"/>
        <w:rPr>
          <w:rFonts w:ascii="Times New Roman" w:hAnsi="Times New Roman"/>
          <w:noProof/>
          <w:sz w:val="24"/>
          <w:szCs w:val="24"/>
        </w:rPr>
      </w:pPr>
      <w:r>
        <w:rPr>
          <w:rFonts w:ascii="Times New Roman" w:hAnsi="Times New Roman"/>
          <w:noProof/>
          <w:sz w:val="24"/>
          <w:szCs w:val="24"/>
        </w:rPr>
        <w:t xml:space="preserve">Národní koordinační skupina zabezpečí vytvoření struktury komplementárních programů slučitelných se strategií pro inteligentní specializaci. Měla by sjednotit podmínky poskytování podpory a soustředit všechny relevantní programy pod jeden implementační subjekt – Technologickou agenturu České republiky. </w:t>
      </w:r>
    </w:p>
    <w:p>
      <w:pPr>
        <w:jc w:val="both"/>
        <w:rPr>
          <w:rFonts w:ascii="Times New Roman" w:eastAsia="Times New Roman" w:hAnsi="Times New Roman"/>
          <w:noProof/>
          <w:color w:val="000000"/>
          <w:sz w:val="24"/>
          <w:szCs w:val="24"/>
        </w:rPr>
      </w:pPr>
      <w:r>
        <w:rPr>
          <w:rFonts w:ascii="Times New Roman" w:hAnsi="Times New Roman"/>
          <w:noProof/>
          <w:color w:val="000000"/>
          <w:sz w:val="24"/>
          <w:szCs w:val="24"/>
        </w:rPr>
        <w:t>Reforma bude provedena do 31. prosince 2021.</w:t>
      </w:r>
    </w:p>
    <w:p>
      <w:pPr>
        <w:rPr>
          <w:rFonts w:ascii="Times New Roman" w:eastAsia="Times New Roman" w:hAnsi="Times New Roman"/>
          <w:noProof/>
          <w:color w:val="000000"/>
          <w:sz w:val="24"/>
          <w:szCs w:val="24"/>
        </w:rPr>
      </w:pPr>
      <w:r>
        <w:rPr>
          <w:rFonts w:ascii="Times New Roman" w:hAnsi="Times New Roman"/>
          <w:b/>
          <w:bCs/>
          <w:noProof/>
          <w:color w:val="000000"/>
          <w:sz w:val="24"/>
          <w:szCs w:val="24"/>
        </w:rPr>
        <w:t>Investice č. 1: Podpora zavádění inovací do podnikové praxe</w:t>
      </w:r>
    </w:p>
    <w:p>
      <w:pPr>
        <w:jc w:val="both"/>
        <w:rPr>
          <w:rFonts w:ascii="Times New Roman" w:hAnsi="Times New Roman"/>
          <w:noProof/>
        </w:rPr>
      </w:pPr>
      <w:r>
        <w:rPr>
          <w:rFonts w:ascii="Times New Roman" w:hAnsi="Times New Roman"/>
          <w:noProof/>
          <w:color w:val="000000"/>
          <w:sz w:val="24"/>
          <w:szCs w:val="24"/>
        </w:rPr>
        <w:t xml:space="preserve">Cílem opatření je podpořit inovační projekty malých a středních podniků, aby byly do podnikové praxe zavedeny produktové, procesní nebo organizační inovace. </w:t>
      </w:r>
    </w:p>
    <w:p>
      <w:pPr>
        <w:jc w:val="both"/>
        <w:rPr>
          <w:rFonts w:ascii="Times New Roman" w:hAnsi="Times New Roman"/>
          <w:noProof/>
        </w:rPr>
      </w:pPr>
      <w:r>
        <w:rPr>
          <w:rFonts w:ascii="Times New Roman" w:hAnsi="Times New Roman"/>
          <w:noProof/>
          <w:color w:val="000000"/>
          <w:sz w:val="24"/>
          <w:szCs w:val="24"/>
        </w:rPr>
        <w:t>V důsledku podpořeného projektu bude do praxe zavedeno 90 jednotlivých projektů (produktových, procesních, organizačních) inovací v malých a středních podnicích.</w:t>
      </w:r>
    </w:p>
    <w:p>
      <w:pPr>
        <w:jc w:val="both"/>
        <w:rPr>
          <w:noProof/>
        </w:rPr>
      </w:pPr>
      <w:r>
        <w:rPr>
          <w:rFonts w:ascii="Times New Roman" w:hAnsi="Times New Roman"/>
          <w:noProof/>
          <w:color w:val="000000"/>
          <w:sz w:val="24"/>
          <w:szCs w:val="24"/>
        </w:rPr>
        <w:t>Investice bude realizována do 31. března 2026.</w:t>
      </w:r>
      <w:r>
        <w:rPr>
          <w:rFonts w:ascii="Times New Roman" w:hAnsi="Times New Roman"/>
          <w:noProof/>
          <w:sz w:val="24"/>
          <w:szCs w:val="24"/>
        </w:rPr>
        <w:t xml:space="preserve"> </w:t>
      </w:r>
    </w:p>
    <w:p>
      <w:pPr>
        <w:autoSpaceDE w:val="0"/>
        <w:autoSpaceDN w:val="0"/>
        <w:adjustRightInd w:val="0"/>
        <w:rPr>
          <w:rFonts w:ascii="Times New Roman" w:eastAsia="Times New Roman" w:hAnsi="Times New Roman"/>
          <w:b/>
          <w:bCs/>
          <w:noProof/>
          <w:sz w:val="24"/>
          <w:szCs w:val="24"/>
        </w:rPr>
      </w:pPr>
      <w:r>
        <w:rPr>
          <w:rFonts w:ascii="Times New Roman" w:hAnsi="Times New Roman"/>
          <w:b/>
          <w:bCs/>
          <w:noProof/>
          <w:sz w:val="24"/>
          <w:szCs w:val="24"/>
        </w:rPr>
        <w:t xml:space="preserve">Investice č. 2: Podpora spolupráce v oblasti výzkumu a vývoje (v souladu s Národní RIS3 strategií)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 xml:space="preserve">Cílem opatření je podpořit projekty aplikovaného výzkumu poskytováním dlouhodobé podpory spolupráce mezi výzkumnými organizacemi a podniky, zejména malými a středními, v rámci programu Národní centra kompetence.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szCs w:val="24"/>
        </w:rPr>
        <w:t>Bude navázána spolupráce 30 malých a středních podniků s veřejnou výzkumnou organizací v rámci čtyř nově vytvořených Národních center kompetence.</w:t>
      </w:r>
    </w:p>
    <w:p>
      <w:pPr>
        <w:autoSpaceDE w:val="0"/>
        <w:autoSpaceDN w:val="0"/>
        <w:adjustRightInd w:val="0"/>
        <w:spacing w:line="259" w:lineRule="auto"/>
        <w:contextualSpacing/>
        <w:jc w:val="both"/>
        <w:rPr>
          <w:rFonts w:ascii="Times New Roman" w:hAnsi="Times New Roman"/>
          <w:noProof/>
          <w:sz w:val="24"/>
          <w:szCs w:val="24"/>
        </w:rPr>
      </w:pPr>
      <w:r>
        <w:rPr>
          <w:rFonts w:ascii="Times New Roman" w:hAnsi="Times New Roman"/>
          <w:noProof/>
          <w:sz w:val="24"/>
          <w:szCs w:val="24"/>
        </w:rPr>
        <w:t>Investice bude realizována do 31. prosince 2022.</w:t>
      </w:r>
    </w:p>
    <w:p>
      <w:pPr>
        <w:spacing w:line="259" w:lineRule="auto"/>
        <w:jc w:val="both"/>
        <w:rPr>
          <w:rFonts w:ascii="Times New Roman" w:eastAsia="Times New Roman" w:hAnsi="Times New Roman"/>
          <w:noProof/>
        </w:rPr>
      </w:pPr>
    </w:p>
    <w:p>
      <w:pPr>
        <w:spacing w:line="259" w:lineRule="auto"/>
        <w:jc w:val="both"/>
        <w:rPr>
          <w:rFonts w:ascii="Times New Roman" w:eastAsia="Times New Roman" w:hAnsi="Times New Roman"/>
          <w:b/>
          <w:bCs/>
          <w:noProof/>
          <w:sz w:val="24"/>
          <w:szCs w:val="24"/>
        </w:rPr>
      </w:pPr>
      <w:r>
        <w:rPr>
          <w:rFonts w:ascii="Times New Roman" w:hAnsi="Times New Roman"/>
          <w:b/>
          <w:bCs/>
          <w:noProof/>
          <w:sz w:val="24"/>
          <w:szCs w:val="24"/>
        </w:rPr>
        <w:t>Investice č. 3: Podpora výzkumu a vývoje v oblasti životního prostředí</w:t>
      </w:r>
    </w:p>
    <w:p>
      <w:pPr>
        <w:autoSpaceDE w:val="0"/>
        <w:autoSpaceDN w:val="0"/>
        <w:adjustRightInd w:val="0"/>
        <w:spacing w:line="259" w:lineRule="auto"/>
        <w:contextualSpacing/>
        <w:jc w:val="both"/>
        <w:rPr>
          <w:rFonts w:ascii="Times New Roman" w:hAnsi="Times New Roman"/>
          <w:noProof/>
          <w:sz w:val="24"/>
          <w:szCs w:val="24"/>
        </w:rPr>
      </w:pPr>
      <w:r>
        <w:rPr>
          <w:rFonts w:ascii="Times New Roman" w:hAnsi="Times New Roman"/>
          <w:noProof/>
          <w:sz w:val="24"/>
          <w:szCs w:val="24"/>
        </w:rPr>
        <w:t xml:space="preserve">Cílem opatření je podpořit projekty aplikovaného výzkumu, vývoje a inovací podávané výzkumnými organizacemi a podniky včetně projektů ve spolupráci, jejichž cílem je řešení výzev definovaných ve „Státní politice životního prostředí České republiky 2030 s výhledem do 2050“ a v resortní strategii podpory výzkumu. Projekty výzkumu, vývoje a inovací se zaměří na prioritní tematické oblasti, jako jsou ochrana a udržitelné využívání přírodních zdrojů, ochrana klimatu a zlepšení kvality ovzduší, zlepšení nakládání s odpady a jejich využívání, ochrana přírody a krajiny nebo bezpečné a odolné prostředí, včetně předcházení přírodním a antropogenním nebezpečím a zmírnění jejich následků. </w:t>
      </w:r>
    </w:p>
    <w:p>
      <w:pPr>
        <w:autoSpaceDE w:val="0"/>
        <w:autoSpaceDN w:val="0"/>
        <w:adjustRightInd w:val="0"/>
        <w:spacing w:line="259" w:lineRule="auto"/>
        <w:contextualSpacing/>
        <w:jc w:val="both"/>
        <w:rPr>
          <w:rFonts w:ascii="Times New Roman" w:eastAsia="Times New Roman" w:hAnsi="Times New Roman"/>
          <w:noProof/>
          <w:sz w:val="24"/>
          <w:szCs w:val="24"/>
        </w:rPr>
      </w:pPr>
    </w:p>
    <w:p>
      <w:pPr>
        <w:autoSpaceDE w:val="0"/>
        <w:autoSpaceDN w:val="0"/>
        <w:adjustRightInd w:val="0"/>
        <w:spacing w:line="259" w:lineRule="auto"/>
        <w:contextualSpacing/>
        <w:jc w:val="both"/>
        <w:rPr>
          <w:rFonts w:ascii="Times New Roman" w:hAnsi="Times New Roman"/>
          <w:noProof/>
          <w:sz w:val="24"/>
          <w:szCs w:val="24"/>
        </w:rPr>
      </w:pPr>
      <w:r>
        <w:rPr>
          <w:rFonts w:ascii="Times New Roman" w:hAnsi="Times New Roman"/>
          <w:noProof/>
          <w:sz w:val="24"/>
          <w:szCs w:val="24"/>
        </w:rPr>
        <w:t>Bude podpořeno deset projektů výzkumu, vývoje a inovací v oblasti životního prostředí.</w:t>
      </w:r>
    </w:p>
    <w:p>
      <w:pPr>
        <w:rPr>
          <w:rFonts w:ascii="Times New Roman" w:eastAsia="Times New Roman" w:hAnsi="Times New Roman"/>
          <w:noProof/>
        </w:rPr>
      </w:pPr>
      <w:r>
        <w:rPr>
          <w:rFonts w:ascii="Times New Roman" w:hAnsi="Times New Roman"/>
          <w:noProof/>
          <w:sz w:val="24"/>
          <w:szCs w:val="24"/>
        </w:rPr>
        <w:t>Investice bude realizována do 30. září 2022.</w:t>
      </w:r>
    </w:p>
    <w:p>
      <w:pPr>
        <w:jc w:val="both"/>
        <w:rPr>
          <w:rFonts w:ascii="Times New Roman" w:eastAsia="Times New Roman" w:hAnsi="Times New Roman"/>
          <w:b/>
          <w:bCs/>
          <w:noProof/>
          <w:color w:val="000000"/>
          <w:sz w:val="23"/>
          <w:szCs w:val="23"/>
        </w:rPr>
      </w:pPr>
      <w:r>
        <w:rPr>
          <w:rFonts w:ascii="Times New Roman" w:hAnsi="Times New Roman"/>
          <w:b/>
          <w:bCs/>
          <w:noProof/>
          <w:sz w:val="24"/>
          <w:szCs w:val="24"/>
        </w:rPr>
        <w:t xml:space="preserve">Investice č. 4: </w:t>
      </w:r>
      <w:r>
        <w:rPr>
          <w:rFonts w:ascii="Times New Roman" w:hAnsi="Times New Roman"/>
          <w:b/>
          <w:bCs/>
          <w:noProof/>
          <w:color w:val="000000"/>
          <w:sz w:val="23"/>
          <w:szCs w:val="23"/>
        </w:rPr>
        <w:t xml:space="preserve">Podpora výzkumu a vývoje v synergických efektech s rámcovým programem pro výzkum a inovace </w:t>
      </w:r>
    </w:p>
    <w:p>
      <w:pPr>
        <w:autoSpaceDE w:val="0"/>
        <w:autoSpaceDN w:val="0"/>
        <w:adjustRightInd w:val="0"/>
        <w:spacing w:line="259" w:lineRule="auto"/>
        <w:contextualSpacing/>
        <w:jc w:val="both"/>
        <w:rPr>
          <w:rFonts w:ascii="Times New Roman" w:eastAsia="Times New Roman" w:hAnsi="Times New Roman"/>
          <w:noProof/>
        </w:rPr>
      </w:pPr>
      <w:r>
        <w:rPr>
          <w:rFonts w:ascii="Times New Roman" w:hAnsi="Times New Roman"/>
          <w:noProof/>
          <w:sz w:val="24"/>
          <w:szCs w:val="24"/>
        </w:rPr>
        <w:t xml:space="preserve">Cílem opatření je financování projektů se značkou Seal of Excellence, zejména nástroje ERI Accelerator, který podporuje malé a střední podniky s největším potenciálem rychlého růstu, a dále podpora projektů ERA NET Cofund (evropských partnerství), které řeší nejpalčivější výzvy v oblasti výzkumu a vývoje v mezinárodním kontextu. </w:t>
      </w:r>
    </w:p>
    <w:p>
      <w:pPr>
        <w:autoSpaceDE w:val="0"/>
        <w:autoSpaceDN w:val="0"/>
        <w:adjustRightInd w:val="0"/>
        <w:spacing w:line="259" w:lineRule="auto"/>
        <w:contextualSpacing/>
        <w:jc w:val="both"/>
        <w:rPr>
          <w:rFonts w:ascii="Times New Roman" w:eastAsia="Times New Roman" w:hAnsi="Times New Roman"/>
          <w:noProof/>
          <w:sz w:val="24"/>
          <w:szCs w:val="24"/>
        </w:rPr>
      </w:pPr>
    </w:p>
    <w:p>
      <w:pPr>
        <w:autoSpaceDE w:val="0"/>
        <w:autoSpaceDN w:val="0"/>
        <w:adjustRightInd w:val="0"/>
        <w:spacing w:line="259" w:lineRule="auto"/>
        <w:contextualSpacing/>
        <w:jc w:val="both"/>
        <w:rPr>
          <w:rFonts w:ascii="Times New Roman" w:eastAsia="Times New Roman" w:hAnsi="Times New Roman"/>
          <w:noProof/>
        </w:rPr>
      </w:pPr>
      <w:r>
        <w:rPr>
          <w:rFonts w:ascii="Times New Roman" w:hAnsi="Times New Roman"/>
          <w:noProof/>
          <w:sz w:val="24"/>
          <w:szCs w:val="24"/>
        </w:rPr>
        <w:t>Bude podpořeno nejméně šestnáct podniků podílejících se na projektech ERA NET Cofund a nejméně osm podniků s projekty, které obdržely značku „pečeť excelence“ (Seal of Excellence).</w:t>
      </w:r>
    </w:p>
    <w:p>
      <w:pPr>
        <w:autoSpaceDE w:val="0"/>
        <w:autoSpaceDN w:val="0"/>
        <w:adjustRightInd w:val="0"/>
        <w:spacing w:line="259" w:lineRule="auto"/>
        <w:contextualSpacing/>
        <w:jc w:val="both"/>
        <w:rPr>
          <w:rFonts w:ascii="Times New Roman" w:eastAsia="Times New Roman" w:hAnsi="Times New Roman"/>
          <w:noProof/>
          <w:sz w:val="24"/>
          <w:szCs w:val="24"/>
        </w:rPr>
      </w:pPr>
      <w:r>
        <w:rPr>
          <w:rFonts w:ascii="Times New Roman" w:hAnsi="Times New Roman"/>
          <w:noProof/>
          <w:sz w:val="24"/>
          <w:szCs w:val="24"/>
        </w:rPr>
        <w:t>Investice bude realizována do 30. září 2025.</w:t>
      </w:r>
    </w:p>
    <w:p>
      <w:pPr>
        <w:autoSpaceDE w:val="0"/>
        <w:autoSpaceDN w:val="0"/>
        <w:adjustRightInd w:val="0"/>
        <w:jc w:val="both"/>
        <w:rPr>
          <w:rFonts w:ascii="Times New Roman" w:hAnsi="Times New Roman"/>
          <w:b/>
          <w:noProof/>
          <w:sz w:val="24"/>
          <w:highlight w:val="red"/>
          <w:u w:val="single"/>
        </w:rPr>
        <w:sectPr>
          <w:headerReference w:type="even" r:id="rId286"/>
          <w:headerReference w:type="default" r:id="rId287"/>
          <w:footerReference w:type="even" r:id="rId288"/>
          <w:footerReference w:type="default" r:id="rId289"/>
          <w:headerReference w:type="first" r:id="rId290"/>
          <w:footerReference w:type="first" r:id="rId291"/>
          <w:pgSz w:w="11907" w:h="16839"/>
          <w:pgMar w:top="1134" w:right="1418" w:bottom="1134" w:left="1418" w:header="709" w:footer="709" w:gutter="0"/>
          <w:cols w:space="720"/>
          <w:docGrid w:linePitch="360"/>
        </w:sectPr>
      </w:pPr>
    </w:p>
    <w:p>
      <w:pPr>
        <w:tabs>
          <w:tab w:val="left" w:pos="993"/>
        </w:tabs>
        <w:jc w:val="both"/>
        <w:rPr>
          <w:rFonts w:ascii="Times New Roman" w:hAnsi="Times New Roman"/>
          <w:b/>
          <w:bCs/>
          <w:noProof/>
          <w:sz w:val="24"/>
          <w:u w:val="single"/>
        </w:rPr>
      </w:pPr>
      <w:r>
        <w:rPr>
          <w:rFonts w:ascii="Times New Roman" w:hAnsi="Times New Roman"/>
          <w:b/>
          <w:bCs/>
          <w:noProof/>
          <w:sz w:val="24"/>
          <w:szCs w:val="24"/>
          <w:u w:val="single"/>
        </w:rPr>
        <w:t xml:space="preserve">X.2 Milníky, cíle, ukazatele a harmonogram monitorování a provádění nevratné finanční podpory </w:t>
      </w:r>
    </w:p>
    <w:p>
      <w:pPr>
        <w:rPr>
          <w:rFonts w:ascii="Times New Roman" w:hAnsi="Times New Roman"/>
          <w:b/>
          <w:smallCaps/>
          <w:noProof/>
          <w:sz w:val="24"/>
        </w:rPr>
      </w:pPr>
    </w:p>
    <w:tbl>
      <w:tblPr>
        <w:tblW w:w="0" w:type="auto"/>
        <w:tblLayout w:type="fixed"/>
        <w:tblLook w:val="04A0" w:firstRow="1" w:lastRow="0" w:firstColumn="1" w:lastColumn="0" w:noHBand="0" w:noVBand="1"/>
      </w:tblPr>
      <w:tblGrid>
        <w:gridCol w:w="675"/>
        <w:gridCol w:w="1276"/>
        <w:gridCol w:w="992"/>
        <w:gridCol w:w="1418"/>
        <w:gridCol w:w="1134"/>
        <w:gridCol w:w="1417"/>
        <w:gridCol w:w="709"/>
        <w:gridCol w:w="709"/>
        <w:gridCol w:w="850"/>
        <w:gridCol w:w="639"/>
        <w:gridCol w:w="4745"/>
      </w:tblGrid>
      <w:tr>
        <w:trPr>
          <w:trHeight w:val="75"/>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Poř. č.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134" w:type="dxa"/>
            <w:vMerge w:val="restart"/>
            <w:tcBorders>
              <w:top w:val="single" w:sz="8" w:space="0" w:color="auto"/>
              <w:left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835"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489"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Popis a jasná definice každého milníku a cíle </w:t>
            </w:r>
          </w:p>
        </w:tc>
      </w:tr>
      <w:tr>
        <w:trPr>
          <w:trHeight w:val="600"/>
          <w:tblHeader/>
        </w:trPr>
        <w:tc>
          <w:tcPr>
            <w:tcW w:w="675"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1276"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992"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1418" w:type="dxa"/>
            <w:vMerge/>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1134" w:type="dxa"/>
            <w:vMerge/>
            <w:tcBorders>
              <w:left w:val="single" w:sz="4" w:space="0" w:color="auto"/>
            </w:tcBorders>
            <w:vAlign w:val="center"/>
          </w:tcPr>
          <w:p>
            <w:pPr>
              <w:jc w:val="center"/>
              <w:rPr>
                <w:rFonts w:ascii="Times New Roman" w:hAnsi="Times New Roman"/>
                <w:noProof/>
                <w:sz w:val="16"/>
                <w:szCs w:val="16"/>
                <w:lang w:val="pl-PL"/>
              </w:rPr>
            </w:pPr>
          </w:p>
        </w:tc>
        <w:tc>
          <w:tcPr>
            <w:tcW w:w="1417" w:type="dxa"/>
            <w:tcBorders>
              <w:top w:val="single" w:sz="8" w:space="0" w:color="auto"/>
              <w:left w:val="single" w:sz="4"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709"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709"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39"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en-IE"/>
              </w:rPr>
            </w:pPr>
          </w:p>
        </w:tc>
      </w:tr>
      <w:tr>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226</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Reforma č. 1: Ustavení Národní koordinační skupiny pro podporu průmyslového výzkumu</w:t>
            </w: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Zřízení Národní koordinační skupiny pro podporu průmyslového výzkumu</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Zahájení činnosti skupiny</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val="en-IE"/>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2021</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Bude zřízena Národní koordinační skupiny pro podporu průmyslového výzkumu a zahájeno její fungování. Koordinační skupina sjednotí politiky podpory průmyslového výzkumu a vývoje uplatňované tvůrci politik, stávajícími poskytovateli podpory výzkumu, vývoje a inovací a vládní Radou pro výzkum, vývoj a inovace a dále sjednotí podmínky poskytování podpory a soustředí všechny relevantní programy pod Technologickou agenturu České republiky.</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227</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Podpora zavádění inovací do podnikové praxe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Zavádění produktových, procesních nebo organizačních inovací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jednotlivých (produktových, procesních, organizačních) inovací zavedených do praxe v důsledku podpořeného projektu</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72</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162</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Q1</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sz w:val="18"/>
                <w:szCs w:val="18"/>
              </w:rPr>
            </w:pPr>
            <w:r>
              <w:rPr>
                <w:rFonts w:ascii="Times New Roman" w:hAnsi="Times New Roman"/>
                <w:noProof/>
                <w:color w:val="006100"/>
                <w:sz w:val="18"/>
                <w:szCs w:val="18"/>
              </w:rPr>
              <w:t>V důsledku podpořeného projektu bude do praxe zavedeno 90 jednotlivých (produktových, procesních, organizačních) inovací.</w:t>
            </w:r>
            <w:r>
              <w:rPr>
                <w:rFonts w:ascii="Times New Roman" w:hAnsi="Times New Roman"/>
                <w:noProof/>
                <w:sz w:val="18"/>
                <w:szCs w:val="18"/>
              </w:rPr>
              <w:t xml:space="preserve"> </w:t>
            </w:r>
          </w:p>
          <w:p>
            <w:pPr>
              <w:rPr>
                <w:rFonts w:ascii="Times New Roman" w:hAnsi="Times New Roman"/>
                <w:noProof/>
                <w:color w:val="006100"/>
                <w:sz w:val="18"/>
                <w:szCs w:val="18"/>
              </w:rPr>
            </w:pPr>
            <w:r>
              <w:rPr>
                <w:rFonts w:ascii="Times New Roman" w:hAnsi="Times New Roman"/>
                <w:noProof/>
                <w:color w:val="006100"/>
                <w:sz w:val="18"/>
                <w:szCs w:val="18"/>
              </w:rPr>
              <w:t>Celkový rozpočet čerpaný na tento účel bude činit nejméně 39 000 000 EUR.</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228</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Podpora spolupráce v oblasti výzkumu a vývoje (v souladu se strategií pro inteligentní specializaci)</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Spolupráce malých a středních podniků s veřejnou výzkumnou organizací v rámci Národních center kompetence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podpořených projektů</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30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sz w:val="18"/>
                <w:szCs w:val="18"/>
              </w:rPr>
            </w:pPr>
            <w:r>
              <w:rPr>
                <w:rFonts w:ascii="Times New Roman" w:hAnsi="Times New Roman"/>
                <w:noProof/>
                <w:color w:val="006100"/>
                <w:sz w:val="18"/>
                <w:szCs w:val="18"/>
              </w:rPr>
              <w:t>Budou uskutečněny projekty dlouhodobé spolupráce 30 malých a středních podniků s veřejnou výzkumnou organizací v rámci čtyř nově vytvořených Národních center kompetence.</w:t>
            </w:r>
            <w:r>
              <w:rPr>
                <w:rFonts w:ascii="Times New Roman" w:hAnsi="Times New Roman"/>
                <w:noProof/>
                <w:sz w:val="18"/>
                <w:szCs w:val="18"/>
              </w:rPr>
              <w:t xml:space="preserve"> </w:t>
            </w:r>
          </w:p>
          <w:p>
            <w:pPr>
              <w:rPr>
                <w:rFonts w:ascii="Times New Roman" w:hAnsi="Times New Roman"/>
                <w:noProof/>
                <w:color w:val="006100"/>
                <w:sz w:val="18"/>
                <w:szCs w:val="18"/>
              </w:rPr>
            </w:pPr>
            <w:r>
              <w:rPr>
                <w:rFonts w:ascii="Times New Roman" w:hAnsi="Times New Roman"/>
                <w:noProof/>
                <w:color w:val="006100"/>
                <w:sz w:val="18"/>
                <w:szCs w:val="18"/>
              </w:rPr>
              <w:t>Celkový rozpočet čerpaný na tento účel bude činit nejméně 58 000 000 EUR.</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229</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Podpora výzkumu a vývoje v oblasti životního prostředí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Výzkum a vývoj v oblasti životního prostředí</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podpořených projektů v oblasti životního prostředí</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43</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53</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rPr>
                <w:rFonts w:ascii="Times New Roman" w:hAnsi="Times New Roman"/>
                <w:noProof/>
                <w:color w:val="006100"/>
                <w:sz w:val="18"/>
                <w:szCs w:val="18"/>
              </w:rPr>
            </w:pPr>
            <w:r>
              <w:rPr>
                <w:rFonts w:ascii="Times New Roman" w:hAnsi="Times New Roman"/>
                <w:noProof/>
                <w:color w:val="006100"/>
                <w:sz w:val="18"/>
                <w:szCs w:val="18"/>
              </w:rPr>
              <w:t>Bude podpořeno deset projektů výzkumu, vývoje a inovací v oblasti životního prostředí. Projekty výzkumu, vývoje a inovací se zaměří na prioritní tematické oblasti, jako jsou ochrana a udržitelné využívání přírodních zdrojů, ochrana klimatu a zlepšení kvality ovzduší, zlepšení nakládání s odpady a jejich využívání, ochrana přírody a krajiny nebo bezpečné a odolné prostředí, včetně předcházení přírodním a antropogenním nebezpečím a zmírnění jejich následků.</w:t>
            </w:r>
          </w:p>
          <w:p>
            <w:pPr>
              <w:spacing w:line="259" w:lineRule="auto"/>
              <w:rPr>
                <w:rFonts w:ascii="Times New Roman" w:hAnsi="Times New Roman"/>
                <w:noProof/>
                <w:color w:val="006100"/>
                <w:sz w:val="18"/>
                <w:szCs w:val="18"/>
              </w:rPr>
            </w:pPr>
            <w:r>
              <w:rPr>
                <w:rFonts w:ascii="Times New Roman" w:hAnsi="Times New Roman"/>
                <w:noProof/>
                <w:color w:val="006100"/>
                <w:sz w:val="18"/>
                <w:szCs w:val="18"/>
              </w:rPr>
              <w:t>Celkový rozpočet čerpaný na tento účel bude činit nejméně 7 000 000 EUR.</w:t>
            </w:r>
          </w:p>
        </w:tc>
      </w:tr>
      <w:tr>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4: Podpora výzkumu a vývoje v synergických efektech s rámcovým programem pro výzkum a inovace</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Výzkum a vývoj v synergických efektech s rámcovým programem pro výzkum a inovace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Počet projektů zapojených do nástroje ERA NET Cofund a projektů, které obdržely značku Seal of Excellence</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53</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79</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Q3</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sz w:val="18"/>
                <w:szCs w:val="18"/>
              </w:rPr>
            </w:pPr>
            <w:r>
              <w:rPr>
                <w:rFonts w:ascii="Times New Roman" w:hAnsi="Times New Roman"/>
                <w:noProof/>
                <w:color w:val="006100"/>
                <w:sz w:val="18"/>
                <w:szCs w:val="18"/>
              </w:rPr>
              <w:t>Bude podpořeno 26 projektů zapojených do nástroje ERA NET Cofund a projektů, které obdržely značku Seal of Excellence, včetně 18 projektů zapojených do nástroje ERA NET Cofund a 8 projektů, které obdržely značku Seal of Excellence.</w:t>
            </w:r>
            <w:r>
              <w:rPr>
                <w:rFonts w:ascii="Times New Roman" w:hAnsi="Times New Roman"/>
                <w:noProof/>
                <w:sz w:val="18"/>
                <w:szCs w:val="18"/>
              </w:rPr>
              <w:t xml:space="preserve"> </w:t>
            </w:r>
          </w:p>
          <w:p>
            <w:pPr>
              <w:rPr>
                <w:rFonts w:ascii="Times New Roman" w:hAnsi="Times New Roman"/>
                <w:noProof/>
                <w:color w:val="006100"/>
                <w:sz w:val="18"/>
                <w:szCs w:val="18"/>
              </w:rPr>
            </w:pPr>
            <w:r>
              <w:rPr>
                <w:rFonts w:ascii="Times New Roman" w:hAnsi="Times New Roman"/>
                <w:noProof/>
                <w:color w:val="006100"/>
                <w:sz w:val="18"/>
                <w:szCs w:val="18"/>
              </w:rPr>
              <w:t xml:space="preserve">Celkový rozpočet čerpaný na tento účel bude činit nejméně 19 000 000 EUR, včetně nejméně 12 000 000 EUR pro projekty zapojené do nástroje ERA NET Cofund a nejméně 7 000 000 EUR pro projekty, které obdržely značku Seal of Excellence. </w:t>
            </w:r>
          </w:p>
        </w:tc>
      </w:tr>
    </w:tbl>
    <w:p>
      <w:pPr>
        <w:rPr>
          <w:rFonts w:ascii="Times New Roman" w:hAnsi="Times New Roman"/>
          <w:b/>
          <w:smallCaps/>
          <w:noProof/>
          <w:sz w:val="24"/>
        </w:rPr>
        <w:sectPr>
          <w:headerReference w:type="even" r:id="rId292"/>
          <w:headerReference w:type="default" r:id="rId293"/>
          <w:footerReference w:type="even" r:id="rId294"/>
          <w:footerReference w:type="default" r:id="rId295"/>
          <w:headerReference w:type="first" r:id="rId296"/>
          <w:footerReference w:type="first" r:id="rId297"/>
          <w:pgSz w:w="16839" w:h="11907" w:orient="landscape"/>
          <w:pgMar w:top="993" w:right="1134" w:bottom="1418" w:left="1134" w:header="709" w:footer="709" w:gutter="0"/>
          <w:cols w:space="708"/>
          <w:docGrid w:linePitch="299"/>
        </w:sectPr>
      </w:pPr>
    </w:p>
    <w:p>
      <w:pPr>
        <w:pStyle w:val="Heading1"/>
        <w:numPr>
          <w:ilvl w:val="0"/>
          <w:numId w:val="0"/>
        </w:numPr>
        <w:spacing w:before="120"/>
        <w:ind w:left="850" w:hanging="850"/>
        <w:rPr>
          <w:noProof/>
          <w:szCs w:val="22"/>
        </w:rPr>
      </w:pPr>
      <w:r>
        <w:rPr>
          <w:noProof/>
        </w:rPr>
        <w:t xml:space="preserve">Y. KOMPONENTA č. 6.1: Zvýšení odolnosti systému zdravotní péče </w:t>
      </w:r>
    </w:p>
    <w:p>
      <w:pPr>
        <w:jc w:val="both"/>
        <w:rPr>
          <w:rFonts w:ascii="Times New Roman" w:hAnsi="Times New Roman"/>
          <w:noProof/>
          <w:sz w:val="24"/>
          <w:szCs w:val="24"/>
        </w:rPr>
      </w:pPr>
      <w:r>
        <w:rPr>
          <w:rFonts w:ascii="Times New Roman" w:hAnsi="Times New Roman"/>
          <w:noProof/>
          <w:sz w:val="24"/>
          <w:szCs w:val="24"/>
        </w:rPr>
        <w:t>Tato komponenta Plánu pro oživení a odolnost České republiky přispívá k řešení výzvy spočívající v posílení odolnosti systému zdravotnictví prostřednictvím investic do zdravotnické infrastruktury a zlepšením vzdělávání zdravotnických pracovníků v oblasti akutní péče. Pokud jde o zdravotnickou infrastrukturu, cílem je zvýšit dostupnost a kvalitu rehabilitační péče pro pacienty zotavující se z kritického stavu (akutního zdravotního stavu), která se během pandemie ukázala jako nedostatečná. Cílem komponenty je také řešit nedostatek vysoce specializovaných diagnostických nástrojů a špatnou dostupnost léčby vážných kardiovaskulárních onemocnění, včetně transplantační medicíny. Pokud jde o vzdělávání zdravotnických pracovníků, jsou plánována systémová opatření a investice zaměřené na řešení rostoucího nedostatku těchto pracovníků.</w:t>
      </w:r>
    </w:p>
    <w:p>
      <w:pPr>
        <w:jc w:val="both"/>
        <w:rPr>
          <w:rFonts w:ascii="Times New Roman" w:hAnsi="Times New Roman"/>
          <w:noProof/>
          <w:sz w:val="24"/>
          <w:szCs w:val="24"/>
        </w:rPr>
      </w:pPr>
      <w:r>
        <w:rPr>
          <w:rFonts w:ascii="Times New Roman" w:hAnsi="Times New Roman"/>
          <w:noProof/>
          <w:sz w:val="24"/>
          <w:szCs w:val="24"/>
        </w:rPr>
        <w:t>Komponenta přispívá k plnění doporučení pro zemi č. 1 na rok 2020, podle něhož má Česko zajistit odolnost systému zdravotní péče, posílit dostupnost zdravotnických pracovníků, primární péči a integraci péče a zavést služby elektronického zdravotnictví.</w:t>
      </w:r>
    </w:p>
    <w:p>
      <w:pPr>
        <w:jc w:val="both"/>
        <w:rPr>
          <w:rFonts w:ascii="Times New Roman" w:hAnsi="Times New Roman"/>
          <w:noProof/>
          <w:sz w:val="24"/>
          <w:szCs w:val="24"/>
        </w:rPr>
      </w:pPr>
      <w:r>
        <w:rPr>
          <w:rFonts w:ascii="Times New Roman" w:hAnsi="Times New Roman"/>
          <w:noProof/>
          <w:sz w:val="24"/>
          <w:szCs w:val="24"/>
        </w:rPr>
        <w:t>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w:t>
      </w:r>
    </w:p>
    <w:p>
      <w:pPr>
        <w:jc w:val="both"/>
        <w:rPr>
          <w:rFonts w:ascii="Times New Roman" w:hAnsi="Times New Roman"/>
          <w:i/>
          <w:noProof/>
          <w:sz w:val="24"/>
          <w:szCs w:val="24"/>
        </w:rPr>
      </w:pPr>
    </w:p>
    <w:p>
      <w:pPr>
        <w:jc w:val="both"/>
        <w:rPr>
          <w:rFonts w:ascii="Times New Roman" w:hAnsi="Times New Roman"/>
          <w:noProof/>
          <w:sz w:val="24"/>
          <w:szCs w:val="24"/>
        </w:rPr>
      </w:pPr>
      <w:r>
        <w:rPr>
          <w:rFonts w:ascii="Times New Roman" w:hAnsi="Times New Roman"/>
          <w:b/>
          <w:noProof/>
          <w:sz w:val="24"/>
          <w:szCs w:val="24"/>
          <w:u w:val="single"/>
        </w:rPr>
        <w:t>Y.1 Popis reforem a investic pro nevratnou finanční podporu</w:t>
      </w:r>
    </w:p>
    <w:p>
      <w:pPr>
        <w:jc w:val="both"/>
        <w:rPr>
          <w:rFonts w:ascii="Times New Roman" w:hAnsi="Times New Roman"/>
          <w:b/>
          <w:noProof/>
          <w:sz w:val="24"/>
          <w:szCs w:val="24"/>
        </w:rPr>
      </w:pPr>
      <w:r>
        <w:rPr>
          <w:rFonts w:ascii="Times New Roman" w:hAnsi="Times New Roman"/>
          <w:b/>
          <w:noProof/>
          <w:sz w:val="24"/>
          <w:szCs w:val="24"/>
        </w:rPr>
        <w:t>Reforma č. 1: Zlepšení vzdělávání zdravotnických pracovníků</w:t>
      </w:r>
    </w:p>
    <w:p>
      <w:pPr>
        <w:jc w:val="both"/>
        <w:rPr>
          <w:rFonts w:ascii="Times New Roman" w:hAnsi="Times New Roman"/>
          <w:noProof/>
          <w:sz w:val="24"/>
          <w:szCs w:val="24"/>
        </w:rPr>
      </w:pPr>
      <w:r>
        <w:rPr>
          <w:rFonts w:ascii="Times New Roman" w:hAnsi="Times New Roman"/>
          <w:noProof/>
          <w:sz w:val="24"/>
          <w:szCs w:val="24"/>
        </w:rPr>
        <w:t xml:space="preserve">Systém vzdělávání a odborné přípravy zdravotnických pracovníků bude upraven s cílem zlepšit dostupnost vysoce specializovaných zdravotnických pracovníků. Bude zlepšeno plánování kapacit zdravotnického personálu prostřednictvím vytvoření elektronického systému (k propojení stávajících databází zdravotnických pracovníků) pro řízení, správu a hodnocení potřeb zdravotnických pracovníků v oblasti vzdělávání. Zlepšení organizace postgraduálního vzdělávání zdravotnických pracovníků pomůže zkrátit délku specializačního vzdělávání a umožní mladším lékařům zahájit poskytování péče dříve, čímž se zlepší dostupnost péče. </w:t>
      </w:r>
    </w:p>
    <w:p>
      <w:pPr>
        <w:jc w:val="both"/>
        <w:rPr>
          <w:rFonts w:ascii="Times New Roman" w:hAnsi="Times New Roman"/>
          <w:noProof/>
          <w:sz w:val="24"/>
          <w:szCs w:val="24"/>
        </w:rPr>
      </w:pPr>
      <w:r>
        <w:rPr>
          <w:rFonts w:ascii="Times New Roman" w:hAnsi="Times New Roman"/>
          <w:noProof/>
          <w:sz w:val="24"/>
          <w:szCs w:val="24"/>
        </w:rPr>
        <w:t xml:space="preserve">Investice bude dokončena do 30. června 2024. </w:t>
      </w:r>
    </w:p>
    <w:p>
      <w:pPr>
        <w:jc w:val="both"/>
        <w:rPr>
          <w:rFonts w:ascii="Times New Roman" w:hAnsi="Times New Roman"/>
          <w:b/>
          <w:noProof/>
          <w:sz w:val="24"/>
          <w:szCs w:val="24"/>
        </w:rPr>
      </w:pPr>
      <w:r>
        <w:rPr>
          <w:rFonts w:ascii="Times New Roman" w:hAnsi="Times New Roman"/>
          <w:b/>
          <w:noProof/>
          <w:sz w:val="24"/>
          <w:szCs w:val="24"/>
        </w:rPr>
        <w:t xml:space="preserve">Investice č. 1: Vznik simulačního centra intenzivní medicíny </w:t>
      </w:r>
    </w:p>
    <w:p>
      <w:pPr>
        <w:jc w:val="both"/>
        <w:rPr>
          <w:rFonts w:ascii="Times New Roman" w:eastAsia="Times New Roman" w:hAnsi="Times New Roman"/>
          <w:noProof/>
          <w:sz w:val="24"/>
          <w:szCs w:val="24"/>
        </w:rPr>
      </w:pPr>
      <w:r>
        <w:rPr>
          <w:rFonts w:ascii="Times New Roman" w:hAnsi="Times New Roman"/>
          <w:noProof/>
          <w:sz w:val="24"/>
          <w:szCs w:val="24"/>
        </w:rPr>
        <w:t>Investice spočívá ve vybudování simulačního centra intenzivní medicíny, jež rozšíří infrastrukturu pro postgraduální a celoživotní vzdělávání zdravotnických pracovníků. Centrum bude poskytovat vzdělávání prostřednictvím nejmodernějších technologií a vybavení napodobujících reálné situace, mimo jiné pomocí virtuální reality. To umožní nácvik řešení komplexních klinických úkolů v bezpečném prostředí, aniž by byla ohrožena bezpečnost pacienta, dále efektivní přenos získaných dovedností do klinické praxe a zlepšení spolupráce mezi jednotlivými obory medicíny. Výuka pomocí simulace zahrnuje široké spektrum aktivit od nácviku jednoduchých úkonů až po komplexní péči o pacienty specializovanými zdravotnickými týmy v přednemocniční péči, na oddělení ARO a JIP nebo na operačních sálech. Bude rozvinut také systém vzdělávání lékařského personálu v oblasti intenzivní medicíny.</w:t>
      </w:r>
    </w:p>
    <w:p>
      <w:pPr>
        <w:jc w:val="both"/>
        <w:rPr>
          <w:rFonts w:ascii="Times New Roman" w:hAnsi="Times New Roman"/>
          <w:noProof/>
          <w:sz w:val="24"/>
          <w:szCs w:val="24"/>
        </w:rPr>
      </w:pPr>
      <w:r>
        <w:rPr>
          <w:rFonts w:ascii="Times New Roman" w:hAnsi="Times New Roman"/>
          <w:noProof/>
          <w:sz w:val="24"/>
          <w:szCs w:val="24"/>
        </w:rPr>
        <w:t xml:space="preserve">Investice bude dokončena do 31. prosince 2025. </w:t>
      </w:r>
    </w:p>
    <w:p>
      <w:pPr>
        <w:jc w:val="both"/>
        <w:rPr>
          <w:rFonts w:ascii="Times New Roman" w:hAnsi="Times New Roman"/>
          <w:noProof/>
          <w:sz w:val="24"/>
          <w:szCs w:val="24"/>
        </w:rPr>
      </w:pPr>
      <w:r>
        <w:rPr>
          <w:rFonts w:ascii="Times New Roman" w:hAnsi="Times New Roman"/>
          <w:b/>
          <w:noProof/>
          <w:sz w:val="24"/>
          <w:szCs w:val="24"/>
        </w:rPr>
        <w:t>Investice č. 2: Rehabilitační péče pro pacienty po kritických stavech</w:t>
      </w:r>
    </w:p>
    <w:p>
      <w:pPr>
        <w:jc w:val="both"/>
        <w:rPr>
          <w:rFonts w:ascii="Times New Roman" w:hAnsi="Times New Roman"/>
          <w:noProof/>
          <w:sz w:val="24"/>
          <w:szCs w:val="24"/>
        </w:rPr>
      </w:pPr>
      <w:r>
        <w:rPr>
          <w:rFonts w:ascii="Times New Roman" w:hAnsi="Times New Roman"/>
          <w:noProof/>
          <w:sz w:val="24"/>
          <w:szCs w:val="24"/>
        </w:rPr>
        <w:t xml:space="preserve">Cílem investice je reagovat na nutnost zlepšení rehabilitační péče pro pacienty zotavující se z kritického stavu, která se v souvislosti s pandemií COVID-19 znásobila. Toho bude dosaženo prostřednictvím renovace a modernizace vybavení na rehabilitačních odděleních a zlepšení organizace rehabilitační péče. Díky nákupu nejmodernějšího vybavení pro komplexní rehabilitační péči se sníží nároky na personál, čímž se zvýší dostupnost rehabilitační péče pro pacienty. Podpora se poskytuje prostřednictvím grantového programu s celkovým přídělem 61 660 000 EUR. Podpora se poskytuje nejméně 19 veřejným nemocnicím, které poskytují akutní nemocniční péči v jednotkách intenzivní péče a následnou rehabilitační péči. Výběr projektů odráží zvýšené potřeby rehabilitační péče po koronavirové pandemii. Očekává se, že se počet případů poskytnutí péče pacientům po kritických stavech v rehabilitačních pečovatelských jednotkách zvýší o 10 %. </w:t>
      </w:r>
    </w:p>
    <w:p>
      <w:pPr>
        <w:jc w:val="both"/>
        <w:rPr>
          <w:rFonts w:ascii="Times New Roman" w:hAnsi="Times New Roman"/>
          <w:noProof/>
          <w:sz w:val="24"/>
          <w:szCs w:val="24"/>
        </w:rPr>
      </w:pPr>
      <w:r>
        <w:rPr>
          <w:rFonts w:ascii="Times New Roman" w:hAnsi="Times New Roman"/>
          <w:noProof/>
          <w:sz w:val="24"/>
          <w:szCs w:val="24"/>
        </w:rPr>
        <w:t>Investice bude dokončena do 31. prosince 2025.</w:t>
      </w:r>
    </w:p>
    <w:p>
      <w:pPr>
        <w:jc w:val="both"/>
        <w:rPr>
          <w:rFonts w:ascii="Times New Roman" w:hAnsi="Times New Roman"/>
          <w:b/>
          <w:noProof/>
          <w:sz w:val="24"/>
          <w:szCs w:val="24"/>
        </w:rPr>
      </w:pPr>
      <w:r>
        <w:rPr>
          <w:rFonts w:ascii="Times New Roman" w:hAnsi="Times New Roman"/>
          <w:b/>
          <w:noProof/>
          <w:sz w:val="24"/>
          <w:szCs w:val="24"/>
        </w:rPr>
        <w:t>Investice č. 3: Vybudování centra kardiovaskulární a transplantační medicíny</w:t>
      </w:r>
    </w:p>
    <w:p>
      <w:pPr>
        <w:jc w:val="both"/>
        <w:rPr>
          <w:rFonts w:ascii="Times New Roman" w:hAnsi="Times New Roman"/>
          <w:noProof/>
          <w:sz w:val="24"/>
          <w:szCs w:val="24"/>
        </w:rPr>
      </w:pPr>
      <w:r>
        <w:rPr>
          <w:rFonts w:ascii="Times New Roman" w:hAnsi="Times New Roman"/>
          <w:noProof/>
          <w:sz w:val="24"/>
          <w:szCs w:val="24"/>
        </w:rPr>
        <w:t xml:space="preserve">Cílem investice je zvýšit dostupnost vysoce specializované péče v oblasti kardiovaskulární a transplantační medicíny v jihomoravském regionu. Je plánována výstavba nových prostor centra kardiovaskulární a transplantační chirurgie v Brně, díky níž bude rozšířena jeho stávající kapacita a modernizováno vybavení s ohledem na moderní léčebné metody, a to s cílem řešit nedostatek odpovídajících zařízení na Moravě. Díky investici se zvýší počet lůžek ve stávajícím centru kardiovaskulární a transplantační chirurgie ze současných 90 na alespoň 125 lůžek. </w:t>
      </w:r>
    </w:p>
    <w:p>
      <w:pPr>
        <w:jc w:val="both"/>
        <w:rPr>
          <w:rFonts w:ascii="Times New Roman" w:hAnsi="Times New Roman"/>
          <w:noProof/>
          <w:sz w:val="24"/>
          <w:szCs w:val="24"/>
        </w:rPr>
      </w:pPr>
      <w:r>
        <w:rPr>
          <w:rFonts w:ascii="Times New Roman" w:hAnsi="Times New Roman"/>
          <w:noProof/>
          <w:sz w:val="24"/>
          <w:szCs w:val="24"/>
        </w:rPr>
        <w:t xml:space="preserve">Investice bude dokončena do 31. prosince 2025. </w:t>
      </w:r>
    </w:p>
    <w:p>
      <w:pPr>
        <w:rPr>
          <w:noProof/>
        </w:rPr>
      </w:pPr>
      <w:r>
        <w:rPr>
          <w:noProof/>
        </w:rPr>
        <w:t xml:space="preserve"> </w:t>
      </w:r>
    </w:p>
    <w:p>
      <w:pPr>
        <w:rPr>
          <w:noProof/>
        </w:rPr>
        <w:sectPr>
          <w:headerReference w:type="even" r:id="rId298"/>
          <w:headerReference w:type="default" r:id="rId299"/>
          <w:footerReference w:type="even" r:id="rId300"/>
          <w:footerReference w:type="default" r:id="rId301"/>
          <w:headerReference w:type="first" r:id="rId302"/>
          <w:footerReference w:type="first" r:id="rId303"/>
          <w:pgSz w:w="11907" w:h="16839"/>
          <w:pgMar w:top="1134" w:right="1418" w:bottom="1134" w:left="1418" w:header="709" w:footer="709" w:gutter="0"/>
          <w:cols w:space="708"/>
          <w:docGrid w:linePitch="299"/>
        </w:sectPr>
      </w:pPr>
    </w:p>
    <w:p>
      <w:pPr>
        <w:pBdr>
          <w:top w:val="nil"/>
          <w:left w:val="nil"/>
          <w:bottom w:val="nil"/>
          <w:right w:val="nil"/>
          <w:between w:val="nil"/>
        </w:pBdr>
        <w:tabs>
          <w:tab w:val="left" w:pos="993"/>
        </w:tabs>
        <w:rPr>
          <w:rFonts w:ascii="Times New Roman" w:hAnsi="Times New Roman"/>
          <w:b/>
          <w:noProof/>
          <w:color w:val="000000"/>
          <w:sz w:val="24"/>
          <w:szCs w:val="24"/>
          <w:u w:val="single"/>
        </w:rPr>
      </w:pPr>
      <w:r>
        <w:rPr>
          <w:rFonts w:ascii="Times New Roman" w:hAnsi="Times New Roman"/>
          <w:b/>
          <w:noProof/>
          <w:color w:val="000000"/>
          <w:sz w:val="24"/>
          <w:szCs w:val="24"/>
          <w:u w:val="single"/>
        </w:rPr>
        <w:t xml:space="preserve">Y.2 Milníky, cíle, ukazatele a harmonogram monitorování a provádění nevratné finanční podpory </w:t>
      </w:r>
    </w:p>
    <w:p>
      <w:pPr>
        <w:pBdr>
          <w:top w:val="nil"/>
          <w:left w:val="nil"/>
          <w:bottom w:val="nil"/>
          <w:right w:val="nil"/>
          <w:between w:val="nil"/>
        </w:pBdr>
        <w:rPr>
          <w:noProof/>
          <w:color w:val="000000"/>
        </w:rPr>
      </w:pPr>
    </w:p>
    <w:tbl>
      <w:tblPr>
        <w:tblW w:w="0" w:type="auto"/>
        <w:jc w:val="center"/>
        <w:tblLayout w:type="fixed"/>
        <w:tblLook w:val="04A0" w:firstRow="1" w:lastRow="0" w:firstColumn="1" w:lastColumn="0" w:noHBand="0" w:noVBand="1"/>
      </w:tblPr>
      <w:tblGrid>
        <w:gridCol w:w="675"/>
        <w:gridCol w:w="1418"/>
        <w:gridCol w:w="992"/>
        <w:gridCol w:w="1307"/>
        <w:gridCol w:w="1701"/>
        <w:gridCol w:w="850"/>
        <w:gridCol w:w="851"/>
        <w:gridCol w:w="567"/>
        <w:gridCol w:w="850"/>
        <w:gridCol w:w="608"/>
        <w:gridCol w:w="4745"/>
      </w:tblGrid>
      <w:tr>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418"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307"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701" w:type="dxa"/>
            <w:vMerge w:val="restart"/>
            <w:tcBorders>
              <w:top w:val="single" w:sz="8" w:space="0" w:color="auto"/>
              <w:left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268" w:type="dxa"/>
            <w:gridSpan w:val="3"/>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458"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1418"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992"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1307"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1701" w:type="dxa"/>
            <w:vMerge/>
            <w:tcBorders>
              <w:left w:val="single" w:sz="4" w:space="0" w:color="auto"/>
            </w:tcBorders>
            <w:vAlign w:val="center"/>
          </w:tcPr>
          <w:p>
            <w:pPr>
              <w:jc w:val="center"/>
              <w:rPr>
                <w:rFonts w:ascii="Times New Roman" w:hAnsi="Times New Roman"/>
                <w:noProof/>
                <w:sz w:val="16"/>
                <w:szCs w:val="16"/>
                <w:lang w:val="pl-PL"/>
              </w:rPr>
            </w:pP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851"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567"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608"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45"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en-IE"/>
              </w:rPr>
            </w:pPr>
          </w:p>
        </w:tc>
      </w:tr>
      <w:tr>
        <w:trPr>
          <w:trHeight w:val="18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231</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Reforma č. 1: Zlepšení vzdělávání zdravotnických pracovníků </w:t>
            </w:r>
          </w:p>
        </w:tc>
        <w:tc>
          <w:tcPr>
            <w:tcW w:w="992"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Elektronický systém pro řízení, správu a hodnocení vzdělávání zdravotnických pracovníků</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6100"/>
                <w:sz w:val="18"/>
                <w:szCs w:val="18"/>
              </w:rPr>
            </w:pPr>
            <w:r>
              <w:rPr>
                <w:rFonts w:ascii="Times New Roman" w:hAnsi="Times New Roman"/>
                <w:noProof/>
                <w:color w:val="006100"/>
                <w:sz w:val="18"/>
                <w:szCs w:val="18"/>
              </w:rPr>
              <w:t xml:space="preserve">Spuštění základní platformy elektronického systému pro řízení, správu a hodnocení vzdělávání zdravotnických pracovníků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Q2</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6100"/>
                <w:sz w:val="18"/>
                <w:szCs w:val="18"/>
              </w:rPr>
            </w:pPr>
            <w:r>
              <w:rPr>
                <w:rFonts w:ascii="Times New Roman" w:hAnsi="Times New Roman"/>
                <w:noProof/>
                <w:color w:val="006100"/>
                <w:sz w:val="18"/>
                <w:szCs w:val="18"/>
              </w:rPr>
              <w:t xml:space="preserve">Ministerstvo zdravotnictví zřídí základní platformu nového elektronického systému pro řízení, správu a hodnocení vzdělávání zdravotnických pracovníků. Elektronický systém bude dále rozvíjen a doplněn moduly podle aktuálních potřeb v oblasti vzdělávání.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232</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Vznik simulačního centra intenzivní medicíny a optimalizace systému vzdělávání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Výzva k podávání návrhů na výstavbu simulačního centra intenzivní medicíny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6100"/>
                <w:sz w:val="18"/>
                <w:szCs w:val="18"/>
              </w:rPr>
            </w:pPr>
            <w:r>
              <w:rPr>
                <w:rFonts w:ascii="Times New Roman" w:hAnsi="Times New Roman"/>
                <w:noProof/>
                <w:color w:val="006100"/>
                <w:sz w:val="18"/>
                <w:szCs w:val="18"/>
              </w:rPr>
              <w:t>Oznámení o zadání otevřené a veřejné zakázky dodavateli</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Oznámení o zadání veřejné zakázky na výstavbu simulačního centra intenzivní medicíny, které bude zajišťovat odbornou přípravu pro zdravotníky v široké škále lékařských oborů: </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 xml:space="preserve">anesteziologie a resuscitace, </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ostatní obory lékařské i nelékařské – nácviky dovedností souvisících s urgentními stavy,</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 xml:space="preserve">přednemocniční péče a sanitka, </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 xml:space="preserve">urgentní příjem, </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JIP a víceúčelový operační sál,</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 xml:space="preserve">integrovaný záchranný systém, </w:t>
            </w:r>
          </w:p>
          <w:p>
            <w:pPr>
              <w:pStyle w:val="ListParagraph"/>
              <w:numPr>
                <w:ilvl w:val="0"/>
                <w:numId w:val="62"/>
              </w:numPr>
              <w:spacing w:before="0" w:after="0" w:line="240" w:lineRule="auto"/>
              <w:rPr>
                <w:rFonts w:ascii="Times New Roman" w:hAnsi="Times New Roman"/>
                <w:noProof/>
                <w:color w:val="006100"/>
                <w:sz w:val="18"/>
                <w:szCs w:val="18"/>
              </w:rPr>
            </w:pPr>
            <w:r>
              <w:rPr>
                <w:rFonts w:ascii="Times New Roman" w:hAnsi="Times New Roman"/>
                <w:noProof/>
                <w:color w:val="006100"/>
                <w:sz w:val="18"/>
                <w:szCs w:val="18"/>
              </w:rPr>
              <w:t>soft skills – komunikace v týmu, krizová komunikace, vedení.</w:t>
            </w:r>
          </w:p>
          <w:p>
            <w:pPr>
              <w:spacing w:before="0" w:after="0" w:line="259" w:lineRule="auto"/>
              <w:rPr>
                <w:rFonts w:ascii="Times New Roman" w:hAnsi="Times New Roman"/>
                <w:noProof/>
                <w:color w:val="006100"/>
                <w:sz w:val="18"/>
                <w:szCs w:val="18"/>
              </w:rPr>
            </w:pPr>
          </w:p>
          <w:p>
            <w:pPr>
              <w:spacing w:before="0"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Dodavatel bude vybrán v otevřeném a veřejném výběrovém řízení. Před zahájením výběrového řízení bude provedeno posouzení potřeb. </w:t>
            </w:r>
          </w:p>
        </w:tc>
      </w:tr>
      <w:tr>
        <w:trPr>
          <w:trHeight w:val="461"/>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233</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1: Vznik simulačního centra intenzivní medicíny a optimalizace systému vzdělávání</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Zahájení provozu simulačního centra intenzivní medicíny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Výstavba, kompletní vybavení a zprovoznění simulačního centra intenzivní medicíny</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Simulační centrum intenzivní medicíny bude postaveno, kompletně vybaveno a zprovozněno. Bude je provozovat Institut postgraduálního vzdělávání ve zdravotnictví. Kapacita by měla být dostatečná k tomu, aby byla v centru zajištěna možnost vzdělávání pro nejméně 1 500 zdravotníků ročně.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234</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2: Rehabilitační péče pro pacienty po kritických stavech</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Cíl</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Podpora rehabilitační péče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6100"/>
                <w:sz w:val="18"/>
                <w:szCs w:val="18"/>
                <w:lang w:val="en-I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 Počet</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0</w:t>
            </w: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19</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pBdr>
                <w:top w:val="nil"/>
                <w:left w:val="nil"/>
                <w:bottom w:val="nil"/>
                <w:right w:val="nil"/>
                <w:between w:val="nil"/>
              </w:pBdr>
              <w:spacing w:after="0" w:line="259" w:lineRule="auto"/>
              <w:rPr>
                <w:rFonts w:ascii="Times New Roman" w:hAnsi="Times New Roman"/>
                <w:noProof/>
                <w:color w:val="006100"/>
                <w:sz w:val="18"/>
                <w:szCs w:val="18"/>
              </w:rPr>
            </w:pPr>
            <w:r>
              <w:rPr>
                <w:rFonts w:ascii="Times New Roman" w:hAnsi="Times New Roman"/>
                <w:noProof/>
                <w:color w:val="006100"/>
                <w:sz w:val="18"/>
                <w:szCs w:val="18"/>
              </w:rPr>
              <w:t xml:space="preserve">Podpora se poskytuje prostřednictvím grantového programu s celkovým přídělem 61 660 000 EUR. Podporu získá nejméně 19 projektů na zvýšení kapacity rehabilitační péče pro pacienty po kritických podmínkách ve veřejných nemocnicích. Očekává se, že se počet případů poskytnutí péče pacientům po kritických stavech v rehabilitačních pečovatelských jednotkách zvýší o 10 %.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235</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Investice č. 3: Vybudování centra kardiovaskulární a transplantační medicíny</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Milník</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Plně funkční centrum kardiovaskulární a transplantační medicíny</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rPr>
            </w:pPr>
            <w:r>
              <w:rPr>
                <w:rFonts w:ascii="Times New Roman" w:hAnsi="Times New Roman"/>
                <w:noProof/>
                <w:color w:val="006100"/>
                <w:sz w:val="18"/>
                <w:szCs w:val="18"/>
              </w:rPr>
              <w:t xml:space="preserve">Plně funkční centrum kardiovaskulární a transplantační medicíny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6100"/>
                <w:sz w:val="18"/>
                <w:szCs w:val="18"/>
                <w:lang w:eastAsia="cs-CZ"/>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sz w:val="18"/>
                <w:szCs w:val="18"/>
              </w:rPr>
            </w:pPr>
            <w:r>
              <w:rPr>
                <w:rFonts w:ascii="Times New Roman" w:hAnsi="Times New Roman"/>
                <w:noProof/>
                <w:color w:val="006100"/>
                <w:sz w:val="18"/>
                <w:szCs w:val="18"/>
              </w:rPr>
              <w:t>Q4</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6100"/>
                <w:sz w:val="18"/>
                <w:szCs w:val="18"/>
              </w:rPr>
            </w:pPr>
            <w:r>
              <w:rPr>
                <w:rFonts w:ascii="Times New Roman" w:hAnsi="Times New Roman"/>
                <w:noProof/>
                <w:color w:val="006100"/>
                <w:sz w:val="18"/>
                <w:szCs w:val="18"/>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Nová zařízení Centra kardiovaskulární a transplantační medicíny v plném provozu. Výstavba nového zařízení vytvoří v Centru kardiovaskulární a transplantační medicíny nejméně 35 nových lůžek. Výstavba bude zadána v otevřeném a veřejném výběrovém řízení. Před zahájením výběrového řízení bude provedeno posouzení potřeb.</w:t>
            </w:r>
          </w:p>
        </w:tc>
      </w:tr>
    </w:tbl>
    <w:p>
      <w:pPr>
        <w:pBdr>
          <w:top w:val="nil"/>
          <w:left w:val="nil"/>
          <w:bottom w:val="nil"/>
          <w:right w:val="nil"/>
          <w:between w:val="nil"/>
        </w:pBdr>
        <w:rPr>
          <w:noProof/>
          <w:color w:val="000000"/>
        </w:rPr>
        <w:sectPr>
          <w:headerReference w:type="even" r:id="rId304"/>
          <w:headerReference w:type="default" r:id="rId305"/>
          <w:footerReference w:type="even" r:id="rId306"/>
          <w:footerReference w:type="default" r:id="rId307"/>
          <w:headerReference w:type="first" r:id="rId308"/>
          <w:footerReference w:type="first" r:id="rId309"/>
          <w:pgSz w:w="16839" w:h="11907" w:orient="landscape"/>
          <w:pgMar w:top="142" w:right="1134" w:bottom="1418" w:left="1134" w:header="709" w:footer="709" w:gutter="0"/>
          <w:cols w:space="708"/>
        </w:sectPr>
      </w:pPr>
    </w:p>
    <w:p>
      <w:pPr>
        <w:keepNext/>
        <w:tabs>
          <w:tab w:val="left" w:pos="850"/>
        </w:tabs>
        <w:jc w:val="both"/>
        <w:outlineLvl w:val="0"/>
        <w:rPr>
          <w:rFonts w:ascii="Times New Roman" w:hAnsi="Times New Roman"/>
          <w:b/>
          <w:smallCaps/>
          <w:noProof/>
          <w:sz w:val="24"/>
        </w:rPr>
      </w:pPr>
      <w:r>
        <w:rPr>
          <w:rFonts w:ascii="Times New Roman" w:hAnsi="Times New Roman"/>
          <w:b/>
          <w:smallCaps/>
          <w:noProof/>
          <w:sz w:val="24"/>
        </w:rPr>
        <w:t>Z. KOMPONENTA č. 6.2: Národní plán na posílení onkologické prevence a péče</w:t>
      </w:r>
    </w:p>
    <w:p>
      <w:pPr>
        <w:jc w:val="both"/>
        <w:rPr>
          <w:rFonts w:ascii="Times New Roman" w:eastAsia="Times New Roman" w:hAnsi="Times New Roman"/>
          <w:noProof/>
          <w:sz w:val="24"/>
          <w:szCs w:val="24"/>
        </w:rPr>
      </w:pPr>
      <w:r>
        <w:rPr>
          <w:rFonts w:ascii="Times New Roman" w:hAnsi="Times New Roman"/>
          <w:noProof/>
          <w:sz w:val="24"/>
          <w:szCs w:val="24"/>
        </w:rPr>
        <w:t xml:space="preserve">Tato komponenta Plánu pro oživení a odolnost České republiky přispívá k řešení výzvy spočívající ve zvýšení odolnosti systému onkologické prevence a péče, který je zatížen dlouhodobými negativními dopady pandemie COVID-19. </w:t>
      </w:r>
    </w:p>
    <w:p>
      <w:pPr>
        <w:jc w:val="both"/>
        <w:rPr>
          <w:rFonts w:ascii="Times New Roman" w:eastAsia="Times New Roman" w:hAnsi="Times New Roman"/>
          <w:noProof/>
          <w:sz w:val="24"/>
          <w:szCs w:val="24"/>
        </w:rPr>
      </w:pPr>
      <w:r>
        <w:rPr>
          <w:rFonts w:ascii="Times New Roman" w:hAnsi="Times New Roman"/>
          <w:noProof/>
          <w:sz w:val="24"/>
          <w:szCs w:val="24"/>
        </w:rPr>
        <w:t>Pokud jde o reformy, bude vytvořen nový Národní onkologický program České republiky pro období 2022–2030 a budou rozšířeny screeningové programy pro onkologickou prevenci a zvýšena jejich kvalita.</w:t>
      </w:r>
    </w:p>
    <w:p>
      <w:pPr>
        <w:jc w:val="both"/>
        <w:rPr>
          <w:rFonts w:ascii="Times New Roman" w:eastAsia="Times New Roman" w:hAnsi="Times New Roman"/>
          <w:noProof/>
          <w:sz w:val="24"/>
          <w:szCs w:val="24"/>
        </w:rPr>
      </w:pPr>
      <w:r>
        <w:rPr>
          <w:rFonts w:ascii="Times New Roman" w:hAnsi="Times New Roman"/>
          <w:noProof/>
          <w:sz w:val="24"/>
          <w:szCs w:val="24"/>
        </w:rPr>
        <w:t xml:space="preserve">Pokud jde o zdravotnickou infrastrukturu, cílem je podpořit vybudování Českého onkologického institutu v Praze a Centra onkologické prevence. Kromě toho budou za účelem posílení onkologické prevence podpořena také centra onkologické a hematoonkologické péče, jakož i nová zařízení v Masarykově onkologickém ústavu v Brně. </w:t>
      </w:r>
    </w:p>
    <w:p>
      <w:pPr>
        <w:jc w:val="both"/>
        <w:rPr>
          <w:rFonts w:ascii="Times New Roman" w:eastAsia="Times New Roman" w:hAnsi="Times New Roman"/>
          <w:noProof/>
          <w:sz w:val="24"/>
          <w:szCs w:val="24"/>
        </w:rPr>
      </w:pPr>
      <w:r>
        <w:rPr>
          <w:rFonts w:ascii="Times New Roman" w:hAnsi="Times New Roman"/>
          <w:noProof/>
          <w:sz w:val="24"/>
          <w:szCs w:val="24"/>
        </w:rPr>
        <w:t>Komponenta přispívá k plnění doporučení pro zemi č. 1 na rok 2020, podle něhož má Česko zajistit odolnost systému zdravotní péče, posílit dostupnost zdravotnických pracovníků, primární péči a integraci péče a zavést služby elektronického zdravotnictví.</w:t>
      </w:r>
    </w:p>
    <w:p>
      <w:pPr>
        <w:jc w:val="both"/>
        <w:rPr>
          <w:rFonts w:ascii="Times New Roman" w:eastAsia="Times New Roman" w:hAnsi="Times New Roman"/>
          <w:noProof/>
          <w:sz w:val="24"/>
          <w:szCs w:val="24"/>
        </w:rPr>
      </w:pPr>
      <w:r>
        <w:rPr>
          <w:rFonts w:ascii="Times New Roman" w:hAnsi="Times New Roman"/>
          <w:noProof/>
          <w:sz w:val="24"/>
          <w:szCs w:val="24"/>
        </w:rPr>
        <w:t xml:space="preserve">Očekává se, že žádné opatření v této komponentě významně nepoškodí environmentální cíle ve smyslu článku 17 nařízení (EU) 2020/852, s přihlédnutím k popisu opatření a zmírňujícím krokům stanoveným v plánu na podporu oživení a odolnosti v souladu s technickými pokyny k uplatňování zásady „významně nepoškozovat“ (2021/C58/01). </w:t>
      </w:r>
    </w:p>
    <w:p>
      <w:pPr>
        <w:jc w:val="both"/>
        <w:rPr>
          <w:rFonts w:ascii="Times New Roman" w:eastAsia="Times New Roman" w:hAnsi="Times New Roman"/>
          <w:noProof/>
          <w:sz w:val="24"/>
          <w:szCs w:val="24"/>
          <w:highlight w:val="yellow"/>
          <w:lang w:eastAsia="cs-CZ"/>
        </w:rPr>
      </w:pPr>
    </w:p>
    <w:p>
      <w:pPr>
        <w:jc w:val="both"/>
        <w:rPr>
          <w:rFonts w:ascii="Times New Roman" w:eastAsia="Times New Roman" w:hAnsi="Times New Roman"/>
          <w:noProof/>
          <w:sz w:val="24"/>
          <w:szCs w:val="24"/>
        </w:rPr>
      </w:pPr>
      <w:r>
        <w:rPr>
          <w:rFonts w:ascii="Times New Roman" w:hAnsi="Times New Roman"/>
          <w:b/>
          <w:noProof/>
          <w:sz w:val="24"/>
          <w:szCs w:val="24"/>
          <w:u w:val="single"/>
        </w:rPr>
        <w:t>Z.1 Popis reforem a investic pro nevratnou finanční podporu</w:t>
      </w:r>
    </w:p>
    <w:p>
      <w:pPr>
        <w:rPr>
          <w:rFonts w:ascii="Times New Roman" w:eastAsia="Times New Roman" w:hAnsi="Times New Roman"/>
          <w:b/>
          <w:noProof/>
          <w:sz w:val="24"/>
          <w:szCs w:val="24"/>
        </w:rPr>
      </w:pPr>
      <w:r>
        <w:rPr>
          <w:rFonts w:ascii="Times New Roman" w:hAnsi="Times New Roman"/>
          <w:b/>
          <w:noProof/>
          <w:sz w:val="24"/>
          <w:szCs w:val="24"/>
        </w:rPr>
        <w:t>Reforma č. 1: Národní onkologický program ČR – NOP ČR 2030</w:t>
      </w:r>
    </w:p>
    <w:p>
      <w:pPr>
        <w:jc w:val="both"/>
        <w:rPr>
          <w:rFonts w:ascii="Times New Roman" w:eastAsia="Times New Roman" w:hAnsi="Times New Roman"/>
          <w:noProof/>
          <w:sz w:val="24"/>
          <w:szCs w:val="24"/>
        </w:rPr>
      </w:pPr>
      <w:r>
        <w:rPr>
          <w:rFonts w:ascii="Times New Roman" w:hAnsi="Times New Roman"/>
          <w:noProof/>
          <w:sz w:val="24"/>
          <w:szCs w:val="24"/>
        </w:rPr>
        <w:t>Cílem reformy je vytvoření nového Národního onkologického programu České republiky na období 2022–2030 (NOP ČR 2030). NOP na období 2022–2030 odráží priority stanovené v evropském plánu boje proti rakovině, včetně zásad kultury péče o pacienty</w:t>
      </w:r>
      <w:r>
        <w:rPr>
          <w:rFonts w:ascii="Times New Roman" w:eastAsia="Times New Roman" w:hAnsi="Times New Roman"/>
          <w:noProof/>
          <w:sz w:val="24"/>
          <w:szCs w:val="24"/>
          <w:vertAlign w:val="superscript"/>
          <w:lang w:eastAsia="cs-CZ"/>
        </w:rPr>
        <w:footnoteReference w:id="16"/>
      </w:r>
      <w:r>
        <w:rPr>
          <w:rFonts w:ascii="Times New Roman" w:hAnsi="Times New Roman"/>
          <w:noProof/>
          <w:sz w:val="24"/>
          <w:szCs w:val="24"/>
        </w:rPr>
        <w:t>. Za přípravu programu odpovídá Česká onkologická společnost. Ministerstvo zdravotnictví zřídí Národní radu pro implementaci NOP, která bude plnit koordinační roli ve fázích přípravy, implementace a hodnocení.</w:t>
      </w:r>
    </w:p>
    <w:p>
      <w:pPr>
        <w:jc w:val="both"/>
        <w:rPr>
          <w:rFonts w:ascii="Times New Roman" w:eastAsia="Times New Roman" w:hAnsi="Times New Roman"/>
          <w:noProof/>
          <w:sz w:val="24"/>
          <w:szCs w:val="24"/>
        </w:rPr>
      </w:pPr>
      <w:r>
        <w:rPr>
          <w:rFonts w:ascii="Times New Roman" w:hAnsi="Times New Roman"/>
          <w:noProof/>
          <w:sz w:val="24"/>
          <w:szCs w:val="24"/>
        </w:rPr>
        <w:t>Reforma bude dokončena do 31. prosince 2025.</w:t>
      </w:r>
    </w:p>
    <w:p>
      <w:pPr>
        <w:rPr>
          <w:rFonts w:ascii="Times New Roman" w:eastAsia="Times New Roman" w:hAnsi="Times New Roman"/>
          <w:noProof/>
          <w:sz w:val="24"/>
          <w:szCs w:val="24"/>
        </w:rPr>
      </w:pPr>
      <w:r>
        <w:rPr>
          <w:rFonts w:ascii="Times New Roman" w:hAnsi="Times New Roman"/>
          <w:b/>
          <w:bCs/>
          <w:noProof/>
          <w:sz w:val="24"/>
          <w:szCs w:val="24"/>
        </w:rPr>
        <w:t>Reforma č. 2: Podpora a zvyšování kvality preventivních screeningových programů</w:t>
      </w:r>
    </w:p>
    <w:p>
      <w:pPr>
        <w:jc w:val="both"/>
        <w:rPr>
          <w:rFonts w:ascii="Times New Roman" w:eastAsia="Times New Roman" w:hAnsi="Times New Roman"/>
          <w:noProof/>
          <w:sz w:val="24"/>
          <w:szCs w:val="24"/>
        </w:rPr>
      </w:pPr>
      <w:r>
        <w:rPr>
          <w:rFonts w:ascii="Times New Roman" w:hAnsi="Times New Roman"/>
          <w:noProof/>
          <w:sz w:val="24"/>
          <w:szCs w:val="24"/>
        </w:rPr>
        <w:t>Reforma bude zaměřena na rozšíření programů onkologické prevence a zvýšení jejich kvality s cílem snížit morbiditu i mortalitu nádorových onemocnění, omezit náklady na léčbu pokročilých stádií onemocnění a zvýšit délku a kvalitu života lidí. Opatření zahrnují:</w:t>
      </w:r>
    </w:p>
    <w:p>
      <w:pPr>
        <w:numPr>
          <w:ilvl w:val="0"/>
          <w:numId w:val="33"/>
        </w:numPr>
        <w:spacing w:line="259" w:lineRule="auto"/>
        <w:ind w:left="360"/>
        <w:contextualSpacing/>
        <w:jc w:val="both"/>
        <w:rPr>
          <w:rFonts w:cs="Calibri"/>
          <w:noProof/>
        </w:rPr>
      </w:pPr>
      <w:r>
        <w:rPr>
          <w:rFonts w:ascii="Times New Roman" w:hAnsi="Times New Roman"/>
          <w:noProof/>
          <w:sz w:val="24"/>
          <w:szCs w:val="24"/>
        </w:rPr>
        <w:t>do 30. června 2025 jmenování Národního screeningového centra orgánem odpovědným za koordinaci onkologických screeningových programů v České republice,</w:t>
      </w:r>
    </w:p>
    <w:p>
      <w:pPr>
        <w:numPr>
          <w:ilvl w:val="0"/>
          <w:numId w:val="33"/>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rozšíření a posílení dostupnosti, výkonnosti a dopadů stávajících screeningových programů, a to zejména zvýšením pokrytí cílové populace. Například pokrytí cílové populace screeningovým programem zaměřeným na karcinom tlustého střeva a konečníku se do 30. června 2026 zvýší alespoň na 40 %,</w:t>
      </w:r>
    </w:p>
    <w:p>
      <w:pPr>
        <w:numPr>
          <w:ilvl w:val="0"/>
          <w:numId w:val="33"/>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 xml:space="preserve">pilotní provoz nových screeningových programů, včetně jejich verifikace formou populačních a klinických studií. Především bude zahájen program včasného záchytu karcinomu plic a do 30. června 2026 se ho má zúčastnit alespoň 20 000 účastníků z cílové populace, </w:t>
      </w:r>
    </w:p>
    <w:p>
      <w:pPr>
        <w:numPr>
          <w:ilvl w:val="0"/>
          <w:numId w:val="33"/>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vytvoření systému umožňujícího plánování nových programů prevence a odhadování jejich nákladové efektivity a dopadu na systém veřejného zdravotního pojištění,</w:t>
      </w:r>
    </w:p>
    <w:p>
      <w:pPr>
        <w:numPr>
          <w:ilvl w:val="0"/>
          <w:numId w:val="33"/>
        </w:numPr>
        <w:spacing w:line="259" w:lineRule="auto"/>
        <w:ind w:left="360"/>
        <w:contextualSpacing/>
        <w:jc w:val="both"/>
        <w:rPr>
          <w:rFonts w:ascii="Times New Roman" w:eastAsia="Times New Roman" w:hAnsi="Times New Roman"/>
          <w:noProof/>
          <w:sz w:val="24"/>
          <w:szCs w:val="24"/>
        </w:rPr>
      </w:pPr>
      <w:r>
        <w:rPr>
          <w:rFonts w:ascii="Times New Roman" w:hAnsi="Times New Roman"/>
          <w:noProof/>
          <w:sz w:val="24"/>
          <w:szCs w:val="24"/>
        </w:rPr>
        <w:t>vytvoření databáze pro plošné monitorování a hodnocení screeningových programů, včetně širokého panelu ukazatelů kvality a hodnocení účinnosti.</w:t>
      </w:r>
    </w:p>
    <w:p>
      <w:pPr>
        <w:jc w:val="both"/>
        <w:rPr>
          <w:rFonts w:ascii="Times New Roman" w:eastAsia="Times New Roman" w:hAnsi="Times New Roman"/>
          <w:noProof/>
          <w:sz w:val="24"/>
          <w:szCs w:val="24"/>
        </w:rPr>
      </w:pPr>
      <w:r>
        <w:rPr>
          <w:rFonts w:ascii="Times New Roman" w:hAnsi="Times New Roman"/>
          <w:noProof/>
          <w:sz w:val="24"/>
          <w:szCs w:val="24"/>
        </w:rPr>
        <w:t xml:space="preserve">Opatření bude dokončeno do 30. června 2026. </w:t>
      </w:r>
    </w:p>
    <w:p>
      <w:pPr>
        <w:rPr>
          <w:rFonts w:ascii="Times New Roman" w:eastAsia="Times New Roman" w:hAnsi="Times New Roman"/>
          <w:b/>
          <w:bCs/>
          <w:noProof/>
          <w:sz w:val="24"/>
          <w:szCs w:val="24"/>
        </w:rPr>
      </w:pPr>
      <w:r>
        <w:rPr>
          <w:rFonts w:ascii="Times New Roman" w:hAnsi="Times New Roman"/>
          <w:b/>
          <w:bCs/>
          <w:noProof/>
          <w:sz w:val="24"/>
          <w:szCs w:val="24"/>
        </w:rPr>
        <w:t>Investice č. 1: Vybudování Českého onkologického institutu</w:t>
      </w:r>
    </w:p>
    <w:p>
      <w:pPr>
        <w:jc w:val="both"/>
        <w:rPr>
          <w:rFonts w:ascii="Times New Roman" w:eastAsia="Times New Roman" w:hAnsi="Times New Roman"/>
          <w:noProof/>
          <w:sz w:val="24"/>
          <w:szCs w:val="24"/>
        </w:rPr>
      </w:pPr>
      <w:r>
        <w:rPr>
          <w:rFonts w:ascii="Times New Roman" w:hAnsi="Times New Roman"/>
          <w:noProof/>
          <w:sz w:val="24"/>
          <w:szCs w:val="24"/>
        </w:rPr>
        <w:t>Investice se zaměřuje na vybudování Českého onkologického institutu v Praze zaměřeného na prevenci, diagnostiku a léčbu onkologických onemocnění ve všech léčebných modalitách v jednom centru péče. Investice zahrnuje výstavbu nové budovy a nákup vybavení (mimo jiné klinického vybavení, zařízení informačních a komunikačních technologií a bezpečnostního vybavení). Cílem je také vybudovat onkologické centrum s mezinárodním přesahem v regionu střední a východní Evropy. Předpokládá se, že kapacita bude činit 8 500–1 200 hospitalizovaných pacientů ročně.</w:t>
      </w:r>
    </w:p>
    <w:p>
      <w:pPr>
        <w:jc w:val="both"/>
        <w:rPr>
          <w:rFonts w:ascii="Times New Roman" w:eastAsia="Times New Roman" w:hAnsi="Times New Roman"/>
          <w:noProof/>
          <w:sz w:val="24"/>
          <w:szCs w:val="24"/>
        </w:rPr>
      </w:pPr>
      <w:r>
        <w:rPr>
          <w:rFonts w:ascii="Times New Roman" w:hAnsi="Times New Roman"/>
          <w:noProof/>
          <w:sz w:val="24"/>
          <w:szCs w:val="24"/>
        </w:rPr>
        <w:t>Ministerstvo zdravotnictví předloží do 15. března 2022 soubor nezbytných dokumentů, včetně:</w:t>
      </w:r>
    </w:p>
    <w:p>
      <w:pPr>
        <w:numPr>
          <w:ilvl w:val="0"/>
          <w:numId w:val="70"/>
        </w:numPr>
        <w:rPr>
          <w:rFonts w:ascii="Times New Roman" w:hAnsi="Times New Roman"/>
          <w:noProof/>
          <w:sz w:val="24"/>
          <w:szCs w:val="24"/>
        </w:rPr>
      </w:pPr>
      <w:r>
        <w:rPr>
          <w:rFonts w:ascii="Times New Roman" w:hAnsi="Times New Roman"/>
          <w:noProof/>
          <w:sz w:val="24"/>
          <w:szCs w:val="24"/>
        </w:rPr>
        <w:t xml:space="preserve">lékařského programu / funkčního plánu a předběžného návrhu vhodného pro účely projektování a zadávání veřejných zakázek, </w:t>
      </w:r>
    </w:p>
    <w:p>
      <w:pPr>
        <w:numPr>
          <w:ilvl w:val="0"/>
          <w:numId w:val="70"/>
        </w:numPr>
        <w:rPr>
          <w:rFonts w:ascii="Times New Roman" w:hAnsi="Times New Roman"/>
          <w:noProof/>
          <w:sz w:val="24"/>
          <w:szCs w:val="24"/>
        </w:rPr>
      </w:pPr>
      <w:r>
        <w:rPr>
          <w:rFonts w:ascii="Times New Roman" w:hAnsi="Times New Roman"/>
          <w:noProof/>
          <w:sz w:val="24"/>
          <w:szCs w:val="24"/>
        </w:rPr>
        <w:t>studie proveditelnosti, včetně posouzení potřeb v kontextu širší zdravotní strategie, technické, provozní a ekonomické proveditelnosti, udržitelnosti z finančního i personálního hlediska a dopadu na poskytování onkologické péče na regionální a vnitrostátní úrovni, včetně doby strávené cestováním a odborné způsobilosti.</w:t>
      </w:r>
    </w:p>
    <w:p>
      <w:pPr>
        <w:jc w:val="both"/>
        <w:rPr>
          <w:rFonts w:ascii="Times New Roman" w:eastAsia="Times New Roman" w:hAnsi="Times New Roman"/>
          <w:noProof/>
          <w:sz w:val="24"/>
          <w:szCs w:val="24"/>
        </w:rPr>
      </w:pPr>
      <w:r>
        <w:rPr>
          <w:rFonts w:ascii="Times New Roman" w:hAnsi="Times New Roman"/>
          <w:noProof/>
          <w:sz w:val="24"/>
          <w:szCs w:val="24"/>
        </w:rPr>
        <w:t xml:space="preserve">Tyto dokumenty potvrdí nezávislý orgán do 31. prosince 2022. </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bude dokončena do 30. června 2026. </w:t>
      </w:r>
    </w:p>
    <w:p>
      <w:pPr>
        <w:jc w:val="both"/>
        <w:rPr>
          <w:rFonts w:ascii="Times New Roman" w:eastAsia="Times New Roman" w:hAnsi="Times New Roman"/>
          <w:b/>
          <w:noProof/>
          <w:sz w:val="24"/>
          <w:szCs w:val="24"/>
        </w:rPr>
      </w:pPr>
      <w:r>
        <w:rPr>
          <w:rFonts w:ascii="Times New Roman" w:hAnsi="Times New Roman"/>
          <w:b/>
          <w:noProof/>
          <w:sz w:val="24"/>
          <w:szCs w:val="24"/>
        </w:rPr>
        <w:t>Investice č. 2: Rozvoj vysoce specializované hematoonkologické a onkologické péče</w:t>
      </w:r>
    </w:p>
    <w:p>
      <w:pPr>
        <w:jc w:val="both"/>
        <w:rPr>
          <w:rFonts w:ascii="Times New Roman" w:eastAsia="Times New Roman" w:hAnsi="Times New Roman"/>
          <w:noProof/>
          <w:sz w:val="23"/>
          <w:szCs w:val="23"/>
        </w:rPr>
      </w:pPr>
      <w:r>
        <w:rPr>
          <w:rFonts w:ascii="Times New Roman" w:hAnsi="Times New Roman"/>
          <w:noProof/>
          <w:sz w:val="24"/>
          <w:szCs w:val="24"/>
        </w:rPr>
        <w:t>Cílem investice je posílit vysoce specializovanou onkologickou péči v komplexních onkologických centrech i v centrech vysoce specializované hematoonkologie prostřednictvím nákupu špičkových technologií a vybavení. Investice umožní onkologickým centrům poskytovat diagnostiku a léčbu nádorových onemocnění na základě principů precizní a personalizované medicíny, což by zlepšilo diagnostiku a léčbu zejména vzácných druhů onkologických onemocnění. Do konceptu precizní medicíny spadá zejména teranostika, pokročilé zobrazovací metody, individualizované buněčné a genové terapie a moderní radioterapie. Bude podpořeno alespoň deset komplexních onkologických center a center vysoce specializované hematoonkologie.</w:t>
      </w:r>
    </w:p>
    <w:p>
      <w:pPr>
        <w:jc w:val="both"/>
        <w:rPr>
          <w:rFonts w:ascii="Times New Roman" w:eastAsia="Times New Roman" w:hAnsi="Times New Roman"/>
          <w:noProof/>
          <w:sz w:val="24"/>
          <w:szCs w:val="24"/>
        </w:rPr>
      </w:pPr>
      <w:r>
        <w:rPr>
          <w:rFonts w:ascii="Times New Roman" w:hAnsi="Times New Roman"/>
          <w:noProof/>
          <w:sz w:val="24"/>
          <w:szCs w:val="24"/>
        </w:rPr>
        <w:t xml:space="preserve">Investice bude dokončena do 30. června 2026. </w:t>
      </w:r>
    </w:p>
    <w:p>
      <w:pPr>
        <w:jc w:val="both"/>
        <w:rPr>
          <w:rFonts w:ascii="Times New Roman" w:eastAsia="Times New Roman" w:hAnsi="Times New Roman"/>
          <w:b/>
          <w:noProof/>
          <w:sz w:val="24"/>
          <w:szCs w:val="24"/>
        </w:rPr>
      </w:pPr>
      <w:r>
        <w:rPr>
          <w:rFonts w:ascii="Times New Roman" w:hAnsi="Times New Roman"/>
          <w:b/>
          <w:noProof/>
          <w:sz w:val="24"/>
          <w:szCs w:val="24"/>
        </w:rPr>
        <w:t>Investice č. 3: Vznik a rozvoj Centra onkologické prevence a infrastruktury pro inovativní a podpůrnou péči v Masarykově onkologickém ústavu</w:t>
      </w:r>
    </w:p>
    <w:p>
      <w:pPr>
        <w:autoSpaceDE w:val="0"/>
        <w:autoSpaceDN w:val="0"/>
        <w:adjustRightInd w:val="0"/>
        <w:jc w:val="both"/>
        <w:rPr>
          <w:rFonts w:ascii="Times New Roman" w:hAnsi="Times New Roman"/>
          <w:b/>
          <w:bCs/>
          <w:noProof/>
          <w:color w:val="000000"/>
          <w:sz w:val="23"/>
          <w:szCs w:val="23"/>
        </w:rPr>
      </w:pPr>
      <w:r>
        <w:rPr>
          <w:rFonts w:ascii="Times New Roman" w:hAnsi="Times New Roman"/>
          <w:bCs/>
          <w:noProof/>
          <w:color w:val="000000"/>
          <w:sz w:val="24"/>
          <w:szCs w:val="24"/>
        </w:rPr>
        <w:t>Cílem investice je zvýšit kapacitu a rozvíjet inovativní onkologickou prevenci a péči v Masarykově onkologickém ústavu v Brně.</w:t>
      </w:r>
      <w:r>
        <w:rPr>
          <w:rFonts w:ascii="Times New Roman" w:hAnsi="Times New Roman"/>
          <w:bCs/>
          <w:iCs/>
          <w:noProof/>
          <w:color w:val="000000"/>
          <w:sz w:val="24"/>
          <w:szCs w:val="24"/>
        </w:rPr>
        <w:t xml:space="preserve"> </w:t>
      </w:r>
      <w:r>
        <w:rPr>
          <w:rFonts w:ascii="Times New Roman" w:hAnsi="Times New Roman"/>
          <w:bCs/>
          <w:noProof/>
          <w:color w:val="000000"/>
          <w:sz w:val="24"/>
          <w:szCs w:val="24"/>
        </w:rPr>
        <w:t>Zaprvé investice zahrnuje vybudování nového objektu Centra onkologické prevence, čímž se zvýší počet programů onkologické prevence (primární, sekundární a terciární) a oddělí se preventivní péče od provozů poskytování péče (což řeší protiepidemické a psychosociální aspekty).</w:t>
      </w:r>
      <w:r>
        <w:rPr>
          <w:rFonts w:ascii="Times New Roman" w:hAnsi="Times New Roman"/>
          <w:bCs/>
          <w:iCs/>
          <w:noProof/>
          <w:color w:val="000000"/>
          <w:sz w:val="24"/>
          <w:szCs w:val="24"/>
        </w:rPr>
        <w:t xml:space="preserve"> </w:t>
      </w:r>
      <w:r>
        <w:rPr>
          <w:rFonts w:ascii="Times New Roman" w:hAnsi="Times New Roman"/>
          <w:noProof/>
          <w:color w:val="000000"/>
          <w:sz w:val="24"/>
          <w:szCs w:val="24"/>
        </w:rPr>
        <w:t>Zadruhé budou vytvořena nová zařízení pro inovativní a podpůrnou onkologickou péči, a to konkrétně Centrum prvního kontaktu, Centrum klinického hodnocení, Centrum podpůrné péče a Edukační centrum.</w:t>
      </w:r>
      <w:r>
        <w:rPr>
          <w:rFonts w:ascii="Times New Roman" w:hAnsi="Times New Roman"/>
          <w:bCs/>
          <w:iCs/>
          <w:noProof/>
          <w:color w:val="000000"/>
          <w:sz w:val="24"/>
          <w:szCs w:val="24"/>
        </w:rPr>
        <w:t xml:space="preserve"> Centrum podpůrné péče umožní pilotování nového programu podpůrné péče o onkologické přeživší, jehož výsledky poté mohou být poskytnuty dalším onkologickým centrům v České republice.</w:t>
      </w:r>
      <w:r>
        <w:rPr>
          <w:rFonts w:ascii="Times New Roman" w:hAnsi="Times New Roman"/>
          <w:b/>
          <w:bCs/>
          <w:noProof/>
          <w:color w:val="000000"/>
          <w:sz w:val="23"/>
          <w:szCs w:val="23"/>
        </w:rPr>
        <w:t xml:space="preserve"> </w:t>
      </w:r>
    </w:p>
    <w:p>
      <w:pPr>
        <w:rPr>
          <w:rFonts w:ascii="Times New Roman" w:eastAsia="Times New Roman" w:hAnsi="Times New Roman"/>
          <w:noProof/>
          <w:sz w:val="24"/>
          <w:szCs w:val="24"/>
        </w:rPr>
      </w:pPr>
      <w:r>
        <w:rPr>
          <w:rFonts w:ascii="Times New Roman" w:hAnsi="Times New Roman"/>
          <w:noProof/>
          <w:sz w:val="24"/>
          <w:szCs w:val="24"/>
        </w:rPr>
        <w:t xml:space="preserve">Investice bude dokončena do 31. prosince 2025. </w:t>
      </w:r>
    </w:p>
    <w:p>
      <w:pPr>
        <w:rPr>
          <w:rFonts w:ascii="Times New Roman" w:eastAsia="Times New Roman" w:hAnsi="Times New Roman"/>
          <w:b/>
          <w:noProof/>
          <w:color w:val="000000"/>
          <w:sz w:val="24"/>
          <w:szCs w:val="24"/>
          <w:u w:val="single"/>
          <w:lang w:eastAsia="cs-CZ"/>
        </w:rPr>
        <w:sectPr>
          <w:headerReference w:type="even" r:id="rId310"/>
          <w:headerReference w:type="default" r:id="rId311"/>
          <w:footerReference w:type="even" r:id="rId312"/>
          <w:footerReference w:type="default" r:id="rId313"/>
          <w:headerReference w:type="first" r:id="rId314"/>
          <w:footerReference w:type="first" r:id="rId315"/>
          <w:pgSz w:w="11907" w:h="16839"/>
          <w:pgMar w:top="1418" w:right="1418" w:bottom="1134" w:left="1418" w:header="709" w:footer="709" w:gutter="0"/>
          <w:cols w:space="720"/>
          <w:docGrid w:linePitch="360"/>
        </w:sectPr>
      </w:pPr>
    </w:p>
    <w:p>
      <w:pPr>
        <w:rPr>
          <w:rFonts w:ascii="Times New Roman" w:eastAsia="Times New Roman" w:hAnsi="Times New Roman"/>
          <w:b/>
          <w:noProof/>
          <w:color w:val="000000"/>
          <w:sz w:val="24"/>
          <w:szCs w:val="24"/>
          <w:u w:val="single"/>
        </w:rPr>
      </w:pPr>
      <w:r>
        <w:rPr>
          <w:rFonts w:ascii="Times New Roman" w:hAnsi="Times New Roman"/>
          <w:b/>
          <w:noProof/>
          <w:color w:val="000000"/>
          <w:sz w:val="24"/>
          <w:szCs w:val="24"/>
          <w:u w:val="single"/>
        </w:rPr>
        <w:t xml:space="preserve">Z.2 Milníky, cíle, ukazatele a harmonogram monitorování a provádění nevratné finanční podpory </w:t>
      </w: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lang w:eastAsia="cs-CZ"/>
        </w:rPr>
      </w:pPr>
    </w:p>
    <w:tbl>
      <w:tblPr>
        <w:tblW w:w="14564" w:type="dxa"/>
        <w:jc w:val="center"/>
        <w:tblLayout w:type="fixed"/>
        <w:tblLook w:val="04A0" w:firstRow="1" w:lastRow="0" w:firstColumn="1" w:lastColumn="0" w:noHBand="0" w:noVBand="1"/>
      </w:tblPr>
      <w:tblGrid>
        <w:gridCol w:w="675"/>
        <w:gridCol w:w="1591"/>
        <w:gridCol w:w="708"/>
        <w:gridCol w:w="1134"/>
        <w:gridCol w:w="1418"/>
        <w:gridCol w:w="850"/>
        <w:gridCol w:w="709"/>
        <w:gridCol w:w="851"/>
        <w:gridCol w:w="819"/>
        <w:gridCol w:w="1023"/>
        <w:gridCol w:w="4786"/>
      </w:tblGrid>
      <w:tr>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noProof/>
                <w:sz w:val="18"/>
                <w:szCs w:val="18"/>
              </w:rPr>
              <w:t>Poř. č.</w:t>
            </w:r>
          </w:p>
        </w:tc>
        <w:tc>
          <w:tcPr>
            <w:tcW w:w="1591"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Související opatření (reforma nebo investice) </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Milník/cíl </w:t>
            </w:r>
          </w:p>
        </w:tc>
        <w:tc>
          <w:tcPr>
            <w:tcW w:w="1134"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Název </w:t>
            </w:r>
          </w:p>
        </w:tc>
        <w:tc>
          <w:tcPr>
            <w:tcW w:w="1418" w:type="dxa"/>
            <w:vMerge w:val="restart"/>
            <w:tcBorders>
              <w:top w:val="single" w:sz="8" w:space="0" w:color="auto"/>
              <w:left w:val="single" w:sz="4" w:space="0" w:color="auto"/>
              <w:right w:val="single" w:sz="8"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Kvalitativní ukazatele</w:t>
            </w:r>
            <w:r>
              <w:rPr>
                <w:rFonts w:ascii="Times New Roman" w:hAnsi="Times New Roman"/>
                <w:noProof/>
                <w:sz w:val="18"/>
                <w:szCs w:val="18"/>
              </w:rPr>
              <w:br/>
            </w:r>
            <w:r>
              <w:rPr>
                <w:rFonts w:ascii="Times New Roman" w:hAnsi="Times New Roman"/>
                <w:b/>
                <w:bCs/>
                <w:noProof/>
                <w:sz w:val="18"/>
                <w:szCs w:val="18"/>
              </w:rPr>
              <w:t xml:space="preserve"> (pro milníky) </w:t>
            </w:r>
          </w:p>
        </w:tc>
        <w:tc>
          <w:tcPr>
            <w:tcW w:w="2410" w:type="dxa"/>
            <w:gridSpan w:val="3"/>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Kvantitativní ukazatele</w:t>
            </w:r>
            <w:r>
              <w:rPr>
                <w:rFonts w:ascii="Times New Roman" w:hAnsi="Times New Roman"/>
                <w:noProof/>
                <w:sz w:val="18"/>
                <w:szCs w:val="18"/>
              </w:rPr>
              <w:br/>
            </w:r>
            <w:r>
              <w:rPr>
                <w:rFonts w:ascii="Times New Roman" w:hAnsi="Times New Roman"/>
                <w:b/>
                <w:bCs/>
                <w:noProof/>
                <w:sz w:val="18"/>
                <w:szCs w:val="18"/>
              </w:rPr>
              <w:t xml:space="preserve"> (pro cíle)</w:t>
            </w:r>
          </w:p>
        </w:tc>
        <w:tc>
          <w:tcPr>
            <w:tcW w:w="1842" w:type="dxa"/>
            <w:gridSpan w:val="2"/>
            <w:tcBorders>
              <w:top w:val="single" w:sz="8" w:space="0" w:color="auto"/>
              <w:left w:val="nil"/>
              <w:bottom w:val="single" w:sz="8"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 xml:space="preserve">Orientační harmonogram dokončení </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pPr>
              <w:jc w:val="center"/>
              <w:rPr>
                <w:rFonts w:ascii="Times New Roman" w:hAnsi="Times New Roman"/>
                <w:noProof/>
                <w:sz w:val="18"/>
                <w:szCs w:val="18"/>
              </w:rPr>
            </w:pPr>
            <w:r>
              <w:rPr>
                <w:rFonts w:ascii="Times New Roman" w:hAnsi="Times New Roman"/>
                <w:b/>
                <w:bCs/>
                <w:noProof/>
                <w:sz w:val="18"/>
                <w:szCs w:val="18"/>
              </w:rPr>
              <w:t>Popis a jasná definice každého milníku a cíle</w:t>
            </w:r>
          </w:p>
        </w:tc>
      </w:tr>
      <w:tr>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1591"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708" w:type="dxa"/>
            <w:vMerge/>
            <w:tcBorders>
              <w:top w:val="single" w:sz="8" w:space="0" w:color="auto"/>
              <w:left w:val="single" w:sz="8" w:space="0" w:color="auto"/>
              <w:bottom w:val="single" w:sz="4" w:space="0" w:color="auto"/>
              <w:right w:val="single" w:sz="8" w:space="0" w:color="auto"/>
            </w:tcBorders>
            <w:vAlign w:val="center"/>
          </w:tcPr>
          <w:p>
            <w:pPr>
              <w:jc w:val="center"/>
              <w:rPr>
                <w:rFonts w:ascii="Times New Roman" w:hAnsi="Times New Roman"/>
                <w:noProof/>
                <w:sz w:val="16"/>
                <w:szCs w:val="16"/>
                <w:lang w:val="pl-PL"/>
              </w:rPr>
            </w:pPr>
          </w:p>
        </w:tc>
        <w:tc>
          <w:tcPr>
            <w:tcW w:w="1134" w:type="dxa"/>
            <w:vMerge/>
            <w:tcBorders>
              <w:top w:val="single" w:sz="8" w:space="0" w:color="auto"/>
              <w:left w:val="single" w:sz="8" w:space="0" w:color="auto"/>
              <w:bottom w:val="single" w:sz="4" w:space="0" w:color="auto"/>
              <w:right w:val="single" w:sz="4" w:space="0" w:color="auto"/>
            </w:tcBorders>
            <w:vAlign w:val="center"/>
          </w:tcPr>
          <w:p>
            <w:pPr>
              <w:jc w:val="center"/>
              <w:rPr>
                <w:rFonts w:ascii="Times New Roman" w:hAnsi="Times New Roman"/>
                <w:noProof/>
                <w:sz w:val="16"/>
                <w:szCs w:val="16"/>
                <w:lang w:val="pl-PL"/>
              </w:rPr>
            </w:pPr>
          </w:p>
        </w:tc>
        <w:tc>
          <w:tcPr>
            <w:tcW w:w="1418" w:type="dxa"/>
            <w:vMerge/>
            <w:tcBorders>
              <w:left w:val="single" w:sz="4" w:space="0" w:color="auto"/>
            </w:tcBorders>
            <w:vAlign w:val="center"/>
          </w:tcPr>
          <w:p>
            <w:pPr>
              <w:jc w:val="center"/>
              <w:rPr>
                <w:rFonts w:ascii="Times New Roman" w:hAnsi="Times New Roman"/>
                <w:noProof/>
                <w:sz w:val="16"/>
                <w:szCs w:val="16"/>
                <w:lang w:val="pl-PL"/>
              </w:rPr>
            </w:pP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Měrná jednotka</w:t>
            </w:r>
          </w:p>
        </w:tc>
        <w:tc>
          <w:tcPr>
            <w:tcW w:w="709" w:type="dxa"/>
            <w:tcBorders>
              <w:top w:val="nil"/>
              <w:left w:val="single" w:sz="8" w:space="0" w:color="auto"/>
              <w:bottom w:val="single" w:sz="8" w:space="0" w:color="auto"/>
              <w:right w:val="single" w:sz="8"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Výchozí stav</w:t>
            </w:r>
          </w:p>
        </w:tc>
        <w:tc>
          <w:tcPr>
            <w:tcW w:w="851" w:type="dxa"/>
            <w:tcBorders>
              <w:top w:val="nil"/>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Cíl</w:t>
            </w:r>
          </w:p>
        </w:tc>
        <w:tc>
          <w:tcPr>
            <w:tcW w:w="819" w:type="dxa"/>
            <w:tcBorders>
              <w:top w:val="single" w:sz="8" w:space="0" w:color="auto"/>
              <w:left w:val="single" w:sz="8" w:space="0" w:color="auto"/>
              <w:bottom w:val="single" w:sz="8" w:space="0" w:color="auto"/>
              <w:right w:val="single" w:sz="8" w:space="0" w:color="000000"/>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Čtvrtletí</w:t>
            </w:r>
          </w:p>
        </w:tc>
        <w:tc>
          <w:tcPr>
            <w:tcW w:w="1023" w:type="dxa"/>
            <w:tcBorders>
              <w:top w:val="nil"/>
              <w:left w:val="single" w:sz="8" w:space="0" w:color="auto"/>
              <w:bottom w:val="single" w:sz="8" w:space="0" w:color="auto"/>
              <w:right w:val="single" w:sz="4" w:space="0" w:color="auto"/>
            </w:tcBorders>
            <w:shd w:val="clear" w:color="auto" w:fill="BDD7EE"/>
            <w:vAlign w:val="center"/>
          </w:tcPr>
          <w:p>
            <w:pPr>
              <w:jc w:val="center"/>
              <w:rPr>
                <w:rFonts w:ascii="Times New Roman" w:hAnsi="Times New Roman"/>
                <w:noProof/>
                <w:sz w:val="16"/>
                <w:szCs w:val="16"/>
              </w:rPr>
            </w:pPr>
            <w:r>
              <w:rPr>
                <w:rFonts w:ascii="Times New Roman" w:hAnsi="Times New Roman"/>
                <w:b/>
                <w:bCs/>
                <w:noProof/>
                <w:sz w:val="16"/>
                <w:szCs w:val="16"/>
              </w:rPr>
              <w:t>Rok</w:t>
            </w:r>
          </w:p>
        </w:tc>
        <w:tc>
          <w:tcPr>
            <w:tcW w:w="4786" w:type="dxa"/>
            <w:vMerge/>
            <w:tcBorders>
              <w:left w:val="single" w:sz="4" w:space="0" w:color="auto"/>
              <w:bottom w:val="single" w:sz="4" w:space="0" w:color="auto"/>
              <w:right w:val="single" w:sz="4" w:space="0" w:color="auto"/>
            </w:tcBorders>
            <w:vAlign w:val="center"/>
          </w:tcPr>
          <w:p>
            <w:pPr>
              <w:jc w:val="center"/>
              <w:rPr>
                <w:rFonts w:ascii="Times New Roman" w:hAnsi="Times New Roman"/>
                <w:noProof/>
                <w:sz w:val="16"/>
                <w:szCs w:val="16"/>
                <w:lang w:val="en-IE"/>
              </w:rPr>
            </w:pPr>
          </w:p>
        </w:tc>
      </w:tr>
      <w:tr>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236</w:t>
            </w:r>
          </w:p>
        </w:tc>
        <w:tc>
          <w:tcPr>
            <w:tcW w:w="1591"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Reforma č. 1: Národní onkologický program </w:t>
            </w:r>
          </w:p>
        </w:tc>
        <w:tc>
          <w:tcPr>
            <w:tcW w:w="708"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 Národní onkologický program České republiky na období 2022–2030</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Schválení Národního onkologického programu na období 2022–2030 vládou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2021</w:t>
            </w:r>
          </w:p>
        </w:tc>
        <w:tc>
          <w:tcPr>
            <w:tcW w:w="4786" w:type="dxa"/>
            <w:tcBorders>
              <w:top w:val="single" w:sz="4" w:space="0" w:color="auto"/>
              <w:left w:val="single" w:sz="8" w:space="0" w:color="auto"/>
              <w:bottom w:val="single" w:sz="8" w:space="0" w:color="auto"/>
              <w:right w:val="single" w:sz="8" w:space="0" w:color="auto"/>
            </w:tcBorders>
            <w:shd w:val="clear" w:color="auto" w:fill="C6EFCE"/>
            <w:vAlign w:val="center"/>
          </w:tcPr>
          <w:p>
            <w:pPr>
              <w:spacing w:after="0" w:line="259" w:lineRule="auto"/>
              <w:contextualSpacing/>
              <w:rPr>
                <w:rFonts w:ascii="Times New Roman" w:hAnsi="Times New Roman"/>
                <w:noProof/>
                <w:color w:val="004300"/>
                <w:sz w:val="18"/>
                <w:szCs w:val="18"/>
              </w:rPr>
            </w:pPr>
            <w:r>
              <w:rPr>
                <w:rFonts w:ascii="Times New Roman" w:hAnsi="Times New Roman"/>
                <w:noProof/>
                <w:color w:val="004300"/>
                <w:sz w:val="18"/>
                <w:szCs w:val="18"/>
              </w:rPr>
              <w:t xml:space="preserve">Příprava Národního onkologického programu bude v gesci České onkologické společnosti, která bude konzultovat klíčové aktéry a zúčastněné strany, zejména Ministerstvo zdravotnictví, národní onkologická centra, centra vysoce specializované onkologické a hematoonkologické péče, Ústav zdravotnických informací a statistiky, zástupce poskytovatelů zdravotní péče, zdravotní pojišťovny a organizace pacientů. </w:t>
            </w:r>
          </w:p>
        </w:tc>
      </w:tr>
      <w:tr>
        <w:trPr>
          <w:trHeight w:val="2508"/>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237</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Podpora a zvyšování kvality preventivních screeningových programů</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Jmenování orgánu odpovědného za koordinaci onkologických screeningových programů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Vláda jmenuje Národní screeningové centrum orgánem odpovědným za koordinaci onkologických screeningových programů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highlight w:val="yellow"/>
              </w:rPr>
            </w:pPr>
            <w:r>
              <w:rPr>
                <w:rFonts w:ascii="Times New Roman" w:hAnsi="Times New Roman"/>
                <w:noProof/>
                <w:color w:val="004300"/>
                <w:sz w:val="18"/>
                <w:szCs w:val="18"/>
              </w:rPr>
              <w:t>Q2</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highlight w:val="yellow"/>
              </w:rPr>
            </w:pPr>
            <w:r>
              <w:rPr>
                <w:rFonts w:ascii="Times New Roman" w:hAnsi="Times New Roman"/>
                <w:noProof/>
                <w:color w:val="004300"/>
                <w:sz w:val="18"/>
                <w:szCs w:val="18"/>
              </w:rPr>
              <w:t>2025</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Národní screeningové centrum ponese odpovědnost za: </w:t>
            </w:r>
          </w:p>
          <w:p>
            <w:pPr>
              <w:numPr>
                <w:ilvl w:val="0"/>
                <w:numId w:val="63"/>
              </w:numPr>
              <w:spacing w:after="0" w:line="259" w:lineRule="auto"/>
              <w:contextualSpacing/>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koordinaci, plánování, monitorování a hodnocení screeningových programů, </w:t>
            </w:r>
          </w:p>
          <w:p>
            <w:pPr>
              <w:numPr>
                <w:ilvl w:val="0"/>
                <w:numId w:val="63"/>
              </w:numPr>
              <w:spacing w:after="0" w:line="259" w:lineRule="auto"/>
              <w:contextualSpacing/>
              <w:jc w:val="both"/>
              <w:rPr>
                <w:rFonts w:ascii="Times New Roman" w:eastAsia="Times New Roman" w:hAnsi="Times New Roman"/>
                <w:noProof/>
                <w:color w:val="004300"/>
                <w:sz w:val="18"/>
                <w:szCs w:val="18"/>
              </w:rPr>
            </w:pPr>
            <w:r>
              <w:rPr>
                <w:rFonts w:ascii="Times New Roman" w:hAnsi="Times New Roman"/>
                <w:noProof/>
                <w:color w:val="004300"/>
                <w:sz w:val="18"/>
                <w:szCs w:val="18"/>
              </w:rPr>
              <w:t xml:space="preserve">vytvoření prediktivního systému umožňujícího plánování nových programů prevence a odhadování jejich nákladové efektivity a dopadu na systém veřejného zdravotního pojištění, </w:t>
            </w:r>
          </w:p>
          <w:p>
            <w:pPr>
              <w:numPr>
                <w:ilvl w:val="0"/>
                <w:numId w:val="63"/>
              </w:numPr>
              <w:spacing w:after="0" w:line="259" w:lineRule="auto"/>
              <w:contextualSpacing/>
              <w:jc w:val="both"/>
              <w:rPr>
                <w:rFonts w:ascii="Times New Roman" w:eastAsia="Times New Roman" w:hAnsi="Times New Roman"/>
                <w:noProof/>
                <w:color w:val="004300"/>
                <w:sz w:val="18"/>
                <w:szCs w:val="18"/>
              </w:rPr>
            </w:pPr>
            <w:r>
              <w:rPr>
                <w:rFonts w:ascii="Times New Roman" w:hAnsi="Times New Roman"/>
                <w:noProof/>
                <w:color w:val="004300"/>
                <w:sz w:val="18"/>
                <w:szCs w:val="18"/>
              </w:rPr>
              <w:t>budování databáze pro monitorování a hodnocení screeningových programů, včetně vytvoření srovnávacího přehledu ukazatelů kvality,</w:t>
            </w:r>
          </w:p>
          <w:p>
            <w:pPr>
              <w:numPr>
                <w:ilvl w:val="0"/>
                <w:numId w:val="63"/>
              </w:numPr>
              <w:spacing w:after="0" w:line="259" w:lineRule="auto"/>
              <w:contextualSpacing/>
              <w:jc w:val="both"/>
              <w:rPr>
                <w:rFonts w:ascii="Times New Roman" w:hAnsi="Times New Roman"/>
                <w:noProof/>
                <w:color w:val="004300"/>
                <w:sz w:val="18"/>
                <w:szCs w:val="18"/>
              </w:rPr>
            </w:pPr>
            <w:r>
              <w:rPr>
                <w:rFonts w:ascii="Times New Roman" w:hAnsi="Times New Roman"/>
                <w:noProof/>
                <w:color w:val="004300"/>
                <w:sz w:val="18"/>
                <w:szCs w:val="18"/>
              </w:rPr>
              <w:t xml:space="preserve">pilotování nových screeningových programů. </w:t>
            </w:r>
          </w:p>
        </w:tc>
      </w:tr>
      <w:tr>
        <w:trPr>
          <w:trHeight w:val="389"/>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238</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Podpora a zvyšování kvality preventivních screeningových programů</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Zvýšit pokrytí cílové populace screeningovým programem zaměřeným na karcinom tlustého střeva a konečníku</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34</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40</w:t>
            </w: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Q2</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Účast cílové populace na odpovídajícím screeningovém testu (např. test okultního krvácení do stolice ve dvouletých intervalech) se zvýší alespoň na 40 %.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239</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Reforma č. 2: Podpora a zvyšování kvality preventivních screeningových programů</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 účastníků v novém programu včasného záchytu karcinomu plic</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hAnsi="Times New Roman"/>
                <w:noProof/>
                <w:color w:val="00430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Počet </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20 000</w:t>
            </w: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Q2</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pBdr>
                <w:top w:val="nil"/>
                <w:left w:val="nil"/>
                <w:bottom w:val="nil"/>
                <w:right w:val="nil"/>
                <w:between w:val="nil"/>
              </w:pBdr>
              <w:spacing w:after="0" w:line="259" w:lineRule="auto"/>
              <w:rPr>
                <w:rFonts w:ascii="Times New Roman" w:hAnsi="Times New Roman"/>
                <w:noProof/>
                <w:color w:val="004300"/>
                <w:sz w:val="18"/>
                <w:szCs w:val="18"/>
              </w:rPr>
            </w:pPr>
            <w:r>
              <w:rPr>
                <w:rFonts w:ascii="Times New Roman" w:hAnsi="Times New Roman"/>
                <w:noProof/>
                <w:color w:val="004300"/>
                <w:sz w:val="18"/>
                <w:szCs w:val="18"/>
              </w:rPr>
              <w:t xml:space="preserve">Bude zahájen program včasného záchytu karcinomu plic a zúčastní se ho alespoň 20 000 účastníků z cílové populace.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240</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Vybudování a zřízení Českého onkologického institutu</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Studie proveditelnosti ověřena nezávislým orgánem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spacing w:line="259" w:lineRule="auto"/>
              <w:rPr>
                <w:rFonts w:ascii="Times New Roman" w:eastAsia="Times New Roman" w:hAnsi="Times New Roman"/>
                <w:noProof/>
                <w:color w:val="004300"/>
                <w:sz w:val="18"/>
                <w:szCs w:val="18"/>
              </w:rPr>
            </w:pPr>
            <w:r>
              <w:rPr>
                <w:rFonts w:ascii="Times New Roman" w:hAnsi="Times New Roman"/>
                <w:noProof/>
                <w:color w:val="004300"/>
                <w:sz w:val="18"/>
                <w:szCs w:val="18"/>
              </w:rPr>
              <w:t xml:space="preserve">Ověření studie proveditelnosti nezávislým orgánem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2022</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Nezávislý orgán ověří:</w:t>
            </w:r>
          </w:p>
          <w:p>
            <w:pPr>
              <w:numPr>
                <w:ilvl w:val="0"/>
                <w:numId w:val="70"/>
              </w:numPr>
              <w:rPr>
                <w:rFonts w:ascii="Times New Roman" w:hAnsi="Times New Roman"/>
                <w:noProof/>
                <w:color w:val="004300"/>
                <w:sz w:val="18"/>
                <w:szCs w:val="18"/>
              </w:rPr>
            </w:pPr>
            <w:r>
              <w:rPr>
                <w:rFonts w:ascii="Times New Roman" w:hAnsi="Times New Roman"/>
                <w:noProof/>
                <w:color w:val="004300"/>
                <w:sz w:val="18"/>
                <w:szCs w:val="18"/>
              </w:rPr>
              <w:t xml:space="preserve">lékařský program / funkční plán a předběžný návrh vhodný pro účely projektování a zadávání veřejných zakázek, </w:t>
            </w:r>
          </w:p>
          <w:p>
            <w:pPr>
              <w:numPr>
                <w:ilvl w:val="0"/>
                <w:numId w:val="70"/>
              </w:numPr>
              <w:rPr>
                <w:rFonts w:ascii="Times New Roman" w:hAnsi="Times New Roman"/>
                <w:noProof/>
                <w:color w:val="004300"/>
                <w:sz w:val="18"/>
                <w:szCs w:val="18"/>
              </w:rPr>
            </w:pPr>
            <w:r>
              <w:rPr>
                <w:rFonts w:ascii="Times New Roman" w:hAnsi="Times New Roman"/>
                <w:noProof/>
                <w:color w:val="004300"/>
                <w:sz w:val="18"/>
                <w:szCs w:val="18"/>
              </w:rPr>
              <w:t xml:space="preserve">studii proveditelnosti, včetně posouzení potřeb v kontextu širší zdravotní strategie, technické, provozní a ekonomické proveditelnosti, udržitelnosti z finančního i personálního hlediska a dopadu na poskytování onkologické péče na regionální a vnitrostátní úrovni, včetně doby strávené cestováním a odborné způsobilosti. </w:t>
            </w:r>
          </w:p>
          <w:p>
            <w:pPr>
              <w:rPr>
                <w:rFonts w:ascii="Times New Roman" w:hAnsi="Times New Roman"/>
                <w:noProof/>
                <w:color w:val="004300"/>
                <w:sz w:val="18"/>
                <w:szCs w:val="18"/>
              </w:rPr>
            </w:pPr>
            <w:r>
              <w:rPr>
                <w:rFonts w:ascii="Times New Roman" w:hAnsi="Times New Roman"/>
                <w:noProof/>
                <w:color w:val="004300"/>
                <w:sz w:val="18"/>
                <w:szCs w:val="18"/>
              </w:rPr>
              <w:t>Doporučené pokyny pro studie proveditelnosti představila EK v dokumentu „Příručka k analýze nákladů a přínosů investičních projektů“, prosinec 2014.</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241</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1: Vybudování a zřízení Českého onkologického institutu</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Zahájení provozu Českého onkologického institutu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 xml:space="preserve">Ministerstvo zdravotnictví udělí Českému onkologickému institutu povolení k činnosti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eastAsia="Times New Roman" w:hAnsi="Times New Roman"/>
                <w:noProof/>
                <w:color w:val="004300"/>
                <w:sz w:val="18"/>
                <w:szCs w:val="18"/>
              </w:rPr>
            </w:pPr>
            <w:r>
              <w:rPr>
                <w:rFonts w:ascii="Times New Roman" w:hAnsi="Times New Roman"/>
                <w:noProof/>
                <w:color w:val="004300"/>
                <w:sz w:val="18"/>
                <w:szCs w:val="18"/>
              </w:rPr>
              <w:t>Q2</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 xml:space="preserve">Dokončení výstavby a získání povolení k činnosti. </w:t>
            </w:r>
          </w:p>
          <w:p>
            <w:pPr>
              <w:spacing w:after="160" w:line="259" w:lineRule="auto"/>
              <w:contextualSpacing/>
              <w:jc w:val="both"/>
              <w:rPr>
                <w:rFonts w:ascii="Times New Roman" w:hAnsi="Times New Roman"/>
                <w:noProof/>
                <w:color w:val="004300"/>
                <w:sz w:val="18"/>
                <w:szCs w:val="18"/>
              </w:rPr>
            </w:pPr>
            <w:r>
              <w:rPr>
                <w:rFonts w:ascii="Times New Roman" w:hAnsi="Times New Roman"/>
                <w:noProof/>
                <w:color w:val="004300"/>
                <w:sz w:val="18"/>
                <w:szCs w:val="18"/>
              </w:rPr>
              <w:t xml:space="preserve">Kapacita bude činit nejméně 300 lůžek pro hospitalizované pacienty (což u daného poskytovatele zdravotní péče povede ke zvýšení počtu lůžek pro léčbu onkologických onemocnění alespoň o 50 lůžek). </w:t>
            </w:r>
          </w:p>
          <w:p>
            <w:pPr>
              <w:rPr>
                <w:rFonts w:ascii="Times New Roman" w:hAnsi="Times New Roman"/>
                <w:noProof/>
                <w:color w:val="004300"/>
                <w:sz w:val="18"/>
                <w:szCs w:val="18"/>
              </w:rPr>
            </w:pPr>
            <w:r>
              <w:rPr>
                <w:rFonts w:ascii="Times New Roman" w:hAnsi="Times New Roman"/>
                <w:noProof/>
                <w:color w:val="004300"/>
                <w:sz w:val="18"/>
                <w:szCs w:val="18"/>
              </w:rPr>
              <w:t xml:space="preserve"> Předpokládá se, že kapacita bude činit 8 500–1 200 hospitalizovaných pacientů ročně.</w:t>
            </w:r>
          </w:p>
          <w:p>
            <w:pPr>
              <w:rPr>
                <w:rFonts w:ascii="Times New Roman" w:hAnsi="Times New Roman"/>
                <w:noProof/>
                <w:color w:val="004300"/>
                <w:sz w:val="18"/>
                <w:szCs w:val="18"/>
              </w:rPr>
            </w:pPr>
            <w:r>
              <w:rPr>
                <w:rFonts w:ascii="Times New Roman" w:hAnsi="Times New Roman"/>
                <w:noProof/>
                <w:color w:val="004300"/>
                <w:sz w:val="18"/>
                <w:szCs w:val="18"/>
              </w:rPr>
              <w:t xml:space="preserve">Výstavba bude zadána v otevřeném a veřejném výběrovém řízení. </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242</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2: Rozvoj vysoce specializované hematoonkologické a onkologické péče</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Cíl</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Počet podpořených zařízení poskytujících onkologickou a hematoonkologickou péči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bottom"/>
          </w:tcPr>
          <w:p>
            <w:pPr>
              <w:rPr>
                <w:rFonts w:ascii="Times New Roman" w:eastAsia="Times New Roman" w:hAnsi="Times New Roman"/>
                <w:noProof/>
                <w:color w:val="004300"/>
                <w:sz w:val="18"/>
                <w:szCs w:val="18"/>
                <w:lang w:eastAsia="cs-CZ"/>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Počet podpořených zdravotnických zařízení</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10</w:t>
            </w: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Q2</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2026</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sz w:val="18"/>
                <w:szCs w:val="18"/>
              </w:rPr>
              <w:t>Podpora bude poskytnuta komplexním onkologickým centrům a centrům vysoce specializované onkologie a hematoonkologie prostřednictvím grantového programu spravovaného Ministerstvem zdravotnictví s celkovým přídělem 64 920 000 EUR.</w:t>
            </w:r>
            <w:r>
              <w:rPr>
                <w:rFonts w:ascii="Times New Roman" w:hAnsi="Times New Roman"/>
                <w:noProof/>
                <w:color w:val="004300"/>
                <w:sz w:val="18"/>
                <w:szCs w:val="18"/>
              </w:rPr>
              <w:t xml:space="preserve"> Bude podpořeno nejméně deset center při nákupu špičkových technologií a vybavení umožňujícího personalizovanou léčbu. Při výběru podporovaných projektů bude zajištěno vyvážené geografické pokrytí. Podpora bude poskytnuta pouze veřejným poskytovatelům zdravotní péče. </w:t>
            </w:r>
          </w:p>
        </w:tc>
      </w:tr>
      <w:tr>
        <w:trPr>
          <w:trHeight w:val="71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243</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3: Vznik a rozvoj Centra onkologické prevence a infrastruktury pro inovativní a podpůrnou péči v Masarykově onkologickém ústavu</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Centrum onkologické prevence v Masarykově onkologickém ústavu</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Zahájení provozu nového Centra onkologické prevence v Masarykově onkologickém ústavu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 xml:space="preserve">Zahájení provozu nových zařízení Centra onkologické prevence v Masarykově onkologickém ústavu. Dokončení přesunu stávajících kapacit do nových prostor. Předpokládá se, že roční počet ošetření v Centru onkologické prevence vzroste oproti roku 2019 o 30 %. </w:t>
            </w:r>
          </w:p>
          <w:p>
            <w:pPr>
              <w:jc w:val="both"/>
              <w:rPr>
                <w:rFonts w:ascii="Times New Roman" w:hAnsi="Times New Roman"/>
                <w:noProof/>
                <w:color w:val="004300"/>
                <w:sz w:val="18"/>
                <w:szCs w:val="18"/>
              </w:rPr>
            </w:pPr>
            <w:r>
              <w:rPr>
                <w:rFonts w:ascii="Times New Roman" w:hAnsi="Times New Roman"/>
                <w:noProof/>
                <w:color w:val="004300"/>
                <w:sz w:val="18"/>
                <w:szCs w:val="18"/>
              </w:rPr>
              <w:t>Výstavba bude zadána v otevřeném a veřejném výběrovém řízení. Před zahájením výběrového řízení bude provedeno posouzení potřeb.</w:t>
            </w:r>
          </w:p>
        </w:tc>
      </w:tr>
      <w:tr>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244</w:t>
            </w:r>
          </w:p>
        </w:tc>
        <w:tc>
          <w:tcPr>
            <w:tcW w:w="1591"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Investice č. 3: Vznik a rozvoj Centra onkologické prevence a infrastruktury pro inovativní a podpůrnou péči v Masarykově onkologickém ústavu</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rPr>
            </w:pPr>
            <w:r>
              <w:rPr>
                <w:rFonts w:ascii="Times New Roman" w:hAnsi="Times New Roman"/>
                <w:noProof/>
                <w:color w:val="004300"/>
                <w:sz w:val="18"/>
                <w:szCs w:val="18"/>
              </w:rPr>
              <w:t>Milník</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Rozšíření zařízení pro inovativní a podpůrnou péči v Masarykově onkologickém ústavu</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eastAsia="Times New Roman" w:hAnsi="Times New Roman"/>
                <w:noProof/>
                <w:color w:val="004300"/>
                <w:sz w:val="18"/>
                <w:szCs w:val="18"/>
              </w:rPr>
            </w:pPr>
            <w:r>
              <w:rPr>
                <w:rFonts w:ascii="Times New Roman" w:hAnsi="Times New Roman"/>
                <w:noProof/>
                <w:color w:val="004300"/>
                <w:sz w:val="18"/>
                <w:szCs w:val="18"/>
              </w:rPr>
              <w:t xml:space="preserve">Zprovoznění nových zařízení pro inovativní a podpůrnou péči </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pPr>
              <w:rPr>
                <w:rFonts w:ascii="Times New Roman" w:hAnsi="Times New Roman"/>
                <w:noProof/>
                <w:color w:val="004300"/>
                <w:sz w:val="18"/>
                <w:szCs w:val="18"/>
                <w:lang w:eastAsia="cs-CZ"/>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p>
        </w:tc>
        <w:tc>
          <w:tcPr>
            <w:tcW w:w="819"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Q4</w:t>
            </w:r>
          </w:p>
        </w:tc>
        <w:tc>
          <w:tcPr>
            <w:tcW w:w="1023" w:type="dxa"/>
            <w:tcBorders>
              <w:top w:val="single" w:sz="8" w:space="0" w:color="auto"/>
              <w:left w:val="single" w:sz="8" w:space="0" w:color="auto"/>
              <w:bottom w:val="single" w:sz="8" w:space="0" w:color="auto"/>
              <w:right w:val="single" w:sz="8" w:space="0" w:color="auto"/>
            </w:tcBorders>
            <w:shd w:val="clear" w:color="auto" w:fill="C6EFCE"/>
            <w:vAlign w:val="center"/>
          </w:tcPr>
          <w:p>
            <w:pPr>
              <w:jc w:val="center"/>
              <w:rPr>
                <w:rFonts w:ascii="Times New Roman" w:hAnsi="Times New Roman"/>
                <w:noProof/>
                <w:color w:val="004300"/>
                <w:sz w:val="18"/>
                <w:szCs w:val="18"/>
              </w:rPr>
            </w:pPr>
            <w:r>
              <w:rPr>
                <w:rFonts w:ascii="Times New Roman" w:hAnsi="Times New Roman"/>
                <w:noProof/>
                <w:color w:val="004300"/>
                <w:sz w:val="18"/>
                <w:szCs w:val="18"/>
              </w:rPr>
              <w:t>2025</w:t>
            </w:r>
          </w:p>
        </w:tc>
        <w:tc>
          <w:tcPr>
            <w:tcW w:w="4786" w:type="dxa"/>
            <w:tcBorders>
              <w:top w:val="single" w:sz="8" w:space="0" w:color="auto"/>
              <w:left w:val="single" w:sz="8" w:space="0" w:color="auto"/>
              <w:bottom w:val="single" w:sz="8" w:space="0" w:color="auto"/>
              <w:right w:val="single" w:sz="8" w:space="0" w:color="auto"/>
            </w:tcBorders>
            <w:shd w:val="clear" w:color="auto" w:fill="C6EFCE"/>
            <w:vAlign w:val="center"/>
          </w:tcPr>
          <w:p>
            <w:pPr>
              <w:jc w:val="both"/>
              <w:rPr>
                <w:rFonts w:ascii="Times New Roman" w:hAnsi="Times New Roman"/>
                <w:noProof/>
                <w:color w:val="004300"/>
                <w:sz w:val="18"/>
                <w:szCs w:val="18"/>
              </w:rPr>
            </w:pPr>
            <w:r>
              <w:rPr>
                <w:rFonts w:ascii="Times New Roman" w:hAnsi="Times New Roman"/>
                <w:noProof/>
                <w:color w:val="004300"/>
                <w:sz w:val="18"/>
                <w:szCs w:val="18"/>
              </w:rPr>
              <w:t>Zahájení provozu nových zařízení Centra prvního kontaktu, Centra klinického hodnocení, Centra podpůrné péče a Edukačního centra. Předpokládá se, že roční počet klientů inovativní a podpůrné péče v Masarykově onkologickém ústavu vzroste oproti roku 2019 o 20 %.</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Výstavba bude zadána v otevřeném a veřejném výběrovém řízení. Před zahájením výběrového řízení bude provedeno posouzení potřeb. </w:t>
            </w:r>
          </w:p>
          <w:p>
            <w:pPr>
              <w:jc w:val="both"/>
              <w:rPr>
                <w:rFonts w:ascii="Times New Roman" w:hAnsi="Times New Roman"/>
                <w:noProof/>
                <w:color w:val="004300"/>
                <w:sz w:val="18"/>
                <w:szCs w:val="18"/>
              </w:rPr>
            </w:pPr>
            <w:r>
              <w:rPr>
                <w:rFonts w:ascii="Times New Roman" w:hAnsi="Times New Roman"/>
                <w:noProof/>
                <w:color w:val="004300"/>
                <w:sz w:val="18"/>
                <w:szCs w:val="18"/>
              </w:rPr>
              <w:t xml:space="preserve">Dokončení pilotního projektu programu pro onkologické přeživší. </w:t>
            </w:r>
          </w:p>
        </w:tc>
      </w:tr>
    </w:tbl>
    <w:p>
      <w:pPr>
        <w:pBdr>
          <w:top w:val="nil"/>
          <w:left w:val="nil"/>
          <w:bottom w:val="nil"/>
          <w:right w:val="nil"/>
          <w:between w:val="nil"/>
        </w:pBdr>
        <w:tabs>
          <w:tab w:val="left" w:pos="993"/>
        </w:tabs>
        <w:jc w:val="both"/>
        <w:rPr>
          <w:rFonts w:ascii="Times New Roman" w:eastAsia="Times New Roman" w:hAnsi="Times New Roman"/>
          <w:b/>
          <w:noProof/>
          <w:color w:val="000000"/>
          <w:sz w:val="16"/>
          <w:szCs w:val="16"/>
          <w:u w:val="single"/>
          <w:lang w:eastAsia="cs-CZ"/>
        </w:rPr>
      </w:pPr>
    </w:p>
    <w:p>
      <w:pPr>
        <w:pBdr>
          <w:top w:val="nil"/>
          <w:left w:val="nil"/>
          <w:bottom w:val="nil"/>
          <w:right w:val="nil"/>
          <w:between w:val="nil"/>
        </w:pBdr>
        <w:tabs>
          <w:tab w:val="left" w:pos="993"/>
        </w:tabs>
        <w:jc w:val="both"/>
        <w:rPr>
          <w:rFonts w:ascii="Times New Roman" w:eastAsia="Times New Roman" w:hAnsi="Times New Roman"/>
          <w:b/>
          <w:noProof/>
          <w:color w:val="000000"/>
          <w:sz w:val="24"/>
          <w:szCs w:val="24"/>
          <w:u w:val="single"/>
          <w:lang w:eastAsia="cs-CZ"/>
        </w:rPr>
        <w:sectPr>
          <w:headerReference w:type="even" r:id="rId316"/>
          <w:headerReference w:type="default" r:id="rId317"/>
          <w:footerReference w:type="even" r:id="rId318"/>
          <w:footerReference w:type="default" r:id="rId319"/>
          <w:headerReference w:type="first" r:id="rId320"/>
          <w:footerReference w:type="first" r:id="rId321"/>
          <w:pgSz w:w="16839" w:h="11907" w:orient="landscape"/>
          <w:pgMar w:top="1418" w:right="1418" w:bottom="1418" w:left="1134" w:header="709" w:footer="709" w:gutter="0"/>
          <w:cols w:space="720"/>
          <w:docGrid w:linePitch="360"/>
        </w:sectPr>
      </w:pPr>
    </w:p>
    <w:p>
      <w:pPr>
        <w:keepNext/>
        <w:tabs>
          <w:tab w:val="left" w:pos="850"/>
        </w:tabs>
        <w:jc w:val="both"/>
        <w:outlineLvl w:val="0"/>
        <w:rPr>
          <w:rFonts w:ascii="Times New Roman" w:hAnsi="Times New Roman"/>
          <w:b/>
          <w:bCs/>
          <w:smallCaps/>
          <w:noProof/>
          <w:sz w:val="24"/>
          <w:szCs w:val="24"/>
        </w:rPr>
      </w:pPr>
      <w:r>
        <w:rPr>
          <w:rFonts w:ascii="Times New Roman" w:hAnsi="Times New Roman"/>
          <w:b/>
          <w:bCs/>
          <w:smallCaps/>
          <w:noProof/>
          <w:sz w:val="24"/>
          <w:szCs w:val="24"/>
        </w:rPr>
        <w:t xml:space="preserve">ODDÍL 2: FINANČNÍ PODPORA </w:t>
      </w:r>
    </w:p>
    <w:p>
      <w:pPr>
        <w:pStyle w:val="NumPar1"/>
        <w:rPr>
          <w:b/>
          <w:noProof/>
        </w:rPr>
      </w:pPr>
      <w:r>
        <w:rPr>
          <w:b/>
          <w:noProof/>
        </w:rPr>
        <w:t xml:space="preserve">Finanční příspěvek </w:t>
      </w:r>
    </w:p>
    <w:p>
      <w:pPr>
        <w:pStyle w:val="Text1"/>
        <w:rPr>
          <w:noProof/>
        </w:rPr>
      </w:pPr>
      <w:r>
        <w:rPr>
          <w:noProof/>
        </w:rPr>
        <w:t>Splátky uvedené v čl. 2 odst. 2 jsou rozděleny takto:</w:t>
      </w:r>
    </w:p>
    <w:p>
      <w:pPr>
        <w:rPr>
          <w:noProof/>
        </w:rPr>
      </w:pPr>
    </w:p>
    <w:p>
      <w:pPr>
        <w:pStyle w:val="NumPar2"/>
        <w:numPr>
          <w:ilvl w:val="1"/>
          <w:numId w:val="68"/>
        </w:numPr>
        <w:rPr>
          <w:noProof/>
        </w:rPr>
      </w:pPr>
      <w:r>
        <w:rPr>
          <w:noProof/>
        </w:rPr>
        <w:t xml:space="preserve">První splátka (nevratná podpora): </w:t>
      </w:r>
    </w:p>
    <w:p>
      <w:pPr>
        <w:pStyle w:val="Text1"/>
        <w:rPr>
          <w:noProof/>
        </w:rPr>
      </w:pP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Investice č. 2 Vybavení škol digitálními technologiemi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eastAsia="Times New Roman" w:hAnsi="Times New Roman"/>
                <w:noProof/>
                <w:color w:val="006100"/>
                <w:sz w:val="20"/>
                <w:szCs w:val="20"/>
              </w:rPr>
              <w:t>Počet digitálních zařízení zakoupených školami za účelem dálkového studia</w:t>
            </w:r>
            <w:r>
              <w:rPr>
                <w:rFonts w:ascii="Times New Roman" w:hAnsi="Times New Roman"/>
                <w:noProof/>
                <w:color w:val="004300"/>
                <w:sz w:val="20"/>
                <w:szCs w:val="20"/>
              </w:rPr>
              <w:t xml:space="preserve">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Reforma č. 1: Zavedení rekodifikace stavebního práva do praxe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Vstup nového stavebního zákona v platnost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2: Drobné vodní toky a malé vodní nádrže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eastAsia="Times New Roman" w:hAnsi="Times New Roman"/>
                <w:noProof/>
                <w:color w:val="006100"/>
                <w:sz w:val="20"/>
                <w:szCs w:val="20"/>
              </w:rPr>
              <w:t>Ministerstvo zemědělství předloží seznam projektů určených k podpoře v rámci investice č. 2</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Reforma č. 1 Reforma kurikula a posílení IT vzdělávání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eastAsia="Times New Roman" w:hAnsi="Times New Roman"/>
                <w:noProof/>
                <w:color w:val="006100"/>
                <w:sz w:val="20"/>
                <w:szCs w:val="20"/>
              </w:rPr>
              <w:t xml:space="preserve">Schválení nových vzdělávacích programů posilujících digitální gramotnost a výpočetní myšlení </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2 Evropský projekt pro boj s COVID fake news (European Digital Media Observatory Hub – EDMO)</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eastAsia="Times New Roman" w:hAnsi="Times New Roman"/>
                <w:noProof/>
                <w:color w:val="006100"/>
                <w:sz w:val="20"/>
                <w:szCs w:val="20"/>
              </w:rPr>
              <w:t>Zahájení činnosti Evropského centra pro sledování digitálních médií pro střední Evropu v České republice (CEDMO)</w:t>
            </w:r>
          </w:p>
        </w:tc>
      </w:tr>
      <w:tr>
        <w:trPr>
          <w:trHeight w:val="600"/>
        </w:trPr>
        <w:tc>
          <w:tcPr>
            <w:tcW w:w="1276" w:type="dxa"/>
            <w:tcBorders>
              <w:top w:val="single" w:sz="8" w:space="0" w:color="000000"/>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2.2: Snižování spotřeby energie ve veřejném sektoru – Investice č. 1 Snížení energetické náročnosti budov ve vlastnictví organizačních složek státu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eastAsia="Times New Roman" w:hAnsi="Times New Roman"/>
                <w:noProof/>
                <w:color w:val="006100"/>
                <w:sz w:val="20"/>
                <w:szCs w:val="20"/>
              </w:rPr>
              <w:t xml:space="preserve"> Ministerstvo průmyslu a obchodu přijme vzorovou smlouvu pro služby podle metody Energy Performance Contracting (smlouvy o energetických službách) se zárukou </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2 Snížení energetické náročnosti systémů veřejného osvětlení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eastAsia="Times New Roman" w:hAnsi="Times New Roman"/>
                <w:noProof/>
                <w:color w:val="006100"/>
                <w:sz w:val="20"/>
                <w:szCs w:val="20"/>
              </w:rPr>
              <w:t>Ministerstvo průmyslu a obchodu přijme programovou dokumentaci týkající se opatření k renovaci systémů veřejného osvětlení</w:t>
            </w:r>
          </w:p>
        </w:tc>
      </w:tr>
      <w:tr>
        <w:trPr>
          <w:trHeight w:val="122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4.2: Nové kvazikapitálové nástroje na podporu podnikání a rozvoj Českomoravské záruční a rozvojové banky (ČMZRB) v roli národní rozvojové banky – Reforma č. 1 Rozvoj Českomoravské záruční a rozvojové banky jako národní rozvojové banky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Přijetí střednědobé strategie Českomoravské záruční a rozvojové banky (ČMZRB) schválené akcionáři banky (zastoupenými ministerstvy průmyslu a obchodu, financí a místního rozvoje)</w:t>
            </w:r>
          </w:p>
        </w:tc>
      </w:tr>
      <w:tr>
        <w:trPr>
          <w:trHeight w:val="1380"/>
        </w:trPr>
        <w:tc>
          <w:tcPr>
            <w:tcW w:w="1276" w:type="dxa"/>
            <w:tcBorders>
              <w:top w:val="single" w:sz="8" w:space="0" w:color="000000"/>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199</w:t>
            </w:r>
          </w:p>
        </w:tc>
        <w:tc>
          <w:tcPr>
            <w:tcW w:w="3969"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4.2: Nové kvazikapitálové nástroje na podporu podnikání a rozvoj Českomoravské záruční a rozvojové banky (ČMZRB) v roli národní rozvojové banky – Reforma č. 1 Rozvoj Českomoravské záruční a rozvojové banky jako národní rozvojové banky</w:t>
            </w:r>
          </w:p>
        </w:tc>
        <w:tc>
          <w:tcPr>
            <w:tcW w:w="1843"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Připravení modelu správy nového kvazikapitálového nástroje </w:t>
            </w:r>
          </w:p>
        </w:tc>
      </w:tr>
      <w:tr>
        <w:trPr>
          <w:trHeight w:val="1185"/>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200</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4.2: Nové kvazikapitálové nástroje na podporu podnikání a rozvoj Českomoravské záruční a rozvojové banky (ČMZRB) v roli národní rozvojové banky – Investice č. 1 Vývoj nové řady kvazikapitálových nástrojů na podporu podnikání</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Dohoda o financování s Českomoravskou záruční a rozvojovou bankou jako národní rozvojovou bankou (ČMZRB)</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2 Reforma soudnictví zaměřená na posílení legislativního rámce a transparentnosti v oblasti soudů, soudců, státních zástupců a soudních exekutorů</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Přijetí zákona o soudech a soudcích </w:t>
            </w:r>
          </w:p>
        </w:tc>
      </w:tr>
      <w:tr>
        <w:trPr>
          <w:trHeight w:val="99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208</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Vytvoření a provádění akčního plánu pro správní systém koordinačního subjektu, zejména pokud jde o dostatečné a systematické předcházení střetu zájmů v souvislosti s Nástrojem pro oživení a odolnost.</w:t>
            </w:r>
          </w:p>
        </w:tc>
      </w:tr>
      <w:tr>
        <w:trPr>
          <w:trHeight w:val="40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211</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Auditní strategie zajišťující nezávislý a účinný audit provádění Nástroje pro oživení a odolnost</w:t>
            </w:r>
          </w:p>
        </w:tc>
      </w:tr>
      <w:tr>
        <w:trPr>
          <w:trHeight w:val="405"/>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212</w:t>
            </w:r>
          </w:p>
        </w:tc>
        <w:tc>
          <w:tcPr>
            <w:tcW w:w="3969" w:type="dxa"/>
            <w:tcBorders>
              <w:top w:val="single" w:sz="4"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single" w:sz="4"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Přezkum definice skutečného vlastnictví v souvislosti se systémem kontroly Nástroje pro oživení a odolnost</w:t>
            </w:r>
          </w:p>
        </w:tc>
      </w:tr>
      <w:tr>
        <w:trPr>
          <w:trHeight w:val="795"/>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5.1: Excelentní výzkum a vývoj ve zdravotnictví – Investice č. 1 Veřejná podpora výzkumu a vývoje pro prioritní oblasti lékařských věd a souvisejících společenskovědních disciplín </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Spuštění nového programu podpory výzkumu a vývoje </w:t>
            </w:r>
          </w:p>
        </w:tc>
      </w:tr>
      <w:tr>
        <w:trPr>
          <w:trHeight w:val="99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226</w:t>
            </w:r>
          </w:p>
        </w:tc>
        <w:tc>
          <w:tcPr>
            <w:tcW w:w="3969"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5.2: Podpora výzkumu a vývoje v podnicích a zavádění inovací do podnikové praxe – Reforma č. 1 Ustavení Národní koordinační skupiny pro podporu průmyslového výzkumu</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Zřízení Národní koordinační skupiny pro podporu průmyslového výzkumu</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236</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6.2: Národní plán na posílení onkologické prevence a péče – Reforma č. 1 Národní onkologický program </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 Národní onkologický program České republiky na období 2022–2030</w:t>
            </w:r>
          </w:p>
        </w:tc>
      </w:tr>
      <w:tr>
        <w:trPr>
          <w:trHeight w:val="795"/>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2: Elektronizace zdravotnictví (eHealth)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Definice norem interoperability v souladu s Evropským rámcem interoperability pro elektronické zdravotnictví a definice pravidel pro telemedicínu</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68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1.5: Digitální transformace podniků – Reforma č. 1: Vytvoření platformy pro digitalizaci hospodářství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Vytvoření platformy pro digitalizaci hospodářství</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Reforma č. 2 Dopracování a provádění strategie Cirkulární Česko 2040</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Dopracování strategie Cirkulární Česko 2040 Ministerstvem životního prostředí a její přijetí</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Reforma č. 1 Rozvoj politik zaměstnanosti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Zřízení tripartitního výboru pro rekvalifikace a zvyšování kvalifikace </w:t>
            </w:r>
          </w:p>
        </w:tc>
      </w:tr>
      <w:tr>
        <w:trPr>
          <w:trHeight w:val="79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4</w:t>
            </w:r>
            <w:r>
              <w:rPr>
                <w:rFonts w:ascii="Times New Roman" w:hAnsi="Times New Roman"/>
                <w:noProof/>
                <w:color w:val="006100"/>
                <w:sz w:val="20"/>
                <w:szCs w:val="20"/>
              </w:rPr>
              <w:br/>
              <w:t>Vytvoření předpokladů pro digitální justici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Analýza správy dat a využívání dat v oblasti soudnictví a zavedení datového skladu</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1: Nové technologie a digitalizace na železniční infrastruktuře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Definování souboru projektů pro investici č. 1</w:t>
            </w:r>
          </w:p>
        </w:tc>
      </w:tr>
      <w:tr>
        <w:trPr>
          <w:trHeight w:val="405"/>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2: Elektrizace železnic</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Definování souboru projektů pro investici č. 2</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3: Zlepšení životního prostředí (podpora železniční infrastruktury)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Definování souboru projektů pro investici č. 3</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přejezdů se zvýšenou bezpečností</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vybudovaných cyklostezek, chodníků a bezbariérových tras</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modernizovaných železničních mostů nebo tunelů</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1: Protipovodňová ochrana</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Oznámení o zadání zakázek týkajících se protipovodňové ochrany</w:t>
            </w:r>
          </w:p>
        </w:tc>
      </w:tr>
      <w:tr>
        <w:trPr>
          <w:trHeight w:val="60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135</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2: Drobné vodní toky a malé vodní nádrže</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C1: Dokončení 50 % projektů týkajících se drobných vodních toků a malých vodních nádrží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176</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Reforma č. 1: Transformace vysokých škol s cílem adaptace na nové formy učení a měnící se potřeby trhu práce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Zahájení programu na podporu transformace vysokých škol </w:t>
            </w:r>
          </w:p>
        </w:tc>
      </w:tr>
      <w:tr>
        <w:trPr>
          <w:trHeight w:val="795"/>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207</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Systém pro shromažďování, uchovávání a zpřístupňování údajů týkajících se všech konečných příjemců včetně všech skutečných majitelů (jak je stanoveno v čl. 3 odst. 6 směrnice o boji proti praní peněz).</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Opatření proti střetu zájmů prováděná koordinačním subjektem.</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Systém úložišť</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Pokyny pro předcházení střetům zájmů a jejich řešení</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5 Kontrola a audit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Postupy pro předcházení střetu zájmů v souladu s článkem 61 finančního nařízení</w:t>
            </w:r>
          </w:p>
        </w:tc>
      </w:tr>
      <w:tr>
        <w:trPr>
          <w:trHeight w:val="795"/>
        </w:trPr>
        <w:tc>
          <w:tcPr>
            <w:tcW w:w="1276" w:type="dxa"/>
            <w:tcBorders>
              <w:top w:val="single" w:sz="8" w:space="0" w:color="000000"/>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224</w:t>
            </w:r>
          </w:p>
        </w:tc>
        <w:tc>
          <w:tcPr>
            <w:tcW w:w="3969"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5.1: Excelentní výzkum a vývoj ve zdravotnictví – Investice č. 1 Veřejná podpora výzkumu a vývoje pro prioritní oblasti lékařských věd a souvisejících společenskovědních disciplín</w:t>
            </w:r>
          </w:p>
        </w:tc>
        <w:tc>
          <w:tcPr>
            <w:tcW w:w="1843"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000000"/>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Zadání veřejných zakázek nejméně čtyřem konsorciím pro výzkum a vývoj</w:t>
            </w:r>
          </w:p>
        </w:tc>
      </w:tr>
      <w:tr>
        <w:trPr>
          <w:trHeight w:val="607"/>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p>
        </w:tc>
        <w:tc>
          <w:tcPr>
            <w:tcW w:w="3969"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p>
        </w:tc>
        <w:tc>
          <w:tcPr>
            <w:tcW w:w="1843"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4" w:space="0" w:color="auto"/>
              <w:left w:val="nil"/>
              <w:bottom w:val="single" w:sz="8" w:space="0" w:color="auto"/>
              <w:right w:val="single" w:sz="8" w:space="0" w:color="auto"/>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1 066 888 563 EUR</w:t>
            </w:r>
          </w:p>
        </w:tc>
      </w:tr>
    </w:tbl>
    <w:p>
      <w:pPr>
        <w:pStyle w:val="Text1"/>
        <w:rPr>
          <w:noProof/>
          <w:lang w:val="en-US"/>
        </w:rPr>
      </w:pPr>
    </w:p>
    <w:p>
      <w:pPr>
        <w:pStyle w:val="NumPar2"/>
        <w:numPr>
          <w:ilvl w:val="1"/>
          <w:numId w:val="68"/>
        </w:numPr>
        <w:rPr>
          <w:noProof/>
        </w:rPr>
      </w:pPr>
      <w:r>
        <w:rPr>
          <w:noProof/>
        </w:rPr>
        <w:t xml:space="preserve">Druhá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2.3: Přechod na čistší zdroje energie – Reforma č. 1 Modernizace distribuce tepla v soustavách dálkového vytápění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Posouzení dekarbonizace dálkového vytápění v Česku</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140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2.6: Ochrana přírody a adaptace na klimatickou změnu – Investice č. 4: Budování lesů odolných klimatické změně </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C1: Opětovné zalesnění 12 000 ha ploch melioračními a zpevňujícími dřevinami (listnaté dřeviny a jedle bělokorá / abies alba)</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148</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1 Budování recyklační infrastruktury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Zadání všech veřejných zakázek na projekty investic do recyklační infrastruktury Ministerstvem životního prostředí </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229</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5.2: Podpora výzkumu a vývoje v podnicích a zavádění inovací do podnikové praxe – Investice č. 3 Podpora výzkumu a vývoje v oblasti životního prostředí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Výzkum a vývoj v oblasti životního prostředí</w:t>
            </w:r>
          </w:p>
        </w:tc>
      </w:tr>
      <w:tr>
        <w:trPr>
          <w:trHeight w:val="40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1: Digitální služby pro koncové uživatele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Úplné fungování jednotné digitální brány</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2: Rozvoj otevřených dat a veřejného datového fondu</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Rozšíření Národního katalogu otevřených dat s pokročilými funkcemi </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1</w:t>
            </w:r>
            <w:r>
              <w:rPr>
                <w:rFonts w:ascii="Times New Roman" w:hAnsi="Times New Roman"/>
                <w:noProof/>
                <w:color w:val="006100"/>
                <w:sz w:val="20"/>
                <w:szCs w:val="20"/>
              </w:rPr>
              <w:br/>
              <w:t>Rozvoj informačních systémů</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Úspěšné zřízení a fungování univerzálního kontaktního místa umožňujícího klientům komunikovat s veřejnou správou na jednom místě.</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1</w:t>
            </w:r>
            <w:r>
              <w:rPr>
                <w:rFonts w:ascii="Times New Roman" w:hAnsi="Times New Roman"/>
                <w:noProof/>
                <w:color w:val="006100"/>
                <w:sz w:val="20"/>
                <w:szCs w:val="20"/>
              </w:rPr>
              <w:br/>
              <w:t>Rozvoj informačních systémů</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Úspěšná modernizace a provoz elektronického systému pro pasy (ePasy) a víza (EVC2)</w:t>
            </w:r>
          </w:p>
        </w:tc>
      </w:tr>
      <w:tr>
        <w:trPr>
          <w:trHeight w:val="99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2</w:t>
            </w:r>
            <w:r>
              <w:rPr>
                <w:rFonts w:ascii="Times New Roman" w:hAnsi="Times New Roman"/>
                <w:noProof/>
                <w:color w:val="006100"/>
                <w:sz w:val="20"/>
                <w:szCs w:val="20"/>
              </w:rPr>
              <w:br/>
              <w:t>Budování a rozvoj základních registrů a zázemí pro eGovernment</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plně funkčního softwarově definovaného datového centra, včetně datových kontejnerů.</w:t>
            </w:r>
          </w:p>
        </w:tc>
      </w:tr>
      <w:tr>
        <w:trPr>
          <w:trHeight w:val="118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23</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3</w:t>
            </w:r>
            <w:r>
              <w:rPr>
                <w:rFonts w:ascii="Times New Roman" w:hAnsi="Times New Roman"/>
                <w:noProof/>
                <w:color w:val="006100"/>
                <w:sz w:val="20"/>
                <w:szCs w:val="20"/>
              </w:rPr>
              <w:br/>
              <w:t>Kybernetická bezpečnost</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Modernizace bezpečnostního informačního systému a systému správy událostí policie ČR a rozšíření jeho využití na ochranu kybernetické bezpečnosti dalších pěti informačních systémů, které budou vybrány na základě studie rizik a proveditelnosti</w:t>
            </w:r>
          </w:p>
        </w:tc>
      </w:tr>
      <w:tr>
        <w:trPr>
          <w:trHeight w:val="118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Reforma č. 1</w:t>
            </w:r>
            <w:r>
              <w:rPr>
                <w:rFonts w:ascii="Times New Roman" w:hAnsi="Times New Roman"/>
                <w:noProof/>
                <w:color w:val="006100"/>
                <w:sz w:val="20"/>
                <w:szCs w:val="20"/>
              </w:rPr>
              <w:br/>
              <w:t>Kompetenční centra pro podporu eGovernmentu, kybernetické bezpečnosti a elektronického zdravotnictví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Úplné fungování tří kompetenčních center poskytujících konzultační služby orgánům, které provádějí změny v informačních systémech a v ekosystému eGovernmentu předpokládané v rámci reforem a investic podle bodu A komponenty č. 1.1 a bodu B komponenty č. 1.2 plánu pro oživení</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4</w:t>
            </w:r>
            <w:r>
              <w:rPr>
                <w:rFonts w:ascii="Times New Roman" w:hAnsi="Times New Roman"/>
                <w:noProof/>
                <w:color w:val="006100"/>
                <w:sz w:val="20"/>
                <w:szCs w:val="20"/>
              </w:rPr>
              <w:br/>
              <w:t>Vytvoření předpokladů pro digitální justici</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Zvýšení počtu konferenčních místností v systému soudnictví, které budou nově vybaveny a připojeny tak, aby umožnily videokonference.</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 Evropské centrum excelence v AI „pro bezpečnější společnost“</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Zahájení činnosti Evropského centra excelence v oblasti umělé inteligence pro bezpečnost a ochranu občanů</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5 Evropský projekt pro DLT financování digitalizace SME pro překonání krize (evropská infrastruktura blockchainových služeb – EBSI) – dluhopisy DLT pro financování malých a středních podniků</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 Dokončení technické realizace evropské infrastruktury blockchainových služeb v případech použití a zahájení pilotní fáze malých a středních podniků</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6 Demonstrativní projekty rozvoje aplikací pro města a průmyslové oblasti (např. 5G)</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Vývoj a provozování referenčních aplikací pro Inteligentní města</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13 Podpora výzkumu a vývoje v leteckém průmyslu</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Plný provoz nejméně jednoho zkušebního prostředí na základě digitální souběžné technologie a zařízení pro digitální transformaci v leteckém průmyslu</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3: Zlepšení životního prostředí (podpora železniční infrastruktury)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Dokončení 26 projektů z předem definovaného souboru projektů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modernizovaných železničních mostů nebo tunelů</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96</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přejezdů se zvýšenou bezpečností</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vybudovaných cyklostezek, chodníků a bezbariérových tras</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111</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2.3: Přechod na čistší zdroje energie – Reforma č. 2 Modernizace distribuce tepla v soustavách dálkového vytápění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Posouzení trajektorií udržitelných dodávek biomasy v Česku</w:t>
            </w:r>
          </w:p>
        </w:tc>
      </w:tr>
      <w:tr>
        <w:trPr>
          <w:trHeight w:val="40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1: Protipovodňová ochrana</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C1: Dokončení 20 projektů zaměřených na vybudování odolné protipovodňové ochrany</w:t>
            </w:r>
            <w:r>
              <w:rPr>
                <w:rFonts w:ascii="Times New Roman" w:hAnsi="Times New Roman"/>
                <w:noProof/>
                <w:color w:val="004300"/>
                <w:sz w:val="20"/>
                <w:szCs w:val="20"/>
              </w:rPr>
              <w:t>.</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150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2 Oběhová řešení v podnicích</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Zadání všech veřejných zakázek na projekty investic do oběhových řešení v podnicích Ministerstvem průmyslu a obchodu</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152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3 Úspora vody v průmyslu</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Zadání všech veřejných zakázek na projekty úspor a optimalizace spotřeby vody v průmyslu Ministerstvem průmyslu a obchodu</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161</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Investice č. 1 Ochrana proti suchu a protipovodňová ochrana města Brna</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Oznámení o zadání zakázek na projekty ochrany proti suchu a protipovodňové ochrany města Brna.</w:t>
            </w:r>
            <w:r>
              <w:rPr>
                <w:rFonts w:ascii="Times New Roman" w:hAnsi="Times New Roman"/>
                <w:noProof/>
                <w:color w:val="004300"/>
                <w:sz w:val="20"/>
                <w:szCs w:val="20"/>
              </w:rPr>
              <w:t xml:space="preserve"> </w:t>
            </w:r>
          </w:p>
        </w:tc>
      </w:tr>
      <w:tr>
        <w:trPr>
          <w:trHeight w:val="99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228</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5.2: Podpora výzkumu a vývoje v podnicích a zavádění inovací do podnikové praxe – Investice č. 2 Podpora spolupráce v oblasti výzkumu a vývoje (v souladu se strategií pro inteligentní specializaci)</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Spolupráce malých a středních podniků s veřejnou výzkumnou organizací v rámci Národních center kompetence</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6.1: Zvýšení odolnosti systému zdravotní péče – Investice č. 1 Vznik simulačního centra intenzivní medicíny a optimalizace systému vzdělávání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Výzva k podávání návrhů na výstavbu simulačního centra intenzivní medicíny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240</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Investice č. 1 Vybudování a zřízení Českého onkologického institutu</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Studie proveditelnosti ověřena nezávislým orgánem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807 375 129EUR</w:t>
            </w:r>
          </w:p>
        </w:tc>
      </w:tr>
    </w:tbl>
    <w:p>
      <w:pPr>
        <w:pStyle w:val="Text1"/>
        <w:ind w:left="0"/>
        <w:rPr>
          <w:noProof/>
          <w:lang w:val="en-US"/>
        </w:rPr>
      </w:pPr>
    </w:p>
    <w:p>
      <w:pPr>
        <w:pStyle w:val="NumPar2"/>
        <w:numPr>
          <w:ilvl w:val="1"/>
          <w:numId w:val="68"/>
        </w:numPr>
        <w:rPr>
          <w:noProof/>
        </w:rPr>
      </w:pPr>
      <w:r>
        <w:rPr>
          <w:noProof/>
        </w:rPr>
        <w:t xml:space="preserve">Třetí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2.6: Ochrana přírody a adaptace na klimatickou změnu – Investice č. 4: Budování lesů odolných klimatické změně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Změna ministerské vyhlášky o lesním hospodářském plánování (změna vyhlášky č. 84/1996 Sb., o lesním hospodářském plánování)</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142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5: Zadržování vody v lesích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C1: Dokončení 40 projektů regulace přívalových toků (malé přehrady ze dřeva a přírodního kamene) za účelem zpomalení povrchových odtoků a projekty zadržování vody v lesích (zadržování vody a malé vodní nádrže).</w:t>
            </w:r>
          </w:p>
        </w:tc>
      </w:tr>
      <w:tr>
        <w:trPr>
          <w:trHeight w:val="99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1 Zlepšení prostředí pro budování sítí elektronických komunikací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Vstup v platnost opatření připravených Ministerstvem průmyslu a obchodu, jejichž cílem je vytvořit databázi plánů investičních projektů a zvýšit počet měření kvality sítě </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1.5: Digitální transformace podniků – Investice č. 2: Evropské referenční testovací a experimentální zařízení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Vytvoření evropského referenčního testovacího a experimentálního zařízení</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Reforma č. 1: Vytváření alternativ k energeticky a prostorově náročné silniční dopravě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Schválení plánů mobility</w:t>
            </w:r>
          </w:p>
        </w:tc>
      </w:tr>
      <w:tr>
        <w:trPr>
          <w:trHeight w:val="40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2: Elektrizace železnic</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Dokončení dvou projektů z předem definovaného souboru projektů </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99</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modernizovaných železničních mostů nebo tunelů</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 </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 </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201 843 782 EUR</w:t>
            </w:r>
          </w:p>
        </w:tc>
      </w:tr>
    </w:tbl>
    <w:p>
      <w:pPr>
        <w:pStyle w:val="NumPar2"/>
        <w:numPr>
          <w:ilvl w:val="0"/>
          <w:numId w:val="0"/>
        </w:numPr>
        <w:rPr>
          <w:noProof/>
          <w:lang w:val="en-US"/>
        </w:rPr>
      </w:pPr>
    </w:p>
    <w:p>
      <w:pPr>
        <w:pStyle w:val="NumPar2"/>
        <w:numPr>
          <w:ilvl w:val="1"/>
          <w:numId w:val="68"/>
        </w:numPr>
        <w:rPr>
          <w:noProof/>
        </w:rPr>
      </w:pPr>
      <w:r>
        <w:rPr>
          <w:noProof/>
        </w:rPr>
        <w:t xml:space="preserve">Čtvrtá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Reforma č. 1: Zavedení rekodifikace stavebního práva do praxe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Zahájení činnosti Nejvyššího stavebního úřadu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Investice č. 1: Vytvoření agendového informačního systému (AIS)</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Plná funkčnost agendového informačního systému</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č.2 Nahrazení stacionárních zdrojů znečištění v domácnostech obnovitelnými zdroji energie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Smluvně zajištěné projekty na snížení spotřeby energie a emisí CO2 (mezi 1. čtvrtletím 2020 a třetím čtvrtletím 2021)</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č.2 Nahrazení stacionárních zdrojů znečištění v domácnostech obnovitelnými zdroji energie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Snížení spotřeby energie a emisí CO2 (35 % provedeno)</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Reforma č. 1 Provádění nové legislativy odpadového hospodářství ČR</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Vstup v platnost prováděcího rozhodnutí navazujícího na právní předpisy o nakládání s odpady, které vypracuje Ministerstvo životního prostředí</w:t>
            </w:r>
          </w:p>
        </w:tc>
      </w:tr>
      <w:tr>
        <w:trPr>
          <w:trHeight w:val="138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1: Zajištění podmínek pro kvalitní správu datového fondu a zajištění řízeného přístupu k datům</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auditu dat na úrovních ústředních vládních institucí a vládní přijetí koncepčního dokumentu týkajícího se strategie řízeného přístupu k datům za účelem zajištění podmínek pro řízení kvality shromažďování dat veřejné správy, který bude základem pro nové právní předpisy v oblasti správy dat</w:t>
            </w:r>
          </w:p>
        </w:tc>
      </w:tr>
      <w:tr>
        <w:trPr>
          <w:trHeight w:val="99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1: Digitální služby pro koncové uživatele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Propojení systému Neschopenka s krajskými hygienickými stanicemi a projektem Chytrá karanténa vytvořeným v rámci boje proti onemocnění COVID-19 v populaci a dokončení vývoje tří informačních systémů</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3: Digitální služby v resortu justice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Zavedení nové technologické platformy Portálu justice, která občanům zpřístupní digitální služby a bude napojena na centrální Portál občana</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3: Digitální služby v resortu justice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Vybavení soudních síní audiovizuálními záznamníky dat</w:t>
            </w:r>
          </w:p>
        </w:tc>
      </w:tr>
      <w:tr>
        <w:trPr>
          <w:trHeight w:val="99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2</w:t>
            </w:r>
            <w:r>
              <w:rPr>
                <w:rFonts w:ascii="Times New Roman" w:hAnsi="Times New Roman"/>
                <w:noProof/>
                <w:color w:val="006100"/>
                <w:sz w:val="20"/>
                <w:szCs w:val="20"/>
              </w:rPr>
              <w:br/>
              <w:t>Budování a rozvoj základních registrů a zázemí pro eGovernment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vyjmenovaných projektů, které zvýší přenosovou kapacitu centrálního místa služeb a zajistí modernizaci a optimalizaci komunikační a informační infrastruktury a informačních systémů.</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Reforma č. 2</w:t>
            </w:r>
            <w:r>
              <w:rPr>
                <w:rFonts w:ascii="Times New Roman" w:hAnsi="Times New Roman"/>
                <w:noProof/>
                <w:color w:val="006100"/>
                <w:sz w:val="20"/>
                <w:szCs w:val="20"/>
              </w:rPr>
              <w:br/>
              <w:t>Rozvoj systémů podporujících elektronické zdravotnictví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Rozšíření systému sdíleného lékového záznamu (eReceptu) o narkotika a psychotropní látky a o elektronické poukazy na zdravotnické prostředky</w:t>
            </w:r>
          </w:p>
        </w:tc>
      </w:tr>
      <w:tr>
        <w:trPr>
          <w:trHeight w:val="795"/>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Reforma č. 2 Skupina pro podporu a certifikaci společných strategických technologií s Radou pro strategické technologie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 xml:space="preserve">Počet společností, jimž byla udělena certifikace </w:t>
            </w:r>
          </w:p>
        </w:tc>
      </w:tr>
      <w:tr>
        <w:trPr>
          <w:trHeight w:val="79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5 Evropský projekt pro DLT financování digitalizace SME pro překonání krize (evropská infrastruktura blockchainových služeb – EBSI) – dluhopisy DLT pro financování malých a středních podniků</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malých a středních podniků podporovaných po úspěšné pilotní fázi nabídkou digitálních dluhopisů na EBSI</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7 Programy Czech Rise-Up</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Podpora projektů zaměřených na inovace v oblasti lékařských a nelékařských technologických řešení s cílem vypořádat se s dopady onemocnění COVID-19 a s jeho hospodářskými a sociálními důsledky </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11 Regulační pískoviště v souladu s prioritami EU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Zahájení činnosti dvou regulačních pískovišť ve fintech společnostech a v oblasti umělé inteligence</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11 Regulační pískoviště v souladu s prioritami EU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Účastníci regulačních pískovišť podporováni pískovišti</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Reforma č. 1: Vytváření alternativ k energeticky a prostorově náročné silniční dopravě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Schválení a vstup nové koncepce nákladní dopravy v platnost</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Reforma č. 1: Vytváření alternativ k energeticky a prostorově náročné silniční dopravě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Schválení plánů dopravní obslužnosti</w:t>
            </w:r>
          </w:p>
        </w:tc>
      </w:tr>
      <w:tr>
        <w:trPr>
          <w:trHeight w:val="40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2: Elektrizace železnic</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Dokončení pěti dalších projektů z předem definovaného souboru projektů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3: Zlepšení životního prostředí (podpora železniční infrastruktury)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Dokončení 26 dalších projektů z předem definovaného souboru projektů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100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vybudovaných cyklostezek, chodníků a bezbariérových tras</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101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modernizovaných železničních mostů nebo tunelů</w:t>
            </w:r>
          </w:p>
        </w:tc>
      </w:tr>
      <w:tr>
        <w:trPr>
          <w:trHeight w:val="60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103</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1 Snížení energetické náročnosti budov ve vlastnictví organizačních složek státu</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75 % všech veřejných zakázek na projekty renovace budov dosahujících alespoň 30% úspor primární energie.</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108</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3 Snížení energetické náročnosti budov ve vlastnictví veřejných subjektů</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75 % všech veřejných zakázek na projekty renovace budov dosahujících alespoň 30% úspor primární energie.</w:t>
            </w:r>
          </w:p>
        </w:tc>
      </w:tr>
      <w:tr>
        <w:trPr>
          <w:trHeight w:val="405"/>
        </w:trPr>
        <w:tc>
          <w:tcPr>
            <w:tcW w:w="1276" w:type="dxa"/>
            <w:tcBorders>
              <w:top w:val="single" w:sz="4" w:space="0" w:color="auto"/>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133</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1: Protipovodňová ochrana</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C2: Dokončení dalších 20 projektů zaměřených na vybudování odolné protipovodňové ochrany.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2.6: Ochrana přírody a adaptace na klimatickou změnu – Investice č. 2: Drobné vodní toky a malé vodní nádrže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C2: Dokončení 50 % dalších projektů týkajících se drobných vodních toků a malých vodních nádrží </w:t>
            </w:r>
          </w:p>
        </w:tc>
      </w:tr>
      <w:tr>
        <w:trPr>
          <w:trHeight w:val="99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2.6: Ochrana přírody a adaptace na klimatickou změnu – Investice č. 3: Provádění pozemkových úprav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zelené infrastruktury na podporu biologické rozmanitosti, včetně biocenter, biokoridorů a výsadby místně typické zeleně v zemědělské krajině (v ha půdy, na níž se investice uskuteční).</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138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2.6: Ochrana přírody a adaptace na klimatickou změnu – Investice č. 3: Provádění pozemkových úprav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činností na ochranu životního prostředí a přizpůsobení se změně klimatu (v ha půdy, na níž se investice uskuteční).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Reforma č. 1 Provádění nové legislativy odpadového hospodářství ČR</w:t>
            </w:r>
          </w:p>
        </w:tc>
        <w:tc>
          <w:tcPr>
            <w:tcW w:w="1843" w:type="dxa"/>
            <w:tcBorders>
              <w:top w:val="single" w:sz="8" w:space="0" w:color="000000"/>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Přijetí národního a regionálního plánu pro nakládání s odpady</w:t>
            </w:r>
          </w:p>
        </w:tc>
      </w:tr>
      <w:tr>
        <w:trPr>
          <w:trHeight w:val="405"/>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č.1: Podpora revitalizace specifických území</w:t>
            </w:r>
          </w:p>
        </w:tc>
        <w:tc>
          <w:tcPr>
            <w:tcW w:w="1843"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všech veřejných zakázek na projekty revitalizace konkrétních brownfieldů</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č.2: Podpora revitalizace území ve veřejném vlastnictví pro nepodnikatelské využití</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všech veřejných zakázek na regeneraci brownfieldů ve veřejném vlastnictví pro nepodnikatelské využití</w:t>
            </w:r>
          </w:p>
        </w:tc>
      </w:tr>
      <w:tr>
        <w:trPr>
          <w:trHeight w:val="60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158</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č.3: Podpora revitalizace území ve veřejném vlastnictví pro podnikatelské využití</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všech veřejných zakázek na regeneraci brownfieldů ve veřejném vlastnictví pro podnikatelské využití</w:t>
            </w:r>
          </w:p>
        </w:tc>
      </w:tr>
      <w:tr>
        <w:trPr>
          <w:trHeight w:val="405"/>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183</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3.2: Adaptace školních programů – Investice č. 2: Doučování žáků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Počet žáků, kteří absolvovali doučování </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Reforma č. 1 Rozvoj politik zaměstnanosti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Databáze rekvalifikačních a vzdělávacích kurzů</w:t>
            </w:r>
          </w:p>
        </w:tc>
      </w:tr>
      <w:tr>
        <w:trPr>
          <w:trHeight w:val="600"/>
        </w:trPr>
        <w:tc>
          <w:tcPr>
            <w:tcW w:w="1276" w:type="dxa"/>
            <w:tcBorders>
              <w:top w:val="single" w:sz="8" w:space="0" w:color="000000"/>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3.3: Modernizace služeb zaměstnanosti a rozvoj trhu práce – Reforma č. 2 Zajištění udržitelnosti financování zařízení péče o děti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Vstup v platnost zákona o předškolní péči o děti (novela zákona č. 247/2014 Sb. o poskytování služby péče o dítě v dětské skupině) </w:t>
            </w:r>
          </w:p>
        </w:tc>
      </w:tr>
      <w:tr>
        <w:trPr>
          <w:trHeight w:val="600"/>
        </w:trPr>
        <w:tc>
          <w:tcPr>
            <w:tcW w:w="1276" w:type="dxa"/>
            <w:tcBorders>
              <w:top w:val="single" w:sz="8" w:space="0" w:color="auto"/>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193</w:t>
            </w:r>
          </w:p>
        </w:tc>
        <w:tc>
          <w:tcPr>
            <w:tcW w:w="3969"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Reforma č. 3 Reforma v oblasti dlouhodobé péče</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Přijetí zákona o dlouhodobé péči</w:t>
            </w:r>
          </w:p>
        </w:tc>
      </w:tr>
      <w:tr>
        <w:trPr>
          <w:trHeight w:val="79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196</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3 Rozvoj a modernizace infrastruktury sociální péče</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C1: Počet nízkoemisních vozidel zakoupených pro služby sociální prevence, poradenství a domácí péče</w:t>
            </w:r>
          </w:p>
        </w:tc>
      </w:tr>
      <w:tr>
        <w:trPr>
          <w:trHeight w:val="405"/>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205</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3 Sběr a analýza dat o korupci</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Vytvoření metodiky měření korupce v České republice</w:t>
            </w:r>
          </w:p>
        </w:tc>
      </w:tr>
      <w:tr>
        <w:trPr>
          <w:trHeight w:val="543"/>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 xml:space="preserve"> </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 </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1 095 723 389 EUR</w:t>
            </w:r>
          </w:p>
        </w:tc>
      </w:tr>
    </w:tbl>
    <w:p>
      <w:pPr>
        <w:pStyle w:val="Text1"/>
        <w:ind w:left="0"/>
        <w:rPr>
          <w:noProof/>
          <w:lang w:val="en-US"/>
        </w:rPr>
      </w:pPr>
    </w:p>
    <w:p>
      <w:pPr>
        <w:pStyle w:val="NumPar2"/>
        <w:numPr>
          <w:ilvl w:val="1"/>
          <w:numId w:val="68"/>
        </w:numPr>
        <w:rPr>
          <w:noProof/>
        </w:rPr>
      </w:pPr>
      <w:r>
        <w:rPr>
          <w:noProof/>
        </w:rPr>
        <w:t xml:space="preserve">Pátá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4"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99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143</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5: Zadržování vody v lesích</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C2: Dokončení 20 dalších projektů regulace přívalových toků (malé přehrady ze dřeva a přírodního kamene) za účelem zpomalení povrchových odtoků a projekty zadržování vody v lesích (zadržování vody a malé vodní nádrže).</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174</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Investice č. 2 Vybavení škol digitálními technologiemi</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škol podpořených digitálními technologiemi a vybavením na podporu digitální gramotnosti a zavedení nových vzdělávacích programů v oblasti IT </w:t>
            </w:r>
          </w:p>
        </w:tc>
      </w:tr>
      <w:tr>
        <w:trPr>
          <w:trHeight w:val="795"/>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18</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1</w:t>
            </w:r>
            <w:r>
              <w:rPr>
                <w:rFonts w:ascii="Times New Roman" w:hAnsi="Times New Roman"/>
                <w:noProof/>
                <w:color w:val="006100"/>
                <w:sz w:val="20"/>
                <w:szCs w:val="20"/>
              </w:rPr>
              <w:br/>
              <w:t>Rozvoj informačních systémů</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Uzavření smlouvy na realizaci vyjmenovaných projektů informačních systémů, které tvoří backendový základ vývoje informačních systémů pro veřejnou správu:</w:t>
            </w:r>
          </w:p>
        </w:tc>
      </w:tr>
      <w:tr>
        <w:trPr>
          <w:trHeight w:val="79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Reforma č. 2 Skupina pro podporu a certifikaci společných strategických technologií s Radou pro strategické technologie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Zřízení a jmenování certifikačních orgánů </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1: Nové technologie a digitalizace na železniční infrastruktuře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dvou projektů z předem definovaného souboru projektů.</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2.3: Přechod na čistší zdroje energie – Investice č. 2 Modernizace distribuce tepla v soustavách dálkového vytápění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Plán investic do zařízení na výrobu tepla/elektřiny</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179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Investice č. 1: Rozvoj vybraných klíčových akademických pracovišť</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Zadání zakázek na výstavbu nových vysokoškolských zařízení </w:t>
            </w:r>
          </w:p>
        </w:tc>
      </w:tr>
      <w:tr>
        <w:trPr>
          <w:trHeight w:val="60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231</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6.1: Zvýšení odolnosti systému zdravotní péče – Reforma č. 1 Zlepšení vzdělávání zdravotnických pracovníků </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Elektronický systém pro řízení, správu a hodnocení vzdělávání zdravotnických pracovníků</w:t>
            </w:r>
          </w:p>
        </w:tc>
      </w:tr>
      <w:tr>
        <w:trPr>
          <w:trHeight w:val="600"/>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p>
        </w:tc>
        <w:tc>
          <w:tcPr>
            <w:tcW w:w="3969"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p>
        </w:tc>
        <w:tc>
          <w:tcPr>
            <w:tcW w:w="1843"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4" w:space="0" w:color="auto"/>
              <w:left w:val="nil"/>
              <w:bottom w:val="single" w:sz="8" w:space="0" w:color="auto"/>
              <w:right w:val="single" w:sz="8" w:space="0" w:color="auto"/>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230 678 608 EUR</w:t>
            </w:r>
          </w:p>
        </w:tc>
      </w:tr>
    </w:tbl>
    <w:p>
      <w:pPr>
        <w:pStyle w:val="Text1"/>
        <w:ind w:left="0"/>
        <w:rPr>
          <w:noProof/>
          <w:lang w:val="en-US"/>
        </w:rPr>
      </w:pPr>
    </w:p>
    <w:p>
      <w:pPr>
        <w:pStyle w:val="NumPar2"/>
        <w:numPr>
          <w:ilvl w:val="1"/>
          <w:numId w:val="68"/>
        </w:numPr>
        <w:rPr>
          <w:noProof/>
        </w:rPr>
      </w:pPr>
      <w:r>
        <w:rPr>
          <w:noProof/>
        </w:rPr>
        <w:t xml:space="preserve">Šestá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 1 Renovace a revitalizace budov pro úspory energie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Smluvně zajištěné projekty na snížení spotřeby energie (v období 02/2022–07/2021)</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141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2.6: Ochrana přírody a adaptace na klimatickou změnu – Investice č. 4: Opětovné zalesňování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C2: Opětovné zalesnění dalších 24 000 ha ploch melioračními a zpevňujícími dřevinami (listnaté dřeviny a jedle bělokorá / abies alba) </w:t>
            </w:r>
          </w:p>
        </w:tc>
      </w:tr>
      <w:tr>
        <w:trPr>
          <w:trHeight w:val="405"/>
        </w:trPr>
        <w:tc>
          <w:tcPr>
            <w:tcW w:w="1276" w:type="dxa"/>
            <w:tcBorders>
              <w:top w:val="single" w:sz="8" w:space="0" w:color="000000"/>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1: Digitální služby pro koncové uživatele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Plný provoz čtyř informačních systémů</w:t>
            </w:r>
          </w:p>
        </w:tc>
      </w:tr>
      <w:tr>
        <w:trPr>
          <w:trHeight w:val="600"/>
        </w:trPr>
        <w:tc>
          <w:tcPr>
            <w:tcW w:w="1276" w:type="dxa"/>
            <w:tcBorders>
              <w:top w:val="single" w:sz="8" w:space="0" w:color="000000"/>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Investice č. 2: Rozvoj otevřených dat a veřejného datového fondu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000000"/>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Zvýšení počtu subjektů zveřejňujících otevřená data ve veřejné správě, které otevřená data zveřejňují v Národním katalogu otevřených dat.</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1 Rozvoj informačních systémů</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Úspěšné fungování integrovaného cizineckého systému snižujícího administrativní zátěž cizinců i státních zaměstnanců</w:t>
            </w:r>
          </w:p>
        </w:tc>
      </w:tr>
      <w:tr>
        <w:trPr>
          <w:trHeight w:val="79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4</w:t>
            </w:r>
            <w:r>
              <w:rPr>
                <w:rFonts w:ascii="Times New Roman" w:hAnsi="Times New Roman"/>
                <w:noProof/>
                <w:color w:val="006100"/>
                <w:sz w:val="20"/>
                <w:szCs w:val="20"/>
              </w:rPr>
              <w:br/>
              <w:t>Vytvoření předpokladů pro digitální justici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Zvýšení kapacity pro ukládání dat</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2 Podpora rozvoje ekosystému sítí 5G</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Zveřejnění studií zaměřených na zlepšení zavádění sítí 5G Ministerstvem průmyslu a obchodu </w:t>
            </w:r>
          </w:p>
        </w:tc>
      </w:tr>
      <w:tr>
        <w:trPr>
          <w:trHeight w:val="795"/>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38</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1 Vybudování vysokokapacitního připojení </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Vydání všech rozhodnutí o udělení grantu na připojení adresních míst k síti s velmi vysokou kapacitou (VHCN) ministerstvem průmyslu a obchodu </w:t>
            </w:r>
          </w:p>
        </w:tc>
      </w:tr>
      <w:tr>
        <w:trPr>
          <w:trHeight w:val="795"/>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43</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3 Podpora rozvoje mobilní infrastruktury sítí 5G v investičně náročných bílých místech na venkově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Vydání všech rozhodnutí o udělení grantu na připojení obcí k sítím s velmi vysokou kapacitou </w:t>
            </w:r>
          </w:p>
        </w:tc>
      </w:tr>
      <w:tr>
        <w:trPr>
          <w:trHeight w:val="600"/>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45</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4 Vědeckovýzkumné činnosti související s rozvojem sítí a služeb 5G </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Vydání všech rozhodnutí o udělení grantu na projekty vědeckého výzkumu týkající se sítí 5G </w:t>
            </w:r>
          </w:p>
        </w:tc>
      </w:tr>
      <w:tr>
        <w:trPr>
          <w:trHeight w:val="118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53</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3 Přenos zahraniční nejlepší praxe a know-how pro digitální transformaci, monitoring a výzkum socio-ekonomických dopadů krize (Samuel Neaman Institute)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Založení českého institutu Samuela Neamana s mezinárodním dosahem včetně pěti dohod o mezinárodní spolupráci ve formě memorand s cílem přenést osvědčené postupy v oblasti digitální transformace</w:t>
            </w:r>
          </w:p>
        </w:tc>
      </w:tr>
      <w:tr>
        <w:trPr>
          <w:trHeight w:val="795"/>
        </w:trPr>
        <w:tc>
          <w:tcPr>
            <w:tcW w:w="1276" w:type="dxa"/>
            <w:tcBorders>
              <w:top w:val="single" w:sz="4"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54</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4 Platforma pro vzdělávání managementu SME pro post-COVID-19 digitální transformaci</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Zahájení činnosti platformy pro vzdělávání managementu malých a středních podniků a zapojení managementu nejméně 200 malých a středních podniků do činností týkajících se zvyšování kvalifikací a rekvalifikací se zaměřením na digitální transformaci </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8 Podpora podnikavosti, podnikání a inovativních firem</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start-upů podporovaných prostřednictvím inovačních center a partnerských organizací programu</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69</w:t>
            </w:r>
          </w:p>
        </w:tc>
        <w:tc>
          <w:tcPr>
            <w:tcW w:w="3969"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1.5: Digitální transformace podniků – Investice č. 1: Evropská a národní centra digitálních inovací</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Vytvoření funkčních a propojených evropských a národních center digitálních inovací</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76</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Investice č. 2: Rozvoj a využití datového fondu veřejné správy v územním plánování</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Vytvoření standardizované databáze dokumentace územního plánování</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Investice č. 3: Plné využití přínosů digitalizace stavebního řízení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Plná funkčnost IT systémů podporujících digitalizaci procesu povolování staveb</w:t>
            </w:r>
          </w:p>
        </w:tc>
      </w:tr>
      <w:tr>
        <w:trPr>
          <w:trHeight w:val="600"/>
        </w:trPr>
        <w:tc>
          <w:tcPr>
            <w:tcW w:w="1276" w:type="dxa"/>
            <w:tcBorders>
              <w:top w:val="single" w:sz="8" w:space="0" w:color="000000"/>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85</w:t>
            </w:r>
          </w:p>
        </w:tc>
        <w:tc>
          <w:tcPr>
            <w:tcW w:w="3969"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1: Nové technologie a digitalizace na železniční infrastruktuře</w:t>
            </w:r>
          </w:p>
        </w:tc>
        <w:tc>
          <w:tcPr>
            <w:tcW w:w="1843" w:type="dxa"/>
            <w:tcBorders>
              <w:top w:val="single" w:sz="8" w:space="0" w:color="000000"/>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000000"/>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šesti dalších projektů z předem definovaného souboru projektů</w:t>
            </w:r>
          </w:p>
        </w:tc>
      </w:tr>
      <w:tr>
        <w:trPr>
          <w:trHeight w:val="600"/>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98</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Investice č. 4: Bezpečnost silniční a železniční dopravy (železniční přejezdy, mosty a tunely, cyklostezky a bezbariérové trasy)</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přejezdů se zvýšenou bezpečností</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2 Snížení energetické náročnosti systémů veřejného osvětlení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Zadání 80 % všech veřejných zakázek na projekty renovace systémů veřejného osvětlení dosahujících alespoň 30% úspor primární energie.</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Reforma č. 1 Novela vodního zákona</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Novela vodního zákona (zákon č. 254/2001 Sb.) zaměřená na systémový přístup ke zvládání stavu sucha a nedostatku vody. </w:t>
            </w:r>
          </w:p>
        </w:tc>
      </w:tr>
      <w:tr>
        <w:trPr>
          <w:trHeight w:val="600"/>
        </w:trPr>
        <w:tc>
          <w:tcPr>
            <w:tcW w:w="1276" w:type="dxa"/>
            <w:tcBorders>
              <w:top w:val="single" w:sz="8" w:space="0" w:color="000000"/>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170</w:t>
            </w:r>
          </w:p>
        </w:tc>
        <w:tc>
          <w:tcPr>
            <w:tcW w:w="3969"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3.1: Inovace ve vzdělávání v kontextu digitalizace – Investice č. 1 Implementace revidovaného kurikula a digitálních dovedností učitelů </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000000"/>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Vytvoření digitální platformy pro efektivní sdílení vzdělávacích zdrojů </w:t>
            </w:r>
          </w:p>
        </w:tc>
      </w:tr>
      <w:tr>
        <w:trPr>
          <w:trHeight w:val="79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194</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3 Rozvoj a modernizace infrastruktury sociální péče</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C1: Počet vybudovaných nebo rekonstruovaných komunitních pobytových zařízení </w:t>
            </w:r>
          </w:p>
        </w:tc>
      </w:tr>
      <w:tr>
        <w:trPr>
          <w:trHeight w:val="795"/>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197</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3 Rozvoj a modernizace infrastruktury sociální péče</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C2: Počet nízkoemisních vozidel zakoupených pro služby sociální prevence, poradenství a domácí péče</w:t>
            </w:r>
          </w:p>
        </w:tc>
      </w:tr>
      <w:tr>
        <w:trPr>
          <w:trHeight w:val="600"/>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4.3: Protikorupční reformy – Reforma č. 1 Ochrana oznamovatelů korupce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Přijetí zákona o ochraně oznamovatelů a souvisejícího změnového zákona</w:t>
            </w:r>
          </w:p>
        </w:tc>
      </w:tr>
      <w:tr>
        <w:trPr>
          <w:trHeight w:val="79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4.3: Protikorupční reformy – Reforma č. 2 Reforma soudnictví zaměřená na posílení legislativního rámce a transparentnosti v oblasti soudů, soudců, státních zástupců a soudních exekutorů</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Přijetí zákona o řízení ve věcech soudců, státních zástupců a soudních exekutorů</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4.5: Rozvoj kulturního a kreativního sektoru – Reforma č. 1: Status umělce/umělkyně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profesionálů v kulturním sektoru a kreativním sektoru podporovaný prostřednictvím rozvoje dovedností</w:t>
            </w:r>
          </w:p>
        </w:tc>
      </w:tr>
      <w:tr>
        <w:trPr>
          <w:trHeight w:val="600"/>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220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4.5: Rozvoj kulturního a kreativního sektoru – Reforma č. 2: Legislativní reforma zavádějící vícefondové financování kulturních institucí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Vstup v platnost legislativní změny umožňující kooperativní financování kultury z více zdrojů </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234</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6.1: Zvýšení odolnosti systému zdravotní péče – Investice č. 2 Rehabilitační péče pro pacienty po kritických stavech</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Podpora rehabilitační péče </w:t>
            </w:r>
          </w:p>
        </w:tc>
      </w:tr>
      <w:tr>
        <w:trPr>
          <w:trHeight w:val="575"/>
        </w:trPr>
        <w:tc>
          <w:tcPr>
            <w:tcW w:w="1276" w:type="dxa"/>
            <w:tcBorders>
              <w:top w:val="nil"/>
              <w:left w:val="single" w:sz="8" w:space="0" w:color="auto"/>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lang w:val="en-US"/>
              </w:rPr>
            </w:pPr>
          </w:p>
        </w:tc>
        <w:tc>
          <w:tcPr>
            <w:tcW w:w="3969" w:type="dxa"/>
            <w:tcBorders>
              <w:top w:val="nil"/>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lang w:val="en-US"/>
              </w:rPr>
            </w:pPr>
          </w:p>
        </w:tc>
        <w:tc>
          <w:tcPr>
            <w:tcW w:w="1843" w:type="dxa"/>
            <w:tcBorders>
              <w:top w:val="nil"/>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nil"/>
              <w:left w:val="nil"/>
              <w:bottom w:val="single" w:sz="8" w:space="0" w:color="auto"/>
              <w:right w:val="single" w:sz="8" w:space="0" w:color="auto"/>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807 375 129 EUR</w:t>
            </w:r>
          </w:p>
        </w:tc>
      </w:tr>
    </w:tbl>
    <w:p>
      <w:pPr>
        <w:pStyle w:val="Text1"/>
        <w:ind w:left="0"/>
        <w:rPr>
          <w:noProof/>
        </w:rPr>
      </w:pPr>
    </w:p>
    <w:p>
      <w:pPr>
        <w:pStyle w:val="NumPar2"/>
        <w:numPr>
          <w:ilvl w:val="1"/>
          <w:numId w:val="68"/>
        </w:numPr>
        <w:rPr>
          <w:noProof/>
        </w:rPr>
      </w:pPr>
      <w:r>
        <w:rPr>
          <w:noProof/>
        </w:rPr>
        <w:t xml:space="preserve">Sedmá splátka (nevratná podpora): </w:t>
      </w:r>
    </w:p>
    <w:p>
      <w:pPr>
        <w:pStyle w:val="Text1"/>
        <w:rPr>
          <w:noProof/>
          <w:lang w:val="fr-BE"/>
        </w:rPr>
      </w:pPr>
    </w:p>
    <w:tbl>
      <w:tblPr>
        <w:tblW w:w="10490" w:type="dxa"/>
        <w:tblInd w:w="-601" w:type="dxa"/>
        <w:tblLook w:val="04A0" w:firstRow="1" w:lastRow="0" w:firstColumn="1" w:lastColumn="0" w:noHBand="0" w:noVBand="1"/>
      </w:tblPr>
      <w:tblGrid>
        <w:gridCol w:w="1276"/>
        <w:gridCol w:w="3969"/>
        <w:gridCol w:w="1843"/>
        <w:gridCol w:w="3402"/>
      </w:tblGrid>
      <w:tr>
        <w:trPr>
          <w:trHeight w:val="825"/>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795"/>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47</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Reforma č. 1 Institucionální reforma systému koordinace a podpory digitální transformace ekonomiky (vč. RIS 3)</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Provedení organizačních změn za účelem reformy struktury veřejných orgánů zajišťujících dohled nad digitální transformací hospodářství</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237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Reforma č. 2 Podpora a zvyšování kvality preventivních screeningových programů</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Jmenování orgánu odpovědného za koordinaci onkologických screeningových programů </w:t>
            </w:r>
          </w:p>
        </w:tc>
      </w:tr>
      <w:tr>
        <w:trPr>
          <w:trHeight w:val="569"/>
        </w:trPr>
        <w:tc>
          <w:tcPr>
            <w:tcW w:w="1276" w:type="dxa"/>
            <w:tcBorders>
              <w:top w:val="single" w:sz="4" w:space="0" w:color="auto"/>
              <w:left w:val="single" w:sz="8" w:space="0" w:color="auto"/>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4300"/>
                <w:sz w:val="20"/>
                <w:szCs w:val="20"/>
              </w:rPr>
            </w:pPr>
          </w:p>
        </w:tc>
        <w:tc>
          <w:tcPr>
            <w:tcW w:w="3969"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p>
        </w:tc>
        <w:tc>
          <w:tcPr>
            <w:tcW w:w="1843" w:type="dxa"/>
            <w:tcBorders>
              <w:top w:val="single" w:sz="4" w:space="0" w:color="auto"/>
              <w:left w:val="nil"/>
              <w:bottom w:val="single" w:sz="8" w:space="0" w:color="auto"/>
              <w:right w:val="single" w:sz="8" w:space="0" w:color="000000"/>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4" w:space="0" w:color="auto"/>
              <w:left w:val="nil"/>
              <w:bottom w:val="single" w:sz="8" w:space="0" w:color="auto"/>
              <w:right w:val="single" w:sz="8" w:space="0" w:color="auto"/>
            </w:tcBorders>
            <w:shd w:val="clear" w:color="000000" w:fill="C6EFCE"/>
            <w:vAlign w:val="center"/>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57 669 652 EUR</w:t>
            </w:r>
          </w:p>
        </w:tc>
      </w:tr>
    </w:tbl>
    <w:p>
      <w:pPr>
        <w:pStyle w:val="Text1"/>
        <w:rPr>
          <w:noProof/>
          <w:lang w:val="en-US"/>
        </w:rPr>
      </w:pPr>
    </w:p>
    <w:p>
      <w:pPr>
        <w:pStyle w:val="NumPar2"/>
        <w:numPr>
          <w:ilvl w:val="1"/>
          <w:numId w:val="68"/>
        </w:numPr>
        <w:rPr>
          <w:noProof/>
        </w:rPr>
      </w:pPr>
      <w:r>
        <w:rPr>
          <w:noProof/>
        </w:rPr>
        <w:t xml:space="preserve">Osmá splátka (nevratná podpora): </w:t>
      </w:r>
    </w:p>
    <w:p>
      <w:pPr>
        <w:pStyle w:val="Text1"/>
        <w:rPr>
          <w:noProof/>
        </w:rPr>
      </w:pPr>
    </w:p>
    <w:tbl>
      <w:tblPr>
        <w:tblW w:w="10490" w:type="dxa"/>
        <w:tblInd w:w="-601" w:type="dxa"/>
        <w:tblLook w:val="04A0" w:firstRow="1" w:lastRow="0" w:firstColumn="1" w:lastColumn="0" w:noHBand="0" w:noVBand="1"/>
      </w:tblPr>
      <w:tblGrid>
        <w:gridCol w:w="1276"/>
        <w:gridCol w:w="3969"/>
        <w:gridCol w:w="1843"/>
        <w:gridCol w:w="3402"/>
      </w:tblGrid>
      <w:tr>
        <w:trPr>
          <w:trHeight w:val="825"/>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eastAsia="Times New Roman" w:hAnsi="Times New Roman"/>
                <w:b/>
                <w:bCs/>
                <w:noProof/>
                <w:color w:val="000000"/>
              </w:rPr>
            </w:pPr>
            <w:r>
              <w:rPr>
                <w:rFonts w:ascii="Times New Roman" w:hAnsi="Times New Roman"/>
                <w:b/>
                <w:bCs/>
                <w:noProof/>
                <w:color w:val="000000"/>
              </w:rPr>
              <w:t>Název</w:t>
            </w:r>
          </w:p>
        </w:tc>
      </w:tr>
      <w:tr>
        <w:trPr>
          <w:trHeight w:val="600"/>
        </w:trPr>
        <w:tc>
          <w:tcPr>
            <w:tcW w:w="1276" w:type="dxa"/>
            <w:tcBorders>
              <w:top w:val="nil"/>
              <w:left w:val="single" w:sz="8" w:space="0" w:color="000000"/>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Reforma č. 2 Dopracování a provádění strategie Cirkulární Česko 2040</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monitorovací zprávy hodnotící stav provádění strategie Cirkulární Česko 2040.</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Reforma č. 1 Reforma kurikula a posílení IT vzdělávání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6100"/>
                <w:sz w:val="20"/>
                <w:szCs w:val="20"/>
              </w:rPr>
              <w:t>Školy provádějí nové vzdělávací programy posilující digitální gramotnost a výpočetní myšlení</w:t>
            </w:r>
          </w:p>
        </w:tc>
      </w:tr>
      <w:tr>
        <w:trPr>
          <w:trHeight w:val="990"/>
        </w:trPr>
        <w:tc>
          <w:tcPr>
            <w:tcW w:w="1276" w:type="dxa"/>
            <w:tcBorders>
              <w:top w:val="nil"/>
              <w:left w:val="single" w:sz="8" w:space="0" w:color="000000"/>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5.2: Podpora výzkumu a vývoje v podnicích a zavádění inovací do podnikové praxe – Investice č. 4 Podpora výzkumu a vývoje v synergických efektech s rámcovým programem pro výzkum a inovace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Výzkum a vývoj v synergických efektech s rámcovým programem pro výzkum a inovace</w:t>
            </w:r>
          </w:p>
        </w:tc>
      </w:tr>
      <w:tr>
        <w:trPr>
          <w:trHeight w:val="600"/>
        </w:trPr>
        <w:tc>
          <w:tcPr>
            <w:tcW w:w="1276" w:type="dxa"/>
            <w:tcBorders>
              <w:top w:val="nil"/>
              <w:left w:val="single" w:sz="8" w:space="0" w:color="000000"/>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1: Zajištění podmínek pro kvalitní správu datového fondu a zajištění řízeného přístupu k datům</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Zavedení nových metodik správy údajů ve veřejné správě</w:t>
            </w:r>
          </w:p>
        </w:tc>
      </w:tr>
      <w:tr>
        <w:trPr>
          <w:trHeight w:val="405"/>
        </w:trPr>
        <w:tc>
          <w:tcPr>
            <w:tcW w:w="1276" w:type="dxa"/>
            <w:tcBorders>
              <w:top w:val="nil"/>
              <w:left w:val="single" w:sz="8" w:space="0" w:color="000000"/>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2: Elektronizace zdravotnictví (eHealth)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Počet nových služeb v oblasti telemedicíny, které budou zavedeny a zpřístupněny pacientům</w:t>
            </w:r>
          </w:p>
        </w:tc>
      </w:tr>
      <w:tr>
        <w:trPr>
          <w:trHeight w:val="40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2: Elektronizace zdravotnictví (eHealth)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 Dokončení projektů vedoucích k zavedení nových digitálních zdravotnických služeb.</w:t>
            </w:r>
          </w:p>
        </w:tc>
      </w:tr>
      <w:tr>
        <w:trPr>
          <w:trHeight w:val="990"/>
        </w:trPr>
        <w:tc>
          <w:tcPr>
            <w:tcW w:w="1276" w:type="dxa"/>
            <w:tcBorders>
              <w:top w:val="nil"/>
              <w:left w:val="single" w:sz="8" w:space="0" w:color="000000"/>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1.1: Digitální služby občanům a firmám – Reforma č. 2: Elektronizace zdravotnictví (eHealth)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Propojení poskytovatelů zdravotních služeb / zdravotnických zařízení se službami elektronického zdravotnictví podle pravidel pro interoperabilitu a úplné zprovoznění portálu elektronického zdravotnictví se zlepšenou funkčností a katalogem služeb</w:t>
            </w:r>
          </w:p>
        </w:tc>
      </w:tr>
      <w:tr>
        <w:trPr>
          <w:trHeight w:val="795"/>
        </w:trPr>
        <w:tc>
          <w:tcPr>
            <w:tcW w:w="1276" w:type="dxa"/>
            <w:tcBorders>
              <w:top w:val="single" w:sz="8" w:space="0" w:color="auto"/>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19</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1</w:t>
            </w:r>
            <w:r>
              <w:rPr>
                <w:rFonts w:ascii="Times New Roman" w:hAnsi="Times New Roman"/>
                <w:noProof/>
                <w:color w:val="006100"/>
                <w:sz w:val="20"/>
                <w:szCs w:val="20"/>
              </w:rPr>
              <w:br/>
              <w:t>Rozvoj informačních systémů</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Úspěšné fungování nových nebo zmodernizovaných informačních systémů veřejné správy, což zahrnuje dokončení projektů, na které byly zadány zakázky v rámci cíle č. 16. </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24</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3</w:t>
            </w:r>
            <w:r>
              <w:rPr>
                <w:rFonts w:ascii="Times New Roman" w:hAnsi="Times New Roman"/>
                <w:noProof/>
                <w:color w:val="006100"/>
                <w:sz w:val="20"/>
                <w:szCs w:val="20"/>
              </w:rPr>
              <w:br/>
              <w:t>Kybernetická bezpečnost</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vedoucích ke zvýšení počtu informačních systémů, jejichž kybernetická bezpečnost byla posílena v souladu se zákonem č. 181/2014 Sb., o kybernetické bezpečnosti</w:t>
            </w:r>
          </w:p>
        </w:tc>
      </w:tr>
      <w:tr>
        <w:trPr>
          <w:trHeight w:val="1185"/>
        </w:trPr>
        <w:tc>
          <w:tcPr>
            <w:tcW w:w="1276" w:type="dxa"/>
            <w:tcBorders>
              <w:top w:val="single" w:sz="4" w:space="0" w:color="auto"/>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26</w:t>
            </w:r>
          </w:p>
        </w:tc>
        <w:tc>
          <w:tcPr>
            <w:tcW w:w="3969" w:type="dxa"/>
            <w:tcBorders>
              <w:top w:val="single" w:sz="4" w:space="0" w:color="auto"/>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Reforma č. 1</w:t>
            </w:r>
            <w:r>
              <w:rPr>
                <w:rFonts w:ascii="Times New Roman" w:hAnsi="Times New Roman"/>
                <w:noProof/>
                <w:color w:val="006100"/>
                <w:sz w:val="20"/>
                <w:szCs w:val="20"/>
              </w:rPr>
              <w:br/>
              <w:t>Kompetenční centra pro podporu eGovernmentu, kybernetické bezpečnosti a elektronického zdravotnictví</w:t>
            </w:r>
          </w:p>
        </w:tc>
        <w:tc>
          <w:tcPr>
            <w:tcW w:w="1843" w:type="dxa"/>
            <w:tcBorders>
              <w:top w:val="single" w:sz="4" w:space="0" w:color="auto"/>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4"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Konzultace a pomoc týkající se témat souvisejících s opatřeními v rámci reforem podle komponenty č. 1.1 a 1.2 a investic podle bodu A komponenty č. 1.1 a bodu B komponenty č. 1.2 plánu oživení v rozsahu nejméně 5 člověkodnů, které budou poskytnuty konkrétním orgánům veřejné správy</w:t>
            </w:r>
          </w:p>
        </w:tc>
      </w:tr>
      <w:tr>
        <w:trPr>
          <w:trHeight w:val="99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28</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Reforma č. 2</w:t>
            </w:r>
            <w:r>
              <w:rPr>
                <w:rFonts w:ascii="Times New Roman" w:hAnsi="Times New Roman"/>
                <w:noProof/>
                <w:color w:val="006100"/>
                <w:sz w:val="20"/>
                <w:szCs w:val="20"/>
              </w:rPr>
              <w:br/>
              <w:t>Rozvoj systémů podporujících elektronické zdravotnictví</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pro konsolidaci a rozvoj infrastruktury elektronického zdravotnictví s cílem vytvořit propojené databáze a zlepšit digitální zdravotnické služby</w:t>
            </w:r>
          </w:p>
        </w:tc>
      </w:tr>
      <w:tr>
        <w:trPr>
          <w:trHeight w:val="600"/>
        </w:trPr>
        <w:tc>
          <w:tcPr>
            <w:tcW w:w="1276" w:type="dxa"/>
            <w:tcBorders>
              <w:top w:val="single" w:sz="4" w:space="0" w:color="auto"/>
              <w:left w:val="single" w:sz="8" w:space="0" w:color="000000"/>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33</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1 Zlepšení prostředí pro budování sítí elektronických komunikací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digitálních technických map (DTM) objektů pro základní prostorovou situaci </w:t>
            </w:r>
          </w:p>
        </w:tc>
      </w:tr>
      <w:tr>
        <w:trPr>
          <w:trHeight w:val="600"/>
        </w:trPr>
        <w:tc>
          <w:tcPr>
            <w:tcW w:w="1276" w:type="dxa"/>
            <w:tcBorders>
              <w:top w:val="nil"/>
              <w:left w:val="single" w:sz="8" w:space="0" w:color="000000"/>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1 Zlepšení prostředí pro budování sítí elektronických komunikací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digitálních technických map (DTM) objektů pro dopravní sítě a sítě technické infrastruktury</w:t>
            </w:r>
          </w:p>
        </w:tc>
      </w:tr>
      <w:tr>
        <w:trPr>
          <w:trHeight w:val="600"/>
        </w:trPr>
        <w:tc>
          <w:tcPr>
            <w:tcW w:w="1276" w:type="dxa"/>
            <w:tcBorders>
              <w:top w:val="nil"/>
              <w:left w:val="single" w:sz="8" w:space="0" w:color="000000"/>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1 Zlepšení prostředí pro budování sítí elektronických komunikací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měření kvality elektronické komunikace </w:t>
            </w:r>
          </w:p>
        </w:tc>
      </w:tr>
      <w:tr>
        <w:trPr>
          <w:trHeight w:val="40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37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Reforma č. 2 Podpora rozvoje ekosystému sítí 5G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Zveřejnění pokynů týkajících se zavádění sítí 5G Ministerstvem průmyslu a obchodu </w:t>
            </w:r>
          </w:p>
        </w:tc>
      </w:tr>
      <w:tr>
        <w:trPr>
          <w:trHeight w:val="600"/>
        </w:trPr>
        <w:tc>
          <w:tcPr>
            <w:tcW w:w="1276" w:type="dxa"/>
            <w:tcBorders>
              <w:top w:val="nil"/>
              <w:left w:val="single" w:sz="8" w:space="0" w:color="000000"/>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2 Dokrytí 5G koridorů a podpora rozvoje 5G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pokrytí zvýšenou úrovní signálu 5G ve vybraných železničních koridorech</w:t>
            </w:r>
          </w:p>
        </w:tc>
      </w:tr>
      <w:tr>
        <w:trPr>
          <w:trHeight w:val="600"/>
        </w:trPr>
        <w:tc>
          <w:tcPr>
            <w:tcW w:w="1276" w:type="dxa"/>
            <w:tcBorders>
              <w:top w:val="nil"/>
              <w:left w:val="single" w:sz="8" w:space="0" w:color="000000"/>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41</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2 Dokrytí 5G koridorů a podpora rozvoje 5G </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vybavení železničních vagonů opakovači pro pokrytí mobilním signálem a pasivními stěnami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2 Dokrytí 5G koridorů a podpora rozvoje 5G </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Instalace a otestování inteligentního dopravního systému (C-ITS). </w:t>
            </w:r>
          </w:p>
        </w:tc>
      </w:tr>
      <w:tr>
        <w:trPr>
          <w:trHeight w:val="600"/>
        </w:trPr>
        <w:tc>
          <w:tcPr>
            <w:tcW w:w="1276" w:type="dxa"/>
            <w:tcBorders>
              <w:top w:val="single" w:sz="4"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46</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1.3: Digitální vysokokapacitní sítě – Investice č. 4 Vědeckovýzkumné činnosti související s rozvojem sítí a služeb 5G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vědeckého výzkumu souvisejících se sítěmi 5G</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2 Evropský projekt pro boj s COVID fake news (European Digital Media Observatory Hub – EDMO)</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Minimální počet účastníků panelu pro index CEDMO </w:t>
            </w:r>
          </w:p>
        </w:tc>
      </w:tr>
      <w:tr>
        <w:trPr>
          <w:trHeight w:val="79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58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6 Demonstrativní projekty rozvoje aplikací pro města a průmyslové oblasti (např. 5G)</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Rozšíření aplikací případů použití pro Inteligentní města a pro Průmysl 4.0</w:t>
            </w:r>
          </w:p>
        </w:tc>
      </w:tr>
      <w:tr>
        <w:trPr>
          <w:trHeight w:val="118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9 Pilotní fondy společného investování pro rozvoj pre-seedových investic, strategických technologií a univerzitních spin-offů v rámci evropských středisek excelence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Zahájení činnosti Fondu fondů a investice tří speciálně vyhrazených fondů (pre-seedové, strategické technologie a spin-offy)</w:t>
            </w:r>
          </w:p>
        </w:tc>
      </w:tr>
      <w:tr>
        <w:trPr>
          <w:trHeight w:val="118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9 Pilotní fondy společného investování pro rozvoj pre-seedových investic, strategických technologií a univerzitních spin-offů v rámci evropských středisek excelence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Investice do pre-seedových a technologických start-upů a spin-offů</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10 Internacionalizace začínajících podniků</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Podpora mezinárodní expanze start-upů prostřednictvím konzultačních, mentoringových a poradenských služeb pro podniky a akcelerátorových programů</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66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1.4: Digitální ekonomika a společnost, inovativní start-upy a nové technologie – Investice č. 12 Vybudování kvantové komunikační infrastruktury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výstavby a fáze pilotního provozu optické kvantové sítě.</w:t>
            </w:r>
          </w:p>
        </w:tc>
      </w:tr>
      <w:tr>
        <w:trPr>
          <w:trHeight w:val="795"/>
        </w:trPr>
        <w:tc>
          <w:tcPr>
            <w:tcW w:w="1276" w:type="dxa"/>
            <w:tcBorders>
              <w:top w:val="nil"/>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71</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1.5: Digitální transformace podniků – Investice č. 3: Digitální transformace zpracovatelských a nevýrobních podniků a zvýšení jejich odolnosti</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Přímá podpora pro podniky pro účely digitální transformace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74</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1.6: Zrychlení a digitalizace stavebního řízení – Reforma č. 1: Zavedení rekodifikace stavebního práva do praxe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Zkrácení procesu povolování staveb nejméně o dva roky</w:t>
            </w:r>
          </w:p>
        </w:tc>
      </w:tr>
      <w:tr>
        <w:trPr>
          <w:trHeight w:val="795"/>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81</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Reforma č. 1: Vytváření alternativ k energeticky a prostorově náročné silniční dopravě</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Dosažení většího modálního podílu veřejné dopravy ve městech ČR s více než 250 000 obyvatel a ve městech ČR s více než 75 000 obyvatel.</w:t>
            </w:r>
          </w:p>
        </w:tc>
      </w:tr>
      <w:tr>
        <w:trPr>
          <w:trHeight w:val="600"/>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82</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2.1: Udržitelná doprava – Reforma č. 1: Vytváření alternativ k energeticky a prostorově náročné silniční dopravě</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Dosažení většího modálního podílu cyklistické dopravy ve městech v ČR s více než 250 000 obyvatel a ve městech v ČR s více než 75 000 obyvatel.</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115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1: Budování infrastruktury pro veřejnou dopravu v hl. m. Praha</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dobíjecích stanic pro hl. m. Praha</w:t>
            </w:r>
          </w:p>
        </w:tc>
      </w:tr>
      <w:tr>
        <w:trPr>
          <w:trHeight w:val="600"/>
        </w:trPr>
        <w:tc>
          <w:tcPr>
            <w:tcW w:w="1276" w:type="dxa"/>
            <w:tcBorders>
              <w:top w:val="single" w:sz="4"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116</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2.4: Čistá mobilita – Investice č. 1: Budování infrastruktury pro veřejnou dopravu v hl. m. Praha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kilometrů dynamických dobíjecích komunikací pro hl. m. Praha </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117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2: Budování neveřejné infrastruktury – dobíjecí stanice pro soukromé společnosti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dobíjecích stanic rozmístěných pro soukromé společnosti</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118</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3: Budování infrastruktury – dobíjecí stanice pro obytné budovy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dobíjecích stanic rozmístěných pro obytné budovy </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119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4: Podpora nákupu vozidel – vozidla (elektrická, H2, elektrokola) pro soukromé společnosti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 Počet vozidel (elektrických, H2, elektrokol) pro soukromé společnosti</w:t>
            </w:r>
          </w:p>
        </w:tc>
      </w:tr>
      <w:tr>
        <w:trPr>
          <w:trHeight w:val="79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120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5: Podpora nákupu vozidel (elektrických, H2) a infrastruktury pro obce, kraje, státní správu a další veřejné subjekty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vozidel (elektrických, H2) pro obce, kraje, státní správu </w:t>
            </w:r>
          </w:p>
        </w:tc>
      </w:tr>
      <w:tr>
        <w:trPr>
          <w:trHeight w:val="795"/>
        </w:trPr>
        <w:tc>
          <w:tcPr>
            <w:tcW w:w="1276" w:type="dxa"/>
            <w:tcBorders>
              <w:top w:val="nil"/>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121</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2.4: Čistá mobilita – Investice č. 5: Podpora nákupu vozidel (elektrických, H2) a infrastruktury pro obce, kraje, státní správu a další veřejné subjekty</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dobíjecích stanic pro obce, kraje, státní správu a jiné veřejné subjekty</w:t>
            </w:r>
          </w:p>
        </w:tc>
      </w:tr>
      <w:tr>
        <w:trPr>
          <w:trHeight w:val="79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123</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Reforma č. 1 Renovace a revitalizace budov pro úspory energie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Konzultační a školicí služby týkající se renovační vlny renovací v rezidenčním sektoru a harmonogram provádění opatření obsažených v plánech kvality ovzduší</w:t>
            </w:r>
          </w:p>
        </w:tc>
      </w:tr>
      <w:tr>
        <w:trPr>
          <w:trHeight w:val="600"/>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124</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Reforma č. 2 Podpora předprojektové přípravy a podpora komunitních energetických projektů</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Poradenské služby pro energetická společenství</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 1 Renovace a revitalizace budov pro úspory energie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Snížení spotřeby energie</w:t>
            </w:r>
            <w:r>
              <w:rPr>
                <w:rFonts w:ascii="Times New Roman" w:hAnsi="Times New Roman"/>
                <w:noProof/>
                <w:sz w:val="20"/>
                <w:szCs w:val="20"/>
              </w:rPr>
              <w:t xml:space="preserve"> </w:t>
            </w:r>
            <w:r>
              <w:rPr>
                <w:rFonts w:ascii="Times New Roman" w:hAnsi="Times New Roman"/>
                <w:noProof/>
                <w:color w:val="006100"/>
                <w:sz w:val="20"/>
                <w:szCs w:val="20"/>
              </w:rPr>
              <w:t>a snížení emisí CO</w:t>
            </w:r>
            <w:r>
              <w:rPr>
                <w:rFonts w:ascii="Times New Roman" w:hAnsi="Times New Roman"/>
                <w:noProof/>
                <w:color w:val="006100"/>
                <w:sz w:val="20"/>
                <w:szCs w:val="20"/>
                <w:vertAlign w:val="subscript"/>
              </w:rPr>
              <w:t>2</w:t>
            </w:r>
          </w:p>
        </w:tc>
      </w:tr>
      <w:tr>
        <w:trPr>
          <w:trHeight w:val="79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129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č.2 Nahrazení stacionárních zdrojů znečištění v domácnostech obnovitelnými zdroji energie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Snížení spotřeby energie a snížení emisí CO</w:t>
            </w:r>
            <w:r>
              <w:rPr>
                <w:rFonts w:ascii="Times New Roman" w:hAnsi="Times New Roman"/>
                <w:noProof/>
                <w:color w:val="006100"/>
                <w:sz w:val="20"/>
                <w:szCs w:val="20"/>
                <w:vertAlign w:val="subscript"/>
              </w:rPr>
              <w:t>2</w:t>
            </w:r>
          </w:p>
        </w:tc>
      </w:tr>
      <w:tr>
        <w:trPr>
          <w:trHeight w:val="118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130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2.5: Renovace budov a ochrana ovzduší – Investice č. 3 Podpora předprojektové přípravy a osvěty, vzdělávání, odborné přípravy a informovanosti v oblasti úspor energie a snižování emisí skleníkových plynů a dalších látek znečišťujících ovzduší.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Předprojektová příprava, studie, odborná příprava a komunitní energetické projekty</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149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1 Budování recyklační infrastruktury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projektů investic do recyklační infrastruktury</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151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2 Oběhová řešení v podnicích</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projektů investic do oběhových řešení v podnicích</w:t>
            </w:r>
          </w:p>
        </w:tc>
      </w:tr>
      <w:tr>
        <w:trPr>
          <w:trHeight w:val="40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153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2.7: Cirkulární ekonomika, recyklace a průmyslová voda – Investice č. 3 Úspora vody v průmyslu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Dokončení projektů na úsporu a optimalizaci spotřeby vody v průmyslu.</w:t>
            </w:r>
          </w:p>
        </w:tc>
      </w:tr>
      <w:tr>
        <w:trPr>
          <w:trHeight w:val="40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č.1: Podpora revitalizace specifických území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revitalizace specifických brownfieldů zaměřených na energetickou účinnost</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č.2: Podpora revitalizace území ve veřejném vlastnictví pro nepodnikatelské využití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energeticky účinné revitalizace brownfieldů ve vlastnictví obcí a krajů pro nepodnikatelské využití.</w:t>
            </w:r>
          </w:p>
        </w:tc>
      </w:tr>
      <w:tr>
        <w:trPr>
          <w:trHeight w:val="600"/>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159</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2.8: Revitalizace brownfieldů – Investice č.3: Podpora revitalizace území ve veřejném vlastnictví pro podnikatelské využití</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projektů revitalizace brownfieldů ve vlastnictví obcí a krajů zaměřených na energetickou účinnost pro podnikatelské využití.</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Investice č. 1 Ochrana proti suchu a protipovodňová ochrana města Brna</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přírodě blízkých protipovodňových opatření na ochranu města Brna</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163</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Investice č. 2 Hospodaření se srážkovými vodami v městských aglomeracích</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Zvýšení objemu srážkových vod zadržených opatřeními pro hospodaření se srážkovou vodou v městských oblastech. </w:t>
            </w:r>
          </w:p>
        </w:tc>
      </w:tr>
      <w:tr>
        <w:trPr>
          <w:trHeight w:val="795"/>
        </w:trPr>
        <w:tc>
          <w:tcPr>
            <w:tcW w:w="1276" w:type="dxa"/>
            <w:tcBorders>
              <w:top w:val="single" w:sz="4" w:space="0" w:color="auto"/>
              <w:left w:val="single" w:sz="8" w:space="0" w:color="auto"/>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164</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2.9: Podpora biodiverzity a boj se suchem – Investice č. 3 Chráněné oblasti, včetně lokalit sítě Natura 2000 a chráněné druhy rostlin a živočichů </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projektů, jejichž cílem je péče o chráněná území a území soustavy Natura 2000 a péče o chráněné druhy rostlin a živočichů </w:t>
            </w:r>
          </w:p>
        </w:tc>
      </w:tr>
      <w:tr>
        <w:trPr>
          <w:trHeight w:val="60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2.9: Podpora biodiverzity a boj se suchem – Investice č. 4 Adaptace vodních, nelesních a lesních ekosystémů na změnu klimatu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projektů zaměřených na adaptaci vodních, nelesních a lesních ekosystémů na změnu klimatu </w:t>
            </w:r>
          </w:p>
        </w:tc>
      </w:tr>
      <w:tr>
        <w:trPr>
          <w:trHeight w:val="60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166</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Investice č. 4 Adaptace vodních, nelesních a lesních ekosystémů na změnu klimatu</w:t>
            </w:r>
          </w:p>
        </w:tc>
        <w:tc>
          <w:tcPr>
            <w:tcW w:w="1843"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Posouzení potenciálu zadržování vody a návrh konkrétních opatření</w:t>
            </w:r>
          </w:p>
        </w:tc>
      </w:tr>
      <w:tr>
        <w:trPr>
          <w:trHeight w:val="600"/>
        </w:trPr>
        <w:tc>
          <w:tcPr>
            <w:tcW w:w="1276" w:type="dxa"/>
            <w:tcBorders>
              <w:top w:val="nil"/>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167</w:t>
            </w:r>
          </w:p>
        </w:tc>
        <w:tc>
          <w:tcPr>
            <w:tcW w:w="3969"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2.9: Podpora biodiverzity a boj se suchem – Investice č. 4 Adaptace vodních, nelesních a lesních ekosystémů na změnu klimatu</w:t>
            </w:r>
          </w:p>
        </w:tc>
        <w:tc>
          <w:tcPr>
            <w:tcW w:w="1843"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Cíl</w:t>
            </w:r>
          </w:p>
        </w:tc>
        <w:tc>
          <w:tcPr>
            <w:tcW w:w="3402" w:type="dxa"/>
            <w:tcBorders>
              <w:top w:val="nil"/>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Provádění vybraných navrhovaných opatření za účelem zadržování vody</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Investice č. 2 Vybavení škol digitálními technologiemi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IT zařízení zakoupených do školního fondu mobilních digitálních zařízení pro znevýhodněné žáky</w:t>
            </w:r>
          </w:p>
        </w:tc>
      </w:tr>
      <w:tr>
        <w:trPr>
          <w:trHeight w:val="40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Reforma č. 2: Podpora znevýhodněných škol</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podpořených znevýhodněných škol </w:t>
            </w:r>
          </w:p>
        </w:tc>
      </w:tr>
      <w:tr>
        <w:trPr>
          <w:trHeight w:val="40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Reforma č. 2: Podpora znevýhodněných škol</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Návrh nového systému financování škol podle socioekonomického znevýhodnění</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Reforma č. 1 Rozvoj politik zaměstnanosti</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Vstup v platnost novely zákona o zaměstnanosti, která zvýší efektivitu služeb zaměstnanosti a umožní lepší zacílení na nejzranitelnější skupiny.</w:t>
            </w:r>
          </w:p>
        </w:tc>
      </w:tr>
      <w:tr>
        <w:trPr>
          <w:trHeight w:val="600"/>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187</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1 Rozvoj politik zaměstnanosti</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osob, které získaly rekvalifikaci a zvýšily si kvalifikaci v oblasti digitálních dovedností a dovedností potřebných pro Průmysl 4.0.</w:t>
            </w:r>
          </w:p>
        </w:tc>
      </w:tr>
      <w:tr>
        <w:trPr>
          <w:trHeight w:val="600"/>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188</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Reforma č. 1 Rozvoj politik zaměstnanosti</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regionálních vzdělávacích center zřízených na podporu Průmyslu 4.0</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2 Zvýšení kapacity předškolních zařízení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zrekonstruovaných stávajících předškolních zařízení </w:t>
            </w:r>
          </w:p>
        </w:tc>
      </w:tr>
      <w:tr>
        <w:trPr>
          <w:trHeight w:val="600"/>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2 Zvýšení kapacity předškolních zařízení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nových předškolních zařízení </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2 Zvýšení kapacity předškolních zařízení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nových míst v předškolních zařízeních</w:t>
            </w:r>
          </w:p>
        </w:tc>
      </w:tr>
      <w:tr>
        <w:trPr>
          <w:trHeight w:val="79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195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3.3: Modernizace služeb zaměstnanosti a rozvoj trhu práce – Investice č. 3 Rozvoj a modernizace infrastruktury sociální péče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C2: Počet vybudovaných nebo rekonstruovaných komunitních pobytových zařízení</w:t>
            </w:r>
          </w:p>
        </w:tc>
      </w:tr>
      <w:tr>
        <w:trPr>
          <w:trHeight w:val="1185"/>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201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4.2: Nové kvazikapitálové nástroje na podporu podnikání a rozvoj Českomoravské záruční a rozvojové banky (ČMZRB) v roli národní rozvojové banky – Investice č. 1 Vývoj nové řady kvazikapitálových nástrojů na podporu podnikání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Investice v celkové výši 32 400 000 milionů EUR do kvazikapitálových nástrojů na podporu udržitelných projektů malých a středních podniků</w:t>
            </w:r>
          </w:p>
        </w:tc>
      </w:tr>
      <w:tr>
        <w:trPr>
          <w:trHeight w:val="99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215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4.4: Zvýšení efektivity výkonu veřejné správy – Reforma č. 1 Zvýšení efektivity, pro-klientské orientace a využití principů evidence-informed při rozhodování ve veřejné správě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Ministerstvo vnitra dokončí databázi relevantních údajů o procesech, výkonech a personálních kapacitách ve veřejné správě</w:t>
            </w:r>
          </w:p>
        </w:tc>
      </w:tr>
      <w:tr>
        <w:trPr>
          <w:trHeight w:val="990"/>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216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4.4: Zvýšení efektivity výkonu veřejné správy – Reforma č. 1 Zvýšení efektivity, pro-klientské orientace a využití principů evidence-informed při rozhodování ve veřejné správě</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Proškolení front-office úředníků ústředních, krajských nebo místních orgánů v klientsky orientovaných přístupech v rámci vzdělávacího programu akreditovaného u Ministerstva vnitra </w:t>
            </w:r>
          </w:p>
        </w:tc>
      </w:tr>
      <w:tr>
        <w:trPr>
          <w:trHeight w:val="405"/>
        </w:trPr>
        <w:tc>
          <w:tcPr>
            <w:tcW w:w="1276" w:type="dxa"/>
            <w:tcBorders>
              <w:top w:val="nil"/>
              <w:left w:val="single" w:sz="8" w:space="0" w:color="auto"/>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4.5: Rozvoj kulturního a kreativního sektoru – Reforma č. 1: Status umělce/umělkyně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Vstup legislativy zavádějící status umělce/umělkyně v platnost</w:t>
            </w:r>
          </w:p>
        </w:tc>
      </w:tr>
      <w:tr>
        <w:trPr>
          <w:trHeight w:val="600"/>
        </w:trPr>
        <w:tc>
          <w:tcPr>
            <w:tcW w:w="1276" w:type="dxa"/>
            <w:tcBorders>
              <w:top w:val="nil"/>
              <w:left w:val="single" w:sz="8" w:space="0" w:color="auto"/>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219</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4.5: Rozvoj kulturního a kreativního sektoru – Investice č. 1: Rozvoj regionálního kulturního a kreativního sektoru</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Otevření nových regionálních kulturních a kreativních center pro veřejnost</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221</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4.5: Rozvoj kulturního a kreativního sektoru – Investice č. 2: Digitalizace kulturního a kreativního sektoru</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dokončených projektů digitalizace kulturního obsahu</w:t>
            </w:r>
          </w:p>
        </w:tc>
      </w:tr>
      <w:tr>
        <w:trPr>
          <w:trHeight w:val="405"/>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4.5: Rozvoj kulturního a kreativního sektoru – Investice č. 3: Kreativní vouchery</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kreativních voucherů přidělených malým a středním podnikům </w:t>
            </w:r>
          </w:p>
        </w:tc>
      </w:tr>
      <w:tr>
        <w:trPr>
          <w:trHeight w:val="795"/>
        </w:trPr>
        <w:tc>
          <w:tcPr>
            <w:tcW w:w="1276" w:type="dxa"/>
            <w:tcBorders>
              <w:top w:val="single" w:sz="4"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225</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5.1: Excelentní výzkum a vývoj ve zdravotnictví – Investice č. 1 Veřejná podpora výzkumu a vývoje pro prioritní oblasti lékařských věd a souvisejících společenskovědních disciplín</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Potvrzení nejméně čtyř národních konsorcií pro výzkum a vývoj a jejich začlenění do českého systému výzkumu a vývoje jako národních výzkumných autorit </w:t>
            </w:r>
          </w:p>
        </w:tc>
      </w:tr>
      <w:tr>
        <w:trPr>
          <w:trHeight w:val="795"/>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233</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6.1: Zvýšení odolnosti systému zdravotní péče – Investice č. 1 Vznik simulačního centra intenzivní medicíny a optimalizace systému vzdělávání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Zahájení provozu simulačního centra intenzivní medicíny </w:t>
            </w:r>
          </w:p>
        </w:tc>
      </w:tr>
      <w:tr>
        <w:trPr>
          <w:trHeight w:val="600"/>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235</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6.1: Zvýšení odolnosti systému zdravotní péče – Investice č. 3 Vybudování centra kardiovaskulární a transplantační medicíny</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Plně funkční centrum kardiovaskulární a transplantační medicíny</w:t>
            </w:r>
          </w:p>
        </w:tc>
      </w:tr>
      <w:tr>
        <w:trPr>
          <w:trHeight w:val="1185"/>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243</w:t>
            </w:r>
          </w:p>
        </w:tc>
        <w:tc>
          <w:tcPr>
            <w:tcW w:w="3969" w:type="dxa"/>
            <w:tcBorders>
              <w:top w:val="nil"/>
              <w:left w:val="nil"/>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Investice č. 3 Vznik a rozvoj Centra onkologické prevence a infrastruktury pro inovativní a podpůrnou péči v Masarykově onkologickém ústavu</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Centrum onkologické prevence v Masarykově onkologickém ústavu</w:t>
            </w:r>
          </w:p>
        </w:tc>
      </w:tr>
      <w:tr>
        <w:trPr>
          <w:trHeight w:val="1185"/>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244</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Investice č. 3 Vznik a rozvoj Centra onkologické prevence a infrastruktury pro inovativní a podpůrnou péči v Masarykově onkologickém ústavu</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Rozšíření zařízení pro inovativní a podpůrnou péči v Masarykově onkologickém ústavu</w:t>
            </w:r>
          </w:p>
        </w:tc>
      </w:tr>
      <w:tr>
        <w:trPr>
          <w:trHeight w:val="630"/>
        </w:trPr>
        <w:tc>
          <w:tcPr>
            <w:tcW w:w="1276" w:type="dxa"/>
            <w:tcBorders>
              <w:top w:val="single" w:sz="8" w:space="0" w:color="auto"/>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 </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 </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2 162 611 952 EUR</w:t>
            </w:r>
          </w:p>
        </w:tc>
      </w:tr>
    </w:tbl>
    <w:p>
      <w:pPr>
        <w:spacing w:before="0" w:after="0"/>
        <w:jc w:val="center"/>
        <w:rPr>
          <w:rFonts w:ascii="Times New Roman" w:hAnsi="Times New Roman"/>
          <w:noProof/>
          <w:color w:val="006100"/>
          <w:sz w:val="20"/>
          <w:szCs w:val="20"/>
        </w:rPr>
      </w:pPr>
    </w:p>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Devátá splátka (nevratná podpora): </w:t>
      </w:r>
    </w:p>
    <w:p>
      <w:pPr>
        <w:spacing w:before="0" w:after="0"/>
        <w:jc w:val="center"/>
        <w:rPr>
          <w:rFonts w:ascii="Times New Roman" w:hAnsi="Times New Roman"/>
          <w:i/>
          <w:iCs/>
          <w:noProof/>
          <w:color w:val="006100"/>
          <w:sz w:val="20"/>
          <w:szCs w:val="20"/>
        </w:rPr>
      </w:pPr>
      <w:r>
        <w:rPr>
          <w:rFonts w:ascii="Times New Roman" w:hAnsi="Times New Roman"/>
          <w:i/>
          <w:iCs/>
          <w:noProof/>
          <w:color w:val="006100"/>
          <w:sz w:val="20"/>
          <w:szCs w:val="20"/>
        </w:rPr>
        <w:t xml:space="preserve"> </w:t>
      </w:r>
    </w:p>
    <w:tbl>
      <w:tblPr>
        <w:tblW w:w="10490" w:type="dxa"/>
        <w:tblInd w:w="-601" w:type="dxa"/>
        <w:tblLook w:val="04A0" w:firstRow="1" w:lastRow="0" w:firstColumn="1" w:lastColumn="0" w:noHBand="0" w:noVBand="1"/>
      </w:tblPr>
      <w:tblGrid>
        <w:gridCol w:w="1276"/>
        <w:gridCol w:w="3969"/>
        <w:gridCol w:w="1843"/>
        <w:gridCol w:w="3402"/>
      </w:tblGrid>
      <w:tr>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000000" w:fill="BDD7E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Pořadové číslo</w:t>
            </w:r>
          </w:p>
        </w:tc>
        <w:tc>
          <w:tcPr>
            <w:tcW w:w="3969"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Související opatření (reforma nebo investice)</w:t>
            </w:r>
          </w:p>
        </w:tc>
        <w:tc>
          <w:tcPr>
            <w:tcW w:w="1843"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Milník/cíl</w:t>
            </w:r>
          </w:p>
        </w:tc>
        <w:tc>
          <w:tcPr>
            <w:tcW w:w="3402" w:type="dxa"/>
            <w:tcBorders>
              <w:top w:val="single" w:sz="8" w:space="0" w:color="auto"/>
              <w:left w:val="nil"/>
              <w:bottom w:val="single" w:sz="8" w:space="0" w:color="auto"/>
              <w:right w:val="single" w:sz="8" w:space="0" w:color="auto"/>
            </w:tcBorders>
            <w:shd w:val="clear" w:color="000000" w:fill="BDD7E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Název</w:t>
            </w:r>
          </w:p>
        </w:tc>
      </w:tr>
      <w:tr>
        <w:trPr>
          <w:trHeight w:val="795"/>
        </w:trPr>
        <w:tc>
          <w:tcPr>
            <w:tcW w:w="1276" w:type="dxa"/>
            <w:tcBorders>
              <w:top w:val="nil"/>
              <w:left w:val="single" w:sz="8" w:space="0" w:color="auto"/>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10</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 1.1: Digitální služby občanům a firmám – Investice č. 1: Digitální služby pro koncové uživatele</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Dokončení vyjmenovaných projektů, které povede k zvýšení počtu vyplněných formulářů zaslaných fyzickými a právnickými osobami státním orgánům digitálně (prostřednictvím portálů nebo digitálních schránek)</w:t>
            </w:r>
          </w:p>
        </w:tc>
      </w:tr>
      <w:tr>
        <w:trPr>
          <w:trHeight w:val="405"/>
        </w:trPr>
        <w:tc>
          <w:tcPr>
            <w:tcW w:w="1276" w:type="dxa"/>
            <w:tcBorders>
              <w:top w:val="single" w:sz="8" w:space="0" w:color="000000"/>
              <w:left w:val="single" w:sz="8" w:space="0" w:color="auto"/>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39</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 1.3: Digitální vysokokapacitní sítě – Investice č. 1 Vybudování vysokokapacitního připojení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000000"/>
              <w:left w:val="nil"/>
              <w:bottom w:val="single" w:sz="8" w:space="0" w:color="auto"/>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adresních míst připojených k síti s velmi vysokou kapacitou (VHCN) </w:t>
            </w:r>
          </w:p>
        </w:tc>
      </w:tr>
      <w:tr>
        <w:trPr>
          <w:trHeight w:val="795"/>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44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 1.3: Digitální vysokokapacitní sítě – Investice č. 3 Podpora rozvoje mobilní infrastruktury sítí 5G v investičně náročných bílých místech na venkově </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Dokončení základnových stanic pro signál 5G </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104</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1 Snížení energetické náročnosti budov ve vlastnictví organizačních složek státu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 xml:space="preserve">Snižování spotřeby energie </w:t>
            </w:r>
          </w:p>
        </w:tc>
      </w:tr>
      <w:tr>
        <w:trPr>
          <w:trHeight w:val="600"/>
        </w:trPr>
        <w:tc>
          <w:tcPr>
            <w:tcW w:w="1276" w:type="dxa"/>
            <w:tcBorders>
              <w:top w:val="single" w:sz="8"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2 Snížení energetické náročnosti systémů veřejného osvětlení</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 xml:space="preserve">Snižování spotřeby energie </w:t>
            </w:r>
          </w:p>
        </w:tc>
      </w:tr>
      <w:tr>
        <w:trPr>
          <w:trHeight w:val="600"/>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109</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2.2: Snižování spotřeby energie ve veřejném sektoru – Investice č. 3 Snížení energetické náročnosti budov ve vlastnictví veřejných subjektů</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Snižování spotřeby energie</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112</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2.3: Přechod na čistší zdroje energie – Investice č. 1 Vývoj nových zdrojů fotovoltaické energie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Zvýšení instalovaného výkonu zdrojů fotovoltaické energie</w:t>
            </w:r>
          </w:p>
        </w:tc>
      </w:tr>
      <w:tr>
        <w:trPr>
          <w:trHeight w:val="600"/>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114</w:t>
            </w:r>
          </w:p>
        </w:tc>
        <w:tc>
          <w:tcPr>
            <w:tcW w:w="3969" w:type="dxa"/>
            <w:tcBorders>
              <w:top w:val="single" w:sz="4" w:space="0" w:color="auto"/>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2.3: Přechod na čistší zdroje energie – Investice č. 2 Modernizace distribuce tepla v soustavách dálkového vytápění</w:t>
            </w:r>
          </w:p>
        </w:tc>
        <w:tc>
          <w:tcPr>
            <w:tcW w:w="1843" w:type="dxa"/>
            <w:tcBorders>
              <w:top w:val="single" w:sz="4" w:space="0" w:color="auto"/>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Úspory primární energie z modernizace distribuce tepla</w:t>
            </w:r>
          </w:p>
        </w:tc>
      </w:tr>
      <w:tr>
        <w:trPr>
          <w:trHeight w:val="79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122</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2.4: Čistá mobilita – Investice č. 6: Podpora nákupu vozidel (bateriových trolejbusů a nízkopodlažních tramvají) pro veřejnou hromadnou dopravu v hl. m. Praha </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vozidel (bateriové trolejbusy a nízkopodlažní tramvaje) pro veřejnou hromadnou dopravu v hl. m. Praha </w:t>
            </w:r>
          </w:p>
        </w:tc>
      </w:tr>
      <w:tr>
        <w:trPr>
          <w:trHeight w:val="600"/>
        </w:trPr>
        <w:tc>
          <w:tcPr>
            <w:tcW w:w="1276" w:type="dxa"/>
            <w:tcBorders>
              <w:top w:val="nil"/>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171</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Investice č. 1 Implementace revidovaného kurikula a digitálních dovedností učitelů</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škol, které obdržely podporu na zavedení nových vzdělávacích programů v oblasti IT (digitální dovednosti učitelů a poradenství)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175</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3.1: Inovace ve vzdělávání v kontextu digitalizace – Investice č. 2 Vybavení škol digitálními technologiemi</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škol podpořených v rámci poradenství a mentoringu v oblasti IT vybavení a vnitřních IT systémů </w:t>
            </w:r>
          </w:p>
        </w:tc>
      </w:tr>
      <w:tr>
        <w:trPr>
          <w:trHeight w:val="600"/>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177</w:t>
            </w: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Reforma č. 1: Transformace vysokých škol s cílem adaptace na nové formy učení a měnící se potřeby trhu práce</w:t>
            </w: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Počet nově akreditovaných studijních programů</w:t>
            </w:r>
          </w:p>
        </w:tc>
      </w:tr>
      <w:tr>
        <w:trPr>
          <w:trHeight w:val="600"/>
        </w:trPr>
        <w:tc>
          <w:tcPr>
            <w:tcW w:w="1276" w:type="dxa"/>
            <w:tcBorders>
              <w:top w:val="single" w:sz="4"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178</w:t>
            </w:r>
          </w:p>
        </w:tc>
        <w:tc>
          <w:tcPr>
            <w:tcW w:w="3969"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Reforma č. 1: Transformace vysokých škol s cílem adaptace na nové formy učení a měnící se potřeby trhu práce</w:t>
            </w:r>
          </w:p>
        </w:tc>
        <w:tc>
          <w:tcPr>
            <w:tcW w:w="1843" w:type="dxa"/>
            <w:tcBorders>
              <w:top w:val="single" w:sz="4" w:space="0" w:color="auto"/>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Počet rekvalifikačních a vzdělávacích kurzů</w:t>
            </w:r>
          </w:p>
        </w:tc>
      </w:tr>
      <w:tr>
        <w:trPr>
          <w:trHeight w:val="405"/>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206</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 xml:space="preserve">C 4.3: Protikorupční reformy – Reforma č. 4 Regulace lobbování </w:t>
            </w:r>
          </w:p>
        </w:tc>
        <w:tc>
          <w:tcPr>
            <w:tcW w:w="1843" w:type="dxa"/>
            <w:tcBorders>
              <w:top w:val="nil"/>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Přijetí zákona o lobbování </w:t>
            </w:r>
          </w:p>
        </w:tc>
      </w:tr>
      <w:tr>
        <w:trPr>
          <w:trHeight w:val="79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227</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5.2: Podpora výzkumu a vývoje v podnicích a zavádění inovací do podnikové praxe – Investice č. 1 Podpora zavádění inovací do podnikové praxe</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Zavádění produktových, procesních nebo organizačních inovací</w:t>
            </w:r>
          </w:p>
        </w:tc>
      </w:tr>
      <w:tr>
        <w:trPr>
          <w:trHeight w:val="990"/>
        </w:trPr>
        <w:tc>
          <w:tcPr>
            <w:tcW w:w="1276" w:type="dxa"/>
            <w:tcBorders>
              <w:top w:val="nil"/>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22</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1.2: Digitální systémy veřejné správy – Investice č. 2</w:t>
            </w:r>
            <w:r>
              <w:rPr>
                <w:rFonts w:ascii="Times New Roman" w:hAnsi="Times New Roman"/>
                <w:noProof/>
                <w:color w:val="006100"/>
                <w:sz w:val="20"/>
                <w:szCs w:val="20"/>
              </w:rPr>
              <w:br/>
              <w:t>Budování a rozvoj základních registrů a zázemí pro eGovernment</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Poskytování služeb cloud computingu orgánům veřejné správy</w:t>
            </w:r>
          </w:p>
        </w:tc>
      </w:tr>
      <w:tr>
        <w:trPr>
          <w:trHeight w:val="600"/>
        </w:trPr>
        <w:tc>
          <w:tcPr>
            <w:tcW w:w="1276" w:type="dxa"/>
            <w:tcBorders>
              <w:top w:val="nil"/>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180</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3.2: Adaptace školních programů – Investice č. 1: Rozvoj vybraných klíčových akademických pracovišť</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nil"/>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metrů čtverečních nového vysokoškolského areálu </w:t>
            </w:r>
          </w:p>
        </w:tc>
      </w:tr>
      <w:tr>
        <w:trPr>
          <w:trHeight w:val="795"/>
        </w:trPr>
        <w:tc>
          <w:tcPr>
            <w:tcW w:w="1276" w:type="dxa"/>
            <w:tcBorders>
              <w:top w:val="single" w:sz="4" w:space="0" w:color="auto"/>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238</w:t>
            </w:r>
          </w:p>
        </w:tc>
        <w:tc>
          <w:tcPr>
            <w:tcW w:w="3969" w:type="dxa"/>
            <w:tcBorders>
              <w:top w:val="single" w:sz="4" w:space="0" w:color="auto"/>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Reforma č. 2 Podpora a zvyšování kvality preventivních screeningových programů</w:t>
            </w:r>
          </w:p>
        </w:tc>
        <w:tc>
          <w:tcPr>
            <w:tcW w:w="1843" w:type="dxa"/>
            <w:tcBorders>
              <w:top w:val="single" w:sz="4" w:space="0" w:color="auto"/>
              <w:left w:val="nil"/>
              <w:bottom w:val="nil"/>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4" w:space="0" w:color="auto"/>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Zvýšit pokrytí cílové populace screeningovým programem zaměřeným na karcinom tlustého střeva a konečníku</w:t>
            </w:r>
          </w:p>
        </w:tc>
      </w:tr>
      <w:tr>
        <w:trPr>
          <w:trHeight w:val="795"/>
        </w:trPr>
        <w:tc>
          <w:tcPr>
            <w:tcW w:w="1276" w:type="dxa"/>
            <w:tcBorders>
              <w:top w:val="single" w:sz="8" w:space="0" w:color="auto"/>
              <w:left w:val="single" w:sz="8" w:space="0" w:color="auto"/>
              <w:bottom w:val="single" w:sz="8"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239</w:t>
            </w:r>
          </w:p>
        </w:tc>
        <w:tc>
          <w:tcPr>
            <w:tcW w:w="3969"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Reforma č. 2 Podpora a zvyšování kvality preventivních screeningových programů</w:t>
            </w:r>
          </w:p>
        </w:tc>
        <w:tc>
          <w:tcPr>
            <w:tcW w:w="1843" w:type="dxa"/>
            <w:tcBorders>
              <w:top w:val="single" w:sz="8" w:space="0" w:color="auto"/>
              <w:left w:val="nil"/>
              <w:bottom w:val="single" w:sz="8"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8"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Počet účastníků v novém programu včasného záchytu karcinomu plic</w:t>
            </w:r>
          </w:p>
        </w:tc>
      </w:tr>
      <w:tr>
        <w:trPr>
          <w:trHeight w:val="600"/>
        </w:trPr>
        <w:tc>
          <w:tcPr>
            <w:tcW w:w="1276" w:type="dxa"/>
            <w:tcBorders>
              <w:top w:val="nil"/>
              <w:left w:val="single" w:sz="8" w:space="0" w:color="auto"/>
              <w:bottom w:val="nil"/>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241</w:t>
            </w:r>
          </w:p>
        </w:tc>
        <w:tc>
          <w:tcPr>
            <w:tcW w:w="3969"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Investice č. 1 Vybudování a zřízení Českého onkologického institutu</w:t>
            </w:r>
          </w:p>
        </w:tc>
        <w:tc>
          <w:tcPr>
            <w:tcW w:w="1843" w:type="dxa"/>
            <w:tcBorders>
              <w:top w:val="nil"/>
              <w:left w:val="nil"/>
              <w:bottom w:val="single" w:sz="8" w:space="0" w:color="000000"/>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Milník</w:t>
            </w:r>
          </w:p>
        </w:tc>
        <w:tc>
          <w:tcPr>
            <w:tcW w:w="3402" w:type="dxa"/>
            <w:tcBorders>
              <w:top w:val="nil"/>
              <w:left w:val="nil"/>
              <w:bottom w:val="nil"/>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Zahájení provozu Českého onkologického institutu </w:t>
            </w:r>
          </w:p>
        </w:tc>
      </w:tr>
      <w:tr>
        <w:trPr>
          <w:trHeight w:val="795"/>
        </w:trPr>
        <w:tc>
          <w:tcPr>
            <w:tcW w:w="1276" w:type="dxa"/>
            <w:tcBorders>
              <w:top w:val="single" w:sz="8" w:space="0" w:color="auto"/>
              <w:left w:val="single" w:sz="8" w:space="0" w:color="auto"/>
              <w:bottom w:val="single" w:sz="4" w:space="0" w:color="auto"/>
              <w:right w:val="single" w:sz="8" w:space="0" w:color="auto"/>
            </w:tcBorders>
            <w:shd w:val="clear" w:color="000000" w:fill="C6EFCE"/>
            <w:vAlign w:val="center"/>
            <w:hideMark/>
          </w:tcPr>
          <w:p>
            <w:pPr>
              <w:spacing w:before="0" w:after="0"/>
              <w:jc w:val="center"/>
              <w:rPr>
                <w:rFonts w:ascii="Times New Roman" w:eastAsia="Times New Roman" w:hAnsi="Times New Roman"/>
                <w:noProof/>
                <w:color w:val="004300"/>
                <w:sz w:val="20"/>
                <w:szCs w:val="20"/>
              </w:rPr>
            </w:pPr>
            <w:r>
              <w:rPr>
                <w:rFonts w:ascii="Times New Roman" w:hAnsi="Times New Roman"/>
                <w:noProof/>
                <w:color w:val="004300"/>
                <w:sz w:val="20"/>
                <w:szCs w:val="20"/>
              </w:rPr>
              <w:t>242</w:t>
            </w:r>
          </w:p>
        </w:tc>
        <w:tc>
          <w:tcPr>
            <w:tcW w:w="3969"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 6.2: Národní plán na posílení onkologické prevence a péče – Investice č. 2 Rozvoj vysoce specializované hematoonkologické a onkologické péče</w:t>
            </w:r>
          </w:p>
        </w:tc>
        <w:tc>
          <w:tcPr>
            <w:tcW w:w="1843" w:type="dxa"/>
            <w:tcBorders>
              <w:top w:val="nil"/>
              <w:left w:val="nil"/>
              <w:bottom w:val="single" w:sz="4" w:space="0" w:color="auto"/>
              <w:right w:val="single" w:sz="8" w:space="0" w:color="000000"/>
            </w:tcBorders>
            <w:shd w:val="clear" w:color="000000" w:fill="C6EFCE"/>
            <w:vAlign w:val="center"/>
            <w:hideMark/>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Cíl</w:t>
            </w:r>
          </w:p>
        </w:tc>
        <w:tc>
          <w:tcPr>
            <w:tcW w:w="3402" w:type="dxa"/>
            <w:tcBorders>
              <w:top w:val="single" w:sz="8" w:space="0" w:color="auto"/>
              <w:left w:val="nil"/>
              <w:bottom w:val="single" w:sz="4" w:space="0" w:color="auto"/>
              <w:right w:val="single" w:sz="8" w:space="0" w:color="auto"/>
            </w:tcBorders>
            <w:shd w:val="clear" w:color="000000" w:fill="C6EFCE"/>
            <w:vAlign w:val="center"/>
            <w:hideMark/>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 xml:space="preserve">Počet podpořených zařízení poskytujících onkologickou a hematoonkologickou péči </w:t>
            </w:r>
          </w:p>
        </w:tc>
      </w:tr>
      <w:tr>
        <w:trPr>
          <w:trHeight w:val="648"/>
        </w:trPr>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tcPr>
          <w:p>
            <w:pPr>
              <w:spacing w:before="0" w:after="0"/>
              <w:rPr>
                <w:rFonts w:ascii="Times New Roman" w:eastAsia="Times New Roman" w:hAnsi="Times New Roman"/>
                <w:noProof/>
                <w:color w:val="004300"/>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000000" w:fill="C6EFCE"/>
            <w:vAlign w:val="center"/>
          </w:tcPr>
          <w:p>
            <w:pPr>
              <w:spacing w:before="0" w:after="0"/>
              <w:rPr>
                <w:rFonts w:ascii="Times New Roman" w:eastAsia="Times New Roman" w:hAnsi="Times New Roman"/>
                <w:noProof/>
                <w:color w:val="0061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C6EFCE"/>
            <w:vAlign w:val="center"/>
          </w:tcPr>
          <w:p>
            <w:pPr>
              <w:spacing w:before="0" w:after="0"/>
              <w:jc w:val="center"/>
              <w:rPr>
                <w:rFonts w:ascii="Times New Roman" w:eastAsia="Times New Roman" w:hAnsi="Times New Roman"/>
                <w:noProof/>
                <w:color w:val="006100"/>
                <w:sz w:val="20"/>
                <w:szCs w:val="20"/>
              </w:rPr>
            </w:pPr>
            <w:r>
              <w:rPr>
                <w:rFonts w:ascii="Times New Roman" w:hAnsi="Times New Roman"/>
                <w:noProof/>
                <w:color w:val="006100"/>
                <w:sz w:val="20"/>
                <w:szCs w:val="20"/>
              </w:rPr>
              <w:t>Částka splátky</w:t>
            </w:r>
          </w:p>
        </w:tc>
        <w:tc>
          <w:tcPr>
            <w:tcW w:w="3402" w:type="dxa"/>
            <w:tcBorders>
              <w:top w:val="single" w:sz="4" w:space="0" w:color="auto"/>
              <w:left w:val="single" w:sz="4" w:space="0" w:color="auto"/>
              <w:bottom w:val="single" w:sz="4" w:space="0" w:color="auto"/>
              <w:right w:val="single" w:sz="4" w:space="0" w:color="auto"/>
            </w:tcBorders>
            <w:shd w:val="clear" w:color="000000" w:fill="C6EFCE"/>
            <w:vAlign w:val="center"/>
          </w:tcPr>
          <w:p>
            <w:pPr>
              <w:spacing w:before="0" w:after="0"/>
              <w:jc w:val="center"/>
              <w:rPr>
                <w:rFonts w:ascii="Times New Roman" w:hAnsi="Times New Roman"/>
                <w:noProof/>
                <w:color w:val="006100"/>
                <w:sz w:val="20"/>
                <w:szCs w:val="20"/>
              </w:rPr>
            </w:pPr>
            <w:r>
              <w:rPr>
                <w:rFonts w:ascii="Times New Roman" w:hAnsi="Times New Roman"/>
                <w:noProof/>
                <w:color w:val="006100"/>
                <w:sz w:val="20"/>
                <w:szCs w:val="20"/>
              </w:rPr>
              <w:t>605 531 346 EUR</w:t>
            </w:r>
          </w:p>
        </w:tc>
      </w:tr>
    </w:tbl>
    <w:p>
      <w:pPr>
        <w:pStyle w:val="Text1"/>
        <w:ind w:left="0"/>
        <w:rPr>
          <w:rStyle w:val="IntenseEmphasis"/>
          <w:noProof/>
          <w:lang w:val="en-US"/>
        </w:rPr>
        <w:sectPr>
          <w:headerReference w:type="even" r:id="rId322"/>
          <w:headerReference w:type="default" r:id="rId323"/>
          <w:footerReference w:type="even" r:id="rId324"/>
          <w:footerReference w:type="default" r:id="rId325"/>
          <w:headerReference w:type="first" r:id="rId326"/>
          <w:footerReference w:type="first" r:id="rId327"/>
          <w:pgSz w:w="11907" w:h="16839"/>
          <w:pgMar w:top="1418" w:right="1418" w:bottom="1134" w:left="1418" w:header="709" w:footer="709" w:gutter="0"/>
          <w:cols w:space="720"/>
          <w:docGrid w:linePitch="360"/>
        </w:sectPr>
      </w:pPr>
    </w:p>
    <w:p>
      <w:pPr>
        <w:keepNext/>
        <w:tabs>
          <w:tab w:val="left" w:pos="850"/>
        </w:tabs>
        <w:jc w:val="both"/>
        <w:outlineLvl w:val="0"/>
        <w:rPr>
          <w:rFonts w:ascii="Times New Roman" w:hAnsi="Times New Roman"/>
          <w:b/>
          <w:bCs/>
          <w:smallCaps/>
          <w:noProof/>
          <w:sz w:val="24"/>
          <w:szCs w:val="24"/>
        </w:rPr>
      </w:pPr>
      <w:r>
        <w:rPr>
          <w:rFonts w:ascii="Times New Roman" w:hAnsi="Times New Roman"/>
          <w:b/>
          <w:bCs/>
          <w:smallCaps/>
          <w:noProof/>
          <w:sz w:val="24"/>
          <w:szCs w:val="24"/>
        </w:rPr>
        <w:t xml:space="preserve">ODDÍL 3: DALŠÍ OPATŘENÍ </w:t>
      </w:r>
    </w:p>
    <w:p>
      <w:pPr>
        <w:pStyle w:val="NumPar1"/>
        <w:numPr>
          <w:ilvl w:val="0"/>
          <w:numId w:val="74"/>
        </w:numPr>
        <w:rPr>
          <w:b/>
          <w:noProof/>
        </w:rPr>
      </w:pPr>
      <w:r>
        <w:rPr>
          <w:b/>
          <w:noProof/>
        </w:rPr>
        <w:t>Opatření pro monitorování a provádění plánu pro oživení a odolnost</w:t>
      </w:r>
    </w:p>
    <w:p>
      <w:pPr>
        <w:pStyle w:val="NumPar1"/>
        <w:numPr>
          <w:ilvl w:val="0"/>
          <w:numId w:val="0"/>
        </w:numPr>
        <w:rPr>
          <w:rFonts w:eastAsia="Times New Roman"/>
          <w:noProof/>
          <w:szCs w:val="24"/>
        </w:rPr>
      </w:pPr>
      <w:r>
        <w:rPr>
          <w:noProof/>
        </w:rPr>
        <w:t xml:space="preserve">Monitorování a provádění Plánu pro oživení a odolnost České republiky probíhá v souladu s těmito opatřeními: </w:t>
      </w:r>
    </w:p>
    <w:p>
      <w:pPr>
        <w:pStyle w:val="NumPar1"/>
        <w:numPr>
          <w:ilvl w:val="0"/>
          <w:numId w:val="0"/>
        </w:numPr>
        <w:rPr>
          <w:rFonts w:eastAsia="Times New Roman"/>
          <w:noProof/>
          <w:szCs w:val="24"/>
        </w:rPr>
      </w:pPr>
      <w:r>
        <w:rPr>
          <w:noProof/>
        </w:rPr>
        <w:t>S cílem stanovit řádně vymezené úkoly, pravomoci a oprávnění přijala česká vláda dne 17. května 2021 usnesení vlády č. 467. Tímto usnesením schválila plán pro oživení a odolnosti, statut, jednací řád a etický kodex řídící rady národního plánu pro oživení a odolnost, úkoly a pravomoci subjektů zapojených do provádění plánu pro oživení a odolnost a jmenovalo Ministerstvo průmyslu a obchodu koordinačním subjektem a Ministerstvo financí auditním subjektem plánu pro oživení a odolnost.</w:t>
      </w:r>
    </w:p>
    <w:p>
      <w:pPr>
        <w:pStyle w:val="NumPar1"/>
        <w:numPr>
          <w:ilvl w:val="0"/>
          <w:numId w:val="0"/>
        </w:numPr>
        <w:rPr>
          <w:rFonts w:eastAsia="Times New Roman"/>
          <w:noProof/>
          <w:szCs w:val="24"/>
        </w:rPr>
      </w:pPr>
      <w:r>
        <w:rPr>
          <w:noProof/>
        </w:rPr>
        <w:t>Řídící výbor národního plánu pro oživení a odolnost je nejvyšším rozhodovacím a schvalovacím orgánem odpovědným za celkovou koordinaci a monitorování plánu pro oživení a odolnost. Žádosti o platbu musí schválit tato rada. Ministerstvo průmyslu a obchodu jako ústřední koordinační orgán plánu pro oživení a odolnost a jeho provádění odpovídá za koordinaci a monitorování plánu pro oživení a odolnost a za podávání zpráv o plánu a pro Komisi je hlavním kontaktním místem. Tento orgán odpovídá i za vypracování žádostí o platbu a prohlášení řídících subjektů. Koordinuje vykazování milníků a cílů, příslušných ukazatelů, ale i kvalitativních finančních informací a dalších údajů, například o konečných příjemcích. Kódování údajů probíhá v decentralizovaných informačních systémech v rámci systémů na úrovni subjektů odpovědných za jednotlivé komponenty, které jsou povinny hlásit požadované údaje Ministerstvu průmyslu a obchodu. V návaznosti na nedávný audit dalších programů EU obdrželo Ministerstvo průmyslu a obchodu výrok s výhradou z důvodu neexistence účinných opatření zaměřených na prevenci, odhalování a nápravu případů střetu zájmů.  Plán obsahuje konkrétní milníky, aby bylo zajištěno, že tyto nedostatky byly před první žádostí o platbu vyřešeny.</w:t>
      </w:r>
    </w:p>
    <w:p>
      <w:pPr>
        <w:pStyle w:val="NumPar1"/>
        <w:numPr>
          <w:ilvl w:val="0"/>
          <w:numId w:val="68"/>
        </w:numPr>
        <w:rPr>
          <w:b/>
          <w:bCs/>
          <w:noProof/>
        </w:rPr>
      </w:pPr>
      <w:r>
        <w:rPr>
          <w:b/>
          <w:bCs/>
          <w:noProof/>
        </w:rPr>
        <w:t>Opatření pro poskytnutí plného přístupu k podkladovým údajům Komisi</w:t>
      </w:r>
    </w:p>
    <w:p>
      <w:pPr>
        <w:pStyle w:val="NumPar1"/>
        <w:numPr>
          <w:ilvl w:val="0"/>
          <w:numId w:val="0"/>
        </w:numPr>
        <w:rPr>
          <w:noProof/>
        </w:rPr>
      </w:pPr>
      <w:r>
        <w:rPr>
          <w:noProof/>
        </w:rPr>
        <w:t>Aby byl Komisi poskytnut plný přístup k příslušným podkladovým údajům, musí mít Česko zavedena tato opatření:</w:t>
      </w:r>
    </w:p>
    <w:p>
      <w:pPr>
        <w:pStyle w:val="NumPar1"/>
        <w:numPr>
          <w:ilvl w:val="0"/>
          <w:numId w:val="0"/>
        </w:numPr>
        <w:rPr>
          <w:noProof/>
        </w:rPr>
      </w:pPr>
      <w:r>
        <w:rPr>
          <w:noProof/>
        </w:rPr>
        <w:t>Ministerstvo průmyslu a obchodu jako ústřední koordinační orgán českého plánu pro oživení a odolnost a jeho provádění odpovídá za celkovou koordinaci a monitorování plánu. Jedná zejména jako koordinační orgán pro monitorování pokroku při dosahování milníků a cílů, případně pro ověřování řízení a pro podávání zpráv a žádostí o platby. Koordinuje vykazování milníků a cílů, příslušných ukazatelů, ale i kvalitativních finančních informací a dalších údajů, například o konečných příjemcích. Kódování údajů probíhá v decentralizovaných systémech na úrovni jednotlivých subjektů odpovědných za jednotlivé komponenty, které jsou povinny hlásit požadované údaje koordinačnímu orgánu.</w:t>
      </w:r>
    </w:p>
    <w:p>
      <w:pPr>
        <w:pStyle w:val="NumPar1"/>
        <w:numPr>
          <w:ilvl w:val="0"/>
          <w:numId w:val="0"/>
        </w:numPr>
        <w:rPr>
          <w:noProof/>
        </w:rPr>
      </w:pPr>
      <w:r>
        <w:rPr>
          <w:noProof/>
        </w:rPr>
        <w:t>V souladu s čl. 24 odst. 2 nařízení (EU) 2021/241 po dokončení příslušných dohodnutých milníků a cílů uvedených v oddíle 2.1 této přílohy podá Česko Komisi řádně odůvodněnou žádost o vyplacení finančního příspěvku. Česko zajistí, aby Komise měla na požádání plný přístup k příslušným podkladovým údajům, které podporují řádné odůvodnění žádosti o platbu, a to jak pro účely posouzení žádosti o platbu v souladu s čl. 24 odst. 3 nařízení (EU) 2021/241, tak pro účely auditu a kontroly.</w:t>
      </w:r>
    </w:p>
    <w:p>
      <w:pPr>
        <w:jc w:val="both"/>
        <w:rPr>
          <w:rFonts w:eastAsia="Times New Roman"/>
          <w:noProof/>
          <w:szCs w:val="24"/>
        </w:rPr>
      </w:pPr>
    </w:p>
    <w:sectPr>
      <w:headerReference w:type="even" r:id="rId328"/>
      <w:headerReference w:type="default" r:id="rId329"/>
      <w:footerReference w:type="even" r:id="rId330"/>
      <w:footerReference w:type="default" r:id="rId331"/>
      <w:headerReference w:type="first" r:id="rId332"/>
      <w:footerReference w:type="first" r:id="rId333"/>
      <w:pgSz w:w="11907" w:h="16839"/>
      <w:pgMar w:top="1418" w:right="1418" w:bottom="1134" w:left="1418"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2CE8A0" w16cex:dateUtc="2021-06-17T16:24:31.454Z"/>
</w16cex:commentsExtensible>
</file>

<file path=word/commentsIds.xml><?xml version="1.0" encoding="utf-8"?>
<w16cid:commentsIds xmlns:mc="http://schemas.openxmlformats.org/markup-compatibility/2006" xmlns:w16cid="http://schemas.microsoft.com/office/word/2016/wordml/cid" mc:Ignorable="w16cid">
  <w16cid:commentId w16cid:paraId="600F1A1F" w16cid:durableId="5110B6A8"/>
  <w16cid:commentId w16cid:paraId="35DB603F" w16cid:durableId="781B9280"/>
  <w16cid:commentId w16cid:paraId="6ED3CEAE" w16cid:durableId="6DF80469"/>
  <w16cid:commentId w16cid:paraId="443A1791" w16cid:durableId="078CAC97"/>
  <w16cid:commentId w16cid:paraId="3BD763CA" w16cid:durableId="003550A1"/>
  <w16cid:commentId w16cid:paraId="355E3188" w16cid:durableId="1841E390"/>
  <w16cid:commentId w16cid:paraId="1BE911B1" w16cid:durableId="10AA3AB4"/>
  <w16cid:commentId w16cid:paraId="2DCB9CF3" w16cid:durableId="20EA5740"/>
  <w16cid:commentId w16cid:paraId="53024D5D" w16cid:durableId="28AEC65D"/>
  <w16cid:commentId w16cid:paraId="3D60605D" w16cid:durableId="0812B872"/>
  <w16cid:commentId w16cid:paraId="792DF482" w16cid:durableId="3B7FD3AF"/>
  <w16cid:commentId w16cid:paraId="72D2FA81" w16cid:durableId="42FC2C40"/>
  <w16cid:commentId w16cid:paraId="111C57D6" w16cid:durableId="63E220E1"/>
  <w16cid:commentId w16cid:paraId="39577903" w16cid:durableId="4BED7CD9"/>
  <w16cid:commentId w16cid:paraId="51567064" w16cid:durableId="4923D112"/>
  <w16cid:commentId w16cid:paraId="438991A2" w16cid:durableId="14EEF7C6"/>
  <w16cid:commentId w16cid:paraId="44464238" w16cid:durableId="1B023A82"/>
  <w16cid:commentId w16cid:paraId="2DC352DC" w16cid:durableId="50FF28C2"/>
  <w16cid:commentId w16cid:paraId="62F34081" w16cid:durableId="279644EB"/>
  <w16cid:commentId w16cid:paraId="0FDA25B5" w16cid:durableId="77CFB951"/>
  <w16cid:commentId w16cid:paraId="5B7FCA17" w16cid:durableId="4BA59DCB"/>
  <w16cid:commentId w16cid:paraId="714B879A" w16cid:durableId="40AA6AE9"/>
  <w16cid:commentId w16cid:paraId="7809F64F" w16cid:durableId="0FE49587"/>
  <w16cid:commentId w16cid:paraId="09105D00" w16cid:durableId="4C5C7CEB"/>
  <w16cid:commentId w16cid:paraId="0F434BE3" w16cid:durableId="038F8D3A"/>
  <w16cid:commentId w16cid:paraId="6809F960" w16cid:durableId="5055ACEE"/>
  <w16cid:commentId w16cid:paraId="710EB86F" w16cid:durableId="2FBB8DEE"/>
  <w16cid:commentId w16cid:paraId="31F4F789" w16cid:durableId="1A62E1C4"/>
  <w16cid:commentId w16cid:paraId="23DCB88A" w16cid:durableId="2A772525"/>
  <w16cid:commentId w16cid:paraId="4636BAE3" w16cid:durableId="77528E7B"/>
  <w16cid:commentId w16cid:paraId="59941E4B" w16cid:durableId="5391E1BF"/>
  <w16cid:commentId w16cid:paraId="0BAC828D" w16cid:durableId="532569BA"/>
  <w16cid:commentId w16cid:paraId="5D959B0F" w16cid:durableId="06F02996"/>
  <w16cid:commentId w16cid:paraId="6D9BCF5B" w16cid:durableId="74A31E60"/>
  <w16cid:commentId w16cid:paraId="682E1733" w16cid:durableId="020518A7"/>
  <w16cid:commentId w16cid:paraId="6294CE05" w16cid:durableId="14026840"/>
  <w16cid:commentId w16cid:paraId="05317458" w16cid:durableId="46376CB7"/>
  <w16cid:commentId w16cid:paraId="419CF608" w16cid:durableId="5A21EE9B"/>
  <w16cid:commentId w16cid:paraId="393E27E6" w16cid:durableId="4038267B"/>
  <w16cid:commentId w16cid:paraId="6D8B6304" w16cid:durableId="3AAFFBF3"/>
  <w16cid:commentId w16cid:paraId="22987BE8" w16cid:durableId="11616044"/>
  <w16cid:commentId w16cid:paraId="2E928350" w16cid:durableId="33FC29C9"/>
  <w16cid:commentId w16cid:paraId="7C72103D" w16cid:durableId="6A0D9917"/>
  <w16cid:commentId w16cid:paraId="0934F64A" w16cid:durableId="6AFBC327"/>
  <w16cid:commentId w16cid:paraId="0F251D4F" w16cid:durableId="6752748F"/>
  <w16cid:commentId w16cid:paraId="43CEB88E" w16cid:durableId="66DCF459"/>
  <w16cid:commentId w16cid:paraId="25E37A80" w16cid:durableId="29F2EF3A"/>
  <w16cid:commentId w16cid:paraId="3A3D0ACB" w16cid:durableId="470EFEC7"/>
  <w16cid:commentId w16cid:paraId="7DE90653" w16cid:durableId="38824AB1"/>
  <w16cid:commentId w16cid:paraId="41C7C951" w16cid:durableId="3355B215"/>
  <w16cid:commentId w16cid:paraId="20190FB2" w16cid:durableId="49F2F072"/>
  <w16cid:commentId w16cid:paraId="6796C741" w16cid:durableId="7E6DF45A"/>
  <w16cid:commentId w16cid:paraId="7CCFDB61" w16cid:durableId="45920411"/>
  <w16cid:commentId w16cid:paraId="57E96071" w16cid:durableId="2DF05DFA"/>
  <w16cid:commentId w16cid:paraId="549CA24A" w16cid:durableId="70351169"/>
  <w16cid:commentId w16cid:paraId="4DC0DA49" w16cid:durableId="10664BBF"/>
  <w16cid:commentId w16cid:paraId="373A6C22" w16cid:durableId="6836FCF9"/>
  <w16cid:commentId w16cid:paraId="49975EE1" w16cid:durableId="219B877E"/>
  <w16cid:commentId w16cid:paraId="55389B23" w16cid:durableId="03FD1F5D"/>
  <w16cid:commentId w16cid:paraId="540027F5" w16cid:durableId="312CE8A0"/>
  <w16cid:commentId w16cid:paraId="08F4ADC3" w16cid:durableId="720ED090"/>
  <w16cid:commentId w16cid:paraId="0D5F5676" w16cid:durableId="1E59FCE6"/>
  <w16cid:commentId w16cid:paraId="154BD607" w16cid:durableId="41ED504B"/>
  <w16cid:commentId w16cid:paraId="519EE67E" w16cid:durableId="09FCECBB"/>
  <w16cid:commentId w16cid:paraId="58EE9761" w16cid:durableId="416DE4FF"/>
  <w16cid:commentId w16cid:paraId="6A340049" w16cid:durableId="7961DECB"/>
  <w16cid:commentId w16cid:paraId="2D49F171" w16cid:durableId="05736AAF"/>
  <w16cid:commentId w16cid:paraId="5D75117A" w16cid:durableId="19E48F32"/>
  <w16cid:commentId w16cid:paraId="065ECF80" w16cid:durableId="40E98E9F"/>
  <w16cid:commentId w16cid:paraId="3951DAD4" w16cid:durableId="499A96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114</w:t>
    </w:r>
    <w:r>
      <w:rPr>
        <w:rFonts w:ascii="Times New Roman" w:hAnsi="Times New Roman"/>
        <w:color w:val="000000"/>
      </w:rPr>
      <w:fldChar w:fldCharType="end"/>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117</w:t>
    </w:r>
    <w:r>
      <w:rPr>
        <w:rFonts w:ascii="Times New Roman" w:hAnsi="Times New Roman"/>
        <w:color w:val="000000"/>
      </w:rPr>
      <w:fldChar w:fldCharType="end"/>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123</w:t>
    </w:r>
    <w:r>
      <w:rPr>
        <w:rFonts w:ascii="Times New Roman" w:hAnsi="Times New Roman"/>
        <w:color w:val="000000"/>
      </w:rPr>
      <w:fldChar w:fldCharType="end"/>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10</w:t>
    </w:r>
    <w:r>
      <w:rPr>
        <w:rFonts w:ascii="Times New Roman" w:hAnsi="Times New Roman"/>
        <w:color w:val="000000"/>
      </w:rPr>
      <w:fldChar w:fldCharType="end"/>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126</w:t>
    </w:r>
    <w:r>
      <w:rPr>
        <w:rFonts w:ascii="Times New Roman" w:hAnsi="Times New Roman"/>
        <w:color w:val="000000"/>
      </w:rPr>
      <w:fldChar w:fldCharType="end"/>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b/>
        <w:sz w:val="22"/>
      </w:rPr>
    </w:pPr>
    <w:r>
      <w:rPr>
        <w:sz w:val="22"/>
      </w:rPr>
      <w:fldChar w:fldCharType="begin"/>
    </w:r>
    <w:r>
      <w:rPr>
        <w:sz w:val="22"/>
      </w:rPr>
      <w:instrText xml:space="preserve"> PAGE  \* MERGEFORMAT </w:instrText>
    </w:r>
    <w:r>
      <w:rPr>
        <w:sz w:val="22"/>
      </w:rPr>
      <w:fldChar w:fldCharType="separate"/>
    </w:r>
    <w:r>
      <w:rPr>
        <w:noProof/>
        <w:sz w:val="22"/>
      </w:rPr>
      <w:t>129</w:t>
    </w:r>
    <w:r>
      <w:rPr>
        <w:sz w:val="22"/>
      </w:rPr>
      <w:fldChar w:fldCharType="end"/>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131</w:t>
    </w:r>
    <w:r>
      <w:rPr>
        <w:rFonts w:ascii="Times New Roman" w:hAnsi="Times New Roman"/>
        <w:color w:val="000000"/>
      </w:rPr>
      <w:fldChar w:fldCharType="end"/>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136</w:t>
    </w:r>
    <w:r>
      <w:rPr>
        <w:rFonts w:ascii="Times New Roman" w:hAnsi="Times New Roman"/>
        <w:color w:val="0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137</w:t>
    </w:r>
    <w:r>
      <w:rPr>
        <w:rFonts w:ascii="Times New Roman" w:hAnsi="Times New Roman"/>
        <w:color w:val="000000"/>
      </w:rPr>
      <w:fldChar w:fldCharType="end"/>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138</w:t>
    </w:r>
    <w:r>
      <w:rPr>
        <w:rFonts w:ascii="Times New Roman" w:hAnsi="Times New Roman"/>
        <w:color w:val="000000"/>
      </w:rPr>
      <w:fldChar w:fldCharType="end"/>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140</w:t>
    </w:r>
    <w:r>
      <w:rPr>
        <w:rFonts w:ascii="Times New Roman" w:hAnsi="Times New Roman"/>
        <w:color w:val="000000"/>
      </w:rPr>
      <w:fldChar w:fldCharType="end"/>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left" w:pos="1290"/>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142</w:t>
    </w:r>
    <w:r>
      <w:rPr>
        <w:rFonts w:ascii="Times New Roman" w:hAnsi="Times New Roman"/>
        <w:color w:val="000000"/>
      </w:rPr>
      <w:fldChar w:fldCharType="end"/>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left" w:pos="1290"/>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143</w:t>
    </w:r>
    <w:r>
      <w:rPr>
        <w:rFonts w:ascii="Times New Roman" w:hAnsi="Times New Roman"/>
        <w:color w:val="000000"/>
      </w:rPr>
      <w:fldChar w:fldCharType="end"/>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145</w:t>
    </w:r>
    <w:r>
      <w:rPr>
        <w:rFonts w:ascii="Times New Roman" w:hAnsi="Times New Roman"/>
        <w:color w:val="000000"/>
      </w:rPr>
      <w:fldChar w:fldCharType="end"/>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17</w:t>
    </w:r>
    <w:r>
      <w:rPr>
        <w:rFonts w:ascii="Times New Roman" w:hAnsi="Times New Roman"/>
        <w:color w:val="000000"/>
      </w:rPr>
      <w:fldChar w:fldCharType="end"/>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sz w:val="22"/>
      </w:rPr>
    </w:pPr>
    <w:r>
      <w:rPr>
        <w:sz w:val="22"/>
      </w:rPr>
      <w:fldChar w:fldCharType="begin"/>
    </w:r>
    <w:r>
      <w:rPr>
        <w:sz w:val="22"/>
      </w:rPr>
      <w:instrText xml:space="preserve"> PAGE  \* MERGEFORMAT </w:instrText>
    </w:r>
    <w:r>
      <w:rPr>
        <w:sz w:val="22"/>
      </w:rPr>
      <w:fldChar w:fldCharType="separate"/>
    </w:r>
    <w:r>
      <w:rPr>
        <w:noProof/>
        <w:sz w:val="22"/>
      </w:rPr>
      <w:t>147</w:t>
    </w:r>
    <w:r>
      <w:rPr>
        <w:sz w:val="22"/>
      </w:rPr>
      <w:fldChar w:fldCharType="end"/>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149</w:t>
    </w:r>
    <w:r>
      <w:rPr>
        <w:rFonts w:ascii="Times New Roman" w:hAnsi="Times New Roman"/>
        <w:color w:val="000000"/>
      </w:rPr>
      <w:fldChar w:fldCharType="end"/>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151</w:t>
    </w:r>
    <w:r>
      <w:rPr>
        <w:rFonts w:ascii="Times New Roman" w:hAnsi="Times New Roman"/>
        <w:color w:val="000000"/>
      </w:rPr>
      <w:fldChar w:fldCharType="end"/>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153</w:t>
    </w:r>
    <w:r>
      <w:rPr>
        <w:rFonts w:ascii="Times New Roman" w:hAnsi="Times New Roman"/>
        <w:color w:val="00000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p/>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r>
      <w:rPr>
        <w:sz w:val="22"/>
      </w:rPr>
      <w:fldChar w:fldCharType="begin"/>
    </w:r>
    <w:r>
      <w:rPr>
        <w:sz w:val="22"/>
      </w:rPr>
      <w:instrText xml:space="preserve"> PAGE  \* MERGEFORMAT </w:instrText>
    </w:r>
    <w:r>
      <w:rPr>
        <w:sz w:val="22"/>
      </w:rPr>
      <w:fldChar w:fldCharType="separate"/>
    </w:r>
    <w:r>
      <w:rPr>
        <w:noProof/>
        <w:sz w:val="22"/>
      </w:rPr>
      <w:t>156</w:t>
    </w:r>
    <w:r>
      <w:rPr>
        <w:sz w:val="22"/>
      </w:rPr>
      <w:fldChar w:fldCharType="end"/>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p/>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r>
      <w:rPr>
        <w:sz w:val="22"/>
      </w:rPr>
      <w:fldChar w:fldCharType="begin"/>
    </w:r>
    <w:r>
      <w:rPr>
        <w:sz w:val="22"/>
      </w:rPr>
      <w:instrText xml:space="preserve"> PAGE  \* MERGEFORMAT </w:instrText>
    </w:r>
    <w:r>
      <w:rPr>
        <w:sz w:val="22"/>
      </w:rPr>
      <w:fldChar w:fldCharType="separate"/>
    </w:r>
    <w:r>
      <w:rPr>
        <w:noProof/>
        <w:sz w:val="22"/>
      </w:rPr>
      <w:t>160</w:t>
    </w:r>
    <w:r>
      <w:rPr>
        <w:sz w:val="22"/>
      </w:rPr>
      <w:fldChar w:fldCharType="end"/>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p/>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r>
      <w:rPr>
        <w:sz w:val="22"/>
      </w:rPr>
      <w:fldChar w:fldCharType="begin"/>
    </w:r>
    <w:r>
      <w:rPr>
        <w:sz w:val="22"/>
      </w:rPr>
      <w:instrText xml:space="preserve"> PAGE  \* MERGEFORMAT </w:instrText>
    </w:r>
    <w:r>
      <w:rPr>
        <w:sz w:val="22"/>
      </w:rPr>
      <w:fldChar w:fldCharType="separate"/>
    </w:r>
    <w:r>
      <w:rPr>
        <w:noProof/>
        <w:sz w:val="22"/>
      </w:rPr>
      <w:t>179</w:t>
    </w:r>
    <w:r>
      <w:rPr>
        <w:sz w:val="22"/>
      </w:rPr>
      <w:fldChar w:fldCharType="end"/>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p/>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r>
      <w:rPr>
        <w:sz w:val="22"/>
      </w:rPr>
      <w:fldChar w:fldCharType="begin"/>
    </w:r>
    <w:r>
      <w:rPr>
        <w:sz w:val="22"/>
      </w:rPr>
      <w:instrText xml:space="preserve"> PAGE  \* MERGEFORMAT </w:instrText>
    </w:r>
    <w:r>
      <w:rPr>
        <w:sz w:val="22"/>
      </w:rPr>
      <w:fldChar w:fldCharType="separate"/>
    </w:r>
    <w:r>
      <w:rPr>
        <w:noProof/>
        <w:sz w:val="22"/>
      </w:rPr>
      <w:t>180</w:t>
    </w:r>
    <w:r>
      <w:rPr>
        <w:sz w:val="22"/>
      </w:rPr>
      <w:fldChar w:fldCharType="end"/>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21</w:t>
    </w:r>
    <w:r>
      <w:rPr>
        <w:rFonts w:ascii="Times New Roman" w:hAnsi="Times New Roman"/>
        <w:color w:val="00000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27</w:t>
    </w:r>
    <w:r>
      <w:rPr>
        <w:rFonts w:ascii="Times New Roman" w:hAnsi="Times New Roman"/>
        <w:color w:val="00000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33</w:t>
    </w:r>
    <w:r>
      <w:rPr>
        <w:rFonts w:ascii="Times New Roman" w:hAnsi="Times New Roman"/>
        <w:color w:val="00000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39</w:t>
    </w:r>
    <w:r>
      <w:rPr>
        <w:rFonts w:ascii="Times New Roman" w:hAnsi="Times New Roman"/>
        <w:color w:val="00000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41</w:t>
    </w:r>
    <w:r>
      <w:rPr>
        <w:rFonts w:ascii="Times New Roman" w:hAnsi="Times New Roman"/>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 PAGE  </w:instrText>
    </w:r>
    <w:r>
      <w:rPr>
        <w:rFonts w:ascii="Times New Roman" w:hAnsi="Times New Roman"/>
        <w:color w:val="000000"/>
      </w:rPr>
      <w:fldChar w:fldCharType="separate"/>
    </w:r>
    <w:r>
      <w:rPr>
        <w:rFonts w:ascii="Times New Roman" w:hAnsi="Times New Roman"/>
        <w:noProof/>
        <w:color w:val="000000"/>
      </w:rPr>
      <w:t>43</w:t>
    </w:r>
    <w:r>
      <w:rPr>
        <w:rFonts w:ascii="Times New Roman" w:hAnsi="Times New Roman"/>
        <w:color w:val="000000"/>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 PAGE  </w:instrText>
    </w:r>
    <w:r>
      <w:rPr>
        <w:rFonts w:ascii="Times New Roman" w:hAnsi="Times New Roman"/>
        <w:color w:val="000000"/>
      </w:rPr>
      <w:fldChar w:fldCharType="separate"/>
    </w:r>
    <w:r>
      <w:rPr>
        <w:rFonts w:ascii="Times New Roman" w:hAnsi="Times New Roman"/>
        <w:noProof/>
        <w:color w:val="000000"/>
      </w:rPr>
      <w:t>45</w:t>
    </w:r>
    <w:r>
      <w:rPr>
        <w:rFonts w:ascii="Times New Roman" w:hAnsi="Times New Roman"/>
        <w:color w:val="000000"/>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rFonts w:ascii="Times New Roman" w:hAnsi="Times New Roman"/>
        <w:color w:val="000000"/>
      </w:rPr>
    </w:pPr>
    <w:r>
      <w:tab/>
    </w: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47</w:t>
    </w:r>
    <w:r>
      <w:rPr>
        <w:rFonts w:ascii="Times New Roman" w:hAnsi="Times New Roman"/>
        <w:color w:val="000000"/>
      </w:rPr>
      <w:fldChar w:fldCharType="end"/>
    </w:r>
    <w:r>
      <w:rPr>
        <w:rFonts w:ascii="Times New Roman" w:hAnsi="Times New Roman"/>
      </w:rPr>
      <w:tab/>
    </w:r>
    <w:r>
      <w:rPr>
        <w:rFonts w:ascii="Times New Roman" w:hAnsi="Times New Roman"/>
      </w:rP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left" w:pos="7200"/>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50</w:t>
    </w:r>
    <w:r>
      <w:rPr>
        <w:rFonts w:ascii="Times New Roman" w:hAnsi="Times New Roman"/>
        <w:color w:val="000000"/>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rFonts w:ascii="Times New Roman" w:hAnsi="Times New Roman"/>
        <w:color w:val="000000"/>
      </w:rPr>
    </w:pPr>
    <w:r>
      <w:tab/>
    </w: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57</w:t>
    </w:r>
    <w:r>
      <w:rPr>
        <w:rFonts w:ascii="Times New Roman" w:hAnsi="Times New Roman"/>
        <w:color w:val="000000"/>
      </w:rPr>
      <w:fldChar w:fldCharType="end"/>
    </w:r>
    <w:r>
      <w:rPr>
        <w:rFonts w:ascii="Times New Roman" w:hAnsi="Times New Roman"/>
      </w:rPr>
      <w:tab/>
    </w:r>
    <w:r>
      <w:rPr>
        <w:rFonts w:ascii="Times New Roman" w:hAnsi="Times New Roman"/>
      </w:rP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left" w:pos="7163"/>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59</w:t>
    </w:r>
    <w:r>
      <w:rPr>
        <w:rFonts w:ascii="Times New Roman" w:hAnsi="Times New Roman"/>
        <w:color w:val="000000"/>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pPr>
    <w:r>
      <w:fldChar w:fldCharType="begin"/>
    </w:r>
    <w:r>
      <w:instrText xml:space="preserve"> PAGE  \* MERGEFORMAT </w:instrText>
    </w:r>
    <w:r>
      <w:fldChar w:fldCharType="separate"/>
    </w:r>
    <w:r>
      <w:rPr>
        <w:noProof/>
      </w:rPr>
      <w:t>2</w:t>
    </w:r>
    <w: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62</w:t>
    </w:r>
    <w:r>
      <w:rPr>
        <w:rFonts w:ascii="Times New Roman" w:hAnsi="Times New Roman"/>
        <w:color w:val="000000"/>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64</w:t>
    </w:r>
    <w:r>
      <w:rPr>
        <w:rFonts w:ascii="Times New Roman" w:hAnsi="Times New Roman"/>
        <w:color w:val="000000"/>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66</w:t>
    </w:r>
    <w:r>
      <w:rPr>
        <w:rFonts w:ascii="Times New Roman" w:hAnsi="Times New Roman"/>
        <w:color w:val="000000"/>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68</w:t>
    </w:r>
    <w:r>
      <w:rPr>
        <w:rFonts w:ascii="Times New Roman" w:hAnsi="Times New Roman"/>
        <w:color w:val="0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70</w:t>
    </w:r>
    <w:r>
      <w:rPr>
        <w:rFonts w:ascii="Times New Roman" w:hAnsi="Times New Roman"/>
        <w:color w:val="000000"/>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sz w:val="22"/>
      </w:rPr>
    </w:pPr>
    <w:r>
      <w:rPr>
        <w:sz w:val="22"/>
      </w:rPr>
      <w:fldChar w:fldCharType="begin"/>
    </w:r>
    <w:r>
      <w:rPr>
        <w:sz w:val="22"/>
      </w:rPr>
      <w:instrText xml:space="preserve"> PAGE  \* MERGEFORMAT </w:instrText>
    </w:r>
    <w:r>
      <w:rPr>
        <w:sz w:val="22"/>
      </w:rPr>
      <w:fldChar w:fldCharType="separate"/>
    </w:r>
    <w:r>
      <w:rPr>
        <w:noProof/>
        <w:sz w:val="22"/>
      </w:rPr>
      <w:t>74</w:t>
    </w:r>
    <w:r>
      <w:rPr>
        <w:sz w:val="22"/>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78</w:t>
    </w:r>
    <w:r>
      <w:rPr>
        <w:rFonts w:ascii="Times New Roman" w:hAnsi="Times New Roman"/>
        <w:color w:val="000000"/>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eastAsia="Arial" w:hAnsi="Times New Roman"/>
        <w:b/>
        <w:color w:val="000000"/>
        <w:sz w:val="24"/>
        <w:szCs w:val="24"/>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87</w:t>
    </w:r>
    <w:r>
      <w:rPr>
        <w:rFonts w:ascii="Times New Roman" w:hAnsi="Times New Roman"/>
        <w:color w:val="000000"/>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90</w:t>
    </w:r>
    <w:r>
      <w:rPr>
        <w:rFonts w:ascii="Times New Roman" w:hAnsi="Times New Roman"/>
        <w:color w:val="000000"/>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94</w:t>
    </w:r>
    <w:r>
      <w:rPr>
        <w:rFonts w:ascii="Times New Roman" w:hAnsi="Times New Roman"/>
        <w:color w:val="000000"/>
      </w:rP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pPr>
    <w:r>
      <w:fldChar w:fldCharType="begin"/>
    </w:r>
    <w:r>
      <w:instrText xml:space="preserve"> PAGE  \* MERGEFORMAT </w:instrText>
    </w:r>
    <w:r>
      <w:fldChar w:fldCharType="separate"/>
    </w:r>
    <w:r>
      <w:rPr>
        <w:noProof/>
      </w:rPr>
      <w:t>7</w:t>
    </w:r>
    <w: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96</w:t>
    </w:r>
    <w:r>
      <w:rPr>
        <w:rFonts w:ascii="Times New Roman" w:hAnsi="Times New Roman"/>
        <w:color w:val="000000"/>
      </w:rP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99</w:t>
    </w:r>
    <w:r>
      <w:rPr>
        <w:rFonts w:ascii="Times New Roman" w:hAnsi="Times New Roman"/>
        <w:color w:val="000000"/>
      </w:rP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101</w:t>
    </w:r>
    <w:r>
      <w:rPr>
        <w:rFonts w:ascii="Times New Roman" w:hAnsi="Times New Roman"/>
        <w:color w:val="000000"/>
      </w:rP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104</w:t>
    </w:r>
    <w:r>
      <w:rPr>
        <w:rFonts w:ascii="Times New Roman" w:hAnsi="Times New Roman"/>
        <w:color w:val="00000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106</w:t>
    </w:r>
    <w:r>
      <w:rPr>
        <w:rFonts w:ascii="Times New Roman" w:hAnsi="Times New Roman"/>
        <w:color w:val="000000"/>
      </w:rPr>
      <w:fldChar w:fldCharType="end"/>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109</w:t>
    </w:r>
    <w:r>
      <w:rPr>
        <w:rFonts w:ascii="Times New Roman" w:hAnsi="Times New Roman"/>
        <w:color w:val="000000"/>
      </w:rPr>
      <w:fldChar w:fldCharType="end"/>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p/>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noProof/>
        <w:color w:val="000000"/>
      </w:rPr>
      <w:t>111</w:t>
    </w:r>
    <w:r>
      <w:rPr>
        <w:rFonts w:ascii="Times New Roman" w:hAnsi="Times New Roman"/>
        <w:color w:val="000000"/>
      </w:rPr>
      <w:fldChar w:fldCharType="end"/>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Opatření zejména vyžaduje, aby hospodářské subjekty provádějící stavební práce zajistily, aby nejméně 70 % (hmotnostních)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sz w:val="20"/>
          <w:szCs w:val="20"/>
        </w:rPr>
        <w:cr/>
      </w:r>
      <w:r>
        <w:rPr>
          <w:rFonts w:ascii="Times New Roman" w:hAnsi="Times New Roman"/>
          <w:sz w:val="20"/>
          <w:szCs w:val="20"/>
        </w:rPr>
        <w:br/>
      </w:r>
    </w:p>
    <w:p>
      <w:pPr>
        <w:pStyle w:val="FootnoteText"/>
      </w:pPr>
    </w:p>
  </w:footnote>
  <w:footnote w:id="3">
    <w:p>
      <w:pPr>
        <w:pBdr>
          <w:top w:val="nil"/>
          <w:left w:val="nil"/>
          <w:bottom w:val="nil"/>
          <w:right w:val="nil"/>
          <w:between w:val="nil"/>
        </w:pBdr>
        <w:spacing w:after="0"/>
        <w:ind w:left="720" w:hanging="720"/>
        <w:jc w:val="both"/>
        <w:rPr>
          <w:rFonts w:ascii="Times New Roman" w:hAnsi="Times New Roman"/>
          <w:color w:val="000000"/>
          <w:sz w:val="20"/>
          <w:szCs w:val="20"/>
        </w:rPr>
      </w:pPr>
      <w:r>
        <w:rPr>
          <w:rStyle w:val="FootnoteReference"/>
          <w:rFonts w:ascii="Times New Roman" w:hAnsi="Times New Roman"/>
        </w:rPr>
        <w:footnoteRef/>
      </w:r>
      <w:r>
        <w:rPr>
          <w:rFonts w:ascii="Times New Roman" w:hAnsi="Times New Roman"/>
          <w:color w:val="000000"/>
          <w:sz w:val="20"/>
          <w:szCs w:val="20"/>
        </w:rPr>
        <w:tab/>
        <w:t>Přijato v souladu s doporučením Komise 2020/1307 o společném souboru nástrojů Unie ke snížení nákladů na zavedení sítí s velmi vysokou kapacitou a zajištění včasného přístupu k rádiovému spektru 5G příznivému pro investice v zájmu posílení konektivity na podporu hospodářského oživení po krizi COVID-19 v Unii.</w:t>
      </w:r>
    </w:p>
  </w:footnote>
  <w:footnote w:id="4">
    <w:p>
      <w:pPr>
        <w:pStyle w:val="FootnoteText"/>
      </w:pPr>
      <w:r>
        <w:rPr>
          <w:rStyle w:val="FootnoteReference"/>
        </w:rPr>
        <w:footnoteRef/>
      </w:r>
      <w:r>
        <w:t xml:space="preserve"> COM(2021) 205 final.</w:t>
      </w:r>
    </w:p>
  </w:footnote>
  <w:footnote w:id="5">
    <w:p>
      <w:pPr>
        <w:pStyle w:val="FootnoteText"/>
      </w:pPr>
      <w:r>
        <w:rPr>
          <w:rStyle w:val="FootnoteReference"/>
        </w:rPr>
        <w:footnoteRef/>
      </w:r>
      <w:r>
        <w:t xml:space="preserve"> </w:t>
      </w:r>
      <w:r>
        <w:tab/>
        <w:t>S výjimkou projektů v rámci tohoto opatření v oblasti výroby elektřiny a/nebo tepla, jakož i související infrastruktury pro přenos a distribuci zemního plynu, které jsou v souladu s podmínkami stanovenými v příloze III technických pokynů „Nezpůsobit významnou škodu“ (2021/C58/01).</w:t>
      </w:r>
    </w:p>
  </w:footnote>
  <w:footnote w:id="6">
    <w:p>
      <w:pPr>
        <w:pStyle w:val="FootnoteText"/>
      </w:pPr>
      <w:r>
        <w:rPr>
          <w:rStyle w:val="FootnoteReference"/>
        </w:rPr>
        <w:footnoteRef/>
      </w:r>
      <w:r>
        <w:t xml:space="preserve"> </w:t>
      </w:r>
      <w:r>
        <w:tab/>
        <w:t>Pokud podporované činnosti dosáhnou předpokládaných emisí skleníkových plynů, které nejsou výrazně nižší než příslušné referenční hodnoty, mělo by být poskytnuto vysvětlení důvodů, proč to není možné. Referenční hodnoty stanovené pro přidělování bezplatných povolenek pro činnosti spadající do oblasti působnosti systému obchodování s emisemi podle prováděcího nařízení Komise (EU) 2021/447.</w:t>
      </w:r>
    </w:p>
  </w:footnote>
  <w:footnote w:id="7">
    <w:p>
      <w:pPr>
        <w:pStyle w:val="FootnoteText"/>
      </w:pPr>
      <w:r>
        <w:rPr>
          <w:rStyle w:val="FootnoteReference"/>
        </w:rPr>
        <w:footnoteRef/>
      </w:r>
      <w:r>
        <w:t xml:space="preserve"> </w:t>
      </w:r>
      <w:r>
        <w:tab/>
        <w:t>Tato výjimka se nevztahuje na opatření v rámci tohoto opatření v zařízeních určených výhradně na zpracování nerecyklovatelného nebezpečného odpadu a na stávající zařízení, pokud akce v rámci tohoto opatření mají za cíl zvýšit energetickou účinnost, zachytit výfukové plyny pro skladování nebo použití nebo využití materiálů ze spalování popela, pokud tyto akce v rámci daného opatření nevedou ke zvýšení kapacity zařízení na zpracování odpadu nebo k prodloužení životnosti zařízení; pro něž jsou poskytnuty důkazy na úrovni zařízení.</w:t>
      </w:r>
    </w:p>
  </w:footnote>
  <w:footnote w:id="8">
    <w:p>
      <w:pPr>
        <w:pStyle w:val="FootnoteText"/>
      </w:pPr>
      <w:r>
        <w:rPr>
          <w:rStyle w:val="FootnoteReference"/>
        </w:rPr>
        <w:footnoteRef/>
      </w:r>
      <w:r>
        <w:t xml:space="preserve"> </w:t>
      </w:r>
      <w:r>
        <w:tab/>
        <w:t>Tato výjimka se nevztahuje na akce v rámci daného opatření ve stávajících zařízeních na mechanicko-biologické zpracování odpadů, kde jsou akce v rámci daného opatření určena ke zvýšení energetické účinnosti nebo k dodatečnému vybavení tříděného odpadu na kompostování biologického odpadu a anaerobní digesce biologického odpadu na recyklaci, pokud akce v rámci daného opatření nevedou ke zvýšení kapacity zařízení na zpracování odpadů nebo k prodloužení životnosti zařízení; pro něž jsou poskytnuty důkazy na úrovni zařízení.</w:t>
      </w:r>
    </w:p>
  </w:footnote>
  <w:footnote w:id="9">
    <w:p>
      <w:pPr>
        <w:pStyle w:val="FootnoteText"/>
        <w:ind w:left="142" w:hanging="142"/>
      </w:pPr>
      <w:r>
        <w:rPr>
          <w:rStyle w:val="FootnoteReference"/>
        </w:rPr>
        <w:footnoteRef/>
      </w:r>
      <w:r>
        <w:t xml:space="preserve"> Směrnice Evropského parlamentu a Rady (EU) 2018/2001 ze dne 11. prosince 2018 o podpoře využívání energie z obnovitelných zdrojů.</w:t>
      </w:r>
    </w:p>
  </w:footnote>
  <w:footnote w:id="10">
    <w:p>
      <w:pPr>
        <w:jc w:val="both"/>
      </w:pPr>
      <w:r>
        <w:rPr>
          <w:rStyle w:val="FootnoteReference"/>
          <w:rFonts w:ascii="Times New Roman" w:eastAsia="Times New Roman" w:hAnsi="Times New Roman"/>
          <w:sz w:val="20"/>
          <w:szCs w:val="20"/>
        </w:rPr>
        <w:footnoteRef/>
      </w:r>
      <w:r>
        <w:rPr>
          <w:rStyle w:val="FootnoteReference"/>
          <w:rFonts w:ascii="Times New Roman" w:hAnsi="Times New Roman"/>
          <w:sz w:val="20"/>
          <w:szCs w:val="20"/>
        </w:rPr>
        <w:t xml:space="preserve"> </w:t>
      </w:r>
      <w:r>
        <w:rPr>
          <w:rFonts w:ascii="Times New Roman" w:hAnsi="Times New Roman"/>
          <w:sz w:val="20"/>
          <w:szCs w:val="20"/>
        </w:rPr>
        <w:t>V souladu s článkem 12 směrnice 2008/98/ES ve znění směrnice (EU) 2018/851.</w:t>
      </w:r>
    </w:p>
  </w:footnote>
  <w:footnote w:id="11">
    <w:p>
      <w:pPr>
        <w:pStyle w:val="FootnoteText"/>
      </w:pPr>
      <w:r>
        <w:rPr>
          <w:rStyle w:val="FootnoteReference"/>
        </w:rPr>
        <w:footnoteRef/>
      </w:r>
      <w:r>
        <w:t xml:space="preserve"> V souladu se směrnicí 1999/31/ES ve znění směrnice (EU) 2018/850.</w:t>
      </w:r>
    </w:p>
  </w:footnote>
  <w:footnote w:id="12">
    <w:p>
      <w:pPr>
        <w:spacing w:after="0" w:line="257" w:lineRule="auto"/>
        <w:rPr>
          <w:sz w:val="20"/>
          <w:szCs w:val="20"/>
        </w:rPr>
      </w:pPr>
      <w:r>
        <w:rPr>
          <w:rStyle w:val="FootnoteReference"/>
          <w:sz w:val="16"/>
          <w:szCs w:val="16"/>
        </w:rPr>
        <w:footnoteRef/>
      </w:r>
      <w:r>
        <w:rPr>
          <w:sz w:val="16"/>
          <w:szCs w:val="16"/>
        </w:rPr>
        <w:t xml:space="preserve"> </w:t>
      </w:r>
      <w:r>
        <w:rPr>
          <w:rFonts w:ascii="Times New Roman" w:hAnsi="Times New Roman"/>
          <w:sz w:val="20"/>
          <w:szCs w:val="20"/>
        </w:rPr>
        <w:t>S výjimkou projektů v rámci tohoto opatření v oblasti výroby elektřiny a/nebo tepla, jakož i související infrastruktury pro přenos a distribuci zemního plynu, které jsou v souladu s podmínkami stanovenými v příloze III technických pokynů k uplatňování zásady „významně nepoškozovat“ (2021/C58/01).</w:t>
      </w:r>
    </w:p>
  </w:footnote>
  <w:footnote w:id="13">
    <w:p>
      <w:pPr>
        <w:spacing w:after="0" w:line="257" w:lineRule="auto"/>
        <w:jc w:val="both"/>
        <w:rPr>
          <w:sz w:val="20"/>
          <w:szCs w:val="20"/>
        </w:rPr>
      </w:pPr>
      <w:r>
        <w:rPr>
          <w:rStyle w:val="FootnoteReference"/>
          <w:sz w:val="20"/>
          <w:szCs w:val="20"/>
        </w:rPr>
        <w:footnoteRef/>
      </w:r>
      <w:r>
        <w:rPr>
          <w:sz w:val="20"/>
          <w:szCs w:val="20"/>
        </w:rPr>
        <w:t xml:space="preserve"> </w:t>
      </w:r>
      <w:r>
        <w:rPr>
          <w:rFonts w:ascii="Times New Roman" w:hAnsi="Times New Roman"/>
          <w:sz w:val="20"/>
          <w:szCs w:val="20"/>
        </w:rPr>
        <w:t>Pokud podporované činnosti dosáhnou předpokládaných emisí skleníkových plynů, které nejsou výrazně nižší než příslušné referenční hodnoty, mělo by být poskytnuto vysvětlení důvodů, proč to není možné. Referenční hodnoty stanovené pro přidělování bezplatných povolenek pro činnosti spadající do oblasti působnosti systému obchodování s emisemi podle prováděcího nařízení Komise (EU) 2021/447.</w:t>
      </w:r>
    </w:p>
  </w:footnote>
  <w:footnote w:id="14">
    <w:p>
      <w:pPr>
        <w:spacing w:after="0" w:line="257" w:lineRule="auto"/>
        <w:jc w:val="both"/>
        <w:rPr>
          <w:sz w:val="20"/>
          <w:szCs w:val="20"/>
        </w:rPr>
      </w:pPr>
      <w:r>
        <w:rPr>
          <w:rStyle w:val="FootnoteReference"/>
          <w:sz w:val="20"/>
          <w:szCs w:val="20"/>
        </w:rPr>
        <w:footnoteRef/>
      </w:r>
      <w:r>
        <w:rPr>
          <w:sz w:val="20"/>
          <w:szCs w:val="20"/>
        </w:rPr>
        <w:t xml:space="preserve"> </w:t>
      </w:r>
      <w:r>
        <w:rPr>
          <w:rFonts w:ascii="Times New Roman" w:hAnsi="Times New Roman"/>
          <w:sz w:val="20"/>
          <w:szCs w:val="20"/>
        </w:rPr>
        <w:t>Tato výjimka se nevztahuje na činnosti v rámci tohoto opatření v zařízeních určených výhradně ke zpracování nerecyklovatelného nebezpečného odpadu a na stávající zařízení, pokud jsou činnosti v rámci tohoto opatření prováděny za účelem zvýšení energetické účinnosti, zachycování výfukových plynů pro skladování nebo využití či získávání materiálů ze spalinového popela, pokud tyto činnosti v rámci tohoto opatření nevedou ke zvýšení kapacity zařízení pro zpracování odpadů nebo k prodloužení životnosti zařízení, pro něž jsou poskytnuty důkazy na úrovni zařízení.</w:t>
      </w:r>
    </w:p>
  </w:footnote>
  <w:footnote w:id="15">
    <w:p>
      <w:pPr>
        <w:spacing w:after="0" w:line="257" w:lineRule="auto"/>
        <w:jc w:val="both"/>
        <w:rPr>
          <w:sz w:val="20"/>
          <w:szCs w:val="20"/>
        </w:rPr>
      </w:pPr>
      <w:r>
        <w:rPr>
          <w:rStyle w:val="FootnoteReference"/>
          <w:sz w:val="20"/>
          <w:szCs w:val="20"/>
        </w:rPr>
        <w:footnoteRef/>
      </w:r>
      <w:r>
        <w:rPr>
          <w:sz w:val="20"/>
          <w:szCs w:val="20"/>
        </w:rPr>
        <w:t xml:space="preserve"> </w:t>
      </w:r>
      <w:r>
        <w:rPr>
          <w:rFonts w:ascii="Times New Roman" w:hAnsi="Times New Roman"/>
          <w:sz w:val="20"/>
          <w:szCs w:val="20"/>
        </w:rPr>
        <w:t>Tato výjimka se nevztahuje na činnosti v rámci tohoto opatření ve stávajících zařízeních na mechanicko-biologické zpracování odpadů, pokud jsou činnosti v rámci tohoto opatření prováděny za účelem zvýšení energetické účinnosti nebo modernizace na recyklační operace u tříděného odpadu na kompostování bioodpadu a anaerobní digesci bioodpadu, pokud tyto činnosti v rámci tohoto opatření nevedou ke zvýšení kapacity zařízení na zpracování odpadu nebo k prodloužení životnosti zařízení, související důkazy se poskytují na úrovni zařízení.</w:t>
      </w:r>
    </w:p>
    <w:p>
      <w:pPr>
        <w:pStyle w:val="FootnoteText"/>
      </w:pPr>
    </w:p>
  </w:footnote>
  <w:footnote w:id="16">
    <w:p>
      <w:pPr>
        <w:pStyle w:val="FootnoteText"/>
      </w:pPr>
      <w:r>
        <w:rPr>
          <w:rStyle w:val="FootnoteReference"/>
        </w:rPr>
        <w:footnoteRef/>
      </w:r>
      <w:r>
        <w:t xml:space="preserve"> https://ec.europa.eu/health/sites/default/files/non_communicable_diseases/docs/eu_cancer-plan_cs.pdf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spacing w:before="0"/>
      <w:rPr>
        <w:color w:val="000000"/>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spacing w:before="0"/>
      <w:rPr>
        <w:color w:val="000000"/>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spacing w:before="0"/>
      <w:rPr>
        <w:color w:val="000000"/>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spacing w:before="0"/>
      <w:rPr>
        <w:color w:val="000000"/>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spacing w:before="0"/>
      <w:rPr>
        <w:color w:val="000000"/>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p/>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3E6BED"/>
    <w:multiLevelType w:val="hybridMultilevel"/>
    <w:tmpl w:val="CE9A86A6"/>
    <w:lvl w:ilvl="0" w:tplc="FA1EEC32">
      <w:numFmt w:val="bullet"/>
      <w:lvlText w:val="−"/>
      <w:lvlJc w:val="left"/>
      <w:pPr>
        <w:ind w:left="720" w:hanging="360"/>
      </w:pPr>
      <w:rPr>
        <w:rFonts w:ascii="Times New Roman" w:eastAsia="Calibri" w:hAnsi="Times New Roman" w:cs="Times New Roman" w:hint="default"/>
        <w:color w:val="006100"/>
        <w:sz w:val="15"/>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089D1748"/>
    <w:multiLevelType w:val="hybridMultilevel"/>
    <w:tmpl w:val="271CCD86"/>
    <w:lvl w:ilvl="0" w:tplc="2FBCC50C">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0AA628D4"/>
    <w:multiLevelType w:val="multilevel"/>
    <w:tmpl w:val="7F48683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AF91AD9"/>
    <w:multiLevelType w:val="hybridMultilevel"/>
    <w:tmpl w:val="4EEC4C1E"/>
    <w:lvl w:ilvl="0" w:tplc="7FF0796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0B475A00"/>
    <w:multiLevelType w:val="multilevel"/>
    <w:tmpl w:val="E7206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BAA21EB"/>
    <w:multiLevelType w:val="multilevel"/>
    <w:tmpl w:val="B64E70FC"/>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BBB2E31"/>
    <w:multiLevelType w:val="multilevel"/>
    <w:tmpl w:val="9C80828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nsid w:val="0CDA4A76"/>
    <w:multiLevelType w:val="hybridMultilevel"/>
    <w:tmpl w:val="9EC09702"/>
    <w:lvl w:ilvl="0" w:tplc="D56649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1558DA"/>
    <w:multiLevelType w:val="hybridMultilevel"/>
    <w:tmpl w:val="7C4AA3F2"/>
    <w:lvl w:ilvl="0" w:tplc="0F4058B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10647ECF"/>
    <w:multiLevelType w:val="hybridMultilevel"/>
    <w:tmpl w:val="83EC65A6"/>
    <w:lvl w:ilvl="0" w:tplc="FEA4A57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13F00BFD"/>
    <w:multiLevelType w:val="multilevel"/>
    <w:tmpl w:val="40D81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5FB003C"/>
    <w:multiLevelType w:val="hybridMultilevel"/>
    <w:tmpl w:val="576885C8"/>
    <w:lvl w:ilvl="0" w:tplc="DC4C000A">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164347F5"/>
    <w:multiLevelType w:val="hybridMultilevel"/>
    <w:tmpl w:val="FA82FA80"/>
    <w:lvl w:ilvl="0" w:tplc="A28A392A">
      <w:start w:val="1"/>
      <w:numFmt w:val="bullet"/>
      <w:lvlText w:val=""/>
      <w:lvlJc w:val="left"/>
      <w:pPr>
        <w:ind w:left="720" w:hanging="360"/>
      </w:pPr>
      <w:rPr>
        <w:rFonts w:ascii="Symbol" w:hAnsi="Symbol" w:hint="default"/>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nsid w:val="219B67DC"/>
    <w:multiLevelType w:val="multilevel"/>
    <w:tmpl w:val="55C8577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22D62238"/>
    <w:multiLevelType w:val="hybridMultilevel"/>
    <w:tmpl w:val="EB8883A0"/>
    <w:lvl w:ilvl="0" w:tplc="1FC2DCB8">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E40402"/>
    <w:multiLevelType w:val="hybridMultilevel"/>
    <w:tmpl w:val="D2383244"/>
    <w:lvl w:ilvl="0" w:tplc="B35412AA">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26B81529"/>
    <w:multiLevelType w:val="multilevel"/>
    <w:tmpl w:val="19B4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nsid w:val="2D5C5A61"/>
    <w:multiLevelType w:val="hybridMultilevel"/>
    <w:tmpl w:val="57A6031A"/>
    <w:lvl w:ilvl="0" w:tplc="4E685BA8">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2ECE5390"/>
    <w:multiLevelType w:val="hybridMultilevel"/>
    <w:tmpl w:val="5272350E"/>
    <w:lvl w:ilvl="0" w:tplc="E7F67502">
      <w:start w:val="1"/>
      <w:numFmt w:val="bullet"/>
      <w:lvlText w:val=""/>
      <w:lvlJc w:val="left"/>
      <w:pPr>
        <w:ind w:left="720" w:hanging="360"/>
      </w:pPr>
      <w:rPr>
        <w:rFonts w:ascii="Symbol" w:hAnsi="Symbol" w:hint="default"/>
        <w:sz w:val="16"/>
        <w:szCs w:val="16"/>
      </w:rPr>
    </w:lvl>
    <w:lvl w:ilvl="1" w:tplc="E17CDDAA">
      <w:start w:val="1"/>
      <w:numFmt w:val="bullet"/>
      <w:lvlText w:val="o"/>
      <w:lvlJc w:val="left"/>
      <w:pPr>
        <w:ind w:left="1440" w:hanging="360"/>
      </w:pPr>
      <w:rPr>
        <w:rFonts w:ascii="Courier New" w:hAnsi="Courier New" w:hint="default"/>
      </w:rPr>
    </w:lvl>
    <w:lvl w:ilvl="2" w:tplc="49E8BC62">
      <w:start w:val="1"/>
      <w:numFmt w:val="bullet"/>
      <w:lvlText w:val=""/>
      <w:lvlJc w:val="left"/>
      <w:pPr>
        <w:ind w:left="2160" w:hanging="360"/>
      </w:pPr>
      <w:rPr>
        <w:rFonts w:ascii="Wingdings" w:hAnsi="Wingdings" w:hint="default"/>
      </w:rPr>
    </w:lvl>
    <w:lvl w:ilvl="3" w:tplc="7F9ABCC0">
      <w:start w:val="1"/>
      <w:numFmt w:val="bullet"/>
      <w:lvlText w:val=""/>
      <w:lvlJc w:val="left"/>
      <w:pPr>
        <w:ind w:left="2880" w:hanging="360"/>
      </w:pPr>
      <w:rPr>
        <w:rFonts w:ascii="Symbol" w:hAnsi="Symbol" w:hint="default"/>
      </w:rPr>
    </w:lvl>
    <w:lvl w:ilvl="4" w:tplc="AB3CB48C">
      <w:start w:val="1"/>
      <w:numFmt w:val="bullet"/>
      <w:lvlText w:val="o"/>
      <w:lvlJc w:val="left"/>
      <w:pPr>
        <w:ind w:left="3600" w:hanging="360"/>
      </w:pPr>
      <w:rPr>
        <w:rFonts w:ascii="Courier New" w:hAnsi="Courier New" w:hint="default"/>
      </w:rPr>
    </w:lvl>
    <w:lvl w:ilvl="5" w:tplc="ED8A7C2C">
      <w:start w:val="1"/>
      <w:numFmt w:val="bullet"/>
      <w:lvlText w:val=""/>
      <w:lvlJc w:val="left"/>
      <w:pPr>
        <w:ind w:left="4320" w:hanging="360"/>
      </w:pPr>
      <w:rPr>
        <w:rFonts w:ascii="Wingdings" w:hAnsi="Wingdings" w:hint="default"/>
      </w:rPr>
    </w:lvl>
    <w:lvl w:ilvl="6" w:tplc="3D9E2B5C">
      <w:start w:val="1"/>
      <w:numFmt w:val="bullet"/>
      <w:lvlText w:val=""/>
      <w:lvlJc w:val="left"/>
      <w:pPr>
        <w:ind w:left="5040" w:hanging="360"/>
      </w:pPr>
      <w:rPr>
        <w:rFonts w:ascii="Symbol" w:hAnsi="Symbol" w:hint="default"/>
      </w:rPr>
    </w:lvl>
    <w:lvl w:ilvl="7" w:tplc="B0CC366C">
      <w:start w:val="1"/>
      <w:numFmt w:val="bullet"/>
      <w:lvlText w:val="o"/>
      <w:lvlJc w:val="left"/>
      <w:pPr>
        <w:ind w:left="5760" w:hanging="360"/>
      </w:pPr>
      <w:rPr>
        <w:rFonts w:ascii="Courier New" w:hAnsi="Courier New" w:hint="default"/>
      </w:rPr>
    </w:lvl>
    <w:lvl w:ilvl="8" w:tplc="49F6BA96">
      <w:start w:val="1"/>
      <w:numFmt w:val="bullet"/>
      <w:lvlText w:val=""/>
      <w:lvlJc w:val="left"/>
      <w:pPr>
        <w:ind w:left="6480" w:hanging="360"/>
      </w:pPr>
      <w:rPr>
        <w:rFonts w:ascii="Wingdings" w:hAnsi="Wingdings" w:hint="default"/>
      </w:rPr>
    </w:lvl>
  </w:abstractNum>
  <w:abstractNum w:abstractNumId="31">
    <w:nsid w:val="310A79F7"/>
    <w:multiLevelType w:val="hybridMultilevel"/>
    <w:tmpl w:val="EFF2ABAA"/>
    <w:lvl w:ilvl="0" w:tplc="1F42A986">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1F531EA"/>
    <w:multiLevelType w:val="hybridMultilevel"/>
    <w:tmpl w:val="46E40F34"/>
    <w:lvl w:ilvl="0" w:tplc="95427C5C">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373078CE"/>
    <w:multiLevelType w:val="hybridMultilevel"/>
    <w:tmpl w:val="1AD4B402"/>
    <w:lvl w:ilvl="0" w:tplc="4724B40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0B317E"/>
    <w:multiLevelType w:val="hybridMultilevel"/>
    <w:tmpl w:val="603A1416"/>
    <w:lvl w:ilvl="0" w:tplc="D49E599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3A02227A"/>
    <w:multiLevelType w:val="hybridMultilevel"/>
    <w:tmpl w:val="C5B41DBA"/>
    <w:lvl w:ilvl="0" w:tplc="BAA6F1B0">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3D85594C"/>
    <w:multiLevelType w:val="multilevel"/>
    <w:tmpl w:val="18FCD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3EE34B57"/>
    <w:multiLevelType w:val="hybridMultilevel"/>
    <w:tmpl w:val="3C56098E"/>
    <w:lvl w:ilvl="0" w:tplc="D35E365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09A090C"/>
    <w:multiLevelType w:val="multilevel"/>
    <w:tmpl w:val="CE5EA90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40B7791F"/>
    <w:multiLevelType w:val="multilevel"/>
    <w:tmpl w:val="C598F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106484C"/>
    <w:multiLevelType w:val="hybridMultilevel"/>
    <w:tmpl w:val="14426AF8"/>
    <w:lvl w:ilvl="0" w:tplc="4372B8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4">
    <w:nsid w:val="45A03C9B"/>
    <w:multiLevelType w:val="hybridMultilevel"/>
    <w:tmpl w:val="221A8812"/>
    <w:lvl w:ilvl="0" w:tplc="BF140532">
      <w:start w:val="1"/>
      <w:numFmt w:val="bullet"/>
      <w:lvlText w:val=""/>
      <w:lvlJc w:val="left"/>
      <w:pPr>
        <w:ind w:left="1440" w:hanging="360"/>
      </w:pPr>
      <w:rPr>
        <w:rFonts w:ascii="Symbol" w:hAnsi="Symbol" w:hint="default"/>
        <w:sz w:val="24"/>
        <w:szCs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nsid w:val="45B20F85"/>
    <w:multiLevelType w:val="hybridMultilevel"/>
    <w:tmpl w:val="0018E5FA"/>
    <w:lvl w:ilvl="0" w:tplc="555E7FC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49A45912"/>
    <w:multiLevelType w:val="hybridMultilevel"/>
    <w:tmpl w:val="8EF48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nsid w:val="4D434A1F"/>
    <w:multiLevelType w:val="hybridMultilevel"/>
    <w:tmpl w:val="7B1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54D3821"/>
    <w:multiLevelType w:val="hybridMultilevel"/>
    <w:tmpl w:val="FD2E8DE2"/>
    <w:lvl w:ilvl="0" w:tplc="B56A136C">
      <w:start w:val="1"/>
      <w:numFmt w:val="bullet"/>
      <w:lvlText w:val=""/>
      <w:lvlJc w:val="left"/>
      <w:pPr>
        <w:ind w:left="720" w:hanging="360"/>
      </w:pPr>
      <w:rPr>
        <w:rFonts w:ascii="Symbol" w:hAnsi="Symbol" w:hint="default"/>
        <w:sz w:val="24"/>
        <w:szCs w:val="24"/>
      </w:rPr>
    </w:lvl>
    <w:lvl w:ilvl="1" w:tplc="EC32C5DA">
      <w:start w:val="1"/>
      <w:numFmt w:val="bullet"/>
      <w:lvlText w:val="o"/>
      <w:lvlJc w:val="left"/>
      <w:pPr>
        <w:ind w:left="1440" w:hanging="360"/>
      </w:pPr>
      <w:rPr>
        <w:rFonts w:ascii="Courier New" w:hAnsi="Courier New" w:hint="default"/>
      </w:rPr>
    </w:lvl>
    <w:lvl w:ilvl="2" w:tplc="F1DC3502">
      <w:start w:val="1"/>
      <w:numFmt w:val="bullet"/>
      <w:lvlText w:val=""/>
      <w:lvlJc w:val="left"/>
      <w:pPr>
        <w:ind w:left="2160" w:hanging="360"/>
      </w:pPr>
      <w:rPr>
        <w:rFonts w:ascii="Wingdings" w:hAnsi="Wingdings" w:hint="default"/>
      </w:rPr>
    </w:lvl>
    <w:lvl w:ilvl="3" w:tplc="02860F4E">
      <w:start w:val="1"/>
      <w:numFmt w:val="bullet"/>
      <w:lvlText w:val=""/>
      <w:lvlJc w:val="left"/>
      <w:pPr>
        <w:ind w:left="2880" w:hanging="360"/>
      </w:pPr>
      <w:rPr>
        <w:rFonts w:ascii="Symbol" w:hAnsi="Symbol" w:hint="default"/>
      </w:rPr>
    </w:lvl>
    <w:lvl w:ilvl="4" w:tplc="940406F6">
      <w:start w:val="1"/>
      <w:numFmt w:val="bullet"/>
      <w:lvlText w:val="o"/>
      <w:lvlJc w:val="left"/>
      <w:pPr>
        <w:ind w:left="3600" w:hanging="360"/>
      </w:pPr>
      <w:rPr>
        <w:rFonts w:ascii="Courier New" w:hAnsi="Courier New" w:hint="default"/>
      </w:rPr>
    </w:lvl>
    <w:lvl w:ilvl="5" w:tplc="7EBEC34A">
      <w:start w:val="1"/>
      <w:numFmt w:val="bullet"/>
      <w:lvlText w:val=""/>
      <w:lvlJc w:val="left"/>
      <w:pPr>
        <w:ind w:left="4320" w:hanging="360"/>
      </w:pPr>
      <w:rPr>
        <w:rFonts w:ascii="Wingdings" w:hAnsi="Wingdings" w:hint="default"/>
      </w:rPr>
    </w:lvl>
    <w:lvl w:ilvl="6" w:tplc="96EA20BA">
      <w:start w:val="1"/>
      <w:numFmt w:val="bullet"/>
      <w:lvlText w:val=""/>
      <w:lvlJc w:val="left"/>
      <w:pPr>
        <w:ind w:left="5040" w:hanging="360"/>
      </w:pPr>
      <w:rPr>
        <w:rFonts w:ascii="Symbol" w:hAnsi="Symbol" w:hint="default"/>
      </w:rPr>
    </w:lvl>
    <w:lvl w:ilvl="7" w:tplc="F3CA0CC6">
      <w:start w:val="1"/>
      <w:numFmt w:val="bullet"/>
      <w:lvlText w:val="o"/>
      <w:lvlJc w:val="left"/>
      <w:pPr>
        <w:ind w:left="5760" w:hanging="360"/>
      </w:pPr>
      <w:rPr>
        <w:rFonts w:ascii="Courier New" w:hAnsi="Courier New" w:hint="default"/>
      </w:rPr>
    </w:lvl>
    <w:lvl w:ilvl="8" w:tplc="72082F5C">
      <w:start w:val="1"/>
      <w:numFmt w:val="bullet"/>
      <w:lvlText w:val=""/>
      <w:lvlJc w:val="left"/>
      <w:pPr>
        <w:ind w:left="6480" w:hanging="360"/>
      </w:pPr>
      <w:rPr>
        <w:rFonts w:ascii="Wingdings" w:hAnsi="Wingdings" w:hint="default"/>
      </w:rPr>
    </w:lvl>
  </w:abstractNum>
  <w:abstractNum w:abstractNumId="4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0">
    <w:nsid w:val="564028C6"/>
    <w:multiLevelType w:val="hybridMultilevel"/>
    <w:tmpl w:val="725E1AAA"/>
    <w:lvl w:ilvl="0" w:tplc="29E21340">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nsid w:val="567467EF"/>
    <w:multiLevelType w:val="hybridMultilevel"/>
    <w:tmpl w:val="251059E4"/>
    <w:lvl w:ilvl="0" w:tplc="A1FA5EE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3">
    <w:nsid w:val="5BB56BF9"/>
    <w:multiLevelType w:val="hybridMultilevel"/>
    <w:tmpl w:val="34F4C30C"/>
    <w:lvl w:ilvl="0" w:tplc="3E50CE14">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5">
    <w:nsid w:val="5C7C41A4"/>
    <w:multiLevelType w:val="hybridMultilevel"/>
    <w:tmpl w:val="ACAEFDCE"/>
    <w:lvl w:ilvl="0" w:tplc="92A2B4A6">
      <w:start w:val="1"/>
      <w:numFmt w:val="bullet"/>
      <w:lvlText w:val=""/>
      <w:lvlJc w:val="left"/>
      <w:pPr>
        <w:ind w:left="720" w:hanging="360"/>
      </w:pPr>
      <w:rPr>
        <w:rFonts w:ascii="Symbol" w:hAnsi="Symbo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C934CA5"/>
    <w:multiLevelType w:val="hybridMultilevel"/>
    <w:tmpl w:val="860ACD02"/>
    <w:lvl w:ilvl="0" w:tplc="50C06EDA">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619B483D"/>
    <w:multiLevelType w:val="hybridMultilevel"/>
    <w:tmpl w:val="43C06952"/>
    <w:lvl w:ilvl="0" w:tplc="E1EC9FA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nsid w:val="648C0B8D"/>
    <w:multiLevelType w:val="multilevel"/>
    <w:tmpl w:val="E9920ED6"/>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65A408F9"/>
    <w:multiLevelType w:val="multilevel"/>
    <w:tmpl w:val="D27C93F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3">
    <w:nsid w:val="69D971E6"/>
    <w:multiLevelType w:val="hybridMultilevel"/>
    <w:tmpl w:val="CBA2AAAC"/>
    <w:lvl w:ilvl="0" w:tplc="358CABF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0B4C1A"/>
    <w:multiLevelType w:val="multilevel"/>
    <w:tmpl w:val="1C4CDAD8"/>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6B45112B"/>
    <w:multiLevelType w:val="hybridMultilevel"/>
    <w:tmpl w:val="80387E72"/>
    <w:lvl w:ilvl="0" w:tplc="FFFFFFFF">
      <w:start w:val="1"/>
      <w:numFmt w:val="lowerRoman"/>
      <w:lvlText w:val="%1."/>
      <w:lvlJc w:val="right"/>
      <w:pPr>
        <w:ind w:left="1230" w:hanging="360"/>
      </w:pPr>
    </w:lvl>
    <w:lvl w:ilvl="1" w:tplc="080C0019" w:tentative="1">
      <w:start w:val="1"/>
      <w:numFmt w:val="lowerLetter"/>
      <w:lvlText w:val="%2."/>
      <w:lvlJc w:val="left"/>
      <w:pPr>
        <w:ind w:left="1950" w:hanging="360"/>
      </w:pPr>
    </w:lvl>
    <w:lvl w:ilvl="2" w:tplc="080C001B" w:tentative="1">
      <w:start w:val="1"/>
      <w:numFmt w:val="lowerRoman"/>
      <w:lvlText w:val="%3."/>
      <w:lvlJc w:val="right"/>
      <w:pPr>
        <w:ind w:left="2670" w:hanging="180"/>
      </w:pPr>
    </w:lvl>
    <w:lvl w:ilvl="3" w:tplc="080C000F" w:tentative="1">
      <w:start w:val="1"/>
      <w:numFmt w:val="decimal"/>
      <w:lvlText w:val="%4."/>
      <w:lvlJc w:val="left"/>
      <w:pPr>
        <w:ind w:left="3390" w:hanging="360"/>
      </w:pPr>
    </w:lvl>
    <w:lvl w:ilvl="4" w:tplc="080C0019" w:tentative="1">
      <w:start w:val="1"/>
      <w:numFmt w:val="lowerLetter"/>
      <w:lvlText w:val="%5."/>
      <w:lvlJc w:val="left"/>
      <w:pPr>
        <w:ind w:left="4110" w:hanging="360"/>
      </w:pPr>
    </w:lvl>
    <w:lvl w:ilvl="5" w:tplc="080C001B" w:tentative="1">
      <w:start w:val="1"/>
      <w:numFmt w:val="lowerRoman"/>
      <w:lvlText w:val="%6."/>
      <w:lvlJc w:val="right"/>
      <w:pPr>
        <w:ind w:left="4830" w:hanging="180"/>
      </w:pPr>
    </w:lvl>
    <w:lvl w:ilvl="6" w:tplc="080C000F" w:tentative="1">
      <w:start w:val="1"/>
      <w:numFmt w:val="decimal"/>
      <w:lvlText w:val="%7."/>
      <w:lvlJc w:val="left"/>
      <w:pPr>
        <w:ind w:left="5550" w:hanging="360"/>
      </w:pPr>
    </w:lvl>
    <w:lvl w:ilvl="7" w:tplc="080C0019" w:tentative="1">
      <w:start w:val="1"/>
      <w:numFmt w:val="lowerLetter"/>
      <w:lvlText w:val="%8."/>
      <w:lvlJc w:val="left"/>
      <w:pPr>
        <w:ind w:left="6270" w:hanging="360"/>
      </w:pPr>
    </w:lvl>
    <w:lvl w:ilvl="8" w:tplc="080C001B" w:tentative="1">
      <w:start w:val="1"/>
      <w:numFmt w:val="lowerRoman"/>
      <w:lvlText w:val="%9."/>
      <w:lvlJc w:val="right"/>
      <w:pPr>
        <w:ind w:left="6990" w:hanging="180"/>
      </w:pPr>
    </w:lvl>
  </w:abstractNum>
  <w:abstractNum w:abstractNumId="66">
    <w:nsid w:val="6E1747B2"/>
    <w:multiLevelType w:val="hybridMultilevel"/>
    <w:tmpl w:val="52E237AA"/>
    <w:lvl w:ilvl="0" w:tplc="FA425BA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nsid w:val="6ED063DF"/>
    <w:multiLevelType w:val="hybridMultilevel"/>
    <w:tmpl w:val="D88ABD3A"/>
    <w:lvl w:ilvl="0" w:tplc="08EED532">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nsid w:val="6F625F53"/>
    <w:multiLevelType w:val="hybridMultilevel"/>
    <w:tmpl w:val="6DEED73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9">
    <w:nsid w:val="74606597"/>
    <w:multiLevelType w:val="hybridMultilevel"/>
    <w:tmpl w:val="F1503F72"/>
    <w:lvl w:ilvl="0" w:tplc="42B8E8C2">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nsid w:val="7C646E26"/>
    <w:multiLevelType w:val="hybridMultilevel"/>
    <w:tmpl w:val="0A3A8FC8"/>
    <w:lvl w:ilvl="0" w:tplc="5002CCC6">
      <w:start w:val="1"/>
      <w:numFmt w:val="bullet"/>
      <w:lvlText w:val=""/>
      <w:lvlJc w:val="left"/>
      <w:pPr>
        <w:ind w:left="720" w:hanging="360"/>
      </w:pPr>
      <w:rPr>
        <w:rFonts w:ascii="Symbol" w:hAnsi="Symbol" w:hint="default"/>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nsid w:val="7CB04BFE"/>
    <w:multiLevelType w:val="multilevel"/>
    <w:tmpl w:val="1BA4D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7CBE4812"/>
    <w:multiLevelType w:val="singleLevel"/>
    <w:tmpl w:val="23C821E4"/>
    <w:name w:val="Considérant"/>
    <w:lvl w:ilvl="0">
      <w:start w:val="1"/>
      <w:numFmt w:val="decimal"/>
      <w:lvlRestart w:val="0"/>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57"/>
  </w:num>
  <w:num w:numId="11">
    <w:abstractNumId w:val="41"/>
  </w:num>
  <w:num w:numId="12">
    <w:abstractNumId w:val="62"/>
  </w:num>
  <w:num w:numId="13">
    <w:abstractNumId w:val="28"/>
  </w:num>
  <w:num w:numId="14">
    <w:abstractNumId w:val="42"/>
  </w:num>
  <w:num w:numId="15">
    <w:abstractNumId w:val="60"/>
  </w:num>
  <w:num w:numId="16">
    <w:abstractNumId w:val="21"/>
  </w:num>
  <w:num w:numId="17">
    <w:abstractNumId w:val="43"/>
  </w:num>
  <w:num w:numId="18">
    <w:abstractNumId w:val="52"/>
  </w:num>
  <w:num w:numId="19">
    <w:abstractNumId w:val="54"/>
  </w:num>
  <w:num w:numId="20">
    <w:abstractNumId w:val="27"/>
  </w:num>
  <w:num w:numId="21">
    <w:abstractNumId w:val="49"/>
  </w:num>
  <w:num w:numId="22">
    <w:abstractNumId w:val="71"/>
  </w:num>
  <w:num w:numId="23">
    <w:abstractNumId w:val="18"/>
  </w:num>
  <w:num w:numId="24">
    <w:abstractNumId w:val="55"/>
  </w:num>
  <w:num w:numId="25">
    <w:abstractNumId w:val="44"/>
  </w:num>
  <w:num w:numId="26">
    <w:abstractNumId w:val="63"/>
  </w:num>
  <w:num w:numId="27">
    <w:abstractNumId w:val="39"/>
  </w:num>
  <w:num w:numId="28">
    <w:abstractNumId w:val="10"/>
  </w:num>
  <w:num w:numId="29">
    <w:abstractNumId w:val="22"/>
  </w:num>
  <w:num w:numId="30">
    <w:abstractNumId w:val="12"/>
  </w:num>
  <w:num w:numId="31">
    <w:abstractNumId w:val="20"/>
  </w:num>
  <w:num w:numId="32">
    <w:abstractNumId w:val="31"/>
  </w:num>
  <w:num w:numId="33">
    <w:abstractNumId w:val="48"/>
  </w:num>
  <w:num w:numId="34">
    <w:abstractNumId w:val="64"/>
  </w:num>
  <w:num w:numId="35">
    <w:abstractNumId w:val="13"/>
  </w:num>
  <w:num w:numId="36">
    <w:abstractNumId w:val="47"/>
  </w:num>
  <w:num w:numId="37">
    <w:abstractNumId w:val="68"/>
  </w:num>
  <w:num w:numId="38">
    <w:abstractNumId w:val="33"/>
  </w:num>
  <w:num w:numId="39">
    <w:abstractNumId w:val="36"/>
  </w:num>
  <w:num w:numId="40">
    <w:abstractNumId w:val="61"/>
  </w:num>
  <w:num w:numId="41">
    <w:abstractNumId w:val="14"/>
  </w:num>
  <w:num w:numId="42">
    <w:abstractNumId w:val="26"/>
  </w:num>
  <w:num w:numId="43">
    <w:abstractNumId w:val="38"/>
  </w:num>
  <w:num w:numId="44">
    <w:abstractNumId w:val="15"/>
  </w:num>
  <w:num w:numId="45">
    <w:abstractNumId w:val="30"/>
  </w:num>
  <w:num w:numId="46">
    <w:abstractNumId w:val="58"/>
  </w:num>
  <w:num w:numId="47">
    <w:abstractNumId w:val="59"/>
  </w:num>
  <w:num w:numId="48">
    <w:abstractNumId w:val="50"/>
  </w:num>
  <w:num w:numId="49">
    <w:abstractNumId w:val="35"/>
  </w:num>
  <w:num w:numId="50">
    <w:abstractNumId w:val="29"/>
  </w:num>
  <w:num w:numId="51">
    <w:abstractNumId w:val="66"/>
  </w:num>
  <w:num w:numId="52">
    <w:abstractNumId w:val="34"/>
  </w:num>
  <w:num w:numId="53">
    <w:abstractNumId w:val="56"/>
  </w:num>
  <w:num w:numId="54">
    <w:abstractNumId w:val="17"/>
  </w:num>
  <w:num w:numId="55">
    <w:abstractNumId w:val="53"/>
  </w:num>
  <w:num w:numId="56">
    <w:abstractNumId w:val="32"/>
  </w:num>
  <w:num w:numId="57">
    <w:abstractNumId w:val="69"/>
  </w:num>
  <w:num w:numId="58">
    <w:abstractNumId w:val="19"/>
  </w:num>
  <w:num w:numId="59">
    <w:abstractNumId w:val="23"/>
  </w:num>
  <w:num w:numId="60">
    <w:abstractNumId w:val="11"/>
  </w:num>
  <w:num w:numId="61">
    <w:abstractNumId w:val="67"/>
  </w:num>
  <w:num w:numId="62">
    <w:abstractNumId w:val="45"/>
  </w:num>
  <w:num w:numId="63">
    <w:abstractNumId w:val="16"/>
  </w:num>
  <w:num w:numId="64">
    <w:abstractNumId w:val="70"/>
  </w:num>
  <w:num w:numId="65">
    <w:abstractNumId w:val="37"/>
  </w:num>
  <w:num w:numId="66">
    <w:abstractNumId w:val="25"/>
  </w:num>
  <w:num w:numId="67">
    <w:abstractNumId w:val="9"/>
  </w:num>
  <w:num w:numId="68">
    <w:abstractNumId w:val="24"/>
  </w:num>
  <w:num w:numId="69">
    <w:abstractNumId w:val="65"/>
  </w:num>
  <w:num w:numId="70">
    <w:abstractNumId w:val="46"/>
  </w:num>
  <w:num w:numId="71">
    <w:abstractNumId w:val="8"/>
  </w:num>
  <w:num w:numId="72">
    <w:abstractNumId w:val="40"/>
  </w:num>
  <w:num w:numId="73">
    <w:abstractNumId w:val="72"/>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doNotTrackMove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  "/>
    <w:docVar w:name="LW_ANNEX_NBR_FIRST" w:val="1"/>
    <w:docVar w:name="LW_ANNEX_NBR_LAST" w:val="1"/>
    <w:docVar w:name="LW_ANNEX_UNIQUE" w:val="1"/>
    <w:docVar w:name="LW_CORRIGENDUM" w:val="&lt;UNUSED&gt;"/>
    <w:docVar w:name="LW_COVERPAGE_EXISTS" w:val="True"/>
    <w:docVar w:name="LW_COVERPAGE_GUID" w:val="AD90BB17-7214-4FA1-9114-E2A984EAA07E"/>
    <w:docVar w:name="LW_COVERPAGE_TYPE" w:val="1"/>
    <w:docVar w:name="LW_CROSSREFERENCE" w:val="{SWD(2021) 211 final}"/>
    <w:docVar w:name="LW_DATE.ADOPT.CP_ISODATE" w:val="&lt;EMPTY&gt;"/>
    <w:docVar w:name="LW_DocType" w:val="NORMAL"/>
    <w:docVar w:name="LW_EMISSION" w:val="19.7.2021"/>
    <w:docVar w:name="LW_EMISSION_ISODATE" w:val="2021-07-19"/>
    <w:docVar w:name="LW_EMISSION_LOCATION" w:val="BRX"/>
    <w:docVar w:name="LW_EMISSION_PREFIX" w:val="V Bruselu dne "/>
    <w:docVar w:name="LW_EMISSION_SUFFIX" w:val=" "/>
    <w:docVar w:name="LW_ID_DOCTYPE_NONLW" w:val="CP-036"/>
    <w:docVar w:name="LW_INTERETEEE.CP" w:val="&lt;UNUSED&gt;"/>
    <w:docVar w:name="LW_LANGUE" w:val="CS"/>
    <w:docVar w:name="LW_LANGUESFAISANTFOI.CP" w:val="&lt;UNUSED&gt;"/>
    <w:docVar w:name="LW_LEVEL_OF_SENSITIVITY" w:val="Standard treatment"/>
    <w:docVar w:name="LW_NOM.INST" w:val="EVROPSKÁ KOMISE"/>
    <w:docVar w:name="LW_NOM.INST_JOINTDOC" w:val="&lt;EMPTY&gt;"/>
    <w:docVar w:name="LW_OBJETACTEPRINCIPAL.CP" w:val="o schválení posouzení plánu pro o\u382?ivení a odolnost \u268?eska "/>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4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P\u344?ÍLOHA_x000b_"/>
    <w:docVar w:name="LW_TYPEACTEPRINCIPAL.CP" w:val="návrhu provád\u283?cího rozhodnutí Rady"/>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sz w:val="22"/>
      <w:szCs w:val="22"/>
      <w:lang w:eastAsia="en-US"/>
    </w:rPr>
  </w:style>
  <w:style w:type="paragraph" w:styleId="Heading1">
    <w:name w:val="heading 1"/>
    <w:basedOn w:val="Normal"/>
    <w:next w:val="Text1"/>
    <w:link w:val="Heading1Char"/>
    <w:uiPriority w:val="9"/>
    <w:qFormat/>
    <w:pPr>
      <w:keepNext/>
      <w:numPr>
        <w:numId w:val="15"/>
      </w:numPr>
      <w:spacing w:before="360"/>
      <w:jc w:val="both"/>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semiHidden/>
    <w:unhideWhenUsed/>
    <w:qFormat/>
    <w:pPr>
      <w:keepNext/>
      <w:numPr>
        <w:ilvl w:val="1"/>
        <w:numId w:val="15"/>
      </w:numPr>
      <w:jc w:val="both"/>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semiHidden/>
    <w:unhideWhenUsed/>
    <w:qFormat/>
    <w:pPr>
      <w:keepNext/>
      <w:numPr>
        <w:ilvl w:val="2"/>
        <w:numId w:val="15"/>
      </w:numPr>
      <w:jc w:val="both"/>
      <w:outlineLvl w:val="2"/>
    </w:pPr>
    <w:rPr>
      <w:rFonts w:ascii="Times New Roman" w:eastAsia="Times New Roman" w:hAnsi="Times New Roman"/>
      <w:bCs/>
      <w:i/>
      <w:sz w:val="24"/>
    </w:rPr>
  </w:style>
  <w:style w:type="paragraph" w:styleId="Heading4">
    <w:name w:val="heading 4"/>
    <w:basedOn w:val="Normal"/>
    <w:next w:val="Text1"/>
    <w:link w:val="Heading4Char"/>
    <w:uiPriority w:val="9"/>
    <w:semiHidden/>
    <w:unhideWhenUsed/>
    <w:qFormat/>
    <w:pPr>
      <w:keepNext/>
      <w:numPr>
        <w:ilvl w:val="3"/>
        <w:numId w:val="15"/>
      </w:numPr>
      <w:jc w:val="both"/>
      <w:outlineLvl w:val="3"/>
    </w:pPr>
    <w:rPr>
      <w:rFonts w:ascii="Times New Roman" w:eastAsia="Times New Roman" w:hAnsi="Times New Roman"/>
      <w:bCs/>
      <w:iCs/>
      <w:sz w:val="24"/>
    </w:rPr>
  </w:style>
  <w:style w:type="paragraph" w:styleId="Heading5">
    <w:name w:val="heading 5"/>
    <w:basedOn w:val="Normal"/>
    <w:next w:val="Normal"/>
    <w:link w:val="Heading5Char"/>
    <w:pPr>
      <w:keepNext/>
      <w:keepLines/>
      <w:spacing w:before="220" w:after="40"/>
      <w:jc w:val="both"/>
      <w:outlineLvl w:val="4"/>
    </w:pPr>
    <w:rPr>
      <w:rFonts w:ascii="Times New Roman" w:eastAsia="Times New Roman" w:hAnsi="Times New Roman"/>
      <w:b/>
      <w:lang w:eastAsia="en-GB"/>
    </w:rPr>
  </w:style>
  <w:style w:type="paragraph" w:styleId="Heading6">
    <w:name w:val="heading 6"/>
    <w:basedOn w:val="Normal"/>
    <w:next w:val="Normal"/>
    <w:link w:val="Heading6Char"/>
    <w:pPr>
      <w:keepNext/>
      <w:keepLines/>
      <w:spacing w:before="200" w:after="40"/>
      <w:jc w:val="both"/>
      <w:outlineLvl w:val="5"/>
    </w:pPr>
    <w:rPr>
      <w:rFonts w:ascii="Times New Roman" w:eastAsia="Times New Roman" w:hAnsi="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lang w:val="cs-CZ" w:eastAsia="en-US"/>
    </w:rPr>
  </w:style>
  <w:style w:type="character" w:customStyle="1" w:styleId="Heading2Char">
    <w:name w:val="Heading 2 Char"/>
    <w:link w:val="Heading2"/>
    <w:uiPriority w:val="9"/>
    <w:semiHidden/>
    <w:rPr>
      <w:rFonts w:ascii="Times New Roman" w:eastAsia="Times New Roman" w:hAnsi="Times New Roman"/>
      <w:b/>
      <w:bCs/>
      <w:sz w:val="24"/>
      <w:szCs w:val="26"/>
      <w:lang w:val="cs-CZ" w:eastAsia="en-US"/>
    </w:rPr>
  </w:style>
  <w:style w:type="character" w:customStyle="1" w:styleId="Heading3Char">
    <w:name w:val="Heading 3 Char"/>
    <w:link w:val="Heading3"/>
    <w:uiPriority w:val="9"/>
    <w:semiHidden/>
    <w:rPr>
      <w:rFonts w:ascii="Times New Roman" w:eastAsia="Times New Roman" w:hAnsi="Times New Roman"/>
      <w:bCs/>
      <w:i/>
      <w:sz w:val="24"/>
      <w:szCs w:val="22"/>
      <w:lang w:val="cs-CZ" w:eastAsia="en-US"/>
    </w:rPr>
  </w:style>
  <w:style w:type="character" w:customStyle="1" w:styleId="Heading4Char">
    <w:name w:val="Heading 4 Char"/>
    <w:link w:val="Heading4"/>
    <w:uiPriority w:val="9"/>
    <w:semiHidden/>
    <w:rPr>
      <w:rFonts w:ascii="Times New Roman" w:eastAsia="Times New Roman" w:hAnsi="Times New Roman"/>
      <w:bCs/>
      <w:iCs/>
      <w:sz w:val="24"/>
      <w:szCs w:val="22"/>
      <w:lang w:val="cs-CZ" w:eastAsia="en-US"/>
    </w:rPr>
  </w:style>
  <w:style w:type="numbering" w:customStyle="1" w:styleId="NoList1">
    <w:name w:val="No List1"/>
    <w:next w:val="NoList"/>
    <w:uiPriority w:val="99"/>
    <w:semiHidden/>
    <w:unhideWhenUsed/>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jc w:val="both"/>
    </w:pPr>
    <w:rPr>
      <w:rFonts w:ascii="Times New Roman" w:hAnsi="Times New Roman"/>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Pr>
      <w:lang w:val="cs-CZ"/>
    </w:rPr>
  </w:style>
  <w:style w:type="character" w:styleId="IntenseEmphasis">
    <w:name w:val="Intense Emphasis"/>
    <w:uiPriority w:val="21"/>
    <w:qFormat/>
    <w:rPr>
      <w:i/>
      <w:iCs/>
      <w:color w:val="4F81BD"/>
    </w:rPr>
  </w:style>
  <w:style w:type="paragraph" w:styleId="BalloonText">
    <w:name w:val="Balloon Text"/>
    <w:basedOn w:val="Normal"/>
    <w:link w:val="BalloonTextChar"/>
    <w:uiPriority w:val="99"/>
    <w:semiHidden/>
    <w:unhideWhenUsed/>
    <w:pPr>
      <w:spacing w:after="0"/>
      <w:jc w:val="both"/>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
      </w:numPr>
      <w:contextualSpacing/>
      <w:jc w:val="both"/>
    </w:pPr>
    <w:rPr>
      <w:rFonts w:ascii="Times New Roman" w:hAnsi="Times New Roman"/>
      <w:sz w:val="24"/>
    </w:rPr>
  </w:style>
  <w:style w:type="paragraph" w:styleId="ListBullet2">
    <w:name w:val="List Bullet 2"/>
    <w:basedOn w:val="Normal"/>
    <w:uiPriority w:val="99"/>
    <w:semiHidden/>
    <w:unhideWhenUsed/>
    <w:pPr>
      <w:numPr>
        <w:numId w:val="2"/>
      </w:numPr>
      <w:contextualSpacing/>
      <w:jc w:val="both"/>
    </w:pPr>
    <w:rPr>
      <w:rFonts w:ascii="Times New Roman" w:hAnsi="Times New Roman"/>
      <w:sz w:val="24"/>
    </w:rPr>
  </w:style>
  <w:style w:type="paragraph" w:styleId="ListBullet3">
    <w:name w:val="List Bullet 3"/>
    <w:basedOn w:val="Normal"/>
    <w:uiPriority w:val="99"/>
    <w:semiHidden/>
    <w:unhideWhenUsed/>
    <w:pPr>
      <w:numPr>
        <w:numId w:val="3"/>
      </w:numPr>
      <w:contextualSpacing/>
      <w:jc w:val="both"/>
    </w:pPr>
    <w:rPr>
      <w:rFonts w:ascii="Times New Roman" w:hAnsi="Times New Roman"/>
      <w:sz w:val="24"/>
    </w:rPr>
  </w:style>
  <w:style w:type="paragraph" w:styleId="ListBullet4">
    <w:name w:val="List Bullet 4"/>
    <w:basedOn w:val="Normal"/>
    <w:uiPriority w:val="99"/>
    <w:semiHidden/>
    <w:unhideWhenUsed/>
    <w:pPr>
      <w:numPr>
        <w:numId w:val="4"/>
      </w:numPr>
      <w:contextualSpacing/>
      <w:jc w:val="both"/>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 w:type="paragraph" w:styleId="Revision">
    <w:name w:val="Revision"/>
    <w:hidden/>
    <w:uiPriority w:val="99"/>
    <w:semiHidden/>
    <w:rPr>
      <w:rFonts w:ascii="Times New Roman" w:hAnsi="Times New Roman"/>
      <w:sz w:val="24"/>
      <w:szCs w:val="22"/>
      <w:lang w:eastAsia="en-US"/>
    </w:rPr>
  </w:style>
  <w:style w:type="paragraph" w:styleId="Caption">
    <w:name w:val="caption"/>
    <w:basedOn w:val="Normal"/>
    <w:next w:val="Normal"/>
    <w:uiPriority w:val="35"/>
    <w:semiHidden/>
    <w:unhideWhenUsed/>
    <w:qFormat/>
    <w:pPr>
      <w:jc w:val="both"/>
    </w:pPr>
    <w:rPr>
      <w:rFonts w:ascii="Times New Roman" w:hAnsi="Times New Roman"/>
      <w:i/>
      <w:iCs/>
      <w:color w:val="1F497D"/>
      <w:sz w:val="18"/>
      <w:szCs w:val="18"/>
    </w:rPr>
  </w:style>
  <w:style w:type="paragraph" w:styleId="TableofFigures">
    <w:name w:val="table of figures"/>
    <w:basedOn w:val="Normal"/>
    <w:next w:val="Normal"/>
    <w:uiPriority w:val="99"/>
    <w:semiHidden/>
    <w:unhideWhenUsed/>
    <w:pPr>
      <w:spacing w:after="0"/>
      <w:jc w:val="both"/>
    </w:pPr>
    <w:rPr>
      <w:rFonts w:ascii="Times New Roman" w:hAnsi="Times New Roman"/>
      <w:sz w:val="24"/>
    </w:rPr>
  </w:style>
  <w:style w:type="paragraph" w:styleId="ListNumber">
    <w:name w:val="List Number"/>
    <w:basedOn w:val="Normal"/>
    <w:uiPriority w:val="99"/>
    <w:semiHidden/>
    <w:unhideWhenUsed/>
    <w:pPr>
      <w:numPr>
        <w:numId w:val="6"/>
      </w:numPr>
      <w:contextualSpacing/>
      <w:jc w:val="both"/>
    </w:pPr>
    <w:rPr>
      <w:rFonts w:ascii="Times New Roman" w:hAnsi="Times New Roman"/>
      <w:sz w:val="24"/>
    </w:rPr>
  </w:style>
  <w:style w:type="paragraph" w:styleId="ListNumber2">
    <w:name w:val="List Number 2"/>
    <w:basedOn w:val="Normal"/>
    <w:uiPriority w:val="99"/>
    <w:semiHidden/>
    <w:unhideWhenUsed/>
    <w:pPr>
      <w:numPr>
        <w:numId w:val="7"/>
      </w:numPr>
      <w:contextualSpacing/>
      <w:jc w:val="both"/>
    </w:pPr>
    <w:rPr>
      <w:rFonts w:ascii="Times New Roman" w:hAnsi="Times New Roman"/>
      <w:sz w:val="24"/>
    </w:rPr>
  </w:style>
  <w:style w:type="paragraph" w:styleId="ListNumber3">
    <w:name w:val="List Number 3"/>
    <w:basedOn w:val="Normal"/>
    <w:uiPriority w:val="99"/>
    <w:semiHidden/>
    <w:unhideWhenUsed/>
    <w:pPr>
      <w:numPr>
        <w:numId w:val="8"/>
      </w:numPr>
      <w:contextualSpacing/>
      <w:jc w:val="both"/>
    </w:pPr>
    <w:rPr>
      <w:rFonts w:ascii="Times New Roman" w:hAnsi="Times New Roman"/>
      <w:sz w:val="24"/>
    </w:rPr>
  </w:style>
  <w:style w:type="paragraph" w:styleId="ListNumber4">
    <w:name w:val="List Number 4"/>
    <w:basedOn w:val="Normal"/>
    <w:uiPriority w:val="99"/>
    <w:semiHidden/>
    <w:unhideWhenUsed/>
    <w:pPr>
      <w:numPr>
        <w:numId w:val="9"/>
      </w:numPr>
      <w:contextualSpacing/>
      <w:jc w:val="both"/>
    </w:pPr>
    <w:rPr>
      <w:rFonts w:ascii="Times New Roman" w:hAnsi="Times New Roman"/>
      <w:sz w:val="24"/>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ind w:left="720" w:hanging="720"/>
      <w:jc w:val="both"/>
    </w:pPr>
    <w:rPr>
      <w:rFonts w:ascii="Times New Roman" w:hAnsi="Times New Roman"/>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after="240"/>
      <w:jc w:val="center"/>
    </w:pPr>
    <w:rPr>
      <w:rFonts w:ascii="Times New Roman" w:hAnsi="Times New Roman"/>
      <w:b/>
      <w:sz w:val="28"/>
    </w:rPr>
  </w:style>
  <w:style w:type="paragraph" w:styleId="TOC1">
    <w:name w:val="toc 1"/>
    <w:basedOn w:val="Normal"/>
    <w:next w:val="Normal"/>
    <w:uiPriority w:val="39"/>
    <w:semiHidden/>
    <w:unhideWhenUsed/>
    <w:pPr>
      <w:tabs>
        <w:tab w:val="right" w:leader="dot" w:pos="9071"/>
      </w:tabs>
      <w:spacing w:before="60"/>
      <w:ind w:left="850" w:hanging="850"/>
    </w:pPr>
    <w:rPr>
      <w:rFonts w:ascii="Times New Roman" w:hAnsi="Times New Roman"/>
      <w:sz w:val="24"/>
    </w:rPr>
  </w:style>
  <w:style w:type="paragraph" w:styleId="TOC2">
    <w:name w:val="toc 2"/>
    <w:basedOn w:val="Normal"/>
    <w:next w:val="Normal"/>
    <w:uiPriority w:val="39"/>
    <w:semiHidden/>
    <w:unhideWhenUsed/>
    <w:pPr>
      <w:tabs>
        <w:tab w:val="right" w:leader="dot" w:pos="9071"/>
      </w:tabs>
      <w:spacing w:before="60"/>
      <w:ind w:left="850" w:hanging="850"/>
    </w:pPr>
    <w:rPr>
      <w:rFonts w:ascii="Times New Roman" w:hAnsi="Times New Roman"/>
      <w:sz w:val="24"/>
    </w:rPr>
  </w:style>
  <w:style w:type="paragraph" w:styleId="TOC3">
    <w:name w:val="toc 3"/>
    <w:basedOn w:val="Normal"/>
    <w:next w:val="Normal"/>
    <w:uiPriority w:val="39"/>
    <w:semiHidden/>
    <w:unhideWhenUsed/>
    <w:pPr>
      <w:tabs>
        <w:tab w:val="right" w:leader="dot" w:pos="9071"/>
      </w:tabs>
      <w:spacing w:before="60"/>
      <w:ind w:left="850" w:hanging="850"/>
    </w:pPr>
    <w:rPr>
      <w:rFonts w:ascii="Times New Roman" w:hAnsi="Times New Roman"/>
      <w:sz w:val="24"/>
    </w:rPr>
  </w:style>
  <w:style w:type="paragraph" w:styleId="TOC4">
    <w:name w:val="toc 4"/>
    <w:basedOn w:val="Normal"/>
    <w:next w:val="Normal"/>
    <w:uiPriority w:val="39"/>
    <w:semiHidden/>
    <w:unhideWhenUsed/>
    <w:pPr>
      <w:tabs>
        <w:tab w:val="right" w:leader="dot" w:pos="9071"/>
      </w:tabs>
      <w:spacing w:before="60"/>
      <w:ind w:left="850" w:hanging="850"/>
    </w:pPr>
    <w:rPr>
      <w:rFonts w:ascii="Times New Roman" w:hAnsi="Times New Roman"/>
      <w:sz w:val="24"/>
    </w:rPr>
  </w:style>
  <w:style w:type="paragraph" w:styleId="TOC5">
    <w:name w:val="toc 5"/>
    <w:basedOn w:val="Normal"/>
    <w:next w:val="Normal"/>
    <w:uiPriority w:val="39"/>
    <w:semiHidden/>
    <w:unhideWhenUsed/>
    <w:pPr>
      <w:tabs>
        <w:tab w:val="right" w:leader="dot" w:pos="9071"/>
      </w:tabs>
      <w:spacing w:before="300"/>
    </w:pPr>
    <w:rPr>
      <w:rFonts w:ascii="Times New Roman" w:hAnsi="Times New Roman"/>
      <w:sz w:val="24"/>
    </w:rPr>
  </w:style>
  <w:style w:type="paragraph" w:styleId="TOC6">
    <w:name w:val="toc 6"/>
    <w:basedOn w:val="Normal"/>
    <w:next w:val="Normal"/>
    <w:uiPriority w:val="39"/>
    <w:semiHidden/>
    <w:unhideWhenUsed/>
    <w:pPr>
      <w:tabs>
        <w:tab w:val="right" w:leader="dot" w:pos="9071"/>
      </w:tabs>
      <w:spacing w:before="240"/>
    </w:pPr>
    <w:rPr>
      <w:rFonts w:ascii="Times New Roman" w:hAnsi="Times New Roman"/>
      <w:sz w:val="24"/>
    </w:rPr>
  </w:style>
  <w:style w:type="paragraph" w:styleId="TOC7">
    <w:name w:val="toc 7"/>
    <w:basedOn w:val="Normal"/>
    <w:next w:val="Normal"/>
    <w:uiPriority w:val="39"/>
    <w:semiHidden/>
    <w:unhideWhenUsed/>
    <w:pPr>
      <w:tabs>
        <w:tab w:val="right" w:leader="dot" w:pos="9071"/>
      </w:tabs>
      <w:spacing w:before="180"/>
    </w:pPr>
    <w:rPr>
      <w:rFonts w:ascii="Times New Roman" w:hAnsi="Times New Roman"/>
      <w:sz w:val="24"/>
    </w:rPr>
  </w:style>
  <w:style w:type="paragraph" w:styleId="TOC8">
    <w:name w:val="toc 8"/>
    <w:basedOn w:val="Normal"/>
    <w:next w:val="Normal"/>
    <w:uiPriority w:val="39"/>
    <w:semiHidden/>
    <w:unhideWhenUsed/>
    <w:pPr>
      <w:tabs>
        <w:tab w:val="right" w:leader="dot" w:pos="9071"/>
      </w:tabs>
    </w:pPr>
    <w:rPr>
      <w:rFonts w:ascii="Times New Roman" w:hAnsi="Times New Roman"/>
      <w:sz w:val="24"/>
    </w:rPr>
  </w:style>
  <w:style w:type="paragraph" w:styleId="TOC9">
    <w:name w:val="toc 9"/>
    <w:basedOn w:val="Normal"/>
    <w:next w:val="Normal"/>
    <w:uiPriority w:val="39"/>
    <w:semiHidden/>
    <w:unhideWhenUsed/>
    <w:pPr>
      <w:tabs>
        <w:tab w:val="right" w:leader="dot" w:pos="9071"/>
      </w:tabs>
      <w:jc w:val="both"/>
    </w:pPr>
    <w:rPr>
      <w:rFonts w:ascii="Times New Roman" w:hAnsi="Times New Roman"/>
      <w:sz w:val="24"/>
    </w:rPr>
  </w:style>
  <w:style w:type="paragraph" w:customStyle="1" w:styleId="HeaderLandscape">
    <w:name w:val="HeaderLandscape"/>
    <w:basedOn w:val="Normal"/>
    <w:pPr>
      <w:tabs>
        <w:tab w:val="center" w:pos="7285"/>
        <w:tab w:val="right" w:pos="14003"/>
      </w:tabs>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ascii="Times New Roman" w:hAnsi="Times New Roman"/>
      <w:sz w:val="24"/>
    </w:rPr>
  </w:style>
  <w:style w:type="character" w:styleId="FootnoteReference">
    <w:name w:val="footnote reference"/>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b/>
      <w:sz w:val="32"/>
    </w:rPr>
  </w:style>
  <w:style w:type="paragraph" w:customStyle="1" w:styleId="HeaderSensitivityRight">
    <w:name w:val="Header Sensitivity Right"/>
    <w:basedOn w:val="Normal"/>
    <w:pPr>
      <w:spacing w:before="0"/>
      <w:jc w:val="right"/>
    </w:pPr>
    <w:rPr>
      <w:rFonts w:ascii="Times New Roman" w:hAnsi="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paragraph" w:customStyle="1" w:styleId="Text1">
    <w:name w:val="Text 1"/>
    <w:basedOn w:val="Normal"/>
    <w:pPr>
      <w:ind w:left="850"/>
      <w:jc w:val="both"/>
    </w:pPr>
    <w:rPr>
      <w:rFonts w:ascii="Times New Roman" w:hAnsi="Times New Roman"/>
      <w:sz w:val="24"/>
    </w:rPr>
  </w:style>
  <w:style w:type="paragraph" w:customStyle="1" w:styleId="Text2">
    <w:name w:val="Text 2"/>
    <w:basedOn w:val="Normal"/>
    <w:pPr>
      <w:ind w:left="1417"/>
      <w:jc w:val="both"/>
    </w:pPr>
    <w:rPr>
      <w:rFonts w:ascii="Times New Roman" w:hAnsi="Times New Roman"/>
      <w:sz w:val="24"/>
    </w:rPr>
  </w:style>
  <w:style w:type="paragraph" w:customStyle="1" w:styleId="Text3">
    <w:name w:val="Text 3"/>
    <w:basedOn w:val="Normal"/>
    <w:pPr>
      <w:ind w:left="1984"/>
      <w:jc w:val="both"/>
    </w:pPr>
    <w:rPr>
      <w:rFonts w:ascii="Times New Roman" w:hAnsi="Times New Roman"/>
      <w:sz w:val="24"/>
    </w:rPr>
  </w:style>
  <w:style w:type="paragraph" w:customStyle="1" w:styleId="Text4">
    <w:name w:val="Text 4"/>
    <w:basedOn w:val="Normal"/>
    <w:pPr>
      <w:ind w:left="2551"/>
      <w:jc w:val="both"/>
    </w:pPr>
    <w:rPr>
      <w:rFonts w:ascii="Times New Roman" w:hAnsi="Times New Roman"/>
      <w:sz w:val="24"/>
    </w:rPr>
  </w:style>
  <w:style w:type="paragraph" w:customStyle="1" w:styleId="NormalCentered">
    <w:name w:val="Normal Centered"/>
    <w:basedOn w:val="Normal"/>
    <w:pPr>
      <w:jc w:val="center"/>
    </w:pPr>
    <w:rPr>
      <w:rFonts w:ascii="Times New Roman" w:hAnsi="Times New Roman"/>
      <w:sz w:val="24"/>
    </w:rPr>
  </w:style>
  <w:style w:type="paragraph" w:customStyle="1" w:styleId="NormalLeft">
    <w:name w:val="Normal Left"/>
    <w:basedOn w:val="Normal"/>
    <w:rPr>
      <w:rFonts w:ascii="Times New Roman" w:hAnsi="Times New Roman"/>
      <w:sz w:val="24"/>
    </w:rPr>
  </w:style>
  <w:style w:type="paragraph" w:customStyle="1" w:styleId="NormalRight">
    <w:name w:val="Normal Right"/>
    <w:basedOn w:val="Normal"/>
    <w:pPr>
      <w:jc w:val="right"/>
    </w:pPr>
    <w:rPr>
      <w:rFonts w:ascii="Times New Roman" w:hAnsi="Times New Roman"/>
      <w:sz w:val="24"/>
    </w:rPr>
  </w:style>
  <w:style w:type="paragraph" w:customStyle="1" w:styleId="QuotedText">
    <w:name w:val="Quoted Text"/>
    <w:basedOn w:val="Normal"/>
    <w:pPr>
      <w:ind w:left="1417"/>
      <w:jc w:val="both"/>
    </w:pPr>
    <w:rPr>
      <w:rFonts w:ascii="Times New Roman" w:hAnsi="Times New Roman"/>
      <w:sz w:val="24"/>
    </w:rPr>
  </w:style>
  <w:style w:type="paragraph" w:customStyle="1" w:styleId="Point0">
    <w:name w:val="Point 0"/>
    <w:basedOn w:val="Normal"/>
    <w:pPr>
      <w:ind w:left="850" w:hanging="850"/>
      <w:jc w:val="both"/>
    </w:pPr>
    <w:rPr>
      <w:rFonts w:ascii="Times New Roman" w:hAnsi="Times New Roman"/>
      <w:sz w:val="24"/>
    </w:rPr>
  </w:style>
  <w:style w:type="paragraph" w:customStyle="1" w:styleId="Point1">
    <w:name w:val="Point 1"/>
    <w:basedOn w:val="Normal"/>
    <w:pPr>
      <w:ind w:left="1417" w:hanging="567"/>
      <w:jc w:val="both"/>
    </w:pPr>
    <w:rPr>
      <w:rFonts w:ascii="Times New Roman" w:hAnsi="Times New Roman"/>
      <w:sz w:val="24"/>
    </w:rPr>
  </w:style>
  <w:style w:type="paragraph" w:customStyle="1" w:styleId="Point2">
    <w:name w:val="Point 2"/>
    <w:basedOn w:val="Normal"/>
    <w:pPr>
      <w:ind w:left="1984" w:hanging="567"/>
      <w:jc w:val="both"/>
    </w:pPr>
    <w:rPr>
      <w:rFonts w:ascii="Times New Roman" w:hAnsi="Times New Roman"/>
      <w:sz w:val="24"/>
    </w:rPr>
  </w:style>
  <w:style w:type="paragraph" w:customStyle="1" w:styleId="Point3">
    <w:name w:val="Point 3"/>
    <w:basedOn w:val="Normal"/>
    <w:pPr>
      <w:ind w:left="2551" w:hanging="567"/>
      <w:jc w:val="both"/>
    </w:pPr>
    <w:rPr>
      <w:rFonts w:ascii="Times New Roman" w:hAnsi="Times New Roman"/>
      <w:sz w:val="24"/>
    </w:rPr>
  </w:style>
  <w:style w:type="paragraph" w:customStyle="1" w:styleId="Point4">
    <w:name w:val="Point 4"/>
    <w:basedOn w:val="Normal"/>
    <w:pPr>
      <w:ind w:left="3118" w:hanging="567"/>
      <w:jc w:val="both"/>
    </w:pPr>
    <w:rPr>
      <w:rFonts w:ascii="Times New Roman" w:hAnsi="Times New Roman"/>
      <w:sz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jc w:val="both"/>
    </w:pPr>
    <w:rPr>
      <w:rFonts w:ascii="Times New Roman" w:hAnsi="Times New Roman"/>
      <w:sz w:val="24"/>
    </w:rPr>
  </w:style>
  <w:style w:type="paragraph" w:customStyle="1" w:styleId="PointDouble1">
    <w:name w:val="PointDouble 1"/>
    <w:basedOn w:val="Normal"/>
    <w:pPr>
      <w:tabs>
        <w:tab w:val="left" w:pos="1417"/>
      </w:tabs>
      <w:ind w:left="1984" w:hanging="1134"/>
      <w:jc w:val="both"/>
    </w:pPr>
    <w:rPr>
      <w:rFonts w:ascii="Times New Roman" w:hAnsi="Times New Roman"/>
      <w:sz w:val="24"/>
    </w:rPr>
  </w:style>
  <w:style w:type="paragraph" w:customStyle="1" w:styleId="PointDouble2">
    <w:name w:val="PointDouble 2"/>
    <w:basedOn w:val="Normal"/>
    <w:pPr>
      <w:tabs>
        <w:tab w:val="left" w:pos="1984"/>
      </w:tabs>
      <w:ind w:left="2551" w:hanging="1134"/>
      <w:jc w:val="both"/>
    </w:pPr>
    <w:rPr>
      <w:rFonts w:ascii="Times New Roman" w:hAnsi="Times New Roman"/>
      <w:sz w:val="24"/>
    </w:rPr>
  </w:style>
  <w:style w:type="paragraph" w:customStyle="1" w:styleId="PointDouble3">
    <w:name w:val="PointDouble 3"/>
    <w:basedOn w:val="Normal"/>
    <w:pPr>
      <w:tabs>
        <w:tab w:val="left" w:pos="2551"/>
      </w:tabs>
      <w:ind w:left="3118" w:hanging="1134"/>
      <w:jc w:val="both"/>
    </w:pPr>
    <w:rPr>
      <w:rFonts w:ascii="Times New Roman" w:hAnsi="Times New Roman"/>
      <w:sz w:val="24"/>
    </w:rPr>
  </w:style>
  <w:style w:type="paragraph" w:customStyle="1" w:styleId="PointDouble4">
    <w:name w:val="PointDouble 4"/>
    <w:basedOn w:val="Normal"/>
    <w:pPr>
      <w:tabs>
        <w:tab w:val="left" w:pos="3118"/>
      </w:tabs>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ind w:left="4252" w:hanging="1701"/>
      <w:jc w:val="both"/>
    </w:pPr>
    <w:rPr>
      <w:rFonts w:ascii="Times New Roman" w:hAnsi="Times New Roman"/>
      <w:sz w:val="24"/>
    </w:rPr>
  </w:style>
  <w:style w:type="paragraph" w:customStyle="1" w:styleId="NumPar1">
    <w:name w:val="NumPar 1"/>
    <w:basedOn w:val="Normal"/>
    <w:next w:val="Text1"/>
    <w:pPr>
      <w:numPr>
        <w:numId w:val="5"/>
      </w:numPr>
      <w:jc w:val="both"/>
    </w:pPr>
    <w:rPr>
      <w:rFonts w:ascii="Times New Roman" w:hAnsi="Times New Roman"/>
      <w:sz w:val="24"/>
    </w:rPr>
  </w:style>
  <w:style w:type="paragraph" w:customStyle="1" w:styleId="NumPar2">
    <w:name w:val="NumPar 2"/>
    <w:basedOn w:val="Normal"/>
    <w:next w:val="Text1"/>
    <w:pPr>
      <w:numPr>
        <w:ilvl w:val="1"/>
        <w:numId w:val="5"/>
      </w:numPr>
      <w:jc w:val="both"/>
    </w:pPr>
    <w:rPr>
      <w:rFonts w:ascii="Times New Roman" w:hAnsi="Times New Roman"/>
      <w:sz w:val="24"/>
    </w:rPr>
  </w:style>
  <w:style w:type="paragraph" w:customStyle="1" w:styleId="NumPar3">
    <w:name w:val="NumPar 3"/>
    <w:basedOn w:val="Normal"/>
    <w:next w:val="Text1"/>
    <w:pPr>
      <w:numPr>
        <w:ilvl w:val="2"/>
        <w:numId w:val="5"/>
      </w:numPr>
      <w:jc w:val="both"/>
    </w:pPr>
    <w:rPr>
      <w:rFonts w:ascii="Times New Roman" w:hAnsi="Times New Roman"/>
      <w:sz w:val="24"/>
    </w:rPr>
  </w:style>
  <w:style w:type="paragraph" w:customStyle="1" w:styleId="NumPar4">
    <w:name w:val="NumPar 4"/>
    <w:basedOn w:val="Normal"/>
    <w:next w:val="Text1"/>
    <w:pPr>
      <w:numPr>
        <w:ilvl w:val="3"/>
        <w:numId w:val="5"/>
      </w:numPr>
      <w:jc w:val="both"/>
    </w:pPr>
    <w:rPr>
      <w:rFonts w:ascii="Times New Roman" w:hAnsi="Times New Roman"/>
      <w:sz w:val="24"/>
    </w:rPr>
  </w:style>
  <w:style w:type="paragraph" w:customStyle="1" w:styleId="ManualNumPar1">
    <w:name w:val="Manual NumPar 1"/>
    <w:basedOn w:val="Normal"/>
    <w:next w:val="Text1"/>
    <w:pPr>
      <w:ind w:left="850" w:hanging="850"/>
      <w:jc w:val="both"/>
    </w:pPr>
    <w:rPr>
      <w:rFonts w:ascii="Times New Roman" w:hAnsi="Times New Roman"/>
      <w:sz w:val="24"/>
    </w:rPr>
  </w:style>
  <w:style w:type="paragraph" w:customStyle="1" w:styleId="ManualNumPar2">
    <w:name w:val="Manual NumPar 2"/>
    <w:basedOn w:val="Normal"/>
    <w:next w:val="Text1"/>
    <w:pPr>
      <w:ind w:left="850" w:hanging="850"/>
      <w:jc w:val="both"/>
    </w:pPr>
    <w:rPr>
      <w:rFonts w:ascii="Times New Roman" w:hAnsi="Times New Roman"/>
      <w:sz w:val="24"/>
    </w:rPr>
  </w:style>
  <w:style w:type="paragraph" w:customStyle="1" w:styleId="ManualNumPar3">
    <w:name w:val="Manual NumPar 3"/>
    <w:basedOn w:val="Normal"/>
    <w:next w:val="Text1"/>
    <w:pPr>
      <w:ind w:left="850" w:hanging="850"/>
      <w:jc w:val="both"/>
    </w:pPr>
    <w:rPr>
      <w:rFonts w:ascii="Times New Roman" w:hAnsi="Times New Roman"/>
      <w:sz w:val="24"/>
    </w:rPr>
  </w:style>
  <w:style w:type="paragraph" w:customStyle="1" w:styleId="ManualNumPar4">
    <w:name w:val="Manual NumPar 4"/>
    <w:basedOn w:val="Normal"/>
    <w:next w:val="Text1"/>
    <w:pPr>
      <w:ind w:left="850" w:hanging="850"/>
      <w:jc w:val="both"/>
    </w:pPr>
    <w:rPr>
      <w:rFonts w:ascii="Times New Roman" w:hAnsi="Times New Roman"/>
      <w:sz w:val="24"/>
    </w:rPr>
  </w:style>
  <w:style w:type="paragraph" w:customStyle="1" w:styleId="QuotedNumPar">
    <w:name w:val="Quoted NumPar"/>
    <w:basedOn w:val="Normal"/>
    <w:pPr>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after="360"/>
      <w:jc w:val="center"/>
    </w:pPr>
    <w:rPr>
      <w:rFonts w:ascii="Times New Roman" w:hAnsi="Times New Roman"/>
      <w:b/>
      <w:sz w:val="32"/>
    </w:rPr>
  </w:style>
  <w:style w:type="paragraph" w:customStyle="1" w:styleId="PartTitle">
    <w:name w:val="PartTitle"/>
    <w:basedOn w:val="Normal"/>
    <w:next w:val="ChapterTitle"/>
    <w:pPr>
      <w:keepNext/>
      <w:pageBreakBefore/>
      <w:spacing w:after="360"/>
      <w:jc w:val="center"/>
    </w:pPr>
    <w:rPr>
      <w:rFonts w:ascii="Times New Roman" w:hAnsi="Times New Roman"/>
      <w:b/>
      <w:sz w:val="36"/>
    </w:rPr>
  </w:style>
  <w:style w:type="paragraph" w:customStyle="1" w:styleId="SectionTitle">
    <w:name w:val="SectionTitle"/>
    <w:basedOn w:val="Normal"/>
    <w:next w:val="Heading1"/>
    <w:pPr>
      <w:keepNext/>
      <w:spacing w:after="360"/>
      <w:jc w:val="center"/>
    </w:pPr>
    <w:rPr>
      <w:rFonts w:ascii="Times New Roman" w:hAnsi="Times New Roman"/>
      <w:b/>
      <w:smallCaps/>
      <w:sz w:val="28"/>
    </w:rPr>
  </w:style>
  <w:style w:type="paragraph" w:customStyle="1" w:styleId="TableTitle">
    <w:name w:val="Table Title"/>
    <w:basedOn w:val="Normal"/>
    <w:next w:val="Normal"/>
    <w:pPr>
      <w:jc w:val="center"/>
    </w:pPr>
    <w:rPr>
      <w:rFonts w:ascii="Times New Roman" w:hAnsi="Times New Roman"/>
      <w:b/>
      <w:sz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tabs>
        <w:tab w:val="num" w:pos="850"/>
      </w:tabs>
      <w:ind w:left="850" w:hanging="850"/>
      <w:jc w:val="both"/>
    </w:pPr>
    <w:rPr>
      <w:rFonts w:ascii="Times New Roman" w:hAnsi="Times New Roman"/>
      <w:sz w:val="24"/>
    </w:rPr>
  </w:style>
  <w:style w:type="paragraph" w:customStyle="1" w:styleId="Point1number">
    <w:name w:val="Point 1 (number)"/>
    <w:basedOn w:val="Normal"/>
    <w:pPr>
      <w:numPr>
        <w:ilvl w:val="2"/>
        <w:numId w:val="16"/>
      </w:numPr>
      <w:jc w:val="both"/>
    </w:pPr>
    <w:rPr>
      <w:rFonts w:ascii="Times New Roman" w:hAnsi="Times New Roman"/>
      <w:sz w:val="24"/>
    </w:rPr>
  </w:style>
  <w:style w:type="paragraph" w:customStyle="1" w:styleId="Point2number">
    <w:name w:val="Point 2 (number)"/>
    <w:basedOn w:val="Normal"/>
    <w:pPr>
      <w:numPr>
        <w:ilvl w:val="4"/>
        <w:numId w:val="16"/>
      </w:numPr>
      <w:jc w:val="both"/>
    </w:pPr>
    <w:rPr>
      <w:rFonts w:ascii="Times New Roman" w:hAnsi="Times New Roman"/>
      <w:sz w:val="24"/>
    </w:rPr>
  </w:style>
  <w:style w:type="paragraph" w:customStyle="1" w:styleId="Point3number">
    <w:name w:val="Point 3 (number)"/>
    <w:basedOn w:val="Normal"/>
    <w:pPr>
      <w:numPr>
        <w:ilvl w:val="6"/>
        <w:numId w:val="16"/>
      </w:numPr>
      <w:jc w:val="both"/>
    </w:pPr>
    <w:rPr>
      <w:rFonts w:ascii="Times New Roman" w:hAnsi="Times New Roman"/>
      <w:sz w:val="24"/>
    </w:rPr>
  </w:style>
  <w:style w:type="paragraph" w:customStyle="1" w:styleId="Point0letter">
    <w:name w:val="Point 0 (letter)"/>
    <w:basedOn w:val="Normal"/>
    <w:pPr>
      <w:numPr>
        <w:ilvl w:val="1"/>
        <w:numId w:val="16"/>
      </w:numPr>
      <w:jc w:val="both"/>
    </w:pPr>
    <w:rPr>
      <w:rFonts w:ascii="Times New Roman" w:hAnsi="Times New Roman"/>
      <w:sz w:val="24"/>
    </w:rPr>
  </w:style>
  <w:style w:type="paragraph" w:customStyle="1" w:styleId="Point1letter">
    <w:name w:val="Point 1 (letter)"/>
    <w:basedOn w:val="Normal"/>
    <w:pPr>
      <w:numPr>
        <w:ilvl w:val="3"/>
        <w:numId w:val="16"/>
      </w:numPr>
      <w:jc w:val="both"/>
    </w:pPr>
    <w:rPr>
      <w:rFonts w:ascii="Times New Roman" w:hAnsi="Times New Roman"/>
      <w:sz w:val="24"/>
    </w:rPr>
  </w:style>
  <w:style w:type="paragraph" w:customStyle="1" w:styleId="Point2letter">
    <w:name w:val="Point 2 (letter)"/>
    <w:basedOn w:val="Normal"/>
    <w:pPr>
      <w:numPr>
        <w:ilvl w:val="5"/>
        <w:numId w:val="16"/>
      </w:numPr>
      <w:jc w:val="both"/>
    </w:pPr>
    <w:rPr>
      <w:rFonts w:ascii="Times New Roman" w:hAnsi="Times New Roman"/>
      <w:sz w:val="24"/>
    </w:rPr>
  </w:style>
  <w:style w:type="paragraph" w:customStyle="1" w:styleId="Point3letter">
    <w:name w:val="Point 3 (letter)"/>
    <w:basedOn w:val="Normal"/>
    <w:pPr>
      <w:numPr>
        <w:ilvl w:val="7"/>
        <w:numId w:val="16"/>
      </w:numPr>
      <w:jc w:val="both"/>
    </w:pPr>
    <w:rPr>
      <w:rFonts w:ascii="Times New Roman" w:hAnsi="Times New Roman"/>
      <w:sz w:val="24"/>
    </w:rPr>
  </w:style>
  <w:style w:type="paragraph" w:customStyle="1" w:styleId="Point4letter">
    <w:name w:val="Point 4 (letter)"/>
    <w:basedOn w:val="Normal"/>
    <w:pPr>
      <w:numPr>
        <w:ilvl w:val="8"/>
        <w:numId w:val="16"/>
      </w:numPr>
      <w:jc w:val="both"/>
    </w:pPr>
    <w:rPr>
      <w:rFonts w:ascii="Times New Roman" w:hAnsi="Times New Roman"/>
      <w:sz w:val="24"/>
    </w:rPr>
  </w:style>
  <w:style w:type="paragraph" w:customStyle="1" w:styleId="Bullet0">
    <w:name w:val="Bullet 0"/>
    <w:basedOn w:val="Normal"/>
    <w:pPr>
      <w:numPr>
        <w:numId w:val="17"/>
      </w:numPr>
      <w:jc w:val="both"/>
    </w:pPr>
    <w:rPr>
      <w:rFonts w:ascii="Times New Roman" w:hAnsi="Times New Roman"/>
      <w:sz w:val="24"/>
    </w:rPr>
  </w:style>
  <w:style w:type="paragraph" w:customStyle="1" w:styleId="Bullet1">
    <w:name w:val="Bullet 1"/>
    <w:basedOn w:val="Normal"/>
    <w:pPr>
      <w:numPr>
        <w:numId w:val="18"/>
      </w:numPr>
      <w:jc w:val="both"/>
    </w:pPr>
    <w:rPr>
      <w:rFonts w:ascii="Times New Roman" w:hAnsi="Times New Roman"/>
      <w:sz w:val="24"/>
    </w:rPr>
  </w:style>
  <w:style w:type="paragraph" w:customStyle="1" w:styleId="Bullet2">
    <w:name w:val="Bullet 2"/>
    <w:basedOn w:val="Normal"/>
    <w:pPr>
      <w:numPr>
        <w:numId w:val="19"/>
      </w:numPr>
      <w:jc w:val="both"/>
    </w:pPr>
    <w:rPr>
      <w:rFonts w:ascii="Times New Roman" w:hAnsi="Times New Roman"/>
      <w:sz w:val="24"/>
    </w:rPr>
  </w:style>
  <w:style w:type="paragraph" w:customStyle="1" w:styleId="Bullet3">
    <w:name w:val="Bullet 3"/>
    <w:basedOn w:val="Normal"/>
    <w:pPr>
      <w:numPr>
        <w:numId w:val="20"/>
      </w:numPr>
      <w:jc w:val="both"/>
    </w:pPr>
    <w:rPr>
      <w:rFonts w:ascii="Times New Roman" w:hAnsi="Times New Roman"/>
      <w:sz w:val="24"/>
    </w:rPr>
  </w:style>
  <w:style w:type="paragraph" w:customStyle="1" w:styleId="Bullet4">
    <w:name w:val="Bullet 4"/>
    <w:basedOn w:val="Normal"/>
    <w:pPr>
      <w:numPr>
        <w:numId w:val="21"/>
      </w:numPr>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rPr>
  </w:style>
  <w:style w:type="paragraph" w:customStyle="1" w:styleId="Nomdelinstitution">
    <w:name w:val="Nom de l'institution"/>
    <w:basedOn w:val="Normal"/>
    <w:next w:val="Emission"/>
    <w:pPr>
      <w:spacing w:after="0"/>
    </w:pPr>
    <w:rPr>
      <w:rFonts w:ascii="Arial" w:hAnsi="Arial" w:cs="Arial"/>
      <w:sz w:val="24"/>
    </w:rPr>
  </w:style>
  <w:style w:type="paragraph" w:customStyle="1" w:styleId="Emission">
    <w:name w:val="Emission"/>
    <w:basedOn w:val="Normal"/>
    <w:next w:val="Rfrenceinstitutionnelle"/>
    <w:pPr>
      <w:spacing w:after="0"/>
      <w:ind w:left="5103"/>
    </w:pPr>
    <w:rPr>
      <w:rFonts w:ascii="Times New Roman" w:hAnsi="Times New Roman"/>
      <w:sz w:val="24"/>
    </w:rPr>
  </w:style>
  <w:style w:type="paragraph" w:customStyle="1" w:styleId="Rfrenceinstitutionnelle">
    <w:name w:val="Référence institutionnelle"/>
    <w:basedOn w:val="Normal"/>
    <w:next w:val="Confidentialit"/>
    <w:pPr>
      <w:spacing w:after="240"/>
      <w:ind w:left="5103"/>
    </w:pPr>
    <w:rPr>
      <w:rFonts w:ascii="Times New Roman" w:hAnsi="Times New Roman"/>
      <w:sz w:val="24"/>
    </w:rPr>
  </w:style>
  <w:style w:type="paragraph" w:customStyle="1" w:styleId="Pagedecouverture">
    <w:name w:val="Page de couverture"/>
    <w:basedOn w:val="Normal"/>
    <w:next w:val="Normal"/>
    <w:pPr>
      <w:spacing w:after="0"/>
      <w:jc w:val="both"/>
    </w:pPr>
    <w:rPr>
      <w:rFonts w:ascii="Times New Roman" w:hAnsi="Times New Roman"/>
      <w:sz w:val="24"/>
    </w:rPr>
  </w:style>
  <w:style w:type="paragraph" w:customStyle="1" w:styleId="Declassification">
    <w:name w:val="Declassification"/>
    <w:basedOn w:val="Normal"/>
    <w:next w:val="Normal"/>
    <w:pPr>
      <w:spacing w:after="0"/>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jc w:val="both"/>
    </w:pPr>
    <w:rPr>
      <w:rFonts w:ascii="Times New Roman" w:hAnsi="Times New Roman"/>
      <w:sz w:val="24"/>
    </w:rPr>
  </w:style>
  <w:style w:type="paragraph" w:customStyle="1" w:styleId="SecurityMarking">
    <w:name w:val="SecurityMarking"/>
    <w:basedOn w:val="Normal"/>
    <w:pPr>
      <w:spacing w:before="0" w:after="0" w:line="276" w:lineRule="auto"/>
      <w:ind w:left="5103"/>
    </w:pPr>
    <w:rPr>
      <w:rFonts w:ascii="Times New Roman" w:hAnsi="Times New Roman"/>
      <w:sz w:val="28"/>
    </w:rPr>
  </w:style>
  <w:style w:type="paragraph" w:customStyle="1" w:styleId="DateMarking">
    <w:name w:val="DateMarking"/>
    <w:basedOn w:val="Normal"/>
    <w:pPr>
      <w:spacing w:before="0" w:after="0" w:line="276" w:lineRule="auto"/>
      <w:ind w:left="5103"/>
    </w:pPr>
    <w:rPr>
      <w:rFonts w:ascii="Times New Roman" w:hAnsi="Times New Roman"/>
      <w:i/>
      <w:sz w:val="28"/>
    </w:rPr>
  </w:style>
  <w:style w:type="paragraph" w:customStyle="1" w:styleId="ReleasableTo">
    <w:name w:val="ReleasableTo"/>
    <w:basedOn w:val="Normal"/>
    <w:pPr>
      <w:spacing w:before="0" w:after="0" w:line="276" w:lineRule="auto"/>
      <w:ind w:left="5103"/>
    </w:pPr>
    <w:rPr>
      <w:rFonts w:ascii="Times New Roman" w:hAnsi="Times New Roman"/>
      <w:i/>
      <w:sz w:val="28"/>
    </w:rPr>
  </w:style>
  <w:style w:type="paragraph" w:customStyle="1" w:styleId="Annexetitreexpos">
    <w:name w:val="Annexe titre (exposé)"/>
    <w:basedOn w:val="Normal"/>
    <w:next w:val="Normal"/>
    <w:pPr>
      <w:jc w:val="center"/>
    </w:pPr>
    <w:rPr>
      <w:rFonts w:ascii="Times New Roman" w:hAnsi="Times New Roman"/>
      <w:b/>
      <w:sz w:val="24"/>
      <w:u w:val="single"/>
    </w:rPr>
  </w:style>
  <w:style w:type="paragraph" w:customStyle="1" w:styleId="Annexetitre">
    <w:name w:val="Annexe titre"/>
    <w:basedOn w:val="Normal"/>
    <w:next w:val="Normal"/>
    <w:pPr>
      <w:jc w:val="center"/>
    </w:pPr>
    <w:rPr>
      <w:rFonts w:ascii="Times New Roman" w:hAnsi="Times New Roman"/>
      <w:b/>
      <w:sz w:val="24"/>
      <w:u w:val="single"/>
    </w:rPr>
  </w:style>
  <w:style w:type="paragraph" w:customStyle="1" w:styleId="Annexetitrefichefinancire">
    <w:name w:val="Annexe titre (fiche financière)"/>
    <w:basedOn w:val="Normal"/>
    <w:next w:val="Normal"/>
    <w:pPr>
      <w:jc w:val="center"/>
    </w:pPr>
    <w:rPr>
      <w:rFonts w:ascii="Times New Roman" w:hAnsi="Times New Roman"/>
      <w:b/>
      <w:sz w:val="24"/>
      <w:u w:val="single"/>
    </w:rPr>
  </w:style>
  <w:style w:type="paragraph" w:customStyle="1" w:styleId="Applicationdirecte">
    <w:name w:val="Application directe"/>
    <w:basedOn w:val="Normal"/>
    <w:next w:val="Fait"/>
    <w:pPr>
      <w:spacing w:before="480"/>
      <w:jc w:val="both"/>
    </w:pPr>
    <w:rPr>
      <w:rFonts w:ascii="Times New Roman" w:hAnsi="Times New Roman"/>
      <w:sz w:val="24"/>
    </w:rPr>
  </w:style>
  <w:style w:type="paragraph" w:customStyle="1" w:styleId="Avertissementtitre">
    <w:name w:val="Avertissement titre"/>
    <w:basedOn w:val="Normal"/>
    <w:next w:val="Normal"/>
    <w:pPr>
      <w:keepNext/>
      <w:spacing w:before="480"/>
      <w:jc w:val="both"/>
    </w:pPr>
    <w:rPr>
      <w:rFonts w:ascii="Times New Roman" w:hAnsi="Times New Roman"/>
      <w:sz w:val="24"/>
      <w:u w:val="single"/>
    </w:rPr>
  </w:style>
  <w:style w:type="paragraph" w:customStyle="1" w:styleId="Confidence">
    <w:name w:val="Confidence"/>
    <w:basedOn w:val="Normal"/>
    <w:next w:val="Normal"/>
    <w:pPr>
      <w:spacing w:before="360"/>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ind w:left="5103"/>
    </w:pPr>
    <w:rPr>
      <w:rFonts w:ascii="Times New Roman" w:hAnsi="Times New Roman"/>
      <w:i/>
      <w:sz w:val="32"/>
    </w:rPr>
  </w:style>
  <w:style w:type="paragraph" w:customStyle="1" w:styleId="Considrant">
    <w:name w:val="Considérant"/>
    <w:basedOn w:val="Normal"/>
    <w:pPr>
      <w:tabs>
        <w:tab w:val="num" w:pos="709"/>
      </w:tabs>
      <w:ind w:left="709" w:hanging="709"/>
      <w:jc w:val="both"/>
    </w:pPr>
    <w:rPr>
      <w:rFonts w:ascii="Times New Roman" w:hAnsi="Times New Roman"/>
      <w:sz w:val="24"/>
    </w:rPr>
  </w:style>
  <w:style w:type="paragraph" w:customStyle="1" w:styleId="Corrigendum">
    <w:name w:val="Corrigendum"/>
    <w:basedOn w:val="Normal"/>
    <w:next w:val="Normal"/>
    <w:pPr>
      <w:spacing w:after="240"/>
    </w:pPr>
    <w:rPr>
      <w:rFonts w:ascii="Times New Roman" w:hAnsi="Times New Roman"/>
      <w:sz w:val="24"/>
    </w:rPr>
  </w:style>
  <w:style w:type="paragraph" w:customStyle="1" w:styleId="Datedadoption">
    <w:name w:val="Date d'adoption"/>
    <w:basedOn w:val="Normal"/>
    <w:next w:val="IntrtEEE"/>
    <w:pPr>
      <w:spacing w:before="360" w:after="0"/>
      <w:jc w:val="center"/>
    </w:pPr>
    <w:rPr>
      <w:rFonts w:ascii="Times New Roman" w:hAnsi="Times New Roman"/>
      <w:b/>
      <w:sz w:val="24"/>
    </w:rPr>
  </w:style>
  <w:style w:type="paragraph" w:customStyle="1" w:styleId="Exposdesmotifstitre">
    <w:name w:val="Exposé des motifs titre"/>
    <w:basedOn w:val="Normal"/>
    <w:next w:val="Normal"/>
    <w:pPr>
      <w:jc w:val="center"/>
    </w:pPr>
    <w:rPr>
      <w:rFonts w:ascii="Times New Roman" w:hAnsi="Times New Roman"/>
      <w:b/>
      <w:sz w:val="24"/>
      <w:u w:val="single"/>
    </w:rPr>
  </w:style>
  <w:style w:type="paragraph" w:customStyle="1" w:styleId="Fait">
    <w:name w:val="Fait à"/>
    <w:basedOn w:val="Normal"/>
    <w:next w:val="Institutionquisigne"/>
    <w:pPr>
      <w:keepNext/>
      <w:spacing w:after="0"/>
      <w:jc w:val="both"/>
    </w:pPr>
    <w:rPr>
      <w:rFonts w:ascii="Times New Roman" w:hAnsi="Times New Roman"/>
      <w:sz w:val="24"/>
    </w:rPr>
  </w:style>
  <w:style w:type="paragraph" w:customStyle="1" w:styleId="Formuledadoption">
    <w:name w:val="Formule d'adoption"/>
    <w:basedOn w:val="Normal"/>
    <w:next w:val="Titrearticle"/>
    <w:pPr>
      <w:keepNext/>
      <w:jc w:val="both"/>
    </w:pPr>
    <w:rPr>
      <w:rFonts w:ascii="Times New Roman" w:hAnsi="Times New Roman"/>
      <w:sz w:val="24"/>
    </w:rPr>
  </w:style>
  <w:style w:type="paragraph" w:customStyle="1" w:styleId="Institutionquiagit">
    <w:name w:val="Institution qui agit"/>
    <w:basedOn w:val="Normal"/>
    <w:next w:val="Normal"/>
    <w:pPr>
      <w:keepNext/>
      <w:spacing w:before="600"/>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after="0"/>
      <w:jc w:val="both"/>
    </w:pPr>
    <w:rPr>
      <w:rFonts w:ascii="Times New Roman" w:hAnsi="Times New Roman"/>
      <w:i/>
      <w:sz w:val="24"/>
    </w:rPr>
  </w:style>
  <w:style w:type="paragraph" w:customStyle="1" w:styleId="ManualConsidrant">
    <w:name w:val="Manual Considérant"/>
    <w:basedOn w:val="Normal"/>
    <w:pPr>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spacing w:after="0"/>
    </w:pPr>
    <w:rPr>
      <w:rFonts w:ascii="Times New Roman" w:hAnsi="Times New Roman"/>
      <w:i/>
      <w:sz w:val="24"/>
    </w:rPr>
  </w:style>
  <w:style w:type="paragraph" w:customStyle="1" w:styleId="Rfrenceinterinstitutionnelle">
    <w:name w:val="Référence interinstitutionnelle"/>
    <w:basedOn w:val="Normal"/>
    <w:next w:val="Statut"/>
    <w:pPr>
      <w:spacing w:after="0"/>
      <w:ind w:left="5103"/>
    </w:pPr>
    <w:rPr>
      <w:rFonts w:ascii="Times New Roman" w:hAnsi="Times New Roman"/>
      <w:sz w:val="24"/>
    </w:rPr>
  </w:style>
  <w:style w:type="paragraph" w:customStyle="1" w:styleId="Rfrenceinterne">
    <w:name w:val="Référence interne"/>
    <w:basedOn w:val="Normal"/>
    <w:next w:val="Rfrenceinterinstitutionnelle"/>
    <w:pPr>
      <w:spacing w:after="0"/>
      <w:ind w:left="5103"/>
    </w:pPr>
    <w:rPr>
      <w:rFonts w:ascii="Times New Roman" w:hAnsi="Times New Roman"/>
      <w:sz w:val="24"/>
    </w:rPr>
  </w:style>
  <w:style w:type="paragraph" w:customStyle="1" w:styleId="Statut">
    <w:name w:val="Statut"/>
    <w:basedOn w:val="Normal"/>
    <w:next w:val="Typedudocument"/>
    <w:pPr>
      <w:spacing w:after="240"/>
      <w:jc w:val="center"/>
    </w:pPr>
    <w:rPr>
      <w:rFonts w:ascii="Times New Roman" w:hAnsi="Times New Roman"/>
      <w:sz w:val="24"/>
    </w:rPr>
  </w:style>
  <w:style w:type="paragraph" w:customStyle="1" w:styleId="Titrearticle">
    <w:name w:val="Titre article"/>
    <w:basedOn w:val="Normal"/>
    <w:next w:val="Normal"/>
    <w:pPr>
      <w:keepNext/>
      <w:spacing w:before="360"/>
      <w:jc w:val="center"/>
    </w:pPr>
    <w:rPr>
      <w:rFonts w:ascii="Times New Roman" w:hAnsi="Times New Roman"/>
      <w:i/>
      <w:sz w:val="24"/>
    </w:rPr>
  </w:style>
  <w:style w:type="paragraph" w:customStyle="1" w:styleId="Typedudocument">
    <w:name w:val="Type du document"/>
    <w:basedOn w:val="Normal"/>
    <w:next w:val="Accompagnant"/>
    <w:pPr>
      <w:spacing w:before="360" w:after="180"/>
      <w:jc w:val="center"/>
    </w:pPr>
    <w:rPr>
      <w:rFonts w:ascii="Times New Roman" w:hAnsi="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pPr>
    <w:rPr>
      <w:rFonts w:ascii="Times New Roman" w:hAnsi="Times New Roman"/>
      <w:sz w:val="24"/>
    </w:rPr>
  </w:style>
  <w:style w:type="paragraph" w:customStyle="1" w:styleId="Objetexterne">
    <w:name w:val="Objet externe"/>
    <w:basedOn w:val="Normal"/>
    <w:next w:val="Normal"/>
    <w:pPr>
      <w:jc w:val="both"/>
    </w:pPr>
    <w:rPr>
      <w:rFonts w:ascii="Times New Roman" w:hAnsi="Times New Roman"/>
      <w:i/>
      <w:caps/>
      <w:sz w:val="24"/>
    </w:rPr>
  </w:style>
  <w:style w:type="paragraph" w:customStyle="1" w:styleId="Supertitre">
    <w:name w:val="Supertitre"/>
    <w:basedOn w:val="Normal"/>
    <w:next w:val="Normal"/>
    <w:pPr>
      <w:spacing w:after="600"/>
      <w:jc w:val="center"/>
    </w:pPr>
    <w:rPr>
      <w:rFonts w:ascii="Times New Roman" w:hAnsi="Times New Roman"/>
      <w:b/>
      <w:sz w:val="24"/>
    </w:rPr>
  </w:style>
  <w:style w:type="paragraph" w:customStyle="1" w:styleId="Languesfaisantfoi">
    <w:name w:val="Langues faisant foi"/>
    <w:basedOn w:val="Normal"/>
    <w:next w:val="Normal"/>
    <w:pPr>
      <w:spacing w:before="360" w:after="0"/>
      <w:jc w:val="center"/>
    </w:pPr>
    <w:rPr>
      <w:rFonts w:ascii="Times New Roman" w:hAnsi="Times New Roman"/>
      <w:sz w:val="24"/>
    </w:rPr>
  </w:style>
  <w:style w:type="paragraph" w:customStyle="1" w:styleId="Rfrencecroise">
    <w:name w:val="Référence croisée"/>
    <w:basedOn w:val="Normal"/>
    <w:pPr>
      <w:spacing w:after="0"/>
      <w:jc w:val="center"/>
    </w:pPr>
    <w:rPr>
      <w:rFonts w:ascii="Times New Roman" w:hAnsi="Times New Roman"/>
      <w:sz w:val="24"/>
    </w:rPr>
  </w:style>
  <w:style w:type="paragraph" w:customStyle="1" w:styleId="Fichefinanciretitre">
    <w:name w:val="Fiche financière titre"/>
    <w:basedOn w:val="Normal"/>
    <w:next w:val="Normal"/>
    <w:pPr>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rFonts w:ascii="Times New Roman" w:hAnsi="Times New Roman"/>
      <w:b/>
      <w:sz w:val="24"/>
    </w:rPr>
  </w:style>
  <w:style w:type="paragraph" w:customStyle="1" w:styleId="Typeacteprincipal">
    <w:name w:val="Type acte principal"/>
    <w:basedOn w:val="Normal"/>
    <w:next w:val="Objetacteprincipal"/>
    <w:pPr>
      <w:spacing w:after="240"/>
      <w:jc w:val="center"/>
    </w:pPr>
    <w:rPr>
      <w:rFonts w:ascii="Times New Roman" w:hAnsi="Times New Roman"/>
      <w:b/>
      <w:sz w:val="24"/>
    </w:rPr>
  </w:style>
  <w:style w:type="paragraph" w:customStyle="1" w:styleId="Objetacteprincipal">
    <w:name w:val="Objet acte principal"/>
    <w:basedOn w:val="Normal"/>
    <w:next w:val="Titrearticle"/>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rFonts w:ascii="Times New Roman" w:hAnsi="Times New Roman"/>
      <w:sz w:val="24"/>
    </w:rPr>
  </w:style>
  <w:style w:type="character" w:styleId="FollowedHyperlink">
    <w:name w:val="FollowedHyperlink"/>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ascii="Times New Roman" w:eastAsia="Times New Roman" w:hAnsi="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textAlignment w:val="center"/>
    </w:pPr>
    <w:rPr>
      <w:rFonts w:ascii="Times New Roman" w:eastAsia="Times New Roman" w:hAnsi="Times New Roman"/>
      <w:b/>
      <w:bCs/>
      <w:sz w:val="24"/>
      <w:szCs w:val="24"/>
    </w:rPr>
  </w:style>
  <w:style w:type="paragraph" w:customStyle="1" w:styleId="xl69">
    <w:name w:val="xl69"/>
    <w:basedOn w:val="Normal"/>
    <w:pPr>
      <w:spacing w:before="100" w:beforeAutospacing="1" w:after="100" w:afterAutospacing="1"/>
    </w:pPr>
    <w:rPr>
      <w:rFonts w:ascii="Times New Roman" w:eastAsia="Times New Roman" w:hAnsi="Times New Roman"/>
      <w:color w:val="000000"/>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2">
    <w:name w:val="xl72"/>
    <w:basedOn w:val="Normal"/>
    <w:pPr>
      <w:pBdr>
        <w:top w:val="single" w:sz="4" w:space="0" w:color="auto"/>
        <w:left w:val="single" w:sz="4" w:space="0" w:color="auto"/>
        <w:right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3">
    <w:name w:val="xl73"/>
    <w:basedOn w:val="Normal"/>
    <w:pPr>
      <w:pBdr>
        <w:top w:val="single" w:sz="4" w:space="0" w:color="auto"/>
        <w:right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pPr>
    <w:rPr>
      <w:rFonts w:ascii="Times New Roman" w:eastAsia="Times New Roman" w:hAnsi="Times New Roman"/>
      <w:color w:val="006100"/>
      <w:sz w:val="24"/>
      <w:szCs w:val="24"/>
    </w:rPr>
  </w:style>
  <w:style w:type="paragraph" w:customStyle="1" w:styleId="xl75">
    <w:name w:val="xl75"/>
    <w:basedOn w:val="Normal"/>
    <w:pPr>
      <w:pBdr>
        <w:top w:val="single" w:sz="4" w:space="0" w:color="auto"/>
        <w:left w:val="single" w:sz="4" w:space="0" w:color="auto"/>
        <w:bottom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6">
    <w:name w:val="xl76"/>
    <w:basedOn w:val="Normal"/>
    <w:pPr>
      <w:pBdr>
        <w:top w:val="single" w:sz="4" w:space="0" w:color="auto"/>
        <w:bottom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7">
    <w:name w:val="xl77"/>
    <w:basedOn w:val="Normal"/>
    <w:pPr>
      <w:pBdr>
        <w:top w:val="single" w:sz="4" w:space="0" w:color="auto"/>
        <w:bottom w:val="single" w:sz="4" w:space="0" w:color="auto"/>
        <w:right w:val="single" w:sz="4" w:space="0" w:color="auto"/>
      </w:pBdr>
      <w:shd w:val="clear" w:color="B4C7E7" w:fill="BDD7EE"/>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8">
    <w:name w:val="xl78"/>
    <w:basedOn w:val="Normal"/>
    <w:pPr>
      <w:spacing w:before="100" w:beforeAutospacing="1" w:after="100" w:afterAutospacing="1"/>
    </w:pPr>
    <w:rPr>
      <w:rFonts w:ascii="Times New Roman" w:eastAsia="Times New Roman" w:hAnsi="Times New Roman"/>
      <w:color w:val="000000"/>
      <w:sz w:val="24"/>
      <w:szCs w:val="24"/>
    </w:rPr>
  </w:style>
  <w:style w:type="paragraph" w:customStyle="1" w:styleId="xl79">
    <w:name w:val="xl79"/>
    <w:basedOn w:val="Normal"/>
    <w:pPr>
      <w:pBdr>
        <w:left w:val="single" w:sz="4" w:space="0" w:color="auto"/>
        <w:bottom w:val="single" w:sz="4" w:space="0" w:color="auto"/>
        <w:right w:val="single" w:sz="4" w:space="0" w:color="auto"/>
      </w:pBdr>
      <w:shd w:val="clear" w:color="CCFFCC" w:fill="C6EFCE"/>
      <w:spacing w:before="100" w:beforeAutospacing="1" w:after="100" w:afterAutospacing="1"/>
      <w:jc w:val="center"/>
    </w:pPr>
    <w:rPr>
      <w:rFonts w:ascii="Times New Roman" w:eastAsia="Times New Roman" w:hAnsi="Times New Roman"/>
      <w:color w:val="006100"/>
      <w:sz w:val="24"/>
      <w:szCs w:val="24"/>
    </w:rPr>
  </w:style>
  <w:style w:type="paragraph" w:customStyle="1" w:styleId="xl80">
    <w:name w:val="xl80"/>
    <w:basedOn w:val="Normal"/>
    <w:pPr>
      <w:pBdr>
        <w:left w:val="single" w:sz="4" w:space="0" w:color="auto"/>
        <w:bottom w:val="single" w:sz="4" w:space="0" w:color="auto"/>
        <w:right w:val="single" w:sz="4" w:space="0" w:color="auto"/>
      </w:pBdr>
      <w:shd w:val="clear" w:color="CCFFCC" w:fill="C6EFCE"/>
      <w:spacing w:before="100" w:beforeAutospacing="1" w:after="100" w:afterAutospacing="1"/>
    </w:pPr>
    <w:rPr>
      <w:rFonts w:ascii="Times New Roman" w:eastAsia="Times New Roman" w:hAnsi="Times New Roman"/>
      <w:color w:val="006100"/>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pPr>
    <w:rPr>
      <w:rFonts w:ascii="Times New Roman" w:eastAsia="Times New Roman" w:hAnsi="Times New Roman"/>
      <w:color w:val="006100"/>
      <w:sz w:val="24"/>
      <w:szCs w:val="24"/>
    </w:rPr>
  </w:style>
  <w:style w:type="paragraph" w:customStyle="1" w:styleId="xl82">
    <w:name w:val="xl82"/>
    <w:basedOn w:val="Normal"/>
    <w:pPr>
      <w:pBdr>
        <w:left w:val="single" w:sz="4" w:space="0" w:color="auto"/>
        <w:bottom w:val="single" w:sz="4" w:space="0" w:color="auto"/>
        <w:right w:val="single" w:sz="4" w:space="0" w:color="auto"/>
      </w:pBdr>
      <w:shd w:val="clear" w:color="CCFFCC" w:fill="C6EFCE"/>
      <w:spacing w:before="100" w:beforeAutospacing="1" w:after="100" w:afterAutospacing="1"/>
      <w:textAlignment w:val="top"/>
    </w:pPr>
    <w:rPr>
      <w:rFonts w:ascii="Times New Roman" w:eastAsia="Times New Roman" w:hAnsi="Times New Roman"/>
      <w:color w:val="006100"/>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jc w:val="center"/>
    </w:pPr>
    <w:rPr>
      <w:rFonts w:ascii="Times New Roman" w:eastAsia="Times New Roman" w:hAnsi="Times New Roman"/>
      <w:color w:val="006100"/>
      <w:sz w:val="24"/>
      <w:szCs w:val="24"/>
    </w:rPr>
  </w:style>
  <w:style w:type="paragraph" w:customStyle="1" w:styleId="xl84">
    <w:name w:val="xl84"/>
    <w:basedOn w:val="Normal"/>
    <w:pPr>
      <w:pBdr>
        <w:top w:val="single" w:sz="4" w:space="0" w:color="auto"/>
        <w:left w:val="single" w:sz="4" w:space="0" w:color="auto"/>
        <w:right w:val="single" w:sz="4" w:space="0" w:color="auto"/>
      </w:pBdr>
      <w:shd w:val="clear" w:color="CCFFCC" w:fill="C6EFCE"/>
      <w:spacing w:before="100" w:beforeAutospacing="1" w:after="100" w:afterAutospacing="1"/>
      <w:textAlignment w:val="top"/>
    </w:pPr>
    <w:rPr>
      <w:rFonts w:ascii="Times New Roman" w:eastAsia="Times New Roman" w:hAnsi="Times New Roman"/>
      <w:color w:val="006100"/>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textAlignment w:val="top"/>
    </w:pPr>
    <w:rPr>
      <w:rFonts w:ascii="Times New Roman" w:eastAsia="Times New Roman" w:hAnsi="Times New Roman"/>
      <w:color w:val="006100"/>
      <w:sz w:val="24"/>
      <w:szCs w:val="24"/>
    </w:rPr>
  </w:style>
  <w:style w:type="paragraph" w:customStyle="1" w:styleId="xl86">
    <w:name w:val="xl86"/>
    <w:basedOn w:val="Normal"/>
    <w:pPr>
      <w:spacing w:before="100" w:beforeAutospacing="1" w:after="100" w:afterAutospacing="1"/>
      <w:jc w:val="center"/>
    </w:pPr>
    <w:rPr>
      <w:rFonts w:ascii="Times New Roman" w:eastAsia="Times New Roman" w:hAnsi="Times New Roman"/>
      <w:color w:val="000000"/>
      <w:sz w:val="24"/>
      <w:szCs w:val="24"/>
    </w:rPr>
  </w:style>
  <w:style w:type="paragraph" w:customStyle="1" w:styleId="xl87">
    <w:name w:val="xl87"/>
    <w:basedOn w:val="Normal"/>
    <w:pPr>
      <w:pBdr>
        <w:top w:val="single" w:sz="4" w:space="0" w:color="auto"/>
        <w:bottom w:val="single" w:sz="4" w:space="0" w:color="auto"/>
        <w:right w:val="single" w:sz="4" w:space="0" w:color="auto"/>
      </w:pBdr>
      <w:shd w:val="clear" w:color="B4C7E7" w:fill="BDD7EE"/>
      <w:spacing w:before="100" w:beforeAutospacing="1" w:after="100" w:afterAutospacing="1"/>
      <w:textAlignment w:val="center"/>
    </w:pPr>
    <w:rPr>
      <w:rFonts w:ascii="Times New Roman" w:eastAsia="Times New Roman" w:hAnsi="Times New Roman"/>
      <w:b/>
      <w:bCs/>
      <w:sz w:val="24"/>
      <w:szCs w:val="24"/>
    </w:rPr>
  </w:style>
  <w:style w:type="paragraph" w:customStyle="1" w:styleId="xl88">
    <w:name w:val="xl88"/>
    <w:basedOn w:val="Normal"/>
    <w:pPr>
      <w:spacing w:before="100" w:beforeAutospacing="1" w:after="100" w:afterAutospacing="1"/>
      <w:jc w:val="center"/>
    </w:pPr>
    <w:rPr>
      <w:rFonts w:ascii="Times New Roman" w:eastAsia="Times New Roman" w:hAnsi="Times New Roman"/>
      <w:color w:val="000000"/>
      <w:sz w:val="24"/>
      <w:szCs w:val="24"/>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style>
  <w:style w:type="character" w:customStyle="1" w:styleId="tabchar">
    <w:name w:val="tabchar"/>
    <w:basedOn w:val="DefaultParagraphFont"/>
  </w:style>
  <w:style w:type="paragraph" w:styleId="NormalWeb">
    <w:name w:val="Normal (Web)"/>
    <w:basedOn w:val="Normal"/>
    <w:uiPriority w:val="99"/>
    <w:semiHidden/>
    <w:unhideWhenUsed/>
    <w:pPr>
      <w:jc w:val="both"/>
    </w:pPr>
    <w:rPr>
      <w:rFonts w:ascii="Times New Roman"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sk-SK"/>
    </w:rPr>
  </w:style>
  <w:style w:type="character" w:customStyle="1" w:styleId="HTMLPreformattedChar">
    <w:name w:val="HTML Preformatted Char"/>
    <w:link w:val="HTMLPreformatted"/>
    <w:uiPriority w:val="99"/>
    <w:semiHidden/>
    <w:rPr>
      <w:rFonts w:ascii="Courier New" w:eastAsia="Times New Roman" w:hAnsi="Courier New" w:cs="Courier New"/>
      <w:sz w:val="20"/>
      <w:szCs w:val="20"/>
      <w:lang w:val="cs-CZ" w:eastAsia="sk-SK"/>
    </w:rPr>
  </w:style>
  <w:style w:type="table" w:styleId="TableGrid">
    <w:name w:val="Table Grid"/>
    <w:aliases w:val="SGS Table Basic 1,CV table"/>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CoverPage">
    <w:name w:val="Footer Cover Page"/>
    <w:basedOn w:val="Normal"/>
    <w:link w:val="FooterCoverPageChar"/>
    <w:pPr>
      <w:keepNext/>
      <w:tabs>
        <w:tab w:val="center" w:pos="4535"/>
        <w:tab w:val="right" w:pos="9071"/>
        <w:tab w:val="right" w:pos="9921"/>
      </w:tabs>
      <w:spacing w:before="360" w:after="0"/>
      <w:ind w:left="-850" w:right="-850"/>
      <w:outlineLvl w:val="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keepNext/>
      <w:tabs>
        <w:tab w:val="center" w:pos="4535"/>
        <w:tab w:val="right" w:pos="9071"/>
      </w:tabs>
      <w:spacing w:before="0"/>
      <w:jc w:val="both"/>
      <w:outlineLvl w:val="0"/>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5Char">
    <w:name w:val="Heading 5 Char"/>
    <w:link w:val="Heading5"/>
    <w:rPr>
      <w:rFonts w:ascii="Times New Roman" w:eastAsia="Times New Roman" w:hAnsi="Times New Roman" w:cs="Times New Roman"/>
      <w:b/>
      <w:lang w:eastAsia="en-GB"/>
    </w:rPr>
  </w:style>
  <w:style w:type="character" w:customStyle="1" w:styleId="Heading6Char">
    <w:name w:val="Heading 6 Char"/>
    <w:link w:val="Heading6"/>
    <w:rPr>
      <w:rFonts w:ascii="Times New Roman" w:eastAsia="Times New Roman" w:hAnsi="Times New Roman" w:cs="Times New Roman"/>
      <w:b/>
      <w:sz w:val="20"/>
      <w:szCs w:val="20"/>
      <w:lang w:eastAsia="en-GB"/>
    </w:rPr>
  </w:style>
  <w:style w:type="paragraph" w:styleId="Title">
    <w:name w:val="Title"/>
    <w:basedOn w:val="Normal"/>
    <w:next w:val="Normal"/>
    <w:link w:val="TitleChar"/>
    <w:pPr>
      <w:keepNext/>
      <w:keepLines/>
      <w:spacing w:before="480"/>
      <w:jc w:val="both"/>
    </w:pPr>
    <w:rPr>
      <w:rFonts w:ascii="Times New Roman" w:eastAsia="Times New Roman" w:hAnsi="Times New Roman"/>
      <w:b/>
      <w:sz w:val="72"/>
      <w:szCs w:val="72"/>
      <w:lang w:eastAsia="en-GB"/>
    </w:rPr>
  </w:style>
  <w:style w:type="character" w:customStyle="1" w:styleId="TitleChar">
    <w:name w:val="Title Char"/>
    <w:link w:val="Title"/>
    <w:rPr>
      <w:rFonts w:ascii="Times New Roman" w:eastAsia="Times New Roman" w:hAnsi="Times New Roman" w:cs="Times New Roman"/>
      <w:b/>
      <w:sz w:val="72"/>
      <w:szCs w:val="72"/>
      <w:lang w:eastAsia="en-GB"/>
    </w:rPr>
  </w:style>
  <w:style w:type="paragraph" w:styleId="Subtitle">
    <w:name w:val="Subtitle"/>
    <w:basedOn w:val="Normal"/>
    <w:next w:val="Normal"/>
    <w:link w:val="SubtitleChar"/>
    <w:pPr>
      <w:keepNext/>
      <w:keepLines/>
      <w:spacing w:before="360" w:after="80"/>
      <w:jc w:val="both"/>
    </w:pPr>
    <w:rPr>
      <w:rFonts w:ascii="Georgia" w:eastAsia="Georgia" w:hAnsi="Georgia" w:cs="Georgia"/>
      <w:i/>
      <w:color w:val="666666"/>
      <w:sz w:val="48"/>
      <w:szCs w:val="48"/>
      <w:lang w:eastAsia="en-GB"/>
    </w:rPr>
  </w:style>
  <w:style w:type="character" w:customStyle="1" w:styleId="SubtitleChar">
    <w:name w:val="Subtitle Char"/>
    <w:link w:val="Subtitle"/>
    <w:rPr>
      <w:rFonts w:ascii="Georgia" w:eastAsia="Georgia" w:hAnsi="Georgia" w:cs="Georgia"/>
      <w:i/>
      <w:color w:val="666666"/>
      <w:sz w:val="48"/>
      <w:szCs w:val="48"/>
      <w:lang w:eastAsia="en-GB"/>
    </w:rPr>
  </w:style>
  <w:style w:type="paragraph" w:customStyle="1" w:styleId="K-TextInfo">
    <w:name w:val="K-Text_Info"/>
    <w:basedOn w:val="Normal"/>
    <w:link w:val="K-TextInfoChar"/>
    <w:qFormat/>
    <w:pPr>
      <w:autoSpaceDE w:val="0"/>
      <w:autoSpaceDN w:val="0"/>
      <w:adjustRightInd w:val="0"/>
      <w:jc w:val="both"/>
    </w:pPr>
    <w:rPr>
      <w:rFonts w:ascii="Times New Roman" w:hAnsi="Times New Roman"/>
      <w:i/>
      <w:iCs/>
      <w:color w:val="548DD4"/>
      <w:sz w:val="23"/>
      <w:szCs w:val="23"/>
    </w:rPr>
  </w:style>
  <w:style w:type="character" w:customStyle="1" w:styleId="K-TextInfoChar">
    <w:name w:val="K-Text_Info Char"/>
    <w:link w:val="K-TextInfo"/>
    <w:rPr>
      <w:rFonts w:ascii="Times New Roman" w:hAnsi="Times New Roman" w:cs="Times New Roman"/>
      <w:i/>
      <w:iCs/>
      <w:color w:val="548DD4"/>
      <w:sz w:val="23"/>
      <w:szCs w:val="23"/>
      <w:lang w:val="cs-CZ"/>
    </w:rPr>
  </w:style>
  <w:style w:type="table" w:customStyle="1" w:styleId="1">
    <w:name w:val="1"/>
    <w:basedOn w:val="TableNormal"/>
    <w:pPr>
      <w:spacing w:before="120"/>
      <w:jc w:val="both"/>
    </w:pPr>
    <w:rPr>
      <w:rFonts w:ascii="Times New Roman" w:eastAsia="Times New Roman" w:hAnsi="Times New Roman"/>
      <w:sz w:val="24"/>
      <w:szCs w:val="24"/>
    </w:rPr>
    <w:tblPr>
      <w:tblStyleRowBandSize w:val="1"/>
      <w:tblStyleColBandSize w:val="1"/>
      <w:tblCellMar>
        <w:left w:w="115" w:type="dxa"/>
        <w:right w:w="115" w:type="dxa"/>
      </w:tblCellMar>
    </w:tblPr>
  </w:style>
  <w:style w:type="character" w:styleId="Emphasis">
    <w:name w:val="Emphasis"/>
    <w:uiPriority w:val="20"/>
    <w:qFormat/>
    <w:rPr>
      <w:i/>
      <w:iCs/>
    </w:rPr>
  </w:style>
  <w:style w:type="character" w:customStyle="1" w:styleId="scxw43392095">
    <w:name w:val="scxw43392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5323">
      <w:bodyDiv w:val="1"/>
      <w:marLeft w:val="0"/>
      <w:marRight w:val="0"/>
      <w:marTop w:val="0"/>
      <w:marBottom w:val="0"/>
      <w:divBdr>
        <w:top w:val="none" w:sz="0" w:space="0" w:color="auto"/>
        <w:left w:val="none" w:sz="0" w:space="0" w:color="auto"/>
        <w:bottom w:val="none" w:sz="0" w:space="0" w:color="auto"/>
        <w:right w:val="none" w:sz="0" w:space="0" w:color="auto"/>
      </w:divBdr>
    </w:div>
    <w:div w:id="69010890">
      <w:bodyDiv w:val="1"/>
      <w:marLeft w:val="0"/>
      <w:marRight w:val="0"/>
      <w:marTop w:val="0"/>
      <w:marBottom w:val="0"/>
      <w:divBdr>
        <w:top w:val="none" w:sz="0" w:space="0" w:color="auto"/>
        <w:left w:val="none" w:sz="0" w:space="0" w:color="auto"/>
        <w:bottom w:val="none" w:sz="0" w:space="0" w:color="auto"/>
        <w:right w:val="none" w:sz="0" w:space="0" w:color="auto"/>
      </w:divBdr>
    </w:div>
    <w:div w:id="121191667">
      <w:bodyDiv w:val="1"/>
      <w:marLeft w:val="0"/>
      <w:marRight w:val="0"/>
      <w:marTop w:val="0"/>
      <w:marBottom w:val="0"/>
      <w:divBdr>
        <w:top w:val="none" w:sz="0" w:space="0" w:color="auto"/>
        <w:left w:val="none" w:sz="0" w:space="0" w:color="auto"/>
        <w:bottom w:val="none" w:sz="0" w:space="0" w:color="auto"/>
        <w:right w:val="none" w:sz="0" w:space="0" w:color="auto"/>
      </w:divBdr>
    </w:div>
    <w:div w:id="125973534">
      <w:bodyDiv w:val="1"/>
      <w:marLeft w:val="0"/>
      <w:marRight w:val="0"/>
      <w:marTop w:val="0"/>
      <w:marBottom w:val="0"/>
      <w:divBdr>
        <w:top w:val="none" w:sz="0" w:space="0" w:color="auto"/>
        <w:left w:val="none" w:sz="0" w:space="0" w:color="auto"/>
        <w:bottom w:val="none" w:sz="0" w:space="0" w:color="auto"/>
        <w:right w:val="none" w:sz="0" w:space="0" w:color="auto"/>
      </w:divBdr>
    </w:div>
    <w:div w:id="165630844">
      <w:bodyDiv w:val="1"/>
      <w:marLeft w:val="0"/>
      <w:marRight w:val="0"/>
      <w:marTop w:val="0"/>
      <w:marBottom w:val="0"/>
      <w:divBdr>
        <w:top w:val="none" w:sz="0" w:space="0" w:color="auto"/>
        <w:left w:val="none" w:sz="0" w:space="0" w:color="auto"/>
        <w:bottom w:val="none" w:sz="0" w:space="0" w:color="auto"/>
        <w:right w:val="none" w:sz="0" w:space="0" w:color="auto"/>
      </w:divBdr>
    </w:div>
    <w:div w:id="197357458">
      <w:bodyDiv w:val="1"/>
      <w:marLeft w:val="0"/>
      <w:marRight w:val="0"/>
      <w:marTop w:val="0"/>
      <w:marBottom w:val="0"/>
      <w:divBdr>
        <w:top w:val="none" w:sz="0" w:space="0" w:color="auto"/>
        <w:left w:val="none" w:sz="0" w:space="0" w:color="auto"/>
        <w:bottom w:val="none" w:sz="0" w:space="0" w:color="auto"/>
        <w:right w:val="none" w:sz="0" w:space="0" w:color="auto"/>
      </w:divBdr>
    </w:div>
    <w:div w:id="216360498">
      <w:bodyDiv w:val="1"/>
      <w:marLeft w:val="0"/>
      <w:marRight w:val="0"/>
      <w:marTop w:val="0"/>
      <w:marBottom w:val="0"/>
      <w:divBdr>
        <w:top w:val="none" w:sz="0" w:space="0" w:color="auto"/>
        <w:left w:val="none" w:sz="0" w:space="0" w:color="auto"/>
        <w:bottom w:val="none" w:sz="0" w:space="0" w:color="auto"/>
        <w:right w:val="none" w:sz="0" w:space="0" w:color="auto"/>
      </w:divBdr>
    </w:div>
    <w:div w:id="254215217">
      <w:bodyDiv w:val="1"/>
      <w:marLeft w:val="0"/>
      <w:marRight w:val="0"/>
      <w:marTop w:val="0"/>
      <w:marBottom w:val="0"/>
      <w:divBdr>
        <w:top w:val="none" w:sz="0" w:space="0" w:color="auto"/>
        <w:left w:val="none" w:sz="0" w:space="0" w:color="auto"/>
        <w:bottom w:val="none" w:sz="0" w:space="0" w:color="auto"/>
        <w:right w:val="none" w:sz="0" w:space="0" w:color="auto"/>
      </w:divBdr>
    </w:div>
    <w:div w:id="268439568">
      <w:bodyDiv w:val="1"/>
      <w:marLeft w:val="0"/>
      <w:marRight w:val="0"/>
      <w:marTop w:val="0"/>
      <w:marBottom w:val="0"/>
      <w:divBdr>
        <w:top w:val="none" w:sz="0" w:space="0" w:color="auto"/>
        <w:left w:val="none" w:sz="0" w:space="0" w:color="auto"/>
        <w:bottom w:val="none" w:sz="0" w:space="0" w:color="auto"/>
        <w:right w:val="none" w:sz="0" w:space="0" w:color="auto"/>
      </w:divBdr>
    </w:div>
    <w:div w:id="318970434">
      <w:bodyDiv w:val="1"/>
      <w:marLeft w:val="0"/>
      <w:marRight w:val="0"/>
      <w:marTop w:val="0"/>
      <w:marBottom w:val="0"/>
      <w:divBdr>
        <w:top w:val="none" w:sz="0" w:space="0" w:color="auto"/>
        <w:left w:val="none" w:sz="0" w:space="0" w:color="auto"/>
        <w:bottom w:val="none" w:sz="0" w:space="0" w:color="auto"/>
        <w:right w:val="none" w:sz="0" w:space="0" w:color="auto"/>
      </w:divBdr>
    </w:div>
    <w:div w:id="359356110">
      <w:bodyDiv w:val="1"/>
      <w:marLeft w:val="0"/>
      <w:marRight w:val="0"/>
      <w:marTop w:val="0"/>
      <w:marBottom w:val="0"/>
      <w:divBdr>
        <w:top w:val="none" w:sz="0" w:space="0" w:color="auto"/>
        <w:left w:val="none" w:sz="0" w:space="0" w:color="auto"/>
        <w:bottom w:val="none" w:sz="0" w:space="0" w:color="auto"/>
        <w:right w:val="none" w:sz="0" w:space="0" w:color="auto"/>
      </w:divBdr>
    </w:div>
    <w:div w:id="379021049">
      <w:bodyDiv w:val="1"/>
      <w:marLeft w:val="0"/>
      <w:marRight w:val="0"/>
      <w:marTop w:val="0"/>
      <w:marBottom w:val="0"/>
      <w:divBdr>
        <w:top w:val="none" w:sz="0" w:space="0" w:color="auto"/>
        <w:left w:val="none" w:sz="0" w:space="0" w:color="auto"/>
        <w:bottom w:val="none" w:sz="0" w:space="0" w:color="auto"/>
        <w:right w:val="none" w:sz="0" w:space="0" w:color="auto"/>
      </w:divBdr>
    </w:div>
    <w:div w:id="384061406">
      <w:bodyDiv w:val="1"/>
      <w:marLeft w:val="0"/>
      <w:marRight w:val="0"/>
      <w:marTop w:val="0"/>
      <w:marBottom w:val="0"/>
      <w:divBdr>
        <w:top w:val="none" w:sz="0" w:space="0" w:color="auto"/>
        <w:left w:val="none" w:sz="0" w:space="0" w:color="auto"/>
        <w:bottom w:val="none" w:sz="0" w:space="0" w:color="auto"/>
        <w:right w:val="none" w:sz="0" w:space="0" w:color="auto"/>
      </w:divBdr>
    </w:div>
    <w:div w:id="434322527">
      <w:bodyDiv w:val="1"/>
      <w:marLeft w:val="0"/>
      <w:marRight w:val="0"/>
      <w:marTop w:val="0"/>
      <w:marBottom w:val="0"/>
      <w:divBdr>
        <w:top w:val="none" w:sz="0" w:space="0" w:color="auto"/>
        <w:left w:val="none" w:sz="0" w:space="0" w:color="auto"/>
        <w:bottom w:val="none" w:sz="0" w:space="0" w:color="auto"/>
        <w:right w:val="none" w:sz="0" w:space="0" w:color="auto"/>
      </w:divBdr>
    </w:div>
    <w:div w:id="628633673">
      <w:bodyDiv w:val="1"/>
      <w:marLeft w:val="0"/>
      <w:marRight w:val="0"/>
      <w:marTop w:val="0"/>
      <w:marBottom w:val="0"/>
      <w:divBdr>
        <w:top w:val="none" w:sz="0" w:space="0" w:color="auto"/>
        <w:left w:val="none" w:sz="0" w:space="0" w:color="auto"/>
        <w:bottom w:val="none" w:sz="0" w:space="0" w:color="auto"/>
        <w:right w:val="none" w:sz="0" w:space="0" w:color="auto"/>
      </w:divBdr>
    </w:div>
    <w:div w:id="662122359">
      <w:bodyDiv w:val="1"/>
      <w:marLeft w:val="0"/>
      <w:marRight w:val="0"/>
      <w:marTop w:val="0"/>
      <w:marBottom w:val="0"/>
      <w:divBdr>
        <w:top w:val="none" w:sz="0" w:space="0" w:color="auto"/>
        <w:left w:val="none" w:sz="0" w:space="0" w:color="auto"/>
        <w:bottom w:val="none" w:sz="0" w:space="0" w:color="auto"/>
        <w:right w:val="none" w:sz="0" w:space="0" w:color="auto"/>
      </w:divBdr>
    </w:div>
    <w:div w:id="703748204">
      <w:bodyDiv w:val="1"/>
      <w:marLeft w:val="0"/>
      <w:marRight w:val="0"/>
      <w:marTop w:val="0"/>
      <w:marBottom w:val="0"/>
      <w:divBdr>
        <w:top w:val="none" w:sz="0" w:space="0" w:color="auto"/>
        <w:left w:val="none" w:sz="0" w:space="0" w:color="auto"/>
        <w:bottom w:val="none" w:sz="0" w:space="0" w:color="auto"/>
        <w:right w:val="none" w:sz="0" w:space="0" w:color="auto"/>
      </w:divBdr>
    </w:div>
    <w:div w:id="704604168">
      <w:bodyDiv w:val="1"/>
      <w:marLeft w:val="0"/>
      <w:marRight w:val="0"/>
      <w:marTop w:val="0"/>
      <w:marBottom w:val="0"/>
      <w:divBdr>
        <w:top w:val="none" w:sz="0" w:space="0" w:color="auto"/>
        <w:left w:val="none" w:sz="0" w:space="0" w:color="auto"/>
        <w:bottom w:val="none" w:sz="0" w:space="0" w:color="auto"/>
        <w:right w:val="none" w:sz="0" w:space="0" w:color="auto"/>
      </w:divBdr>
    </w:div>
    <w:div w:id="721447043">
      <w:bodyDiv w:val="1"/>
      <w:marLeft w:val="0"/>
      <w:marRight w:val="0"/>
      <w:marTop w:val="0"/>
      <w:marBottom w:val="0"/>
      <w:divBdr>
        <w:top w:val="none" w:sz="0" w:space="0" w:color="auto"/>
        <w:left w:val="none" w:sz="0" w:space="0" w:color="auto"/>
        <w:bottom w:val="none" w:sz="0" w:space="0" w:color="auto"/>
        <w:right w:val="none" w:sz="0" w:space="0" w:color="auto"/>
      </w:divBdr>
    </w:div>
    <w:div w:id="746343597">
      <w:bodyDiv w:val="1"/>
      <w:marLeft w:val="0"/>
      <w:marRight w:val="0"/>
      <w:marTop w:val="0"/>
      <w:marBottom w:val="0"/>
      <w:divBdr>
        <w:top w:val="none" w:sz="0" w:space="0" w:color="auto"/>
        <w:left w:val="none" w:sz="0" w:space="0" w:color="auto"/>
        <w:bottom w:val="none" w:sz="0" w:space="0" w:color="auto"/>
        <w:right w:val="none" w:sz="0" w:space="0" w:color="auto"/>
      </w:divBdr>
    </w:div>
    <w:div w:id="752628983">
      <w:bodyDiv w:val="1"/>
      <w:marLeft w:val="0"/>
      <w:marRight w:val="0"/>
      <w:marTop w:val="0"/>
      <w:marBottom w:val="0"/>
      <w:divBdr>
        <w:top w:val="none" w:sz="0" w:space="0" w:color="auto"/>
        <w:left w:val="none" w:sz="0" w:space="0" w:color="auto"/>
        <w:bottom w:val="none" w:sz="0" w:space="0" w:color="auto"/>
        <w:right w:val="none" w:sz="0" w:space="0" w:color="auto"/>
      </w:divBdr>
    </w:div>
    <w:div w:id="752778673">
      <w:bodyDiv w:val="1"/>
      <w:marLeft w:val="0"/>
      <w:marRight w:val="0"/>
      <w:marTop w:val="0"/>
      <w:marBottom w:val="0"/>
      <w:divBdr>
        <w:top w:val="none" w:sz="0" w:space="0" w:color="auto"/>
        <w:left w:val="none" w:sz="0" w:space="0" w:color="auto"/>
        <w:bottom w:val="none" w:sz="0" w:space="0" w:color="auto"/>
        <w:right w:val="none" w:sz="0" w:space="0" w:color="auto"/>
      </w:divBdr>
    </w:div>
    <w:div w:id="795564367">
      <w:bodyDiv w:val="1"/>
      <w:marLeft w:val="0"/>
      <w:marRight w:val="0"/>
      <w:marTop w:val="0"/>
      <w:marBottom w:val="0"/>
      <w:divBdr>
        <w:top w:val="none" w:sz="0" w:space="0" w:color="auto"/>
        <w:left w:val="none" w:sz="0" w:space="0" w:color="auto"/>
        <w:bottom w:val="none" w:sz="0" w:space="0" w:color="auto"/>
        <w:right w:val="none" w:sz="0" w:space="0" w:color="auto"/>
      </w:divBdr>
    </w:div>
    <w:div w:id="807168598">
      <w:bodyDiv w:val="1"/>
      <w:marLeft w:val="0"/>
      <w:marRight w:val="0"/>
      <w:marTop w:val="0"/>
      <w:marBottom w:val="0"/>
      <w:divBdr>
        <w:top w:val="none" w:sz="0" w:space="0" w:color="auto"/>
        <w:left w:val="none" w:sz="0" w:space="0" w:color="auto"/>
        <w:bottom w:val="none" w:sz="0" w:space="0" w:color="auto"/>
        <w:right w:val="none" w:sz="0" w:space="0" w:color="auto"/>
      </w:divBdr>
    </w:div>
    <w:div w:id="850292395">
      <w:bodyDiv w:val="1"/>
      <w:marLeft w:val="0"/>
      <w:marRight w:val="0"/>
      <w:marTop w:val="0"/>
      <w:marBottom w:val="0"/>
      <w:divBdr>
        <w:top w:val="none" w:sz="0" w:space="0" w:color="auto"/>
        <w:left w:val="none" w:sz="0" w:space="0" w:color="auto"/>
        <w:bottom w:val="none" w:sz="0" w:space="0" w:color="auto"/>
        <w:right w:val="none" w:sz="0" w:space="0" w:color="auto"/>
      </w:divBdr>
    </w:div>
    <w:div w:id="861237508">
      <w:bodyDiv w:val="1"/>
      <w:marLeft w:val="0"/>
      <w:marRight w:val="0"/>
      <w:marTop w:val="0"/>
      <w:marBottom w:val="0"/>
      <w:divBdr>
        <w:top w:val="none" w:sz="0" w:space="0" w:color="auto"/>
        <w:left w:val="none" w:sz="0" w:space="0" w:color="auto"/>
        <w:bottom w:val="none" w:sz="0" w:space="0" w:color="auto"/>
        <w:right w:val="none" w:sz="0" w:space="0" w:color="auto"/>
      </w:divBdr>
    </w:div>
    <w:div w:id="909072133">
      <w:bodyDiv w:val="1"/>
      <w:marLeft w:val="0"/>
      <w:marRight w:val="0"/>
      <w:marTop w:val="0"/>
      <w:marBottom w:val="0"/>
      <w:divBdr>
        <w:top w:val="none" w:sz="0" w:space="0" w:color="auto"/>
        <w:left w:val="none" w:sz="0" w:space="0" w:color="auto"/>
        <w:bottom w:val="none" w:sz="0" w:space="0" w:color="auto"/>
        <w:right w:val="none" w:sz="0" w:space="0" w:color="auto"/>
      </w:divBdr>
    </w:div>
    <w:div w:id="944580169">
      <w:bodyDiv w:val="1"/>
      <w:marLeft w:val="0"/>
      <w:marRight w:val="0"/>
      <w:marTop w:val="0"/>
      <w:marBottom w:val="0"/>
      <w:divBdr>
        <w:top w:val="none" w:sz="0" w:space="0" w:color="auto"/>
        <w:left w:val="none" w:sz="0" w:space="0" w:color="auto"/>
        <w:bottom w:val="none" w:sz="0" w:space="0" w:color="auto"/>
        <w:right w:val="none" w:sz="0" w:space="0" w:color="auto"/>
      </w:divBdr>
    </w:div>
    <w:div w:id="963578348">
      <w:bodyDiv w:val="1"/>
      <w:marLeft w:val="0"/>
      <w:marRight w:val="0"/>
      <w:marTop w:val="0"/>
      <w:marBottom w:val="0"/>
      <w:divBdr>
        <w:top w:val="none" w:sz="0" w:space="0" w:color="auto"/>
        <w:left w:val="none" w:sz="0" w:space="0" w:color="auto"/>
        <w:bottom w:val="none" w:sz="0" w:space="0" w:color="auto"/>
        <w:right w:val="none" w:sz="0" w:space="0" w:color="auto"/>
      </w:divBdr>
    </w:div>
    <w:div w:id="1230531434">
      <w:bodyDiv w:val="1"/>
      <w:marLeft w:val="0"/>
      <w:marRight w:val="0"/>
      <w:marTop w:val="0"/>
      <w:marBottom w:val="0"/>
      <w:divBdr>
        <w:top w:val="none" w:sz="0" w:space="0" w:color="auto"/>
        <w:left w:val="none" w:sz="0" w:space="0" w:color="auto"/>
        <w:bottom w:val="none" w:sz="0" w:space="0" w:color="auto"/>
        <w:right w:val="none" w:sz="0" w:space="0" w:color="auto"/>
      </w:divBdr>
    </w:div>
    <w:div w:id="1294939796">
      <w:bodyDiv w:val="1"/>
      <w:marLeft w:val="0"/>
      <w:marRight w:val="0"/>
      <w:marTop w:val="0"/>
      <w:marBottom w:val="0"/>
      <w:divBdr>
        <w:top w:val="none" w:sz="0" w:space="0" w:color="auto"/>
        <w:left w:val="none" w:sz="0" w:space="0" w:color="auto"/>
        <w:bottom w:val="none" w:sz="0" w:space="0" w:color="auto"/>
        <w:right w:val="none" w:sz="0" w:space="0" w:color="auto"/>
      </w:divBdr>
    </w:div>
    <w:div w:id="1377924955">
      <w:bodyDiv w:val="1"/>
      <w:marLeft w:val="0"/>
      <w:marRight w:val="0"/>
      <w:marTop w:val="0"/>
      <w:marBottom w:val="0"/>
      <w:divBdr>
        <w:top w:val="none" w:sz="0" w:space="0" w:color="auto"/>
        <w:left w:val="none" w:sz="0" w:space="0" w:color="auto"/>
        <w:bottom w:val="none" w:sz="0" w:space="0" w:color="auto"/>
        <w:right w:val="none" w:sz="0" w:space="0" w:color="auto"/>
      </w:divBdr>
    </w:div>
    <w:div w:id="1422221109">
      <w:bodyDiv w:val="1"/>
      <w:marLeft w:val="0"/>
      <w:marRight w:val="0"/>
      <w:marTop w:val="0"/>
      <w:marBottom w:val="0"/>
      <w:divBdr>
        <w:top w:val="none" w:sz="0" w:space="0" w:color="auto"/>
        <w:left w:val="none" w:sz="0" w:space="0" w:color="auto"/>
        <w:bottom w:val="none" w:sz="0" w:space="0" w:color="auto"/>
        <w:right w:val="none" w:sz="0" w:space="0" w:color="auto"/>
      </w:divBdr>
    </w:div>
    <w:div w:id="1426147381">
      <w:bodyDiv w:val="1"/>
      <w:marLeft w:val="0"/>
      <w:marRight w:val="0"/>
      <w:marTop w:val="0"/>
      <w:marBottom w:val="0"/>
      <w:divBdr>
        <w:top w:val="none" w:sz="0" w:space="0" w:color="auto"/>
        <w:left w:val="none" w:sz="0" w:space="0" w:color="auto"/>
        <w:bottom w:val="none" w:sz="0" w:space="0" w:color="auto"/>
        <w:right w:val="none" w:sz="0" w:space="0" w:color="auto"/>
      </w:divBdr>
    </w:div>
    <w:div w:id="1458721977">
      <w:bodyDiv w:val="1"/>
      <w:marLeft w:val="0"/>
      <w:marRight w:val="0"/>
      <w:marTop w:val="0"/>
      <w:marBottom w:val="0"/>
      <w:divBdr>
        <w:top w:val="none" w:sz="0" w:space="0" w:color="auto"/>
        <w:left w:val="none" w:sz="0" w:space="0" w:color="auto"/>
        <w:bottom w:val="none" w:sz="0" w:space="0" w:color="auto"/>
        <w:right w:val="none" w:sz="0" w:space="0" w:color="auto"/>
      </w:divBdr>
    </w:div>
    <w:div w:id="1467049150">
      <w:bodyDiv w:val="1"/>
      <w:marLeft w:val="0"/>
      <w:marRight w:val="0"/>
      <w:marTop w:val="0"/>
      <w:marBottom w:val="0"/>
      <w:divBdr>
        <w:top w:val="none" w:sz="0" w:space="0" w:color="auto"/>
        <w:left w:val="none" w:sz="0" w:space="0" w:color="auto"/>
        <w:bottom w:val="none" w:sz="0" w:space="0" w:color="auto"/>
        <w:right w:val="none" w:sz="0" w:space="0" w:color="auto"/>
      </w:divBdr>
    </w:div>
    <w:div w:id="1474327532">
      <w:bodyDiv w:val="1"/>
      <w:marLeft w:val="0"/>
      <w:marRight w:val="0"/>
      <w:marTop w:val="0"/>
      <w:marBottom w:val="0"/>
      <w:divBdr>
        <w:top w:val="none" w:sz="0" w:space="0" w:color="auto"/>
        <w:left w:val="none" w:sz="0" w:space="0" w:color="auto"/>
        <w:bottom w:val="none" w:sz="0" w:space="0" w:color="auto"/>
        <w:right w:val="none" w:sz="0" w:space="0" w:color="auto"/>
      </w:divBdr>
    </w:div>
    <w:div w:id="1478567465">
      <w:bodyDiv w:val="1"/>
      <w:marLeft w:val="0"/>
      <w:marRight w:val="0"/>
      <w:marTop w:val="0"/>
      <w:marBottom w:val="0"/>
      <w:divBdr>
        <w:top w:val="none" w:sz="0" w:space="0" w:color="auto"/>
        <w:left w:val="none" w:sz="0" w:space="0" w:color="auto"/>
        <w:bottom w:val="none" w:sz="0" w:space="0" w:color="auto"/>
        <w:right w:val="none" w:sz="0" w:space="0" w:color="auto"/>
      </w:divBdr>
      <w:divsChild>
        <w:div w:id="1069112891">
          <w:marLeft w:val="0"/>
          <w:marRight w:val="0"/>
          <w:marTop w:val="0"/>
          <w:marBottom w:val="0"/>
          <w:divBdr>
            <w:top w:val="none" w:sz="0" w:space="0" w:color="auto"/>
            <w:left w:val="none" w:sz="0" w:space="0" w:color="auto"/>
            <w:bottom w:val="none" w:sz="0" w:space="0" w:color="auto"/>
            <w:right w:val="none" w:sz="0" w:space="0" w:color="auto"/>
          </w:divBdr>
          <w:divsChild>
            <w:div w:id="1625188244">
              <w:marLeft w:val="0"/>
              <w:marRight w:val="0"/>
              <w:marTop w:val="0"/>
              <w:marBottom w:val="0"/>
              <w:divBdr>
                <w:top w:val="none" w:sz="0" w:space="0" w:color="auto"/>
                <w:left w:val="none" w:sz="0" w:space="0" w:color="auto"/>
                <w:bottom w:val="none" w:sz="0" w:space="0" w:color="auto"/>
                <w:right w:val="none" w:sz="0" w:space="0" w:color="auto"/>
              </w:divBdr>
            </w:div>
          </w:divsChild>
        </w:div>
        <w:div w:id="851257822">
          <w:marLeft w:val="0"/>
          <w:marRight w:val="0"/>
          <w:marTop w:val="0"/>
          <w:marBottom w:val="0"/>
          <w:divBdr>
            <w:top w:val="none" w:sz="0" w:space="0" w:color="auto"/>
            <w:left w:val="none" w:sz="0" w:space="0" w:color="auto"/>
            <w:bottom w:val="none" w:sz="0" w:space="0" w:color="auto"/>
            <w:right w:val="none" w:sz="0" w:space="0" w:color="auto"/>
          </w:divBdr>
          <w:divsChild>
            <w:div w:id="266432701">
              <w:marLeft w:val="0"/>
              <w:marRight w:val="0"/>
              <w:marTop w:val="0"/>
              <w:marBottom w:val="0"/>
              <w:divBdr>
                <w:top w:val="none" w:sz="0" w:space="0" w:color="auto"/>
                <w:left w:val="none" w:sz="0" w:space="0" w:color="auto"/>
                <w:bottom w:val="none" w:sz="0" w:space="0" w:color="auto"/>
                <w:right w:val="none" w:sz="0" w:space="0" w:color="auto"/>
              </w:divBdr>
            </w:div>
          </w:divsChild>
        </w:div>
        <w:div w:id="1753088062">
          <w:marLeft w:val="0"/>
          <w:marRight w:val="0"/>
          <w:marTop w:val="0"/>
          <w:marBottom w:val="0"/>
          <w:divBdr>
            <w:top w:val="none" w:sz="0" w:space="0" w:color="auto"/>
            <w:left w:val="none" w:sz="0" w:space="0" w:color="auto"/>
            <w:bottom w:val="none" w:sz="0" w:space="0" w:color="auto"/>
            <w:right w:val="none" w:sz="0" w:space="0" w:color="auto"/>
          </w:divBdr>
          <w:divsChild>
            <w:div w:id="1161235730">
              <w:marLeft w:val="0"/>
              <w:marRight w:val="0"/>
              <w:marTop w:val="0"/>
              <w:marBottom w:val="0"/>
              <w:divBdr>
                <w:top w:val="none" w:sz="0" w:space="0" w:color="auto"/>
                <w:left w:val="none" w:sz="0" w:space="0" w:color="auto"/>
                <w:bottom w:val="none" w:sz="0" w:space="0" w:color="auto"/>
                <w:right w:val="none" w:sz="0" w:space="0" w:color="auto"/>
              </w:divBdr>
            </w:div>
            <w:div w:id="1987707146">
              <w:marLeft w:val="0"/>
              <w:marRight w:val="0"/>
              <w:marTop w:val="0"/>
              <w:marBottom w:val="0"/>
              <w:divBdr>
                <w:top w:val="none" w:sz="0" w:space="0" w:color="auto"/>
                <w:left w:val="none" w:sz="0" w:space="0" w:color="auto"/>
                <w:bottom w:val="none" w:sz="0" w:space="0" w:color="auto"/>
                <w:right w:val="none" w:sz="0" w:space="0" w:color="auto"/>
              </w:divBdr>
            </w:div>
          </w:divsChild>
        </w:div>
        <w:div w:id="1525096099">
          <w:marLeft w:val="0"/>
          <w:marRight w:val="0"/>
          <w:marTop w:val="0"/>
          <w:marBottom w:val="0"/>
          <w:divBdr>
            <w:top w:val="none" w:sz="0" w:space="0" w:color="auto"/>
            <w:left w:val="none" w:sz="0" w:space="0" w:color="auto"/>
            <w:bottom w:val="none" w:sz="0" w:space="0" w:color="auto"/>
            <w:right w:val="none" w:sz="0" w:space="0" w:color="auto"/>
          </w:divBdr>
          <w:divsChild>
            <w:div w:id="1115490781">
              <w:marLeft w:val="0"/>
              <w:marRight w:val="0"/>
              <w:marTop w:val="0"/>
              <w:marBottom w:val="0"/>
              <w:divBdr>
                <w:top w:val="none" w:sz="0" w:space="0" w:color="auto"/>
                <w:left w:val="none" w:sz="0" w:space="0" w:color="auto"/>
                <w:bottom w:val="none" w:sz="0" w:space="0" w:color="auto"/>
                <w:right w:val="none" w:sz="0" w:space="0" w:color="auto"/>
              </w:divBdr>
            </w:div>
            <w:div w:id="1666006513">
              <w:marLeft w:val="0"/>
              <w:marRight w:val="0"/>
              <w:marTop w:val="0"/>
              <w:marBottom w:val="0"/>
              <w:divBdr>
                <w:top w:val="none" w:sz="0" w:space="0" w:color="auto"/>
                <w:left w:val="none" w:sz="0" w:space="0" w:color="auto"/>
                <w:bottom w:val="none" w:sz="0" w:space="0" w:color="auto"/>
                <w:right w:val="none" w:sz="0" w:space="0" w:color="auto"/>
              </w:divBdr>
            </w:div>
          </w:divsChild>
        </w:div>
        <w:div w:id="1955747572">
          <w:marLeft w:val="0"/>
          <w:marRight w:val="0"/>
          <w:marTop w:val="0"/>
          <w:marBottom w:val="0"/>
          <w:divBdr>
            <w:top w:val="none" w:sz="0" w:space="0" w:color="auto"/>
            <w:left w:val="none" w:sz="0" w:space="0" w:color="auto"/>
            <w:bottom w:val="none" w:sz="0" w:space="0" w:color="auto"/>
            <w:right w:val="none" w:sz="0" w:space="0" w:color="auto"/>
          </w:divBdr>
          <w:divsChild>
            <w:div w:id="1364210227">
              <w:marLeft w:val="0"/>
              <w:marRight w:val="0"/>
              <w:marTop w:val="0"/>
              <w:marBottom w:val="0"/>
              <w:divBdr>
                <w:top w:val="none" w:sz="0" w:space="0" w:color="auto"/>
                <w:left w:val="none" w:sz="0" w:space="0" w:color="auto"/>
                <w:bottom w:val="none" w:sz="0" w:space="0" w:color="auto"/>
                <w:right w:val="none" w:sz="0" w:space="0" w:color="auto"/>
              </w:divBdr>
            </w:div>
          </w:divsChild>
        </w:div>
        <w:div w:id="342586199">
          <w:marLeft w:val="0"/>
          <w:marRight w:val="0"/>
          <w:marTop w:val="0"/>
          <w:marBottom w:val="0"/>
          <w:divBdr>
            <w:top w:val="none" w:sz="0" w:space="0" w:color="auto"/>
            <w:left w:val="none" w:sz="0" w:space="0" w:color="auto"/>
            <w:bottom w:val="none" w:sz="0" w:space="0" w:color="auto"/>
            <w:right w:val="none" w:sz="0" w:space="0" w:color="auto"/>
          </w:divBdr>
          <w:divsChild>
            <w:div w:id="2139105063">
              <w:marLeft w:val="0"/>
              <w:marRight w:val="0"/>
              <w:marTop w:val="0"/>
              <w:marBottom w:val="0"/>
              <w:divBdr>
                <w:top w:val="none" w:sz="0" w:space="0" w:color="auto"/>
                <w:left w:val="none" w:sz="0" w:space="0" w:color="auto"/>
                <w:bottom w:val="none" w:sz="0" w:space="0" w:color="auto"/>
                <w:right w:val="none" w:sz="0" w:space="0" w:color="auto"/>
              </w:divBdr>
            </w:div>
          </w:divsChild>
        </w:div>
        <w:div w:id="381563051">
          <w:marLeft w:val="0"/>
          <w:marRight w:val="0"/>
          <w:marTop w:val="0"/>
          <w:marBottom w:val="0"/>
          <w:divBdr>
            <w:top w:val="none" w:sz="0" w:space="0" w:color="auto"/>
            <w:left w:val="none" w:sz="0" w:space="0" w:color="auto"/>
            <w:bottom w:val="none" w:sz="0" w:space="0" w:color="auto"/>
            <w:right w:val="none" w:sz="0" w:space="0" w:color="auto"/>
          </w:divBdr>
          <w:divsChild>
            <w:div w:id="1884248358">
              <w:marLeft w:val="0"/>
              <w:marRight w:val="0"/>
              <w:marTop w:val="0"/>
              <w:marBottom w:val="0"/>
              <w:divBdr>
                <w:top w:val="none" w:sz="0" w:space="0" w:color="auto"/>
                <w:left w:val="none" w:sz="0" w:space="0" w:color="auto"/>
                <w:bottom w:val="none" w:sz="0" w:space="0" w:color="auto"/>
                <w:right w:val="none" w:sz="0" w:space="0" w:color="auto"/>
              </w:divBdr>
            </w:div>
          </w:divsChild>
        </w:div>
        <w:div w:id="907691287">
          <w:marLeft w:val="0"/>
          <w:marRight w:val="0"/>
          <w:marTop w:val="0"/>
          <w:marBottom w:val="0"/>
          <w:divBdr>
            <w:top w:val="none" w:sz="0" w:space="0" w:color="auto"/>
            <w:left w:val="none" w:sz="0" w:space="0" w:color="auto"/>
            <w:bottom w:val="none" w:sz="0" w:space="0" w:color="auto"/>
            <w:right w:val="none" w:sz="0" w:space="0" w:color="auto"/>
          </w:divBdr>
          <w:divsChild>
            <w:div w:id="687678368">
              <w:marLeft w:val="0"/>
              <w:marRight w:val="0"/>
              <w:marTop w:val="0"/>
              <w:marBottom w:val="0"/>
              <w:divBdr>
                <w:top w:val="none" w:sz="0" w:space="0" w:color="auto"/>
                <w:left w:val="none" w:sz="0" w:space="0" w:color="auto"/>
                <w:bottom w:val="none" w:sz="0" w:space="0" w:color="auto"/>
                <w:right w:val="none" w:sz="0" w:space="0" w:color="auto"/>
              </w:divBdr>
            </w:div>
          </w:divsChild>
        </w:div>
        <w:div w:id="276563871">
          <w:marLeft w:val="0"/>
          <w:marRight w:val="0"/>
          <w:marTop w:val="0"/>
          <w:marBottom w:val="0"/>
          <w:divBdr>
            <w:top w:val="none" w:sz="0" w:space="0" w:color="auto"/>
            <w:left w:val="none" w:sz="0" w:space="0" w:color="auto"/>
            <w:bottom w:val="none" w:sz="0" w:space="0" w:color="auto"/>
            <w:right w:val="none" w:sz="0" w:space="0" w:color="auto"/>
          </w:divBdr>
          <w:divsChild>
            <w:div w:id="655572036">
              <w:marLeft w:val="0"/>
              <w:marRight w:val="0"/>
              <w:marTop w:val="0"/>
              <w:marBottom w:val="0"/>
              <w:divBdr>
                <w:top w:val="none" w:sz="0" w:space="0" w:color="auto"/>
                <w:left w:val="none" w:sz="0" w:space="0" w:color="auto"/>
                <w:bottom w:val="none" w:sz="0" w:space="0" w:color="auto"/>
                <w:right w:val="none" w:sz="0" w:space="0" w:color="auto"/>
              </w:divBdr>
            </w:div>
          </w:divsChild>
        </w:div>
        <w:div w:id="660162393">
          <w:marLeft w:val="0"/>
          <w:marRight w:val="0"/>
          <w:marTop w:val="0"/>
          <w:marBottom w:val="0"/>
          <w:divBdr>
            <w:top w:val="none" w:sz="0" w:space="0" w:color="auto"/>
            <w:left w:val="none" w:sz="0" w:space="0" w:color="auto"/>
            <w:bottom w:val="none" w:sz="0" w:space="0" w:color="auto"/>
            <w:right w:val="none" w:sz="0" w:space="0" w:color="auto"/>
          </w:divBdr>
          <w:divsChild>
            <w:div w:id="1787306317">
              <w:marLeft w:val="0"/>
              <w:marRight w:val="0"/>
              <w:marTop w:val="0"/>
              <w:marBottom w:val="0"/>
              <w:divBdr>
                <w:top w:val="none" w:sz="0" w:space="0" w:color="auto"/>
                <w:left w:val="none" w:sz="0" w:space="0" w:color="auto"/>
                <w:bottom w:val="none" w:sz="0" w:space="0" w:color="auto"/>
                <w:right w:val="none" w:sz="0" w:space="0" w:color="auto"/>
              </w:divBdr>
            </w:div>
          </w:divsChild>
        </w:div>
        <w:div w:id="741758016">
          <w:marLeft w:val="0"/>
          <w:marRight w:val="0"/>
          <w:marTop w:val="0"/>
          <w:marBottom w:val="0"/>
          <w:divBdr>
            <w:top w:val="none" w:sz="0" w:space="0" w:color="auto"/>
            <w:left w:val="none" w:sz="0" w:space="0" w:color="auto"/>
            <w:bottom w:val="none" w:sz="0" w:space="0" w:color="auto"/>
            <w:right w:val="none" w:sz="0" w:space="0" w:color="auto"/>
          </w:divBdr>
          <w:divsChild>
            <w:div w:id="947543928">
              <w:marLeft w:val="0"/>
              <w:marRight w:val="0"/>
              <w:marTop w:val="0"/>
              <w:marBottom w:val="0"/>
              <w:divBdr>
                <w:top w:val="none" w:sz="0" w:space="0" w:color="auto"/>
                <w:left w:val="none" w:sz="0" w:space="0" w:color="auto"/>
                <w:bottom w:val="none" w:sz="0" w:space="0" w:color="auto"/>
                <w:right w:val="none" w:sz="0" w:space="0" w:color="auto"/>
              </w:divBdr>
            </w:div>
          </w:divsChild>
        </w:div>
        <w:div w:id="829293640">
          <w:marLeft w:val="0"/>
          <w:marRight w:val="0"/>
          <w:marTop w:val="0"/>
          <w:marBottom w:val="0"/>
          <w:divBdr>
            <w:top w:val="none" w:sz="0" w:space="0" w:color="auto"/>
            <w:left w:val="none" w:sz="0" w:space="0" w:color="auto"/>
            <w:bottom w:val="none" w:sz="0" w:space="0" w:color="auto"/>
            <w:right w:val="none" w:sz="0" w:space="0" w:color="auto"/>
          </w:divBdr>
          <w:divsChild>
            <w:div w:id="1243218185">
              <w:marLeft w:val="0"/>
              <w:marRight w:val="0"/>
              <w:marTop w:val="0"/>
              <w:marBottom w:val="0"/>
              <w:divBdr>
                <w:top w:val="none" w:sz="0" w:space="0" w:color="auto"/>
                <w:left w:val="none" w:sz="0" w:space="0" w:color="auto"/>
                <w:bottom w:val="none" w:sz="0" w:space="0" w:color="auto"/>
                <w:right w:val="none" w:sz="0" w:space="0" w:color="auto"/>
              </w:divBdr>
            </w:div>
          </w:divsChild>
        </w:div>
        <w:div w:id="1449818999">
          <w:marLeft w:val="0"/>
          <w:marRight w:val="0"/>
          <w:marTop w:val="0"/>
          <w:marBottom w:val="0"/>
          <w:divBdr>
            <w:top w:val="none" w:sz="0" w:space="0" w:color="auto"/>
            <w:left w:val="none" w:sz="0" w:space="0" w:color="auto"/>
            <w:bottom w:val="none" w:sz="0" w:space="0" w:color="auto"/>
            <w:right w:val="none" w:sz="0" w:space="0" w:color="auto"/>
          </w:divBdr>
          <w:divsChild>
            <w:div w:id="1455975514">
              <w:marLeft w:val="0"/>
              <w:marRight w:val="0"/>
              <w:marTop w:val="0"/>
              <w:marBottom w:val="0"/>
              <w:divBdr>
                <w:top w:val="none" w:sz="0" w:space="0" w:color="auto"/>
                <w:left w:val="none" w:sz="0" w:space="0" w:color="auto"/>
                <w:bottom w:val="none" w:sz="0" w:space="0" w:color="auto"/>
                <w:right w:val="none" w:sz="0" w:space="0" w:color="auto"/>
              </w:divBdr>
            </w:div>
          </w:divsChild>
        </w:div>
        <w:div w:id="162208355">
          <w:marLeft w:val="0"/>
          <w:marRight w:val="0"/>
          <w:marTop w:val="0"/>
          <w:marBottom w:val="0"/>
          <w:divBdr>
            <w:top w:val="none" w:sz="0" w:space="0" w:color="auto"/>
            <w:left w:val="none" w:sz="0" w:space="0" w:color="auto"/>
            <w:bottom w:val="none" w:sz="0" w:space="0" w:color="auto"/>
            <w:right w:val="none" w:sz="0" w:space="0" w:color="auto"/>
          </w:divBdr>
          <w:divsChild>
            <w:div w:id="851993147">
              <w:marLeft w:val="0"/>
              <w:marRight w:val="0"/>
              <w:marTop w:val="0"/>
              <w:marBottom w:val="0"/>
              <w:divBdr>
                <w:top w:val="none" w:sz="0" w:space="0" w:color="auto"/>
                <w:left w:val="none" w:sz="0" w:space="0" w:color="auto"/>
                <w:bottom w:val="none" w:sz="0" w:space="0" w:color="auto"/>
                <w:right w:val="none" w:sz="0" w:space="0" w:color="auto"/>
              </w:divBdr>
            </w:div>
          </w:divsChild>
        </w:div>
        <w:div w:id="744686009">
          <w:marLeft w:val="0"/>
          <w:marRight w:val="0"/>
          <w:marTop w:val="0"/>
          <w:marBottom w:val="0"/>
          <w:divBdr>
            <w:top w:val="none" w:sz="0" w:space="0" w:color="auto"/>
            <w:left w:val="none" w:sz="0" w:space="0" w:color="auto"/>
            <w:bottom w:val="none" w:sz="0" w:space="0" w:color="auto"/>
            <w:right w:val="none" w:sz="0" w:space="0" w:color="auto"/>
          </w:divBdr>
          <w:divsChild>
            <w:div w:id="1340082291">
              <w:marLeft w:val="0"/>
              <w:marRight w:val="0"/>
              <w:marTop w:val="0"/>
              <w:marBottom w:val="0"/>
              <w:divBdr>
                <w:top w:val="none" w:sz="0" w:space="0" w:color="auto"/>
                <w:left w:val="none" w:sz="0" w:space="0" w:color="auto"/>
                <w:bottom w:val="none" w:sz="0" w:space="0" w:color="auto"/>
                <w:right w:val="none" w:sz="0" w:space="0" w:color="auto"/>
              </w:divBdr>
            </w:div>
          </w:divsChild>
        </w:div>
        <w:div w:id="94520748">
          <w:marLeft w:val="0"/>
          <w:marRight w:val="0"/>
          <w:marTop w:val="0"/>
          <w:marBottom w:val="0"/>
          <w:divBdr>
            <w:top w:val="none" w:sz="0" w:space="0" w:color="auto"/>
            <w:left w:val="none" w:sz="0" w:space="0" w:color="auto"/>
            <w:bottom w:val="none" w:sz="0" w:space="0" w:color="auto"/>
            <w:right w:val="none" w:sz="0" w:space="0" w:color="auto"/>
          </w:divBdr>
          <w:divsChild>
            <w:div w:id="330988569">
              <w:marLeft w:val="0"/>
              <w:marRight w:val="0"/>
              <w:marTop w:val="0"/>
              <w:marBottom w:val="0"/>
              <w:divBdr>
                <w:top w:val="none" w:sz="0" w:space="0" w:color="auto"/>
                <w:left w:val="none" w:sz="0" w:space="0" w:color="auto"/>
                <w:bottom w:val="none" w:sz="0" w:space="0" w:color="auto"/>
                <w:right w:val="none" w:sz="0" w:space="0" w:color="auto"/>
              </w:divBdr>
            </w:div>
          </w:divsChild>
        </w:div>
        <w:div w:id="1606495255">
          <w:marLeft w:val="0"/>
          <w:marRight w:val="0"/>
          <w:marTop w:val="0"/>
          <w:marBottom w:val="0"/>
          <w:divBdr>
            <w:top w:val="none" w:sz="0" w:space="0" w:color="auto"/>
            <w:left w:val="none" w:sz="0" w:space="0" w:color="auto"/>
            <w:bottom w:val="none" w:sz="0" w:space="0" w:color="auto"/>
            <w:right w:val="none" w:sz="0" w:space="0" w:color="auto"/>
          </w:divBdr>
          <w:divsChild>
            <w:div w:id="1659268156">
              <w:marLeft w:val="0"/>
              <w:marRight w:val="0"/>
              <w:marTop w:val="0"/>
              <w:marBottom w:val="0"/>
              <w:divBdr>
                <w:top w:val="none" w:sz="0" w:space="0" w:color="auto"/>
                <w:left w:val="none" w:sz="0" w:space="0" w:color="auto"/>
                <w:bottom w:val="none" w:sz="0" w:space="0" w:color="auto"/>
                <w:right w:val="none" w:sz="0" w:space="0" w:color="auto"/>
              </w:divBdr>
            </w:div>
          </w:divsChild>
        </w:div>
        <w:div w:id="305010144">
          <w:marLeft w:val="0"/>
          <w:marRight w:val="0"/>
          <w:marTop w:val="0"/>
          <w:marBottom w:val="0"/>
          <w:divBdr>
            <w:top w:val="none" w:sz="0" w:space="0" w:color="auto"/>
            <w:left w:val="none" w:sz="0" w:space="0" w:color="auto"/>
            <w:bottom w:val="none" w:sz="0" w:space="0" w:color="auto"/>
            <w:right w:val="none" w:sz="0" w:space="0" w:color="auto"/>
          </w:divBdr>
          <w:divsChild>
            <w:div w:id="307830653">
              <w:marLeft w:val="0"/>
              <w:marRight w:val="0"/>
              <w:marTop w:val="0"/>
              <w:marBottom w:val="0"/>
              <w:divBdr>
                <w:top w:val="none" w:sz="0" w:space="0" w:color="auto"/>
                <w:left w:val="none" w:sz="0" w:space="0" w:color="auto"/>
                <w:bottom w:val="none" w:sz="0" w:space="0" w:color="auto"/>
                <w:right w:val="none" w:sz="0" w:space="0" w:color="auto"/>
              </w:divBdr>
            </w:div>
          </w:divsChild>
        </w:div>
        <w:div w:id="304555224">
          <w:marLeft w:val="0"/>
          <w:marRight w:val="0"/>
          <w:marTop w:val="0"/>
          <w:marBottom w:val="0"/>
          <w:divBdr>
            <w:top w:val="none" w:sz="0" w:space="0" w:color="auto"/>
            <w:left w:val="none" w:sz="0" w:space="0" w:color="auto"/>
            <w:bottom w:val="none" w:sz="0" w:space="0" w:color="auto"/>
            <w:right w:val="none" w:sz="0" w:space="0" w:color="auto"/>
          </w:divBdr>
          <w:divsChild>
            <w:div w:id="1104693567">
              <w:marLeft w:val="0"/>
              <w:marRight w:val="0"/>
              <w:marTop w:val="0"/>
              <w:marBottom w:val="0"/>
              <w:divBdr>
                <w:top w:val="none" w:sz="0" w:space="0" w:color="auto"/>
                <w:left w:val="none" w:sz="0" w:space="0" w:color="auto"/>
                <w:bottom w:val="none" w:sz="0" w:space="0" w:color="auto"/>
                <w:right w:val="none" w:sz="0" w:space="0" w:color="auto"/>
              </w:divBdr>
            </w:div>
          </w:divsChild>
        </w:div>
        <w:div w:id="1810705730">
          <w:marLeft w:val="0"/>
          <w:marRight w:val="0"/>
          <w:marTop w:val="0"/>
          <w:marBottom w:val="0"/>
          <w:divBdr>
            <w:top w:val="none" w:sz="0" w:space="0" w:color="auto"/>
            <w:left w:val="none" w:sz="0" w:space="0" w:color="auto"/>
            <w:bottom w:val="none" w:sz="0" w:space="0" w:color="auto"/>
            <w:right w:val="none" w:sz="0" w:space="0" w:color="auto"/>
          </w:divBdr>
          <w:divsChild>
            <w:div w:id="175728827">
              <w:marLeft w:val="0"/>
              <w:marRight w:val="0"/>
              <w:marTop w:val="0"/>
              <w:marBottom w:val="0"/>
              <w:divBdr>
                <w:top w:val="none" w:sz="0" w:space="0" w:color="auto"/>
                <w:left w:val="none" w:sz="0" w:space="0" w:color="auto"/>
                <w:bottom w:val="none" w:sz="0" w:space="0" w:color="auto"/>
                <w:right w:val="none" w:sz="0" w:space="0" w:color="auto"/>
              </w:divBdr>
            </w:div>
          </w:divsChild>
        </w:div>
        <w:div w:id="1768428296">
          <w:marLeft w:val="0"/>
          <w:marRight w:val="0"/>
          <w:marTop w:val="0"/>
          <w:marBottom w:val="0"/>
          <w:divBdr>
            <w:top w:val="none" w:sz="0" w:space="0" w:color="auto"/>
            <w:left w:val="none" w:sz="0" w:space="0" w:color="auto"/>
            <w:bottom w:val="none" w:sz="0" w:space="0" w:color="auto"/>
            <w:right w:val="none" w:sz="0" w:space="0" w:color="auto"/>
          </w:divBdr>
          <w:divsChild>
            <w:div w:id="1601600980">
              <w:marLeft w:val="0"/>
              <w:marRight w:val="0"/>
              <w:marTop w:val="0"/>
              <w:marBottom w:val="0"/>
              <w:divBdr>
                <w:top w:val="none" w:sz="0" w:space="0" w:color="auto"/>
                <w:left w:val="none" w:sz="0" w:space="0" w:color="auto"/>
                <w:bottom w:val="none" w:sz="0" w:space="0" w:color="auto"/>
                <w:right w:val="none" w:sz="0" w:space="0" w:color="auto"/>
              </w:divBdr>
            </w:div>
          </w:divsChild>
        </w:div>
        <w:div w:id="1808351916">
          <w:marLeft w:val="0"/>
          <w:marRight w:val="0"/>
          <w:marTop w:val="0"/>
          <w:marBottom w:val="0"/>
          <w:divBdr>
            <w:top w:val="none" w:sz="0" w:space="0" w:color="auto"/>
            <w:left w:val="none" w:sz="0" w:space="0" w:color="auto"/>
            <w:bottom w:val="none" w:sz="0" w:space="0" w:color="auto"/>
            <w:right w:val="none" w:sz="0" w:space="0" w:color="auto"/>
          </w:divBdr>
          <w:divsChild>
            <w:div w:id="949312398">
              <w:marLeft w:val="0"/>
              <w:marRight w:val="0"/>
              <w:marTop w:val="0"/>
              <w:marBottom w:val="0"/>
              <w:divBdr>
                <w:top w:val="none" w:sz="0" w:space="0" w:color="auto"/>
                <w:left w:val="none" w:sz="0" w:space="0" w:color="auto"/>
                <w:bottom w:val="none" w:sz="0" w:space="0" w:color="auto"/>
                <w:right w:val="none" w:sz="0" w:space="0" w:color="auto"/>
              </w:divBdr>
            </w:div>
          </w:divsChild>
        </w:div>
        <w:div w:id="385030128">
          <w:marLeft w:val="0"/>
          <w:marRight w:val="0"/>
          <w:marTop w:val="0"/>
          <w:marBottom w:val="0"/>
          <w:divBdr>
            <w:top w:val="none" w:sz="0" w:space="0" w:color="auto"/>
            <w:left w:val="none" w:sz="0" w:space="0" w:color="auto"/>
            <w:bottom w:val="none" w:sz="0" w:space="0" w:color="auto"/>
            <w:right w:val="none" w:sz="0" w:space="0" w:color="auto"/>
          </w:divBdr>
          <w:divsChild>
            <w:div w:id="1475878998">
              <w:marLeft w:val="0"/>
              <w:marRight w:val="0"/>
              <w:marTop w:val="0"/>
              <w:marBottom w:val="0"/>
              <w:divBdr>
                <w:top w:val="none" w:sz="0" w:space="0" w:color="auto"/>
                <w:left w:val="none" w:sz="0" w:space="0" w:color="auto"/>
                <w:bottom w:val="none" w:sz="0" w:space="0" w:color="auto"/>
                <w:right w:val="none" w:sz="0" w:space="0" w:color="auto"/>
              </w:divBdr>
            </w:div>
          </w:divsChild>
        </w:div>
        <w:div w:id="1791165346">
          <w:marLeft w:val="0"/>
          <w:marRight w:val="0"/>
          <w:marTop w:val="0"/>
          <w:marBottom w:val="0"/>
          <w:divBdr>
            <w:top w:val="none" w:sz="0" w:space="0" w:color="auto"/>
            <w:left w:val="none" w:sz="0" w:space="0" w:color="auto"/>
            <w:bottom w:val="none" w:sz="0" w:space="0" w:color="auto"/>
            <w:right w:val="none" w:sz="0" w:space="0" w:color="auto"/>
          </w:divBdr>
          <w:divsChild>
            <w:div w:id="1547453491">
              <w:marLeft w:val="0"/>
              <w:marRight w:val="0"/>
              <w:marTop w:val="0"/>
              <w:marBottom w:val="0"/>
              <w:divBdr>
                <w:top w:val="none" w:sz="0" w:space="0" w:color="auto"/>
                <w:left w:val="none" w:sz="0" w:space="0" w:color="auto"/>
                <w:bottom w:val="none" w:sz="0" w:space="0" w:color="auto"/>
                <w:right w:val="none" w:sz="0" w:space="0" w:color="auto"/>
              </w:divBdr>
            </w:div>
          </w:divsChild>
        </w:div>
        <w:div w:id="1263490201">
          <w:marLeft w:val="0"/>
          <w:marRight w:val="0"/>
          <w:marTop w:val="0"/>
          <w:marBottom w:val="0"/>
          <w:divBdr>
            <w:top w:val="none" w:sz="0" w:space="0" w:color="auto"/>
            <w:left w:val="none" w:sz="0" w:space="0" w:color="auto"/>
            <w:bottom w:val="none" w:sz="0" w:space="0" w:color="auto"/>
            <w:right w:val="none" w:sz="0" w:space="0" w:color="auto"/>
          </w:divBdr>
          <w:divsChild>
            <w:div w:id="1787919674">
              <w:marLeft w:val="0"/>
              <w:marRight w:val="0"/>
              <w:marTop w:val="0"/>
              <w:marBottom w:val="0"/>
              <w:divBdr>
                <w:top w:val="none" w:sz="0" w:space="0" w:color="auto"/>
                <w:left w:val="none" w:sz="0" w:space="0" w:color="auto"/>
                <w:bottom w:val="none" w:sz="0" w:space="0" w:color="auto"/>
                <w:right w:val="none" w:sz="0" w:space="0" w:color="auto"/>
              </w:divBdr>
            </w:div>
          </w:divsChild>
        </w:div>
        <w:div w:id="1095707962">
          <w:marLeft w:val="0"/>
          <w:marRight w:val="0"/>
          <w:marTop w:val="0"/>
          <w:marBottom w:val="0"/>
          <w:divBdr>
            <w:top w:val="none" w:sz="0" w:space="0" w:color="auto"/>
            <w:left w:val="none" w:sz="0" w:space="0" w:color="auto"/>
            <w:bottom w:val="none" w:sz="0" w:space="0" w:color="auto"/>
            <w:right w:val="none" w:sz="0" w:space="0" w:color="auto"/>
          </w:divBdr>
          <w:divsChild>
            <w:div w:id="435179447">
              <w:marLeft w:val="0"/>
              <w:marRight w:val="0"/>
              <w:marTop w:val="0"/>
              <w:marBottom w:val="0"/>
              <w:divBdr>
                <w:top w:val="none" w:sz="0" w:space="0" w:color="auto"/>
                <w:left w:val="none" w:sz="0" w:space="0" w:color="auto"/>
                <w:bottom w:val="none" w:sz="0" w:space="0" w:color="auto"/>
                <w:right w:val="none" w:sz="0" w:space="0" w:color="auto"/>
              </w:divBdr>
            </w:div>
          </w:divsChild>
        </w:div>
        <w:div w:id="1943301647">
          <w:marLeft w:val="0"/>
          <w:marRight w:val="0"/>
          <w:marTop w:val="0"/>
          <w:marBottom w:val="0"/>
          <w:divBdr>
            <w:top w:val="none" w:sz="0" w:space="0" w:color="auto"/>
            <w:left w:val="none" w:sz="0" w:space="0" w:color="auto"/>
            <w:bottom w:val="none" w:sz="0" w:space="0" w:color="auto"/>
            <w:right w:val="none" w:sz="0" w:space="0" w:color="auto"/>
          </w:divBdr>
          <w:divsChild>
            <w:div w:id="310595492">
              <w:marLeft w:val="0"/>
              <w:marRight w:val="0"/>
              <w:marTop w:val="0"/>
              <w:marBottom w:val="0"/>
              <w:divBdr>
                <w:top w:val="none" w:sz="0" w:space="0" w:color="auto"/>
                <w:left w:val="none" w:sz="0" w:space="0" w:color="auto"/>
                <w:bottom w:val="none" w:sz="0" w:space="0" w:color="auto"/>
                <w:right w:val="none" w:sz="0" w:space="0" w:color="auto"/>
              </w:divBdr>
            </w:div>
          </w:divsChild>
        </w:div>
        <w:div w:id="1798186106">
          <w:marLeft w:val="0"/>
          <w:marRight w:val="0"/>
          <w:marTop w:val="0"/>
          <w:marBottom w:val="0"/>
          <w:divBdr>
            <w:top w:val="none" w:sz="0" w:space="0" w:color="auto"/>
            <w:left w:val="none" w:sz="0" w:space="0" w:color="auto"/>
            <w:bottom w:val="none" w:sz="0" w:space="0" w:color="auto"/>
            <w:right w:val="none" w:sz="0" w:space="0" w:color="auto"/>
          </w:divBdr>
          <w:divsChild>
            <w:div w:id="1596132199">
              <w:marLeft w:val="0"/>
              <w:marRight w:val="0"/>
              <w:marTop w:val="0"/>
              <w:marBottom w:val="0"/>
              <w:divBdr>
                <w:top w:val="none" w:sz="0" w:space="0" w:color="auto"/>
                <w:left w:val="none" w:sz="0" w:space="0" w:color="auto"/>
                <w:bottom w:val="none" w:sz="0" w:space="0" w:color="auto"/>
                <w:right w:val="none" w:sz="0" w:space="0" w:color="auto"/>
              </w:divBdr>
            </w:div>
          </w:divsChild>
        </w:div>
        <w:div w:id="1862356896">
          <w:marLeft w:val="0"/>
          <w:marRight w:val="0"/>
          <w:marTop w:val="0"/>
          <w:marBottom w:val="0"/>
          <w:divBdr>
            <w:top w:val="none" w:sz="0" w:space="0" w:color="auto"/>
            <w:left w:val="none" w:sz="0" w:space="0" w:color="auto"/>
            <w:bottom w:val="none" w:sz="0" w:space="0" w:color="auto"/>
            <w:right w:val="none" w:sz="0" w:space="0" w:color="auto"/>
          </w:divBdr>
          <w:divsChild>
            <w:div w:id="1982727968">
              <w:marLeft w:val="0"/>
              <w:marRight w:val="0"/>
              <w:marTop w:val="0"/>
              <w:marBottom w:val="0"/>
              <w:divBdr>
                <w:top w:val="none" w:sz="0" w:space="0" w:color="auto"/>
                <w:left w:val="none" w:sz="0" w:space="0" w:color="auto"/>
                <w:bottom w:val="none" w:sz="0" w:space="0" w:color="auto"/>
                <w:right w:val="none" w:sz="0" w:space="0" w:color="auto"/>
              </w:divBdr>
            </w:div>
          </w:divsChild>
        </w:div>
        <w:div w:id="162009555">
          <w:marLeft w:val="0"/>
          <w:marRight w:val="0"/>
          <w:marTop w:val="0"/>
          <w:marBottom w:val="0"/>
          <w:divBdr>
            <w:top w:val="none" w:sz="0" w:space="0" w:color="auto"/>
            <w:left w:val="none" w:sz="0" w:space="0" w:color="auto"/>
            <w:bottom w:val="none" w:sz="0" w:space="0" w:color="auto"/>
            <w:right w:val="none" w:sz="0" w:space="0" w:color="auto"/>
          </w:divBdr>
          <w:divsChild>
            <w:div w:id="1229997414">
              <w:marLeft w:val="0"/>
              <w:marRight w:val="0"/>
              <w:marTop w:val="0"/>
              <w:marBottom w:val="0"/>
              <w:divBdr>
                <w:top w:val="none" w:sz="0" w:space="0" w:color="auto"/>
                <w:left w:val="none" w:sz="0" w:space="0" w:color="auto"/>
                <w:bottom w:val="none" w:sz="0" w:space="0" w:color="auto"/>
                <w:right w:val="none" w:sz="0" w:space="0" w:color="auto"/>
              </w:divBdr>
            </w:div>
          </w:divsChild>
        </w:div>
        <w:div w:id="728312143">
          <w:marLeft w:val="0"/>
          <w:marRight w:val="0"/>
          <w:marTop w:val="0"/>
          <w:marBottom w:val="0"/>
          <w:divBdr>
            <w:top w:val="none" w:sz="0" w:space="0" w:color="auto"/>
            <w:left w:val="none" w:sz="0" w:space="0" w:color="auto"/>
            <w:bottom w:val="none" w:sz="0" w:space="0" w:color="auto"/>
            <w:right w:val="none" w:sz="0" w:space="0" w:color="auto"/>
          </w:divBdr>
          <w:divsChild>
            <w:div w:id="1522355330">
              <w:marLeft w:val="0"/>
              <w:marRight w:val="0"/>
              <w:marTop w:val="0"/>
              <w:marBottom w:val="0"/>
              <w:divBdr>
                <w:top w:val="none" w:sz="0" w:space="0" w:color="auto"/>
                <w:left w:val="none" w:sz="0" w:space="0" w:color="auto"/>
                <w:bottom w:val="none" w:sz="0" w:space="0" w:color="auto"/>
                <w:right w:val="none" w:sz="0" w:space="0" w:color="auto"/>
              </w:divBdr>
            </w:div>
          </w:divsChild>
        </w:div>
        <w:div w:id="1274702210">
          <w:marLeft w:val="0"/>
          <w:marRight w:val="0"/>
          <w:marTop w:val="0"/>
          <w:marBottom w:val="0"/>
          <w:divBdr>
            <w:top w:val="none" w:sz="0" w:space="0" w:color="auto"/>
            <w:left w:val="none" w:sz="0" w:space="0" w:color="auto"/>
            <w:bottom w:val="none" w:sz="0" w:space="0" w:color="auto"/>
            <w:right w:val="none" w:sz="0" w:space="0" w:color="auto"/>
          </w:divBdr>
          <w:divsChild>
            <w:div w:id="1367216918">
              <w:marLeft w:val="0"/>
              <w:marRight w:val="0"/>
              <w:marTop w:val="0"/>
              <w:marBottom w:val="0"/>
              <w:divBdr>
                <w:top w:val="none" w:sz="0" w:space="0" w:color="auto"/>
                <w:left w:val="none" w:sz="0" w:space="0" w:color="auto"/>
                <w:bottom w:val="none" w:sz="0" w:space="0" w:color="auto"/>
                <w:right w:val="none" w:sz="0" w:space="0" w:color="auto"/>
              </w:divBdr>
            </w:div>
          </w:divsChild>
        </w:div>
        <w:div w:id="1087114933">
          <w:marLeft w:val="0"/>
          <w:marRight w:val="0"/>
          <w:marTop w:val="0"/>
          <w:marBottom w:val="0"/>
          <w:divBdr>
            <w:top w:val="none" w:sz="0" w:space="0" w:color="auto"/>
            <w:left w:val="none" w:sz="0" w:space="0" w:color="auto"/>
            <w:bottom w:val="none" w:sz="0" w:space="0" w:color="auto"/>
            <w:right w:val="none" w:sz="0" w:space="0" w:color="auto"/>
          </w:divBdr>
          <w:divsChild>
            <w:div w:id="1191407729">
              <w:marLeft w:val="0"/>
              <w:marRight w:val="0"/>
              <w:marTop w:val="0"/>
              <w:marBottom w:val="0"/>
              <w:divBdr>
                <w:top w:val="none" w:sz="0" w:space="0" w:color="auto"/>
                <w:left w:val="none" w:sz="0" w:space="0" w:color="auto"/>
                <w:bottom w:val="none" w:sz="0" w:space="0" w:color="auto"/>
                <w:right w:val="none" w:sz="0" w:space="0" w:color="auto"/>
              </w:divBdr>
            </w:div>
          </w:divsChild>
        </w:div>
        <w:div w:id="1049651088">
          <w:marLeft w:val="0"/>
          <w:marRight w:val="0"/>
          <w:marTop w:val="0"/>
          <w:marBottom w:val="0"/>
          <w:divBdr>
            <w:top w:val="none" w:sz="0" w:space="0" w:color="auto"/>
            <w:left w:val="none" w:sz="0" w:space="0" w:color="auto"/>
            <w:bottom w:val="none" w:sz="0" w:space="0" w:color="auto"/>
            <w:right w:val="none" w:sz="0" w:space="0" w:color="auto"/>
          </w:divBdr>
          <w:divsChild>
            <w:div w:id="1354266664">
              <w:marLeft w:val="0"/>
              <w:marRight w:val="0"/>
              <w:marTop w:val="0"/>
              <w:marBottom w:val="0"/>
              <w:divBdr>
                <w:top w:val="none" w:sz="0" w:space="0" w:color="auto"/>
                <w:left w:val="none" w:sz="0" w:space="0" w:color="auto"/>
                <w:bottom w:val="none" w:sz="0" w:space="0" w:color="auto"/>
                <w:right w:val="none" w:sz="0" w:space="0" w:color="auto"/>
              </w:divBdr>
            </w:div>
          </w:divsChild>
        </w:div>
        <w:div w:id="544023086">
          <w:marLeft w:val="0"/>
          <w:marRight w:val="0"/>
          <w:marTop w:val="0"/>
          <w:marBottom w:val="0"/>
          <w:divBdr>
            <w:top w:val="none" w:sz="0" w:space="0" w:color="auto"/>
            <w:left w:val="none" w:sz="0" w:space="0" w:color="auto"/>
            <w:bottom w:val="none" w:sz="0" w:space="0" w:color="auto"/>
            <w:right w:val="none" w:sz="0" w:space="0" w:color="auto"/>
          </w:divBdr>
          <w:divsChild>
            <w:div w:id="440688234">
              <w:marLeft w:val="0"/>
              <w:marRight w:val="0"/>
              <w:marTop w:val="0"/>
              <w:marBottom w:val="0"/>
              <w:divBdr>
                <w:top w:val="none" w:sz="0" w:space="0" w:color="auto"/>
                <w:left w:val="none" w:sz="0" w:space="0" w:color="auto"/>
                <w:bottom w:val="none" w:sz="0" w:space="0" w:color="auto"/>
                <w:right w:val="none" w:sz="0" w:space="0" w:color="auto"/>
              </w:divBdr>
            </w:div>
          </w:divsChild>
        </w:div>
        <w:div w:id="992369001">
          <w:marLeft w:val="0"/>
          <w:marRight w:val="0"/>
          <w:marTop w:val="0"/>
          <w:marBottom w:val="0"/>
          <w:divBdr>
            <w:top w:val="none" w:sz="0" w:space="0" w:color="auto"/>
            <w:left w:val="none" w:sz="0" w:space="0" w:color="auto"/>
            <w:bottom w:val="none" w:sz="0" w:space="0" w:color="auto"/>
            <w:right w:val="none" w:sz="0" w:space="0" w:color="auto"/>
          </w:divBdr>
          <w:divsChild>
            <w:div w:id="1150288394">
              <w:marLeft w:val="0"/>
              <w:marRight w:val="0"/>
              <w:marTop w:val="0"/>
              <w:marBottom w:val="0"/>
              <w:divBdr>
                <w:top w:val="none" w:sz="0" w:space="0" w:color="auto"/>
                <w:left w:val="none" w:sz="0" w:space="0" w:color="auto"/>
                <w:bottom w:val="none" w:sz="0" w:space="0" w:color="auto"/>
                <w:right w:val="none" w:sz="0" w:space="0" w:color="auto"/>
              </w:divBdr>
            </w:div>
          </w:divsChild>
        </w:div>
        <w:div w:id="484710188">
          <w:marLeft w:val="0"/>
          <w:marRight w:val="0"/>
          <w:marTop w:val="0"/>
          <w:marBottom w:val="0"/>
          <w:divBdr>
            <w:top w:val="none" w:sz="0" w:space="0" w:color="auto"/>
            <w:left w:val="none" w:sz="0" w:space="0" w:color="auto"/>
            <w:bottom w:val="none" w:sz="0" w:space="0" w:color="auto"/>
            <w:right w:val="none" w:sz="0" w:space="0" w:color="auto"/>
          </w:divBdr>
          <w:divsChild>
            <w:div w:id="734742023">
              <w:marLeft w:val="0"/>
              <w:marRight w:val="0"/>
              <w:marTop w:val="0"/>
              <w:marBottom w:val="0"/>
              <w:divBdr>
                <w:top w:val="none" w:sz="0" w:space="0" w:color="auto"/>
                <w:left w:val="none" w:sz="0" w:space="0" w:color="auto"/>
                <w:bottom w:val="none" w:sz="0" w:space="0" w:color="auto"/>
                <w:right w:val="none" w:sz="0" w:space="0" w:color="auto"/>
              </w:divBdr>
            </w:div>
          </w:divsChild>
        </w:div>
        <w:div w:id="1569878897">
          <w:marLeft w:val="0"/>
          <w:marRight w:val="0"/>
          <w:marTop w:val="0"/>
          <w:marBottom w:val="0"/>
          <w:divBdr>
            <w:top w:val="none" w:sz="0" w:space="0" w:color="auto"/>
            <w:left w:val="none" w:sz="0" w:space="0" w:color="auto"/>
            <w:bottom w:val="none" w:sz="0" w:space="0" w:color="auto"/>
            <w:right w:val="none" w:sz="0" w:space="0" w:color="auto"/>
          </w:divBdr>
          <w:divsChild>
            <w:div w:id="91169633">
              <w:marLeft w:val="0"/>
              <w:marRight w:val="0"/>
              <w:marTop w:val="0"/>
              <w:marBottom w:val="0"/>
              <w:divBdr>
                <w:top w:val="none" w:sz="0" w:space="0" w:color="auto"/>
                <w:left w:val="none" w:sz="0" w:space="0" w:color="auto"/>
                <w:bottom w:val="none" w:sz="0" w:space="0" w:color="auto"/>
                <w:right w:val="none" w:sz="0" w:space="0" w:color="auto"/>
              </w:divBdr>
            </w:div>
          </w:divsChild>
        </w:div>
        <w:div w:id="1719090118">
          <w:marLeft w:val="0"/>
          <w:marRight w:val="0"/>
          <w:marTop w:val="0"/>
          <w:marBottom w:val="0"/>
          <w:divBdr>
            <w:top w:val="none" w:sz="0" w:space="0" w:color="auto"/>
            <w:left w:val="none" w:sz="0" w:space="0" w:color="auto"/>
            <w:bottom w:val="none" w:sz="0" w:space="0" w:color="auto"/>
            <w:right w:val="none" w:sz="0" w:space="0" w:color="auto"/>
          </w:divBdr>
          <w:divsChild>
            <w:div w:id="1390376534">
              <w:marLeft w:val="0"/>
              <w:marRight w:val="0"/>
              <w:marTop w:val="0"/>
              <w:marBottom w:val="0"/>
              <w:divBdr>
                <w:top w:val="none" w:sz="0" w:space="0" w:color="auto"/>
                <w:left w:val="none" w:sz="0" w:space="0" w:color="auto"/>
                <w:bottom w:val="none" w:sz="0" w:space="0" w:color="auto"/>
                <w:right w:val="none" w:sz="0" w:space="0" w:color="auto"/>
              </w:divBdr>
            </w:div>
          </w:divsChild>
        </w:div>
        <w:div w:id="1050764621">
          <w:marLeft w:val="0"/>
          <w:marRight w:val="0"/>
          <w:marTop w:val="0"/>
          <w:marBottom w:val="0"/>
          <w:divBdr>
            <w:top w:val="none" w:sz="0" w:space="0" w:color="auto"/>
            <w:left w:val="none" w:sz="0" w:space="0" w:color="auto"/>
            <w:bottom w:val="none" w:sz="0" w:space="0" w:color="auto"/>
            <w:right w:val="none" w:sz="0" w:space="0" w:color="auto"/>
          </w:divBdr>
          <w:divsChild>
            <w:div w:id="731542241">
              <w:marLeft w:val="0"/>
              <w:marRight w:val="0"/>
              <w:marTop w:val="0"/>
              <w:marBottom w:val="0"/>
              <w:divBdr>
                <w:top w:val="none" w:sz="0" w:space="0" w:color="auto"/>
                <w:left w:val="none" w:sz="0" w:space="0" w:color="auto"/>
                <w:bottom w:val="none" w:sz="0" w:space="0" w:color="auto"/>
                <w:right w:val="none" w:sz="0" w:space="0" w:color="auto"/>
              </w:divBdr>
            </w:div>
          </w:divsChild>
        </w:div>
        <w:div w:id="1731924737">
          <w:marLeft w:val="0"/>
          <w:marRight w:val="0"/>
          <w:marTop w:val="0"/>
          <w:marBottom w:val="0"/>
          <w:divBdr>
            <w:top w:val="none" w:sz="0" w:space="0" w:color="auto"/>
            <w:left w:val="none" w:sz="0" w:space="0" w:color="auto"/>
            <w:bottom w:val="none" w:sz="0" w:space="0" w:color="auto"/>
            <w:right w:val="none" w:sz="0" w:space="0" w:color="auto"/>
          </w:divBdr>
          <w:divsChild>
            <w:div w:id="1401443056">
              <w:marLeft w:val="0"/>
              <w:marRight w:val="0"/>
              <w:marTop w:val="0"/>
              <w:marBottom w:val="0"/>
              <w:divBdr>
                <w:top w:val="none" w:sz="0" w:space="0" w:color="auto"/>
                <w:left w:val="none" w:sz="0" w:space="0" w:color="auto"/>
                <w:bottom w:val="none" w:sz="0" w:space="0" w:color="auto"/>
                <w:right w:val="none" w:sz="0" w:space="0" w:color="auto"/>
              </w:divBdr>
            </w:div>
          </w:divsChild>
        </w:div>
        <w:div w:id="632832651">
          <w:marLeft w:val="0"/>
          <w:marRight w:val="0"/>
          <w:marTop w:val="0"/>
          <w:marBottom w:val="0"/>
          <w:divBdr>
            <w:top w:val="none" w:sz="0" w:space="0" w:color="auto"/>
            <w:left w:val="none" w:sz="0" w:space="0" w:color="auto"/>
            <w:bottom w:val="none" w:sz="0" w:space="0" w:color="auto"/>
            <w:right w:val="none" w:sz="0" w:space="0" w:color="auto"/>
          </w:divBdr>
          <w:divsChild>
            <w:div w:id="439378091">
              <w:marLeft w:val="0"/>
              <w:marRight w:val="0"/>
              <w:marTop w:val="0"/>
              <w:marBottom w:val="0"/>
              <w:divBdr>
                <w:top w:val="none" w:sz="0" w:space="0" w:color="auto"/>
                <w:left w:val="none" w:sz="0" w:space="0" w:color="auto"/>
                <w:bottom w:val="none" w:sz="0" w:space="0" w:color="auto"/>
                <w:right w:val="none" w:sz="0" w:space="0" w:color="auto"/>
              </w:divBdr>
            </w:div>
          </w:divsChild>
        </w:div>
        <w:div w:id="1461873666">
          <w:marLeft w:val="0"/>
          <w:marRight w:val="0"/>
          <w:marTop w:val="0"/>
          <w:marBottom w:val="0"/>
          <w:divBdr>
            <w:top w:val="none" w:sz="0" w:space="0" w:color="auto"/>
            <w:left w:val="none" w:sz="0" w:space="0" w:color="auto"/>
            <w:bottom w:val="none" w:sz="0" w:space="0" w:color="auto"/>
            <w:right w:val="none" w:sz="0" w:space="0" w:color="auto"/>
          </w:divBdr>
          <w:divsChild>
            <w:div w:id="1575512490">
              <w:marLeft w:val="0"/>
              <w:marRight w:val="0"/>
              <w:marTop w:val="0"/>
              <w:marBottom w:val="0"/>
              <w:divBdr>
                <w:top w:val="none" w:sz="0" w:space="0" w:color="auto"/>
                <w:left w:val="none" w:sz="0" w:space="0" w:color="auto"/>
                <w:bottom w:val="none" w:sz="0" w:space="0" w:color="auto"/>
                <w:right w:val="none" w:sz="0" w:space="0" w:color="auto"/>
              </w:divBdr>
            </w:div>
          </w:divsChild>
        </w:div>
        <w:div w:id="374817515">
          <w:marLeft w:val="0"/>
          <w:marRight w:val="0"/>
          <w:marTop w:val="0"/>
          <w:marBottom w:val="0"/>
          <w:divBdr>
            <w:top w:val="none" w:sz="0" w:space="0" w:color="auto"/>
            <w:left w:val="none" w:sz="0" w:space="0" w:color="auto"/>
            <w:bottom w:val="none" w:sz="0" w:space="0" w:color="auto"/>
            <w:right w:val="none" w:sz="0" w:space="0" w:color="auto"/>
          </w:divBdr>
          <w:divsChild>
            <w:div w:id="992175432">
              <w:marLeft w:val="0"/>
              <w:marRight w:val="0"/>
              <w:marTop w:val="0"/>
              <w:marBottom w:val="0"/>
              <w:divBdr>
                <w:top w:val="none" w:sz="0" w:space="0" w:color="auto"/>
                <w:left w:val="none" w:sz="0" w:space="0" w:color="auto"/>
                <w:bottom w:val="none" w:sz="0" w:space="0" w:color="auto"/>
                <w:right w:val="none" w:sz="0" w:space="0" w:color="auto"/>
              </w:divBdr>
            </w:div>
          </w:divsChild>
        </w:div>
        <w:div w:id="456918388">
          <w:marLeft w:val="0"/>
          <w:marRight w:val="0"/>
          <w:marTop w:val="0"/>
          <w:marBottom w:val="0"/>
          <w:divBdr>
            <w:top w:val="none" w:sz="0" w:space="0" w:color="auto"/>
            <w:left w:val="none" w:sz="0" w:space="0" w:color="auto"/>
            <w:bottom w:val="none" w:sz="0" w:space="0" w:color="auto"/>
            <w:right w:val="none" w:sz="0" w:space="0" w:color="auto"/>
          </w:divBdr>
          <w:divsChild>
            <w:div w:id="1348097387">
              <w:marLeft w:val="0"/>
              <w:marRight w:val="0"/>
              <w:marTop w:val="0"/>
              <w:marBottom w:val="0"/>
              <w:divBdr>
                <w:top w:val="none" w:sz="0" w:space="0" w:color="auto"/>
                <w:left w:val="none" w:sz="0" w:space="0" w:color="auto"/>
                <w:bottom w:val="none" w:sz="0" w:space="0" w:color="auto"/>
                <w:right w:val="none" w:sz="0" w:space="0" w:color="auto"/>
              </w:divBdr>
            </w:div>
          </w:divsChild>
        </w:div>
        <w:div w:id="1060521592">
          <w:marLeft w:val="0"/>
          <w:marRight w:val="0"/>
          <w:marTop w:val="0"/>
          <w:marBottom w:val="0"/>
          <w:divBdr>
            <w:top w:val="none" w:sz="0" w:space="0" w:color="auto"/>
            <w:left w:val="none" w:sz="0" w:space="0" w:color="auto"/>
            <w:bottom w:val="none" w:sz="0" w:space="0" w:color="auto"/>
            <w:right w:val="none" w:sz="0" w:space="0" w:color="auto"/>
          </w:divBdr>
          <w:divsChild>
            <w:div w:id="1003321124">
              <w:marLeft w:val="0"/>
              <w:marRight w:val="0"/>
              <w:marTop w:val="0"/>
              <w:marBottom w:val="0"/>
              <w:divBdr>
                <w:top w:val="none" w:sz="0" w:space="0" w:color="auto"/>
                <w:left w:val="none" w:sz="0" w:space="0" w:color="auto"/>
                <w:bottom w:val="none" w:sz="0" w:space="0" w:color="auto"/>
                <w:right w:val="none" w:sz="0" w:space="0" w:color="auto"/>
              </w:divBdr>
            </w:div>
          </w:divsChild>
        </w:div>
        <w:div w:id="800684044">
          <w:marLeft w:val="0"/>
          <w:marRight w:val="0"/>
          <w:marTop w:val="0"/>
          <w:marBottom w:val="0"/>
          <w:divBdr>
            <w:top w:val="none" w:sz="0" w:space="0" w:color="auto"/>
            <w:left w:val="none" w:sz="0" w:space="0" w:color="auto"/>
            <w:bottom w:val="none" w:sz="0" w:space="0" w:color="auto"/>
            <w:right w:val="none" w:sz="0" w:space="0" w:color="auto"/>
          </w:divBdr>
          <w:divsChild>
            <w:div w:id="321007994">
              <w:marLeft w:val="0"/>
              <w:marRight w:val="0"/>
              <w:marTop w:val="0"/>
              <w:marBottom w:val="0"/>
              <w:divBdr>
                <w:top w:val="none" w:sz="0" w:space="0" w:color="auto"/>
                <w:left w:val="none" w:sz="0" w:space="0" w:color="auto"/>
                <w:bottom w:val="none" w:sz="0" w:space="0" w:color="auto"/>
                <w:right w:val="none" w:sz="0" w:space="0" w:color="auto"/>
              </w:divBdr>
            </w:div>
          </w:divsChild>
        </w:div>
        <w:div w:id="1462845058">
          <w:marLeft w:val="0"/>
          <w:marRight w:val="0"/>
          <w:marTop w:val="0"/>
          <w:marBottom w:val="0"/>
          <w:divBdr>
            <w:top w:val="none" w:sz="0" w:space="0" w:color="auto"/>
            <w:left w:val="none" w:sz="0" w:space="0" w:color="auto"/>
            <w:bottom w:val="none" w:sz="0" w:space="0" w:color="auto"/>
            <w:right w:val="none" w:sz="0" w:space="0" w:color="auto"/>
          </w:divBdr>
          <w:divsChild>
            <w:div w:id="149491352">
              <w:marLeft w:val="0"/>
              <w:marRight w:val="0"/>
              <w:marTop w:val="0"/>
              <w:marBottom w:val="0"/>
              <w:divBdr>
                <w:top w:val="none" w:sz="0" w:space="0" w:color="auto"/>
                <w:left w:val="none" w:sz="0" w:space="0" w:color="auto"/>
                <w:bottom w:val="none" w:sz="0" w:space="0" w:color="auto"/>
                <w:right w:val="none" w:sz="0" w:space="0" w:color="auto"/>
              </w:divBdr>
            </w:div>
          </w:divsChild>
        </w:div>
        <w:div w:id="876282652">
          <w:marLeft w:val="0"/>
          <w:marRight w:val="0"/>
          <w:marTop w:val="0"/>
          <w:marBottom w:val="0"/>
          <w:divBdr>
            <w:top w:val="none" w:sz="0" w:space="0" w:color="auto"/>
            <w:left w:val="none" w:sz="0" w:space="0" w:color="auto"/>
            <w:bottom w:val="none" w:sz="0" w:space="0" w:color="auto"/>
            <w:right w:val="none" w:sz="0" w:space="0" w:color="auto"/>
          </w:divBdr>
          <w:divsChild>
            <w:div w:id="652753965">
              <w:marLeft w:val="0"/>
              <w:marRight w:val="0"/>
              <w:marTop w:val="0"/>
              <w:marBottom w:val="0"/>
              <w:divBdr>
                <w:top w:val="none" w:sz="0" w:space="0" w:color="auto"/>
                <w:left w:val="none" w:sz="0" w:space="0" w:color="auto"/>
                <w:bottom w:val="none" w:sz="0" w:space="0" w:color="auto"/>
                <w:right w:val="none" w:sz="0" w:space="0" w:color="auto"/>
              </w:divBdr>
            </w:div>
          </w:divsChild>
        </w:div>
        <w:div w:id="1079403735">
          <w:marLeft w:val="0"/>
          <w:marRight w:val="0"/>
          <w:marTop w:val="0"/>
          <w:marBottom w:val="0"/>
          <w:divBdr>
            <w:top w:val="none" w:sz="0" w:space="0" w:color="auto"/>
            <w:left w:val="none" w:sz="0" w:space="0" w:color="auto"/>
            <w:bottom w:val="none" w:sz="0" w:space="0" w:color="auto"/>
            <w:right w:val="none" w:sz="0" w:space="0" w:color="auto"/>
          </w:divBdr>
          <w:divsChild>
            <w:div w:id="1440683661">
              <w:marLeft w:val="0"/>
              <w:marRight w:val="0"/>
              <w:marTop w:val="0"/>
              <w:marBottom w:val="0"/>
              <w:divBdr>
                <w:top w:val="none" w:sz="0" w:space="0" w:color="auto"/>
                <w:left w:val="none" w:sz="0" w:space="0" w:color="auto"/>
                <w:bottom w:val="none" w:sz="0" w:space="0" w:color="auto"/>
                <w:right w:val="none" w:sz="0" w:space="0" w:color="auto"/>
              </w:divBdr>
            </w:div>
          </w:divsChild>
        </w:div>
        <w:div w:id="1295795095">
          <w:marLeft w:val="0"/>
          <w:marRight w:val="0"/>
          <w:marTop w:val="0"/>
          <w:marBottom w:val="0"/>
          <w:divBdr>
            <w:top w:val="none" w:sz="0" w:space="0" w:color="auto"/>
            <w:left w:val="none" w:sz="0" w:space="0" w:color="auto"/>
            <w:bottom w:val="none" w:sz="0" w:space="0" w:color="auto"/>
            <w:right w:val="none" w:sz="0" w:space="0" w:color="auto"/>
          </w:divBdr>
          <w:divsChild>
            <w:div w:id="582185213">
              <w:marLeft w:val="0"/>
              <w:marRight w:val="0"/>
              <w:marTop w:val="0"/>
              <w:marBottom w:val="0"/>
              <w:divBdr>
                <w:top w:val="none" w:sz="0" w:space="0" w:color="auto"/>
                <w:left w:val="none" w:sz="0" w:space="0" w:color="auto"/>
                <w:bottom w:val="none" w:sz="0" w:space="0" w:color="auto"/>
                <w:right w:val="none" w:sz="0" w:space="0" w:color="auto"/>
              </w:divBdr>
            </w:div>
          </w:divsChild>
        </w:div>
        <w:div w:id="1012295497">
          <w:marLeft w:val="0"/>
          <w:marRight w:val="0"/>
          <w:marTop w:val="0"/>
          <w:marBottom w:val="0"/>
          <w:divBdr>
            <w:top w:val="none" w:sz="0" w:space="0" w:color="auto"/>
            <w:left w:val="none" w:sz="0" w:space="0" w:color="auto"/>
            <w:bottom w:val="none" w:sz="0" w:space="0" w:color="auto"/>
            <w:right w:val="none" w:sz="0" w:space="0" w:color="auto"/>
          </w:divBdr>
          <w:divsChild>
            <w:div w:id="503982204">
              <w:marLeft w:val="0"/>
              <w:marRight w:val="0"/>
              <w:marTop w:val="0"/>
              <w:marBottom w:val="0"/>
              <w:divBdr>
                <w:top w:val="none" w:sz="0" w:space="0" w:color="auto"/>
                <w:left w:val="none" w:sz="0" w:space="0" w:color="auto"/>
                <w:bottom w:val="none" w:sz="0" w:space="0" w:color="auto"/>
                <w:right w:val="none" w:sz="0" w:space="0" w:color="auto"/>
              </w:divBdr>
            </w:div>
          </w:divsChild>
        </w:div>
        <w:div w:id="1130978131">
          <w:marLeft w:val="0"/>
          <w:marRight w:val="0"/>
          <w:marTop w:val="0"/>
          <w:marBottom w:val="0"/>
          <w:divBdr>
            <w:top w:val="none" w:sz="0" w:space="0" w:color="auto"/>
            <w:left w:val="none" w:sz="0" w:space="0" w:color="auto"/>
            <w:bottom w:val="none" w:sz="0" w:space="0" w:color="auto"/>
            <w:right w:val="none" w:sz="0" w:space="0" w:color="auto"/>
          </w:divBdr>
          <w:divsChild>
            <w:div w:id="310671180">
              <w:marLeft w:val="0"/>
              <w:marRight w:val="0"/>
              <w:marTop w:val="0"/>
              <w:marBottom w:val="0"/>
              <w:divBdr>
                <w:top w:val="none" w:sz="0" w:space="0" w:color="auto"/>
                <w:left w:val="none" w:sz="0" w:space="0" w:color="auto"/>
                <w:bottom w:val="none" w:sz="0" w:space="0" w:color="auto"/>
                <w:right w:val="none" w:sz="0" w:space="0" w:color="auto"/>
              </w:divBdr>
            </w:div>
          </w:divsChild>
        </w:div>
        <w:div w:id="944918326">
          <w:marLeft w:val="0"/>
          <w:marRight w:val="0"/>
          <w:marTop w:val="0"/>
          <w:marBottom w:val="0"/>
          <w:divBdr>
            <w:top w:val="none" w:sz="0" w:space="0" w:color="auto"/>
            <w:left w:val="none" w:sz="0" w:space="0" w:color="auto"/>
            <w:bottom w:val="none" w:sz="0" w:space="0" w:color="auto"/>
            <w:right w:val="none" w:sz="0" w:space="0" w:color="auto"/>
          </w:divBdr>
          <w:divsChild>
            <w:div w:id="519273872">
              <w:marLeft w:val="0"/>
              <w:marRight w:val="0"/>
              <w:marTop w:val="0"/>
              <w:marBottom w:val="0"/>
              <w:divBdr>
                <w:top w:val="none" w:sz="0" w:space="0" w:color="auto"/>
                <w:left w:val="none" w:sz="0" w:space="0" w:color="auto"/>
                <w:bottom w:val="none" w:sz="0" w:space="0" w:color="auto"/>
                <w:right w:val="none" w:sz="0" w:space="0" w:color="auto"/>
              </w:divBdr>
            </w:div>
          </w:divsChild>
        </w:div>
        <w:div w:id="940262507">
          <w:marLeft w:val="0"/>
          <w:marRight w:val="0"/>
          <w:marTop w:val="0"/>
          <w:marBottom w:val="0"/>
          <w:divBdr>
            <w:top w:val="none" w:sz="0" w:space="0" w:color="auto"/>
            <w:left w:val="none" w:sz="0" w:space="0" w:color="auto"/>
            <w:bottom w:val="none" w:sz="0" w:space="0" w:color="auto"/>
            <w:right w:val="none" w:sz="0" w:space="0" w:color="auto"/>
          </w:divBdr>
          <w:divsChild>
            <w:div w:id="1894584906">
              <w:marLeft w:val="0"/>
              <w:marRight w:val="0"/>
              <w:marTop w:val="0"/>
              <w:marBottom w:val="0"/>
              <w:divBdr>
                <w:top w:val="none" w:sz="0" w:space="0" w:color="auto"/>
                <w:left w:val="none" w:sz="0" w:space="0" w:color="auto"/>
                <w:bottom w:val="none" w:sz="0" w:space="0" w:color="auto"/>
                <w:right w:val="none" w:sz="0" w:space="0" w:color="auto"/>
              </w:divBdr>
            </w:div>
          </w:divsChild>
        </w:div>
        <w:div w:id="1149323370">
          <w:marLeft w:val="0"/>
          <w:marRight w:val="0"/>
          <w:marTop w:val="0"/>
          <w:marBottom w:val="0"/>
          <w:divBdr>
            <w:top w:val="none" w:sz="0" w:space="0" w:color="auto"/>
            <w:left w:val="none" w:sz="0" w:space="0" w:color="auto"/>
            <w:bottom w:val="none" w:sz="0" w:space="0" w:color="auto"/>
            <w:right w:val="none" w:sz="0" w:space="0" w:color="auto"/>
          </w:divBdr>
          <w:divsChild>
            <w:div w:id="1476944638">
              <w:marLeft w:val="0"/>
              <w:marRight w:val="0"/>
              <w:marTop w:val="0"/>
              <w:marBottom w:val="0"/>
              <w:divBdr>
                <w:top w:val="none" w:sz="0" w:space="0" w:color="auto"/>
                <w:left w:val="none" w:sz="0" w:space="0" w:color="auto"/>
                <w:bottom w:val="none" w:sz="0" w:space="0" w:color="auto"/>
                <w:right w:val="none" w:sz="0" w:space="0" w:color="auto"/>
              </w:divBdr>
            </w:div>
          </w:divsChild>
        </w:div>
        <w:div w:id="1086220881">
          <w:marLeft w:val="0"/>
          <w:marRight w:val="0"/>
          <w:marTop w:val="0"/>
          <w:marBottom w:val="0"/>
          <w:divBdr>
            <w:top w:val="none" w:sz="0" w:space="0" w:color="auto"/>
            <w:left w:val="none" w:sz="0" w:space="0" w:color="auto"/>
            <w:bottom w:val="none" w:sz="0" w:space="0" w:color="auto"/>
            <w:right w:val="none" w:sz="0" w:space="0" w:color="auto"/>
          </w:divBdr>
          <w:divsChild>
            <w:div w:id="745764947">
              <w:marLeft w:val="0"/>
              <w:marRight w:val="0"/>
              <w:marTop w:val="0"/>
              <w:marBottom w:val="0"/>
              <w:divBdr>
                <w:top w:val="none" w:sz="0" w:space="0" w:color="auto"/>
                <w:left w:val="none" w:sz="0" w:space="0" w:color="auto"/>
                <w:bottom w:val="none" w:sz="0" w:space="0" w:color="auto"/>
                <w:right w:val="none" w:sz="0" w:space="0" w:color="auto"/>
              </w:divBdr>
            </w:div>
          </w:divsChild>
        </w:div>
        <w:div w:id="823354594">
          <w:marLeft w:val="0"/>
          <w:marRight w:val="0"/>
          <w:marTop w:val="0"/>
          <w:marBottom w:val="0"/>
          <w:divBdr>
            <w:top w:val="none" w:sz="0" w:space="0" w:color="auto"/>
            <w:left w:val="none" w:sz="0" w:space="0" w:color="auto"/>
            <w:bottom w:val="none" w:sz="0" w:space="0" w:color="auto"/>
            <w:right w:val="none" w:sz="0" w:space="0" w:color="auto"/>
          </w:divBdr>
          <w:divsChild>
            <w:div w:id="1008288414">
              <w:marLeft w:val="0"/>
              <w:marRight w:val="0"/>
              <w:marTop w:val="0"/>
              <w:marBottom w:val="0"/>
              <w:divBdr>
                <w:top w:val="none" w:sz="0" w:space="0" w:color="auto"/>
                <w:left w:val="none" w:sz="0" w:space="0" w:color="auto"/>
                <w:bottom w:val="none" w:sz="0" w:space="0" w:color="auto"/>
                <w:right w:val="none" w:sz="0" w:space="0" w:color="auto"/>
              </w:divBdr>
            </w:div>
          </w:divsChild>
        </w:div>
        <w:div w:id="505096635">
          <w:marLeft w:val="0"/>
          <w:marRight w:val="0"/>
          <w:marTop w:val="0"/>
          <w:marBottom w:val="0"/>
          <w:divBdr>
            <w:top w:val="none" w:sz="0" w:space="0" w:color="auto"/>
            <w:left w:val="none" w:sz="0" w:space="0" w:color="auto"/>
            <w:bottom w:val="none" w:sz="0" w:space="0" w:color="auto"/>
            <w:right w:val="none" w:sz="0" w:space="0" w:color="auto"/>
          </w:divBdr>
          <w:divsChild>
            <w:div w:id="1518620855">
              <w:marLeft w:val="0"/>
              <w:marRight w:val="0"/>
              <w:marTop w:val="0"/>
              <w:marBottom w:val="0"/>
              <w:divBdr>
                <w:top w:val="none" w:sz="0" w:space="0" w:color="auto"/>
                <w:left w:val="none" w:sz="0" w:space="0" w:color="auto"/>
                <w:bottom w:val="none" w:sz="0" w:space="0" w:color="auto"/>
                <w:right w:val="none" w:sz="0" w:space="0" w:color="auto"/>
              </w:divBdr>
            </w:div>
          </w:divsChild>
        </w:div>
        <w:div w:id="734209269">
          <w:marLeft w:val="0"/>
          <w:marRight w:val="0"/>
          <w:marTop w:val="0"/>
          <w:marBottom w:val="0"/>
          <w:divBdr>
            <w:top w:val="none" w:sz="0" w:space="0" w:color="auto"/>
            <w:left w:val="none" w:sz="0" w:space="0" w:color="auto"/>
            <w:bottom w:val="none" w:sz="0" w:space="0" w:color="auto"/>
            <w:right w:val="none" w:sz="0" w:space="0" w:color="auto"/>
          </w:divBdr>
          <w:divsChild>
            <w:div w:id="157575907">
              <w:marLeft w:val="0"/>
              <w:marRight w:val="0"/>
              <w:marTop w:val="0"/>
              <w:marBottom w:val="0"/>
              <w:divBdr>
                <w:top w:val="none" w:sz="0" w:space="0" w:color="auto"/>
                <w:left w:val="none" w:sz="0" w:space="0" w:color="auto"/>
                <w:bottom w:val="none" w:sz="0" w:space="0" w:color="auto"/>
                <w:right w:val="none" w:sz="0" w:space="0" w:color="auto"/>
              </w:divBdr>
            </w:div>
          </w:divsChild>
        </w:div>
        <w:div w:id="637495534">
          <w:marLeft w:val="0"/>
          <w:marRight w:val="0"/>
          <w:marTop w:val="0"/>
          <w:marBottom w:val="0"/>
          <w:divBdr>
            <w:top w:val="none" w:sz="0" w:space="0" w:color="auto"/>
            <w:left w:val="none" w:sz="0" w:space="0" w:color="auto"/>
            <w:bottom w:val="none" w:sz="0" w:space="0" w:color="auto"/>
            <w:right w:val="none" w:sz="0" w:space="0" w:color="auto"/>
          </w:divBdr>
          <w:divsChild>
            <w:div w:id="1840998261">
              <w:marLeft w:val="0"/>
              <w:marRight w:val="0"/>
              <w:marTop w:val="0"/>
              <w:marBottom w:val="0"/>
              <w:divBdr>
                <w:top w:val="none" w:sz="0" w:space="0" w:color="auto"/>
                <w:left w:val="none" w:sz="0" w:space="0" w:color="auto"/>
                <w:bottom w:val="none" w:sz="0" w:space="0" w:color="auto"/>
                <w:right w:val="none" w:sz="0" w:space="0" w:color="auto"/>
              </w:divBdr>
            </w:div>
          </w:divsChild>
        </w:div>
        <w:div w:id="674958609">
          <w:marLeft w:val="0"/>
          <w:marRight w:val="0"/>
          <w:marTop w:val="0"/>
          <w:marBottom w:val="0"/>
          <w:divBdr>
            <w:top w:val="none" w:sz="0" w:space="0" w:color="auto"/>
            <w:left w:val="none" w:sz="0" w:space="0" w:color="auto"/>
            <w:bottom w:val="none" w:sz="0" w:space="0" w:color="auto"/>
            <w:right w:val="none" w:sz="0" w:space="0" w:color="auto"/>
          </w:divBdr>
          <w:divsChild>
            <w:div w:id="512653235">
              <w:marLeft w:val="0"/>
              <w:marRight w:val="0"/>
              <w:marTop w:val="0"/>
              <w:marBottom w:val="0"/>
              <w:divBdr>
                <w:top w:val="none" w:sz="0" w:space="0" w:color="auto"/>
                <w:left w:val="none" w:sz="0" w:space="0" w:color="auto"/>
                <w:bottom w:val="none" w:sz="0" w:space="0" w:color="auto"/>
                <w:right w:val="none" w:sz="0" w:space="0" w:color="auto"/>
              </w:divBdr>
            </w:div>
          </w:divsChild>
        </w:div>
        <w:div w:id="1321498531">
          <w:marLeft w:val="0"/>
          <w:marRight w:val="0"/>
          <w:marTop w:val="0"/>
          <w:marBottom w:val="0"/>
          <w:divBdr>
            <w:top w:val="none" w:sz="0" w:space="0" w:color="auto"/>
            <w:left w:val="none" w:sz="0" w:space="0" w:color="auto"/>
            <w:bottom w:val="none" w:sz="0" w:space="0" w:color="auto"/>
            <w:right w:val="none" w:sz="0" w:space="0" w:color="auto"/>
          </w:divBdr>
          <w:divsChild>
            <w:div w:id="1658221638">
              <w:marLeft w:val="0"/>
              <w:marRight w:val="0"/>
              <w:marTop w:val="0"/>
              <w:marBottom w:val="0"/>
              <w:divBdr>
                <w:top w:val="none" w:sz="0" w:space="0" w:color="auto"/>
                <w:left w:val="none" w:sz="0" w:space="0" w:color="auto"/>
                <w:bottom w:val="none" w:sz="0" w:space="0" w:color="auto"/>
                <w:right w:val="none" w:sz="0" w:space="0" w:color="auto"/>
              </w:divBdr>
            </w:div>
          </w:divsChild>
        </w:div>
        <w:div w:id="704718169">
          <w:marLeft w:val="0"/>
          <w:marRight w:val="0"/>
          <w:marTop w:val="0"/>
          <w:marBottom w:val="0"/>
          <w:divBdr>
            <w:top w:val="none" w:sz="0" w:space="0" w:color="auto"/>
            <w:left w:val="none" w:sz="0" w:space="0" w:color="auto"/>
            <w:bottom w:val="none" w:sz="0" w:space="0" w:color="auto"/>
            <w:right w:val="none" w:sz="0" w:space="0" w:color="auto"/>
          </w:divBdr>
          <w:divsChild>
            <w:div w:id="1181554597">
              <w:marLeft w:val="0"/>
              <w:marRight w:val="0"/>
              <w:marTop w:val="0"/>
              <w:marBottom w:val="0"/>
              <w:divBdr>
                <w:top w:val="none" w:sz="0" w:space="0" w:color="auto"/>
                <w:left w:val="none" w:sz="0" w:space="0" w:color="auto"/>
                <w:bottom w:val="none" w:sz="0" w:space="0" w:color="auto"/>
                <w:right w:val="none" w:sz="0" w:space="0" w:color="auto"/>
              </w:divBdr>
            </w:div>
          </w:divsChild>
        </w:div>
        <w:div w:id="1438595691">
          <w:marLeft w:val="0"/>
          <w:marRight w:val="0"/>
          <w:marTop w:val="0"/>
          <w:marBottom w:val="0"/>
          <w:divBdr>
            <w:top w:val="none" w:sz="0" w:space="0" w:color="auto"/>
            <w:left w:val="none" w:sz="0" w:space="0" w:color="auto"/>
            <w:bottom w:val="none" w:sz="0" w:space="0" w:color="auto"/>
            <w:right w:val="none" w:sz="0" w:space="0" w:color="auto"/>
          </w:divBdr>
          <w:divsChild>
            <w:div w:id="1433013645">
              <w:marLeft w:val="0"/>
              <w:marRight w:val="0"/>
              <w:marTop w:val="0"/>
              <w:marBottom w:val="0"/>
              <w:divBdr>
                <w:top w:val="none" w:sz="0" w:space="0" w:color="auto"/>
                <w:left w:val="none" w:sz="0" w:space="0" w:color="auto"/>
                <w:bottom w:val="none" w:sz="0" w:space="0" w:color="auto"/>
                <w:right w:val="none" w:sz="0" w:space="0" w:color="auto"/>
              </w:divBdr>
            </w:div>
          </w:divsChild>
        </w:div>
        <w:div w:id="894894511">
          <w:marLeft w:val="0"/>
          <w:marRight w:val="0"/>
          <w:marTop w:val="0"/>
          <w:marBottom w:val="0"/>
          <w:divBdr>
            <w:top w:val="none" w:sz="0" w:space="0" w:color="auto"/>
            <w:left w:val="none" w:sz="0" w:space="0" w:color="auto"/>
            <w:bottom w:val="none" w:sz="0" w:space="0" w:color="auto"/>
            <w:right w:val="none" w:sz="0" w:space="0" w:color="auto"/>
          </w:divBdr>
          <w:divsChild>
            <w:div w:id="809521719">
              <w:marLeft w:val="0"/>
              <w:marRight w:val="0"/>
              <w:marTop w:val="0"/>
              <w:marBottom w:val="0"/>
              <w:divBdr>
                <w:top w:val="none" w:sz="0" w:space="0" w:color="auto"/>
                <w:left w:val="none" w:sz="0" w:space="0" w:color="auto"/>
                <w:bottom w:val="none" w:sz="0" w:space="0" w:color="auto"/>
                <w:right w:val="none" w:sz="0" w:space="0" w:color="auto"/>
              </w:divBdr>
            </w:div>
          </w:divsChild>
        </w:div>
        <w:div w:id="730539051">
          <w:marLeft w:val="0"/>
          <w:marRight w:val="0"/>
          <w:marTop w:val="0"/>
          <w:marBottom w:val="0"/>
          <w:divBdr>
            <w:top w:val="none" w:sz="0" w:space="0" w:color="auto"/>
            <w:left w:val="none" w:sz="0" w:space="0" w:color="auto"/>
            <w:bottom w:val="none" w:sz="0" w:space="0" w:color="auto"/>
            <w:right w:val="none" w:sz="0" w:space="0" w:color="auto"/>
          </w:divBdr>
          <w:divsChild>
            <w:div w:id="341472562">
              <w:marLeft w:val="0"/>
              <w:marRight w:val="0"/>
              <w:marTop w:val="0"/>
              <w:marBottom w:val="0"/>
              <w:divBdr>
                <w:top w:val="none" w:sz="0" w:space="0" w:color="auto"/>
                <w:left w:val="none" w:sz="0" w:space="0" w:color="auto"/>
                <w:bottom w:val="none" w:sz="0" w:space="0" w:color="auto"/>
                <w:right w:val="none" w:sz="0" w:space="0" w:color="auto"/>
              </w:divBdr>
            </w:div>
          </w:divsChild>
        </w:div>
        <w:div w:id="1472750829">
          <w:marLeft w:val="0"/>
          <w:marRight w:val="0"/>
          <w:marTop w:val="0"/>
          <w:marBottom w:val="0"/>
          <w:divBdr>
            <w:top w:val="none" w:sz="0" w:space="0" w:color="auto"/>
            <w:left w:val="none" w:sz="0" w:space="0" w:color="auto"/>
            <w:bottom w:val="none" w:sz="0" w:space="0" w:color="auto"/>
            <w:right w:val="none" w:sz="0" w:space="0" w:color="auto"/>
          </w:divBdr>
          <w:divsChild>
            <w:div w:id="467821256">
              <w:marLeft w:val="0"/>
              <w:marRight w:val="0"/>
              <w:marTop w:val="0"/>
              <w:marBottom w:val="0"/>
              <w:divBdr>
                <w:top w:val="none" w:sz="0" w:space="0" w:color="auto"/>
                <w:left w:val="none" w:sz="0" w:space="0" w:color="auto"/>
                <w:bottom w:val="none" w:sz="0" w:space="0" w:color="auto"/>
                <w:right w:val="none" w:sz="0" w:space="0" w:color="auto"/>
              </w:divBdr>
            </w:div>
            <w:div w:id="1794592525">
              <w:marLeft w:val="0"/>
              <w:marRight w:val="0"/>
              <w:marTop w:val="0"/>
              <w:marBottom w:val="0"/>
              <w:divBdr>
                <w:top w:val="none" w:sz="0" w:space="0" w:color="auto"/>
                <w:left w:val="none" w:sz="0" w:space="0" w:color="auto"/>
                <w:bottom w:val="none" w:sz="0" w:space="0" w:color="auto"/>
                <w:right w:val="none" w:sz="0" w:space="0" w:color="auto"/>
              </w:divBdr>
            </w:div>
          </w:divsChild>
        </w:div>
        <w:div w:id="1154760590">
          <w:marLeft w:val="0"/>
          <w:marRight w:val="0"/>
          <w:marTop w:val="0"/>
          <w:marBottom w:val="0"/>
          <w:divBdr>
            <w:top w:val="none" w:sz="0" w:space="0" w:color="auto"/>
            <w:left w:val="none" w:sz="0" w:space="0" w:color="auto"/>
            <w:bottom w:val="none" w:sz="0" w:space="0" w:color="auto"/>
            <w:right w:val="none" w:sz="0" w:space="0" w:color="auto"/>
          </w:divBdr>
          <w:divsChild>
            <w:div w:id="1810246427">
              <w:marLeft w:val="0"/>
              <w:marRight w:val="0"/>
              <w:marTop w:val="0"/>
              <w:marBottom w:val="0"/>
              <w:divBdr>
                <w:top w:val="none" w:sz="0" w:space="0" w:color="auto"/>
                <w:left w:val="none" w:sz="0" w:space="0" w:color="auto"/>
                <w:bottom w:val="none" w:sz="0" w:space="0" w:color="auto"/>
                <w:right w:val="none" w:sz="0" w:space="0" w:color="auto"/>
              </w:divBdr>
            </w:div>
          </w:divsChild>
        </w:div>
        <w:div w:id="2115242786">
          <w:marLeft w:val="0"/>
          <w:marRight w:val="0"/>
          <w:marTop w:val="0"/>
          <w:marBottom w:val="0"/>
          <w:divBdr>
            <w:top w:val="none" w:sz="0" w:space="0" w:color="auto"/>
            <w:left w:val="none" w:sz="0" w:space="0" w:color="auto"/>
            <w:bottom w:val="none" w:sz="0" w:space="0" w:color="auto"/>
            <w:right w:val="none" w:sz="0" w:space="0" w:color="auto"/>
          </w:divBdr>
          <w:divsChild>
            <w:div w:id="1373577315">
              <w:marLeft w:val="0"/>
              <w:marRight w:val="0"/>
              <w:marTop w:val="0"/>
              <w:marBottom w:val="0"/>
              <w:divBdr>
                <w:top w:val="none" w:sz="0" w:space="0" w:color="auto"/>
                <w:left w:val="none" w:sz="0" w:space="0" w:color="auto"/>
                <w:bottom w:val="none" w:sz="0" w:space="0" w:color="auto"/>
                <w:right w:val="none" w:sz="0" w:space="0" w:color="auto"/>
              </w:divBdr>
            </w:div>
          </w:divsChild>
        </w:div>
        <w:div w:id="604457367">
          <w:marLeft w:val="0"/>
          <w:marRight w:val="0"/>
          <w:marTop w:val="0"/>
          <w:marBottom w:val="0"/>
          <w:divBdr>
            <w:top w:val="none" w:sz="0" w:space="0" w:color="auto"/>
            <w:left w:val="none" w:sz="0" w:space="0" w:color="auto"/>
            <w:bottom w:val="none" w:sz="0" w:space="0" w:color="auto"/>
            <w:right w:val="none" w:sz="0" w:space="0" w:color="auto"/>
          </w:divBdr>
          <w:divsChild>
            <w:div w:id="724522384">
              <w:marLeft w:val="0"/>
              <w:marRight w:val="0"/>
              <w:marTop w:val="0"/>
              <w:marBottom w:val="0"/>
              <w:divBdr>
                <w:top w:val="none" w:sz="0" w:space="0" w:color="auto"/>
                <w:left w:val="none" w:sz="0" w:space="0" w:color="auto"/>
                <w:bottom w:val="none" w:sz="0" w:space="0" w:color="auto"/>
                <w:right w:val="none" w:sz="0" w:space="0" w:color="auto"/>
              </w:divBdr>
            </w:div>
          </w:divsChild>
        </w:div>
        <w:div w:id="21444455">
          <w:marLeft w:val="0"/>
          <w:marRight w:val="0"/>
          <w:marTop w:val="0"/>
          <w:marBottom w:val="0"/>
          <w:divBdr>
            <w:top w:val="none" w:sz="0" w:space="0" w:color="auto"/>
            <w:left w:val="none" w:sz="0" w:space="0" w:color="auto"/>
            <w:bottom w:val="none" w:sz="0" w:space="0" w:color="auto"/>
            <w:right w:val="none" w:sz="0" w:space="0" w:color="auto"/>
          </w:divBdr>
          <w:divsChild>
            <w:div w:id="1135752843">
              <w:marLeft w:val="0"/>
              <w:marRight w:val="0"/>
              <w:marTop w:val="0"/>
              <w:marBottom w:val="0"/>
              <w:divBdr>
                <w:top w:val="none" w:sz="0" w:space="0" w:color="auto"/>
                <w:left w:val="none" w:sz="0" w:space="0" w:color="auto"/>
                <w:bottom w:val="none" w:sz="0" w:space="0" w:color="auto"/>
                <w:right w:val="none" w:sz="0" w:space="0" w:color="auto"/>
              </w:divBdr>
            </w:div>
          </w:divsChild>
        </w:div>
        <w:div w:id="771515980">
          <w:marLeft w:val="0"/>
          <w:marRight w:val="0"/>
          <w:marTop w:val="0"/>
          <w:marBottom w:val="0"/>
          <w:divBdr>
            <w:top w:val="none" w:sz="0" w:space="0" w:color="auto"/>
            <w:left w:val="none" w:sz="0" w:space="0" w:color="auto"/>
            <w:bottom w:val="none" w:sz="0" w:space="0" w:color="auto"/>
            <w:right w:val="none" w:sz="0" w:space="0" w:color="auto"/>
          </w:divBdr>
          <w:divsChild>
            <w:div w:id="75175452">
              <w:marLeft w:val="0"/>
              <w:marRight w:val="0"/>
              <w:marTop w:val="0"/>
              <w:marBottom w:val="0"/>
              <w:divBdr>
                <w:top w:val="none" w:sz="0" w:space="0" w:color="auto"/>
                <w:left w:val="none" w:sz="0" w:space="0" w:color="auto"/>
                <w:bottom w:val="none" w:sz="0" w:space="0" w:color="auto"/>
                <w:right w:val="none" w:sz="0" w:space="0" w:color="auto"/>
              </w:divBdr>
            </w:div>
          </w:divsChild>
        </w:div>
        <w:div w:id="2061241794">
          <w:marLeft w:val="0"/>
          <w:marRight w:val="0"/>
          <w:marTop w:val="0"/>
          <w:marBottom w:val="0"/>
          <w:divBdr>
            <w:top w:val="none" w:sz="0" w:space="0" w:color="auto"/>
            <w:left w:val="none" w:sz="0" w:space="0" w:color="auto"/>
            <w:bottom w:val="none" w:sz="0" w:space="0" w:color="auto"/>
            <w:right w:val="none" w:sz="0" w:space="0" w:color="auto"/>
          </w:divBdr>
          <w:divsChild>
            <w:div w:id="670445888">
              <w:marLeft w:val="0"/>
              <w:marRight w:val="0"/>
              <w:marTop w:val="0"/>
              <w:marBottom w:val="0"/>
              <w:divBdr>
                <w:top w:val="none" w:sz="0" w:space="0" w:color="auto"/>
                <w:left w:val="none" w:sz="0" w:space="0" w:color="auto"/>
                <w:bottom w:val="none" w:sz="0" w:space="0" w:color="auto"/>
                <w:right w:val="none" w:sz="0" w:space="0" w:color="auto"/>
              </w:divBdr>
            </w:div>
          </w:divsChild>
        </w:div>
        <w:div w:id="1925335646">
          <w:marLeft w:val="0"/>
          <w:marRight w:val="0"/>
          <w:marTop w:val="0"/>
          <w:marBottom w:val="0"/>
          <w:divBdr>
            <w:top w:val="none" w:sz="0" w:space="0" w:color="auto"/>
            <w:left w:val="none" w:sz="0" w:space="0" w:color="auto"/>
            <w:bottom w:val="none" w:sz="0" w:space="0" w:color="auto"/>
            <w:right w:val="none" w:sz="0" w:space="0" w:color="auto"/>
          </w:divBdr>
          <w:divsChild>
            <w:div w:id="1629704157">
              <w:marLeft w:val="0"/>
              <w:marRight w:val="0"/>
              <w:marTop w:val="0"/>
              <w:marBottom w:val="0"/>
              <w:divBdr>
                <w:top w:val="none" w:sz="0" w:space="0" w:color="auto"/>
                <w:left w:val="none" w:sz="0" w:space="0" w:color="auto"/>
                <w:bottom w:val="none" w:sz="0" w:space="0" w:color="auto"/>
                <w:right w:val="none" w:sz="0" w:space="0" w:color="auto"/>
              </w:divBdr>
            </w:div>
          </w:divsChild>
        </w:div>
        <w:div w:id="1277755641">
          <w:marLeft w:val="0"/>
          <w:marRight w:val="0"/>
          <w:marTop w:val="0"/>
          <w:marBottom w:val="0"/>
          <w:divBdr>
            <w:top w:val="none" w:sz="0" w:space="0" w:color="auto"/>
            <w:left w:val="none" w:sz="0" w:space="0" w:color="auto"/>
            <w:bottom w:val="none" w:sz="0" w:space="0" w:color="auto"/>
            <w:right w:val="none" w:sz="0" w:space="0" w:color="auto"/>
          </w:divBdr>
          <w:divsChild>
            <w:div w:id="186454079">
              <w:marLeft w:val="0"/>
              <w:marRight w:val="0"/>
              <w:marTop w:val="0"/>
              <w:marBottom w:val="0"/>
              <w:divBdr>
                <w:top w:val="none" w:sz="0" w:space="0" w:color="auto"/>
                <w:left w:val="none" w:sz="0" w:space="0" w:color="auto"/>
                <w:bottom w:val="none" w:sz="0" w:space="0" w:color="auto"/>
                <w:right w:val="none" w:sz="0" w:space="0" w:color="auto"/>
              </w:divBdr>
            </w:div>
          </w:divsChild>
        </w:div>
        <w:div w:id="403531291">
          <w:marLeft w:val="0"/>
          <w:marRight w:val="0"/>
          <w:marTop w:val="0"/>
          <w:marBottom w:val="0"/>
          <w:divBdr>
            <w:top w:val="none" w:sz="0" w:space="0" w:color="auto"/>
            <w:left w:val="none" w:sz="0" w:space="0" w:color="auto"/>
            <w:bottom w:val="none" w:sz="0" w:space="0" w:color="auto"/>
            <w:right w:val="none" w:sz="0" w:space="0" w:color="auto"/>
          </w:divBdr>
          <w:divsChild>
            <w:div w:id="1476727386">
              <w:marLeft w:val="0"/>
              <w:marRight w:val="0"/>
              <w:marTop w:val="0"/>
              <w:marBottom w:val="0"/>
              <w:divBdr>
                <w:top w:val="none" w:sz="0" w:space="0" w:color="auto"/>
                <w:left w:val="none" w:sz="0" w:space="0" w:color="auto"/>
                <w:bottom w:val="none" w:sz="0" w:space="0" w:color="auto"/>
                <w:right w:val="none" w:sz="0" w:space="0" w:color="auto"/>
              </w:divBdr>
            </w:div>
          </w:divsChild>
        </w:div>
        <w:div w:id="2073574347">
          <w:marLeft w:val="0"/>
          <w:marRight w:val="0"/>
          <w:marTop w:val="0"/>
          <w:marBottom w:val="0"/>
          <w:divBdr>
            <w:top w:val="none" w:sz="0" w:space="0" w:color="auto"/>
            <w:left w:val="none" w:sz="0" w:space="0" w:color="auto"/>
            <w:bottom w:val="none" w:sz="0" w:space="0" w:color="auto"/>
            <w:right w:val="none" w:sz="0" w:space="0" w:color="auto"/>
          </w:divBdr>
          <w:divsChild>
            <w:div w:id="1339577897">
              <w:marLeft w:val="0"/>
              <w:marRight w:val="0"/>
              <w:marTop w:val="0"/>
              <w:marBottom w:val="0"/>
              <w:divBdr>
                <w:top w:val="none" w:sz="0" w:space="0" w:color="auto"/>
                <w:left w:val="none" w:sz="0" w:space="0" w:color="auto"/>
                <w:bottom w:val="none" w:sz="0" w:space="0" w:color="auto"/>
                <w:right w:val="none" w:sz="0" w:space="0" w:color="auto"/>
              </w:divBdr>
            </w:div>
          </w:divsChild>
        </w:div>
        <w:div w:id="1147356538">
          <w:marLeft w:val="0"/>
          <w:marRight w:val="0"/>
          <w:marTop w:val="0"/>
          <w:marBottom w:val="0"/>
          <w:divBdr>
            <w:top w:val="none" w:sz="0" w:space="0" w:color="auto"/>
            <w:left w:val="none" w:sz="0" w:space="0" w:color="auto"/>
            <w:bottom w:val="none" w:sz="0" w:space="0" w:color="auto"/>
            <w:right w:val="none" w:sz="0" w:space="0" w:color="auto"/>
          </w:divBdr>
          <w:divsChild>
            <w:div w:id="1895113836">
              <w:marLeft w:val="0"/>
              <w:marRight w:val="0"/>
              <w:marTop w:val="0"/>
              <w:marBottom w:val="0"/>
              <w:divBdr>
                <w:top w:val="none" w:sz="0" w:space="0" w:color="auto"/>
                <w:left w:val="none" w:sz="0" w:space="0" w:color="auto"/>
                <w:bottom w:val="none" w:sz="0" w:space="0" w:color="auto"/>
                <w:right w:val="none" w:sz="0" w:space="0" w:color="auto"/>
              </w:divBdr>
            </w:div>
          </w:divsChild>
        </w:div>
        <w:div w:id="1840582700">
          <w:marLeft w:val="0"/>
          <w:marRight w:val="0"/>
          <w:marTop w:val="0"/>
          <w:marBottom w:val="0"/>
          <w:divBdr>
            <w:top w:val="none" w:sz="0" w:space="0" w:color="auto"/>
            <w:left w:val="none" w:sz="0" w:space="0" w:color="auto"/>
            <w:bottom w:val="none" w:sz="0" w:space="0" w:color="auto"/>
            <w:right w:val="none" w:sz="0" w:space="0" w:color="auto"/>
          </w:divBdr>
          <w:divsChild>
            <w:div w:id="1953171890">
              <w:marLeft w:val="0"/>
              <w:marRight w:val="0"/>
              <w:marTop w:val="0"/>
              <w:marBottom w:val="0"/>
              <w:divBdr>
                <w:top w:val="none" w:sz="0" w:space="0" w:color="auto"/>
                <w:left w:val="none" w:sz="0" w:space="0" w:color="auto"/>
                <w:bottom w:val="none" w:sz="0" w:space="0" w:color="auto"/>
                <w:right w:val="none" w:sz="0" w:space="0" w:color="auto"/>
              </w:divBdr>
            </w:div>
          </w:divsChild>
        </w:div>
        <w:div w:id="1487741541">
          <w:marLeft w:val="0"/>
          <w:marRight w:val="0"/>
          <w:marTop w:val="0"/>
          <w:marBottom w:val="0"/>
          <w:divBdr>
            <w:top w:val="none" w:sz="0" w:space="0" w:color="auto"/>
            <w:left w:val="none" w:sz="0" w:space="0" w:color="auto"/>
            <w:bottom w:val="none" w:sz="0" w:space="0" w:color="auto"/>
            <w:right w:val="none" w:sz="0" w:space="0" w:color="auto"/>
          </w:divBdr>
          <w:divsChild>
            <w:div w:id="2100297997">
              <w:marLeft w:val="0"/>
              <w:marRight w:val="0"/>
              <w:marTop w:val="0"/>
              <w:marBottom w:val="0"/>
              <w:divBdr>
                <w:top w:val="none" w:sz="0" w:space="0" w:color="auto"/>
                <w:left w:val="none" w:sz="0" w:space="0" w:color="auto"/>
                <w:bottom w:val="none" w:sz="0" w:space="0" w:color="auto"/>
                <w:right w:val="none" w:sz="0" w:space="0" w:color="auto"/>
              </w:divBdr>
            </w:div>
          </w:divsChild>
        </w:div>
        <w:div w:id="453016056">
          <w:marLeft w:val="0"/>
          <w:marRight w:val="0"/>
          <w:marTop w:val="0"/>
          <w:marBottom w:val="0"/>
          <w:divBdr>
            <w:top w:val="none" w:sz="0" w:space="0" w:color="auto"/>
            <w:left w:val="none" w:sz="0" w:space="0" w:color="auto"/>
            <w:bottom w:val="none" w:sz="0" w:space="0" w:color="auto"/>
            <w:right w:val="none" w:sz="0" w:space="0" w:color="auto"/>
          </w:divBdr>
          <w:divsChild>
            <w:div w:id="139081035">
              <w:marLeft w:val="0"/>
              <w:marRight w:val="0"/>
              <w:marTop w:val="0"/>
              <w:marBottom w:val="0"/>
              <w:divBdr>
                <w:top w:val="none" w:sz="0" w:space="0" w:color="auto"/>
                <w:left w:val="none" w:sz="0" w:space="0" w:color="auto"/>
                <w:bottom w:val="none" w:sz="0" w:space="0" w:color="auto"/>
                <w:right w:val="none" w:sz="0" w:space="0" w:color="auto"/>
              </w:divBdr>
            </w:div>
          </w:divsChild>
        </w:div>
        <w:div w:id="1377505901">
          <w:marLeft w:val="0"/>
          <w:marRight w:val="0"/>
          <w:marTop w:val="0"/>
          <w:marBottom w:val="0"/>
          <w:divBdr>
            <w:top w:val="none" w:sz="0" w:space="0" w:color="auto"/>
            <w:left w:val="none" w:sz="0" w:space="0" w:color="auto"/>
            <w:bottom w:val="none" w:sz="0" w:space="0" w:color="auto"/>
            <w:right w:val="none" w:sz="0" w:space="0" w:color="auto"/>
          </w:divBdr>
          <w:divsChild>
            <w:div w:id="1450203081">
              <w:marLeft w:val="0"/>
              <w:marRight w:val="0"/>
              <w:marTop w:val="0"/>
              <w:marBottom w:val="0"/>
              <w:divBdr>
                <w:top w:val="none" w:sz="0" w:space="0" w:color="auto"/>
                <w:left w:val="none" w:sz="0" w:space="0" w:color="auto"/>
                <w:bottom w:val="none" w:sz="0" w:space="0" w:color="auto"/>
                <w:right w:val="none" w:sz="0" w:space="0" w:color="auto"/>
              </w:divBdr>
            </w:div>
          </w:divsChild>
        </w:div>
        <w:div w:id="827788329">
          <w:marLeft w:val="0"/>
          <w:marRight w:val="0"/>
          <w:marTop w:val="0"/>
          <w:marBottom w:val="0"/>
          <w:divBdr>
            <w:top w:val="none" w:sz="0" w:space="0" w:color="auto"/>
            <w:left w:val="none" w:sz="0" w:space="0" w:color="auto"/>
            <w:bottom w:val="none" w:sz="0" w:space="0" w:color="auto"/>
            <w:right w:val="none" w:sz="0" w:space="0" w:color="auto"/>
          </w:divBdr>
          <w:divsChild>
            <w:div w:id="1902014506">
              <w:marLeft w:val="0"/>
              <w:marRight w:val="0"/>
              <w:marTop w:val="0"/>
              <w:marBottom w:val="0"/>
              <w:divBdr>
                <w:top w:val="none" w:sz="0" w:space="0" w:color="auto"/>
                <w:left w:val="none" w:sz="0" w:space="0" w:color="auto"/>
                <w:bottom w:val="none" w:sz="0" w:space="0" w:color="auto"/>
                <w:right w:val="none" w:sz="0" w:space="0" w:color="auto"/>
              </w:divBdr>
            </w:div>
          </w:divsChild>
        </w:div>
        <w:div w:id="1783762286">
          <w:marLeft w:val="0"/>
          <w:marRight w:val="0"/>
          <w:marTop w:val="0"/>
          <w:marBottom w:val="0"/>
          <w:divBdr>
            <w:top w:val="none" w:sz="0" w:space="0" w:color="auto"/>
            <w:left w:val="none" w:sz="0" w:space="0" w:color="auto"/>
            <w:bottom w:val="none" w:sz="0" w:space="0" w:color="auto"/>
            <w:right w:val="none" w:sz="0" w:space="0" w:color="auto"/>
          </w:divBdr>
          <w:divsChild>
            <w:div w:id="168377915">
              <w:marLeft w:val="0"/>
              <w:marRight w:val="0"/>
              <w:marTop w:val="0"/>
              <w:marBottom w:val="0"/>
              <w:divBdr>
                <w:top w:val="none" w:sz="0" w:space="0" w:color="auto"/>
                <w:left w:val="none" w:sz="0" w:space="0" w:color="auto"/>
                <w:bottom w:val="none" w:sz="0" w:space="0" w:color="auto"/>
                <w:right w:val="none" w:sz="0" w:space="0" w:color="auto"/>
              </w:divBdr>
            </w:div>
          </w:divsChild>
        </w:div>
        <w:div w:id="113982390">
          <w:marLeft w:val="0"/>
          <w:marRight w:val="0"/>
          <w:marTop w:val="0"/>
          <w:marBottom w:val="0"/>
          <w:divBdr>
            <w:top w:val="none" w:sz="0" w:space="0" w:color="auto"/>
            <w:left w:val="none" w:sz="0" w:space="0" w:color="auto"/>
            <w:bottom w:val="none" w:sz="0" w:space="0" w:color="auto"/>
            <w:right w:val="none" w:sz="0" w:space="0" w:color="auto"/>
          </w:divBdr>
          <w:divsChild>
            <w:div w:id="834418078">
              <w:marLeft w:val="0"/>
              <w:marRight w:val="0"/>
              <w:marTop w:val="0"/>
              <w:marBottom w:val="0"/>
              <w:divBdr>
                <w:top w:val="none" w:sz="0" w:space="0" w:color="auto"/>
                <w:left w:val="none" w:sz="0" w:space="0" w:color="auto"/>
                <w:bottom w:val="none" w:sz="0" w:space="0" w:color="auto"/>
                <w:right w:val="none" w:sz="0" w:space="0" w:color="auto"/>
              </w:divBdr>
            </w:div>
          </w:divsChild>
        </w:div>
        <w:div w:id="33311808">
          <w:marLeft w:val="0"/>
          <w:marRight w:val="0"/>
          <w:marTop w:val="0"/>
          <w:marBottom w:val="0"/>
          <w:divBdr>
            <w:top w:val="none" w:sz="0" w:space="0" w:color="auto"/>
            <w:left w:val="none" w:sz="0" w:space="0" w:color="auto"/>
            <w:bottom w:val="none" w:sz="0" w:space="0" w:color="auto"/>
            <w:right w:val="none" w:sz="0" w:space="0" w:color="auto"/>
          </w:divBdr>
          <w:divsChild>
            <w:div w:id="1572502737">
              <w:marLeft w:val="0"/>
              <w:marRight w:val="0"/>
              <w:marTop w:val="0"/>
              <w:marBottom w:val="0"/>
              <w:divBdr>
                <w:top w:val="none" w:sz="0" w:space="0" w:color="auto"/>
                <w:left w:val="none" w:sz="0" w:space="0" w:color="auto"/>
                <w:bottom w:val="none" w:sz="0" w:space="0" w:color="auto"/>
                <w:right w:val="none" w:sz="0" w:space="0" w:color="auto"/>
              </w:divBdr>
            </w:div>
          </w:divsChild>
        </w:div>
        <w:div w:id="426534741">
          <w:marLeft w:val="0"/>
          <w:marRight w:val="0"/>
          <w:marTop w:val="0"/>
          <w:marBottom w:val="0"/>
          <w:divBdr>
            <w:top w:val="none" w:sz="0" w:space="0" w:color="auto"/>
            <w:left w:val="none" w:sz="0" w:space="0" w:color="auto"/>
            <w:bottom w:val="none" w:sz="0" w:space="0" w:color="auto"/>
            <w:right w:val="none" w:sz="0" w:space="0" w:color="auto"/>
          </w:divBdr>
          <w:divsChild>
            <w:div w:id="1695501208">
              <w:marLeft w:val="0"/>
              <w:marRight w:val="0"/>
              <w:marTop w:val="0"/>
              <w:marBottom w:val="0"/>
              <w:divBdr>
                <w:top w:val="none" w:sz="0" w:space="0" w:color="auto"/>
                <w:left w:val="none" w:sz="0" w:space="0" w:color="auto"/>
                <w:bottom w:val="none" w:sz="0" w:space="0" w:color="auto"/>
                <w:right w:val="none" w:sz="0" w:space="0" w:color="auto"/>
              </w:divBdr>
            </w:div>
          </w:divsChild>
        </w:div>
        <w:div w:id="1749763170">
          <w:marLeft w:val="0"/>
          <w:marRight w:val="0"/>
          <w:marTop w:val="0"/>
          <w:marBottom w:val="0"/>
          <w:divBdr>
            <w:top w:val="none" w:sz="0" w:space="0" w:color="auto"/>
            <w:left w:val="none" w:sz="0" w:space="0" w:color="auto"/>
            <w:bottom w:val="none" w:sz="0" w:space="0" w:color="auto"/>
            <w:right w:val="none" w:sz="0" w:space="0" w:color="auto"/>
          </w:divBdr>
          <w:divsChild>
            <w:div w:id="1300107558">
              <w:marLeft w:val="0"/>
              <w:marRight w:val="0"/>
              <w:marTop w:val="0"/>
              <w:marBottom w:val="0"/>
              <w:divBdr>
                <w:top w:val="none" w:sz="0" w:space="0" w:color="auto"/>
                <w:left w:val="none" w:sz="0" w:space="0" w:color="auto"/>
                <w:bottom w:val="none" w:sz="0" w:space="0" w:color="auto"/>
                <w:right w:val="none" w:sz="0" w:space="0" w:color="auto"/>
              </w:divBdr>
            </w:div>
          </w:divsChild>
        </w:div>
        <w:div w:id="1673411744">
          <w:marLeft w:val="0"/>
          <w:marRight w:val="0"/>
          <w:marTop w:val="0"/>
          <w:marBottom w:val="0"/>
          <w:divBdr>
            <w:top w:val="none" w:sz="0" w:space="0" w:color="auto"/>
            <w:left w:val="none" w:sz="0" w:space="0" w:color="auto"/>
            <w:bottom w:val="none" w:sz="0" w:space="0" w:color="auto"/>
            <w:right w:val="none" w:sz="0" w:space="0" w:color="auto"/>
          </w:divBdr>
          <w:divsChild>
            <w:div w:id="18744733">
              <w:marLeft w:val="0"/>
              <w:marRight w:val="0"/>
              <w:marTop w:val="0"/>
              <w:marBottom w:val="0"/>
              <w:divBdr>
                <w:top w:val="none" w:sz="0" w:space="0" w:color="auto"/>
                <w:left w:val="none" w:sz="0" w:space="0" w:color="auto"/>
                <w:bottom w:val="none" w:sz="0" w:space="0" w:color="auto"/>
                <w:right w:val="none" w:sz="0" w:space="0" w:color="auto"/>
              </w:divBdr>
            </w:div>
          </w:divsChild>
        </w:div>
        <w:div w:id="1581989333">
          <w:marLeft w:val="0"/>
          <w:marRight w:val="0"/>
          <w:marTop w:val="0"/>
          <w:marBottom w:val="0"/>
          <w:divBdr>
            <w:top w:val="none" w:sz="0" w:space="0" w:color="auto"/>
            <w:left w:val="none" w:sz="0" w:space="0" w:color="auto"/>
            <w:bottom w:val="none" w:sz="0" w:space="0" w:color="auto"/>
            <w:right w:val="none" w:sz="0" w:space="0" w:color="auto"/>
          </w:divBdr>
          <w:divsChild>
            <w:div w:id="1397360816">
              <w:marLeft w:val="0"/>
              <w:marRight w:val="0"/>
              <w:marTop w:val="0"/>
              <w:marBottom w:val="0"/>
              <w:divBdr>
                <w:top w:val="none" w:sz="0" w:space="0" w:color="auto"/>
                <w:left w:val="none" w:sz="0" w:space="0" w:color="auto"/>
                <w:bottom w:val="none" w:sz="0" w:space="0" w:color="auto"/>
                <w:right w:val="none" w:sz="0" w:space="0" w:color="auto"/>
              </w:divBdr>
            </w:div>
          </w:divsChild>
        </w:div>
        <w:div w:id="686099196">
          <w:marLeft w:val="0"/>
          <w:marRight w:val="0"/>
          <w:marTop w:val="0"/>
          <w:marBottom w:val="0"/>
          <w:divBdr>
            <w:top w:val="none" w:sz="0" w:space="0" w:color="auto"/>
            <w:left w:val="none" w:sz="0" w:space="0" w:color="auto"/>
            <w:bottom w:val="none" w:sz="0" w:space="0" w:color="auto"/>
            <w:right w:val="none" w:sz="0" w:space="0" w:color="auto"/>
          </w:divBdr>
          <w:divsChild>
            <w:div w:id="570967489">
              <w:marLeft w:val="0"/>
              <w:marRight w:val="0"/>
              <w:marTop w:val="0"/>
              <w:marBottom w:val="0"/>
              <w:divBdr>
                <w:top w:val="none" w:sz="0" w:space="0" w:color="auto"/>
                <w:left w:val="none" w:sz="0" w:space="0" w:color="auto"/>
                <w:bottom w:val="none" w:sz="0" w:space="0" w:color="auto"/>
                <w:right w:val="none" w:sz="0" w:space="0" w:color="auto"/>
              </w:divBdr>
            </w:div>
          </w:divsChild>
        </w:div>
        <w:div w:id="1091663419">
          <w:marLeft w:val="0"/>
          <w:marRight w:val="0"/>
          <w:marTop w:val="0"/>
          <w:marBottom w:val="0"/>
          <w:divBdr>
            <w:top w:val="none" w:sz="0" w:space="0" w:color="auto"/>
            <w:left w:val="none" w:sz="0" w:space="0" w:color="auto"/>
            <w:bottom w:val="none" w:sz="0" w:space="0" w:color="auto"/>
            <w:right w:val="none" w:sz="0" w:space="0" w:color="auto"/>
          </w:divBdr>
          <w:divsChild>
            <w:div w:id="2094234598">
              <w:marLeft w:val="0"/>
              <w:marRight w:val="0"/>
              <w:marTop w:val="0"/>
              <w:marBottom w:val="0"/>
              <w:divBdr>
                <w:top w:val="none" w:sz="0" w:space="0" w:color="auto"/>
                <w:left w:val="none" w:sz="0" w:space="0" w:color="auto"/>
                <w:bottom w:val="none" w:sz="0" w:space="0" w:color="auto"/>
                <w:right w:val="none" w:sz="0" w:space="0" w:color="auto"/>
              </w:divBdr>
            </w:div>
          </w:divsChild>
        </w:div>
        <w:div w:id="368338296">
          <w:marLeft w:val="0"/>
          <w:marRight w:val="0"/>
          <w:marTop w:val="0"/>
          <w:marBottom w:val="0"/>
          <w:divBdr>
            <w:top w:val="none" w:sz="0" w:space="0" w:color="auto"/>
            <w:left w:val="none" w:sz="0" w:space="0" w:color="auto"/>
            <w:bottom w:val="none" w:sz="0" w:space="0" w:color="auto"/>
            <w:right w:val="none" w:sz="0" w:space="0" w:color="auto"/>
          </w:divBdr>
          <w:divsChild>
            <w:div w:id="1704675183">
              <w:marLeft w:val="0"/>
              <w:marRight w:val="0"/>
              <w:marTop w:val="0"/>
              <w:marBottom w:val="0"/>
              <w:divBdr>
                <w:top w:val="none" w:sz="0" w:space="0" w:color="auto"/>
                <w:left w:val="none" w:sz="0" w:space="0" w:color="auto"/>
                <w:bottom w:val="none" w:sz="0" w:space="0" w:color="auto"/>
                <w:right w:val="none" w:sz="0" w:space="0" w:color="auto"/>
              </w:divBdr>
            </w:div>
          </w:divsChild>
        </w:div>
        <w:div w:id="712771423">
          <w:marLeft w:val="0"/>
          <w:marRight w:val="0"/>
          <w:marTop w:val="0"/>
          <w:marBottom w:val="0"/>
          <w:divBdr>
            <w:top w:val="none" w:sz="0" w:space="0" w:color="auto"/>
            <w:left w:val="none" w:sz="0" w:space="0" w:color="auto"/>
            <w:bottom w:val="none" w:sz="0" w:space="0" w:color="auto"/>
            <w:right w:val="none" w:sz="0" w:space="0" w:color="auto"/>
          </w:divBdr>
          <w:divsChild>
            <w:div w:id="1564487961">
              <w:marLeft w:val="0"/>
              <w:marRight w:val="0"/>
              <w:marTop w:val="0"/>
              <w:marBottom w:val="0"/>
              <w:divBdr>
                <w:top w:val="none" w:sz="0" w:space="0" w:color="auto"/>
                <w:left w:val="none" w:sz="0" w:space="0" w:color="auto"/>
                <w:bottom w:val="none" w:sz="0" w:space="0" w:color="auto"/>
                <w:right w:val="none" w:sz="0" w:space="0" w:color="auto"/>
              </w:divBdr>
            </w:div>
          </w:divsChild>
        </w:div>
        <w:div w:id="1774518444">
          <w:marLeft w:val="0"/>
          <w:marRight w:val="0"/>
          <w:marTop w:val="0"/>
          <w:marBottom w:val="0"/>
          <w:divBdr>
            <w:top w:val="none" w:sz="0" w:space="0" w:color="auto"/>
            <w:left w:val="none" w:sz="0" w:space="0" w:color="auto"/>
            <w:bottom w:val="none" w:sz="0" w:space="0" w:color="auto"/>
            <w:right w:val="none" w:sz="0" w:space="0" w:color="auto"/>
          </w:divBdr>
          <w:divsChild>
            <w:div w:id="1574240639">
              <w:marLeft w:val="0"/>
              <w:marRight w:val="0"/>
              <w:marTop w:val="0"/>
              <w:marBottom w:val="0"/>
              <w:divBdr>
                <w:top w:val="none" w:sz="0" w:space="0" w:color="auto"/>
                <w:left w:val="none" w:sz="0" w:space="0" w:color="auto"/>
                <w:bottom w:val="none" w:sz="0" w:space="0" w:color="auto"/>
                <w:right w:val="none" w:sz="0" w:space="0" w:color="auto"/>
              </w:divBdr>
            </w:div>
          </w:divsChild>
        </w:div>
        <w:div w:id="764614393">
          <w:marLeft w:val="0"/>
          <w:marRight w:val="0"/>
          <w:marTop w:val="0"/>
          <w:marBottom w:val="0"/>
          <w:divBdr>
            <w:top w:val="none" w:sz="0" w:space="0" w:color="auto"/>
            <w:left w:val="none" w:sz="0" w:space="0" w:color="auto"/>
            <w:bottom w:val="none" w:sz="0" w:space="0" w:color="auto"/>
            <w:right w:val="none" w:sz="0" w:space="0" w:color="auto"/>
          </w:divBdr>
          <w:divsChild>
            <w:div w:id="1036589439">
              <w:marLeft w:val="0"/>
              <w:marRight w:val="0"/>
              <w:marTop w:val="0"/>
              <w:marBottom w:val="0"/>
              <w:divBdr>
                <w:top w:val="none" w:sz="0" w:space="0" w:color="auto"/>
                <w:left w:val="none" w:sz="0" w:space="0" w:color="auto"/>
                <w:bottom w:val="none" w:sz="0" w:space="0" w:color="auto"/>
                <w:right w:val="none" w:sz="0" w:space="0" w:color="auto"/>
              </w:divBdr>
            </w:div>
          </w:divsChild>
        </w:div>
        <w:div w:id="665087355">
          <w:marLeft w:val="0"/>
          <w:marRight w:val="0"/>
          <w:marTop w:val="0"/>
          <w:marBottom w:val="0"/>
          <w:divBdr>
            <w:top w:val="none" w:sz="0" w:space="0" w:color="auto"/>
            <w:left w:val="none" w:sz="0" w:space="0" w:color="auto"/>
            <w:bottom w:val="none" w:sz="0" w:space="0" w:color="auto"/>
            <w:right w:val="none" w:sz="0" w:space="0" w:color="auto"/>
          </w:divBdr>
          <w:divsChild>
            <w:div w:id="1627855017">
              <w:marLeft w:val="0"/>
              <w:marRight w:val="0"/>
              <w:marTop w:val="0"/>
              <w:marBottom w:val="0"/>
              <w:divBdr>
                <w:top w:val="none" w:sz="0" w:space="0" w:color="auto"/>
                <w:left w:val="none" w:sz="0" w:space="0" w:color="auto"/>
                <w:bottom w:val="none" w:sz="0" w:space="0" w:color="auto"/>
                <w:right w:val="none" w:sz="0" w:space="0" w:color="auto"/>
              </w:divBdr>
            </w:div>
          </w:divsChild>
        </w:div>
        <w:div w:id="1638409156">
          <w:marLeft w:val="0"/>
          <w:marRight w:val="0"/>
          <w:marTop w:val="0"/>
          <w:marBottom w:val="0"/>
          <w:divBdr>
            <w:top w:val="none" w:sz="0" w:space="0" w:color="auto"/>
            <w:left w:val="none" w:sz="0" w:space="0" w:color="auto"/>
            <w:bottom w:val="none" w:sz="0" w:space="0" w:color="auto"/>
            <w:right w:val="none" w:sz="0" w:space="0" w:color="auto"/>
          </w:divBdr>
          <w:divsChild>
            <w:div w:id="544218854">
              <w:marLeft w:val="0"/>
              <w:marRight w:val="0"/>
              <w:marTop w:val="0"/>
              <w:marBottom w:val="0"/>
              <w:divBdr>
                <w:top w:val="none" w:sz="0" w:space="0" w:color="auto"/>
                <w:left w:val="none" w:sz="0" w:space="0" w:color="auto"/>
                <w:bottom w:val="none" w:sz="0" w:space="0" w:color="auto"/>
                <w:right w:val="none" w:sz="0" w:space="0" w:color="auto"/>
              </w:divBdr>
            </w:div>
          </w:divsChild>
        </w:div>
        <w:div w:id="1821191968">
          <w:marLeft w:val="0"/>
          <w:marRight w:val="0"/>
          <w:marTop w:val="0"/>
          <w:marBottom w:val="0"/>
          <w:divBdr>
            <w:top w:val="none" w:sz="0" w:space="0" w:color="auto"/>
            <w:left w:val="none" w:sz="0" w:space="0" w:color="auto"/>
            <w:bottom w:val="none" w:sz="0" w:space="0" w:color="auto"/>
            <w:right w:val="none" w:sz="0" w:space="0" w:color="auto"/>
          </w:divBdr>
          <w:divsChild>
            <w:div w:id="877737697">
              <w:marLeft w:val="0"/>
              <w:marRight w:val="0"/>
              <w:marTop w:val="0"/>
              <w:marBottom w:val="0"/>
              <w:divBdr>
                <w:top w:val="none" w:sz="0" w:space="0" w:color="auto"/>
                <w:left w:val="none" w:sz="0" w:space="0" w:color="auto"/>
                <w:bottom w:val="none" w:sz="0" w:space="0" w:color="auto"/>
                <w:right w:val="none" w:sz="0" w:space="0" w:color="auto"/>
              </w:divBdr>
            </w:div>
          </w:divsChild>
        </w:div>
        <w:div w:id="1464300695">
          <w:marLeft w:val="0"/>
          <w:marRight w:val="0"/>
          <w:marTop w:val="0"/>
          <w:marBottom w:val="0"/>
          <w:divBdr>
            <w:top w:val="none" w:sz="0" w:space="0" w:color="auto"/>
            <w:left w:val="none" w:sz="0" w:space="0" w:color="auto"/>
            <w:bottom w:val="none" w:sz="0" w:space="0" w:color="auto"/>
            <w:right w:val="none" w:sz="0" w:space="0" w:color="auto"/>
          </w:divBdr>
          <w:divsChild>
            <w:div w:id="2025206259">
              <w:marLeft w:val="0"/>
              <w:marRight w:val="0"/>
              <w:marTop w:val="0"/>
              <w:marBottom w:val="0"/>
              <w:divBdr>
                <w:top w:val="none" w:sz="0" w:space="0" w:color="auto"/>
                <w:left w:val="none" w:sz="0" w:space="0" w:color="auto"/>
                <w:bottom w:val="none" w:sz="0" w:space="0" w:color="auto"/>
                <w:right w:val="none" w:sz="0" w:space="0" w:color="auto"/>
              </w:divBdr>
            </w:div>
          </w:divsChild>
        </w:div>
        <w:div w:id="1149781493">
          <w:marLeft w:val="0"/>
          <w:marRight w:val="0"/>
          <w:marTop w:val="0"/>
          <w:marBottom w:val="0"/>
          <w:divBdr>
            <w:top w:val="none" w:sz="0" w:space="0" w:color="auto"/>
            <w:left w:val="none" w:sz="0" w:space="0" w:color="auto"/>
            <w:bottom w:val="none" w:sz="0" w:space="0" w:color="auto"/>
            <w:right w:val="none" w:sz="0" w:space="0" w:color="auto"/>
          </w:divBdr>
          <w:divsChild>
            <w:div w:id="1656228333">
              <w:marLeft w:val="0"/>
              <w:marRight w:val="0"/>
              <w:marTop w:val="0"/>
              <w:marBottom w:val="0"/>
              <w:divBdr>
                <w:top w:val="none" w:sz="0" w:space="0" w:color="auto"/>
                <w:left w:val="none" w:sz="0" w:space="0" w:color="auto"/>
                <w:bottom w:val="none" w:sz="0" w:space="0" w:color="auto"/>
                <w:right w:val="none" w:sz="0" w:space="0" w:color="auto"/>
              </w:divBdr>
            </w:div>
          </w:divsChild>
        </w:div>
        <w:div w:id="1609770927">
          <w:marLeft w:val="0"/>
          <w:marRight w:val="0"/>
          <w:marTop w:val="0"/>
          <w:marBottom w:val="0"/>
          <w:divBdr>
            <w:top w:val="none" w:sz="0" w:space="0" w:color="auto"/>
            <w:left w:val="none" w:sz="0" w:space="0" w:color="auto"/>
            <w:bottom w:val="none" w:sz="0" w:space="0" w:color="auto"/>
            <w:right w:val="none" w:sz="0" w:space="0" w:color="auto"/>
          </w:divBdr>
          <w:divsChild>
            <w:div w:id="1807694284">
              <w:marLeft w:val="0"/>
              <w:marRight w:val="0"/>
              <w:marTop w:val="0"/>
              <w:marBottom w:val="0"/>
              <w:divBdr>
                <w:top w:val="none" w:sz="0" w:space="0" w:color="auto"/>
                <w:left w:val="none" w:sz="0" w:space="0" w:color="auto"/>
                <w:bottom w:val="none" w:sz="0" w:space="0" w:color="auto"/>
                <w:right w:val="none" w:sz="0" w:space="0" w:color="auto"/>
              </w:divBdr>
            </w:div>
          </w:divsChild>
        </w:div>
        <w:div w:id="651371583">
          <w:marLeft w:val="0"/>
          <w:marRight w:val="0"/>
          <w:marTop w:val="0"/>
          <w:marBottom w:val="0"/>
          <w:divBdr>
            <w:top w:val="none" w:sz="0" w:space="0" w:color="auto"/>
            <w:left w:val="none" w:sz="0" w:space="0" w:color="auto"/>
            <w:bottom w:val="none" w:sz="0" w:space="0" w:color="auto"/>
            <w:right w:val="none" w:sz="0" w:space="0" w:color="auto"/>
          </w:divBdr>
          <w:divsChild>
            <w:div w:id="2054577006">
              <w:marLeft w:val="0"/>
              <w:marRight w:val="0"/>
              <w:marTop w:val="0"/>
              <w:marBottom w:val="0"/>
              <w:divBdr>
                <w:top w:val="none" w:sz="0" w:space="0" w:color="auto"/>
                <w:left w:val="none" w:sz="0" w:space="0" w:color="auto"/>
                <w:bottom w:val="none" w:sz="0" w:space="0" w:color="auto"/>
                <w:right w:val="none" w:sz="0" w:space="0" w:color="auto"/>
              </w:divBdr>
            </w:div>
          </w:divsChild>
        </w:div>
        <w:div w:id="655963180">
          <w:marLeft w:val="0"/>
          <w:marRight w:val="0"/>
          <w:marTop w:val="0"/>
          <w:marBottom w:val="0"/>
          <w:divBdr>
            <w:top w:val="none" w:sz="0" w:space="0" w:color="auto"/>
            <w:left w:val="none" w:sz="0" w:space="0" w:color="auto"/>
            <w:bottom w:val="none" w:sz="0" w:space="0" w:color="auto"/>
            <w:right w:val="none" w:sz="0" w:space="0" w:color="auto"/>
          </w:divBdr>
          <w:divsChild>
            <w:div w:id="99301614">
              <w:marLeft w:val="0"/>
              <w:marRight w:val="0"/>
              <w:marTop w:val="0"/>
              <w:marBottom w:val="0"/>
              <w:divBdr>
                <w:top w:val="none" w:sz="0" w:space="0" w:color="auto"/>
                <w:left w:val="none" w:sz="0" w:space="0" w:color="auto"/>
                <w:bottom w:val="none" w:sz="0" w:space="0" w:color="auto"/>
                <w:right w:val="none" w:sz="0" w:space="0" w:color="auto"/>
              </w:divBdr>
            </w:div>
          </w:divsChild>
        </w:div>
        <w:div w:id="1884319129">
          <w:marLeft w:val="0"/>
          <w:marRight w:val="0"/>
          <w:marTop w:val="0"/>
          <w:marBottom w:val="0"/>
          <w:divBdr>
            <w:top w:val="none" w:sz="0" w:space="0" w:color="auto"/>
            <w:left w:val="none" w:sz="0" w:space="0" w:color="auto"/>
            <w:bottom w:val="none" w:sz="0" w:space="0" w:color="auto"/>
            <w:right w:val="none" w:sz="0" w:space="0" w:color="auto"/>
          </w:divBdr>
          <w:divsChild>
            <w:div w:id="646472107">
              <w:marLeft w:val="0"/>
              <w:marRight w:val="0"/>
              <w:marTop w:val="0"/>
              <w:marBottom w:val="0"/>
              <w:divBdr>
                <w:top w:val="none" w:sz="0" w:space="0" w:color="auto"/>
                <w:left w:val="none" w:sz="0" w:space="0" w:color="auto"/>
                <w:bottom w:val="none" w:sz="0" w:space="0" w:color="auto"/>
                <w:right w:val="none" w:sz="0" w:space="0" w:color="auto"/>
              </w:divBdr>
            </w:div>
          </w:divsChild>
        </w:div>
        <w:div w:id="669059595">
          <w:marLeft w:val="0"/>
          <w:marRight w:val="0"/>
          <w:marTop w:val="0"/>
          <w:marBottom w:val="0"/>
          <w:divBdr>
            <w:top w:val="none" w:sz="0" w:space="0" w:color="auto"/>
            <w:left w:val="none" w:sz="0" w:space="0" w:color="auto"/>
            <w:bottom w:val="none" w:sz="0" w:space="0" w:color="auto"/>
            <w:right w:val="none" w:sz="0" w:space="0" w:color="auto"/>
          </w:divBdr>
          <w:divsChild>
            <w:div w:id="969045448">
              <w:marLeft w:val="0"/>
              <w:marRight w:val="0"/>
              <w:marTop w:val="0"/>
              <w:marBottom w:val="0"/>
              <w:divBdr>
                <w:top w:val="none" w:sz="0" w:space="0" w:color="auto"/>
                <w:left w:val="none" w:sz="0" w:space="0" w:color="auto"/>
                <w:bottom w:val="none" w:sz="0" w:space="0" w:color="auto"/>
                <w:right w:val="none" w:sz="0" w:space="0" w:color="auto"/>
              </w:divBdr>
            </w:div>
          </w:divsChild>
        </w:div>
        <w:div w:id="1209956495">
          <w:marLeft w:val="0"/>
          <w:marRight w:val="0"/>
          <w:marTop w:val="0"/>
          <w:marBottom w:val="0"/>
          <w:divBdr>
            <w:top w:val="none" w:sz="0" w:space="0" w:color="auto"/>
            <w:left w:val="none" w:sz="0" w:space="0" w:color="auto"/>
            <w:bottom w:val="none" w:sz="0" w:space="0" w:color="auto"/>
            <w:right w:val="none" w:sz="0" w:space="0" w:color="auto"/>
          </w:divBdr>
          <w:divsChild>
            <w:div w:id="1341279349">
              <w:marLeft w:val="0"/>
              <w:marRight w:val="0"/>
              <w:marTop w:val="0"/>
              <w:marBottom w:val="0"/>
              <w:divBdr>
                <w:top w:val="none" w:sz="0" w:space="0" w:color="auto"/>
                <w:left w:val="none" w:sz="0" w:space="0" w:color="auto"/>
                <w:bottom w:val="none" w:sz="0" w:space="0" w:color="auto"/>
                <w:right w:val="none" w:sz="0" w:space="0" w:color="auto"/>
              </w:divBdr>
            </w:div>
          </w:divsChild>
        </w:div>
        <w:div w:id="603197638">
          <w:marLeft w:val="0"/>
          <w:marRight w:val="0"/>
          <w:marTop w:val="0"/>
          <w:marBottom w:val="0"/>
          <w:divBdr>
            <w:top w:val="none" w:sz="0" w:space="0" w:color="auto"/>
            <w:left w:val="none" w:sz="0" w:space="0" w:color="auto"/>
            <w:bottom w:val="none" w:sz="0" w:space="0" w:color="auto"/>
            <w:right w:val="none" w:sz="0" w:space="0" w:color="auto"/>
          </w:divBdr>
          <w:divsChild>
            <w:div w:id="971403510">
              <w:marLeft w:val="0"/>
              <w:marRight w:val="0"/>
              <w:marTop w:val="0"/>
              <w:marBottom w:val="0"/>
              <w:divBdr>
                <w:top w:val="none" w:sz="0" w:space="0" w:color="auto"/>
                <w:left w:val="none" w:sz="0" w:space="0" w:color="auto"/>
                <w:bottom w:val="none" w:sz="0" w:space="0" w:color="auto"/>
                <w:right w:val="none" w:sz="0" w:space="0" w:color="auto"/>
              </w:divBdr>
            </w:div>
          </w:divsChild>
        </w:div>
        <w:div w:id="524438719">
          <w:marLeft w:val="0"/>
          <w:marRight w:val="0"/>
          <w:marTop w:val="0"/>
          <w:marBottom w:val="0"/>
          <w:divBdr>
            <w:top w:val="none" w:sz="0" w:space="0" w:color="auto"/>
            <w:left w:val="none" w:sz="0" w:space="0" w:color="auto"/>
            <w:bottom w:val="none" w:sz="0" w:space="0" w:color="auto"/>
            <w:right w:val="none" w:sz="0" w:space="0" w:color="auto"/>
          </w:divBdr>
          <w:divsChild>
            <w:div w:id="49505194">
              <w:marLeft w:val="0"/>
              <w:marRight w:val="0"/>
              <w:marTop w:val="0"/>
              <w:marBottom w:val="0"/>
              <w:divBdr>
                <w:top w:val="none" w:sz="0" w:space="0" w:color="auto"/>
                <w:left w:val="none" w:sz="0" w:space="0" w:color="auto"/>
                <w:bottom w:val="none" w:sz="0" w:space="0" w:color="auto"/>
                <w:right w:val="none" w:sz="0" w:space="0" w:color="auto"/>
              </w:divBdr>
            </w:div>
          </w:divsChild>
        </w:div>
        <w:div w:id="658462401">
          <w:marLeft w:val="0"/>
          <w:marRight w:val="0"/>
          <w:marTop w:val="0"/>
          <w:marBottom w:val="0"/>
          <w:divBdr>
            <w:top w:val="none" w:sz="0" w:space="0" w:color="auto"/>
            <w:left w:val="none" w:sz="0" w:space="0" w:color="auto"/>
            <w:bottom w:val="none" w:sz="0" w:space="0" w:color="auto"/>
            <w:right w:val="none" w:sz="0" w:space="0" w:color="auto"/>
          </w:divBdr>
          <w:divsChild>
            <w:div w:id="1363165063">
              <w:marLeft w:val="0"/>
              <w:marRight w:val="0"/>
              <w:marTop w:val="0"/>
              <w:marBottom w:val="0"/>
              <w:divBdr>
                <w:top w:val="none" w:sz="0" w:space="0" w:color="auto"/>
                <w:left w:val="none" w:sz="0" w:space="0" w:color="auto"/>
                <w:bottom w:val="none" w:sz="0" w:space="0" w:color="auto"/>
                <w:right w:val="none" w:sz="0" w:space="0" w:color="auto"/>
              </w:divBdr>
            </w:div>
          </w:divsChild>
        </w:div>
        <w:div w:id="44650133">
          <w:marLeft w:val="0"/>
          <w:marRight w:val="0"/>
          <w:marTop w:val="0"/>
          <w:marBottom w:val="0"/>
          <w:divBdr>
            <w:top w:val="none" w:sz="0" w:space="0" w:color="auto"/>
            <w:left w:val="none" w:sz="0" w:space="0" w:color="auto"/>
            <w:bottom w:val="none" w:sz="0" w:space="0" w:color="auto"/>
            <w:right w:val="none" w:sz="0" w:space="0" w:color="auto"/>
          </w:divBdr>
          <w:divsChild>
            <w:div w:id="1323780892">
              <w:marLeft w:val="0"/>
              <w:marRight w:val="0"/>
              <w:marTop w:val="0"/>
              <w:marBottom w:val="0"/>
              <w:divBdr>
                <w:top w:val="none" w:sz="0" w:space="0" w:color="auto"/>
                <w:left w:val="none" w:sz="0" w:space="0" w:color="auto"/>
                <w:bottom w:val="none" w:sz="0" w:space="0" w:color="auto"/>
                <w:right w:val="none" w:sz="0" w:space="0" w:color="auto"/>
              </w:divBdr>
            </w:div>
          </w:divsChild>
        </w:div>
        <w:div w:id="364330595">
          <w:marLeft w:val="0"/>
          <w:marRight w:val="0"/>
          <w:marTop w:val="0"/>
          <w:marBottom w:val="0"/>
          <w:divBdr>
            <w:top w:val="none" w:sz="0" w:space="0" w:color="auto"/>
            <w:left w:val="none" w:sz="0" w:space="0" w:color="auto"/>
            <w:bottom w:val="none" w:sz="0" w:space="0" w:color="auto"/>
            <w:right w:val="none" w:sz="0" w:space="0" w:color="auto"/>
          </w:divBdr>
          <w:divsChild>
            <w:div w:id="924873730">
              <w:marLeft w:val="0"/>
              <w:marRight w:val="0"/>
              <w:marTop w:val="0"/>
              <w:marBottom w:val="0"/>
              <w:divBdr>
                <w:top w:val="none" w:sz="0" w:space="0" w:color="auto"/>
                <w:left w:val="none" w:sz="0" w:space="0" w:color="auto"/>
                <w:bottom w:val="none" w:sz="0" w:space="0" w:color="auto"/>
                <w:right w:val="none" w:sz="0" w:space="0" w:color="auto"/>
              </w:divBdr>
            </w:div>
          </w:divsChild>
        </w:div>
        <w:div w:id="1399858919">
          <w:marLeft w:val="0"/>
          <w:marRight w:val="0"/>
          <w:marTop w:val="0"/>
          <w:marBottom w:val="0"/>
          <w:divBdr>
            <w:top w:val="none" w:sz="0" w:space="0" w:color="auto"/>
            <w:left w:val="none" w:sz="0" w:space="0" w:color="auto"/>
            <w:bottom w:val="none" w:sz="0" w:space="0" w:color="auto"/>
            <w:right w:val="none" w:sz="0" w:space="0" w:color="auto"/>
          </w:divBdr>
          <w:divsChild>
            <w:div w:id="1882857857">
              <w:marLeft w:val="0"/>
              <w:marRight w:val="0"/>
              <w:marTop w:val="0"/>
              <w:marBottom w:val="0"/>
              <w:divBdr>
                <w:top w:val="none" w:sz="0" w:space="0" w:color="auto"/>
                <w:left w:val="none" w:sz="0" w:space="0" w:color="auto"/>
                <w:bottom w:val="none" w:sz="0" w:space="0" w:color="auto"/>
                <w:right w:val="none" w:sz="0" w:space="0" w:color="auto"/>
              </w:divBdr>
            </w:div>
          </w:divsChild>
        </w:div>
        <w:div w:id="448861084">
          <w:marLeft w:val="0"/>
          <w:marRight w:val="0"/>
          <w:marTop w:val="0"/>
          <w:marBottom w:val="0"/>
          <w:divBdr>
            <w:top w:val="none" w:sz="0" w:space="0" w:color="auto"/>
            <w:left w:val="none" w:sz="0" w:space="0" w:color="auto"/>
            <w:bottom w:val="none" w:sz="0" w:space="0" w:color="auto"/>
            <w:right w:val="none" w:sz="0" w:space="0" w:color="auto"/>
          </w:divBdr>
          <w:divsChild>
            <w:div w:id="1966504712">
              <w:marLeft w:val="0"/>
              <w:marRight w:val="0"/>
              <w:marTop w:val="0"/>
              <w:marBottom w:val="0"/>
              <w:divBdr>
                <w:top w:val="none" w:sz="0" w:space="0" w:color="auto"/>
                <w:left w:val="none" w:sz="0" w:space="0" w:color="auto"/>
                <w:bottom w:val="none" w:sz="0" w:space="0" w:color="auto"/>
                <w:right w:val="none" w:sz="0" w:space="0" w:color="auto"/>
              </w:divBdr>
            </w:div>
          </w:divsChild>
        </w:div>
        <w:div w:id="1235819068">
          <w:marLeft w:val="0"/>
          <w:marRight w:val="0"/>
          <w:marTop w:val="0"/>
          <w:marBottom w:val="0"/>
          <w:divBdr>
            <w:top w:val="none" w:sz="0" w:space="0" w:color="auto"/>
            <w:left w:val="none" w:sz="0" w:space="0" w:color="auto"/>
            <w:bottom w:val="none" w:sz="0" w:space="0" w:color="auto"/>
            <w:right w:val="none" w:sz="0" w:space="0" w:color="auto"/>
          </w:divBdr>
          <w:divsChild>
            <w:div w:id="1676228854">
              <w:marLeft w:val="0"/>
              <w:marRight w:val="0"/>
              <w:marTop w:val="0"/>
              <w:marBottom w:val="0"/>
              <w:divBdr>
                <w:top w:val="none" w:sz="0" w:space="0" w:color="auto"/>
                <w:left w:val="none" w:sz="0" w:space="0" w:color="auto"/>
                <w:bottom w:val="none" w:sz="0" w:space="0" w:color="auto"/>
                <w:right w:val="none" w:sz="0" w:space="0" w:color="auto"/>
              </w:divBdr>
            </w:div>
          </w:divsChild>
        </w:div>
        <w:div w:id="1686325359">
          <w:marLeft w:val="0"/>
          <w:marRight w:val="0"/>
          <w:marTop w:val="0"/>
          <w:marBottom w:val="0"/>
          <w:divBdr>
            <w:top w:val="none" w:sz="0" w:space="0" w:color="auto"/>
            <w:left w:val="none" w:sz="0" w:space="0" w:color="auto"/>
            <w:bottom w:val="none" w:sz="0" w:space="0" w:color="auto"/>
            <w:right w:val="none" w:sz="0" w:space="0" w:color="auto"/>
          </w:divBdr>
          <w:divsChild>
            <w:div w:id="1824005401">
              <w:marLeft w:val="0"/>
              <w:marRight w:val="0"/>
              <w:marTop w:val="0"/>
              <w:marBottom w:val="0"/>
              <w:divBdr>
                <w:top w:val="none" w:sz="0" w:space="0" w:color="auto"/>
                <w:left w:val="none" w:sz="0" w:space="0" w:color="auto"/>
                <w:bottom w:val="none" w:sz="0" w:space="0" w:color="auto"/>
                <w:right w:val="none" w:sz="0" w:space="0" w:color="auto"/>
              </w:divBdr>
            </w:div>
          </w:divsChild>
        </w:div>
        <w:div w:id="1353461210">
          <w:marLeft w:val="0"/>
          <w:marRight w:val="0"/>
          <w:marTop w:val="0"/>
          <w:marBottom w:val="0"/>
          <w:divBdr>
            <w:top w:val="none" w:sz="0" w:space="0" w:color="auto"/>
            <w:left w:val="none" w:sz="0" w:space="0" w:color="auto"/>
            <w:bottom w:val="none" w:sz="0" w:space="0" w:color="auto"/>
            <w:right w:val="none" w:sz="0" w:space="0" w:color="auto"/>
          </w:divBdr>
          <w:divsChild>
            <w:div w:id="1428116545">
              <w:marLeft w:val="0"/>
              <w:marRight w:val="0"/>
              <w:marTop w:val="0"/>
              <w:marBottom w:val="0"/>
              <w:divBdr>
                <w:top w:val="none" w:sz="0" w:space="0" w:color="auto"/>
                <w:left w:val="none" w:sz="0" w:space="0" w:color="auto"/>
                <w:bottom w:val="none" w:sz="0" w:space="0" w:color="auto"/>
                <w:right w:val="none" w:sz="0" w:space="0" w:color="auto"/>
              </w:divBdr>
            </w:div>
          </w:divsChild>
        </w:div>
        <w:div w:id="663164527">
          <w:marLeft w:val="0"/>
          <w:marRight w:val="0"/>
          <w:marTop w:val="0"/>
          <w:marBottom w:val="0"/>
          <w:divBdr>
            <w:top w:val="none" w:sz="0" w:space="0" w:color="auto"/>
            <w:left w:val="none" w:sz="0" w:space="0" w:color="auto"/>
            <w:bottom w:val="none" w:sz="0" w:space="0" w:color="auto"/>
            <w:right w:val="none" w:sz="0" w:space="0" w:color="auto"/>
          </w:divBdr>
          <w:divsChild>
            <w:div w:id="495146945">
              <w:marLeft w:val="0"/>
              <w:marRight w:val="0"/>
              <w:marTop w:val="0"/>
              <w:marBottom w:val="0"/>
              <w:divBdr>
                <w:top w:val="none" w:sz="0" w:space="0" w:color="auto"/>
                <w:left w:val="none" w:sz="0" w:space="0" w:color="auto"/>
                <w:bottom w:val="none" w:sz="0" w:space="0" w:color="auto"/>
                <w:right w:val="none" w:sz="0" w:space="0" w:color="auto"/>
              </w:divBdr>
            </w:div>
          </w:divsChild>
        </w:div>
        <w:div w:id="93139999">
          <w:marLeft w:val="0"/>
          <w:marRight w:val="0"/>
          <w:marTop w:val="0"/>
          <w:marBottom w:val="0"/>
          <w:divBdr>
            <w:top w:val="none" w:sz="0" w:space="0" w:color="auto"/>
            <w:left w:val="none" w:sz="0" w:space="0" w:color="auto"/>
            <w:bottom w:val="none" w:sz="0" w:space="0" w:color="auto"/>
            <w:right w:val="none" w:sz="0" w:space="0" w:color="auto"/>
          </w:divBdr>
          <w:divsChild>
            <w:div w:id="745954017">
              <w:marLeft w:val="0"/>
              <w:marRight w:val="0"/>
              <w:marTop w:val="0"/>
              <w:marBottom w:val="0"/>
              <w:divBdr>
                <w:top w:val="none" w:sz="0" w:space="0" w:color="auto"/>
                <w:left w:val="none" w:sz="0" w:space="0" w:color="auto"/>
                <w:bottom w:val="none" w:sz="0" w:space="0" w:color="auto"/>
                <w:right w:val="none" w:sz="0" w:space="0" w:color="auto"/>
              </w:divBdr>
            </w:div>
          </w:divsChild>
        </w:div>
        <w:div w:id="1532913347">
          <w:marLeft w:val="0"/>
          <w:marRight w:val="0"/>
          <w:marTop w:val="0"/>
          <w:marBottom w:val="0"/>
          <w:divBdr>
            <w:top w:val="none" w:sz="0" w:space="0" w:color="auto"/>
            <w:left w:val="none" w:sz="0" w:space="0" w:color="auto"/>
            <w:bottom w:val="none" w:sz="0" w:space="0" w:color="auto"/>
            <w:right w:val="none" w:sz="0" w:space="0" w:color="auto"/>
          </w:divBdr>
          <w:divsChild>
            <w:div w:id="317072926">
              <w:marLeft w:val="0"/>
              <w:marRight w:val="0"/>
              <w:marTop w:val="0"/>
              <w:marBottom w:val="0"/>
              <w:divBdr>
                <w:top w:val="none" w:sz="0" w:space="0" w:color="auto"/>
                <w:left w:val="none" w:sz="0" w:space="0" w:color="auto"/>
                <w:bottom w:val="none" w:sz="0" w:space="0" w:color="auto"/>
                <w:right w:val="none" w:sz="0" w:space="0" w:color="auto"/>
              </w:divBdr>
            </w:div>
          </w:divsChild>
        </w:div>
        <w:div w:id="1524202463">
          <w:marLeft w:val="0"/>
          <w:marRight w:val="0"/>
          <w:marTop w:val="0"/>
          <w:marBottom w:val="0"/>
          <w:divBdr>
            <w:top w:val="none" w:sz="0" w:space="0" w:color="auto"/>
            <w:left w:val="none" w:sz="0" w:space="0" w:color="auto"/>
            <w:bottom w:val="none" w:sz="0" w:space="0" w:color="auto"/>
            <w:right w:val="none" w:sz="0" w:space="0" w:color="auto"/>
          </w:divBdr>
          <w:divsChild>
            <w:div w:id="1680153474">
              <w:marLeft w:val="0"/>
              <w:marRight w:val="0"/>
              <w:marTop w:val="0"/>
              <w:marBottom w:val="0"/>
              <w:divBdr>
                <w:top w:val="none" w:sz="0" w:space="0" w:color="auto"/>
                <w:left w:val="none" w:sz="0" w:space="0" w:color="auto"/>
                <w:bottom w:val="none" w:sz="0" w:space="0" w:color="auto"/>
                <w:right w:val="none" w:sz="0" w:space="0" w:color="auto"/>
              </w:divBdr>
            </w:div>
          </w:divsChild>
        </w:div>
        <w:div w:id="1249851899">
          <w:marLeft w:val="0"/>
          <w:marRight w:val="0"/>
          <w:marTop w:val="0"/>
          <w:marBottom w:val="0"/>
          <w:divBdr>
            <w:top w:val="none" w:sz="0" w:space="0" w:color="auto"/>
            <w:left w:val="none" w:sz="0" w:space="0" w:color="auto"/>
            <w:bottom w:val="none" w:sz="0" w:space="0" w:color="auto"/>
            <w:right w:val="none" w:sz="0" w:space="0" w:color="auto"/>
          </w:divBdr>
          <w:divsChild>
            <w:div w:id="1135564304">
              <w:marLeft w:val="0"/>
              <w:marRight w:val="0"/>
              <w:marTop w:val="0"/>
              <w:marBottom w:val="0"/>
              <w:divBdr>
                <w:top w:val="none" w:sz="0" w:space="0" w:color="auto"/>
                <w:left w:val="none" w:sz="0" w:space="0" w:color="auto"/>
                <w:bottom w:val="none" w:sz="0" w:space="0" w:color="auto"/>
                <w:right w:val="none" w:sz="0" w:space="0" w:color="auto"/>
              </w:divBdr>
            </w:div>
          </w:divsChild>
        </w:div>
        <w:div w:id="415324275">
          <w:marLeft w:val="0"/>
          <w:marRight w:val="0"/>
          <w:marTop w:val="0"/>
          <w:marBottom w:val="0"/>
          <w:divBdr>
            <w:top w:val="none" w:sz="0" w:space="0" w:color="auto"/>
            <w:left w:val="none" w:sz="0" w:space="0" w:color="auto"/>
            <w:bottom w:val="none" w:sz="0" w:space="0" w:color="auto"/>
            <w:right w:val="none" w:sz="0" w:space="0" w:color="auto"/>
          </w:divBdr>
          <w:divsChild>
            <w:div w:id="2056927240">
              <w:marLeft w:val="0"/>
              <w:marRight w:val="0"/>
              <w:marTop w:val="0"/>
              <w:marBottom w:val="0"/>
              <w:divBdr>
                <w:top w:val="none" w:sz="0" w:space="0" w:color="auto"/>
                <w:left w:val="none" w:sz="0" w:space="0" w:color="auto"/>
                <w:bottom w:val="none" w:sz="0" w:space="0" w:color="auto"/>
                <w:right w:val="none" w:sz="0" w:space="0" w:color="auto"/>
              </w:divBdr>
            </w:div>
          </w:divsChild>
        </w:div>
        <w:div w:id="1067264455">
          <w:marLeft w:val="0"/>
          <w:marRight w:val="0"/>
          <w:marTop w:val="0"/>
          <w:marBottom w:val="0"/>
          <w:divBdr>
            <w:top w:val="none" w:sz="0" w:space="0" w:color="auto"/>
            <w:left w:val="none" w:sz="0" w:space="0" w:color="auto"/>
            <w:bottom w:val="none" w:sz="0" w:space="0" w:color="auto"/>
            <w:right w:val="none" w:sz="0" w:space="0" w:color="auto"/>
          </w:divBdr>
          <w:divsChild>
            <w:div w:id="1219197952">
              <w:marLeft w:val="0"/>
              <w:marRight w:val="0"/>
              <w:marTop w:val="0"/>
              <w:marBottom w:val="0"/>
              <w:divBdr>
                <w:top w:val="none" w:sz="0" w:space="0" w:color="auto"/>
                <w:left w:val="none" w:sz="0" w:space="0" w:color="auto"/>
                <w:bottom w:val="none" w:sz="0" w:space="0" w:color="auto"/>
                <w:right w:val="none" w:sz="0" w:space="0" w:color="auto"/>
              </w:divBdr>
            </w:div>
          </w:divsChild>
        </w:div>
        <w:div w:id="879242415">
          <w:marLeft w:val="0"/>
          <w:marRight w:val="0"/>
          <w:marTop w:val="0"/>
          <w:marBottom w:val="0"/>
          <w:divBdr>
            <w:top w:val="none" w:sz="0" w:space="0" w:color="auto"/>
            <w:left w:val="none" w:sz="0" w:space="0" w:color="auto"/>
            <w:bottom w:val="none" w:sz="0" w:space="0" w:color="auto"/>
            <w:right w:val="none" w:sz="0" w:space="0" w:color="auto"/>
          </w:divBdr>
          <w:divsChild>
            <w:div w:id="1319575108">
              <w:marLeft w:val="0"/>
              <w:marRight w:val="0"/>
              <w:marTop w:val="0"/>
              <w:marBottom w:val="0"/>
              <w:divBdr>
                <w:top w:val="none" w:sz="0" w:space="0" w:color="auto"/>
                <w:left w:val="none" w:sz="0" w:space="0" w:color="auto"/>
                <w:bottom w:val="none" w:sz="0" w:space="0" w:color="auto"/>
                <w:right w:val="none" w:sz="0" w:space="0" w:color="auto"/>
              </w:divBdr>
            </w:div>
          </w:divsChild>
        </w:div>
        <w:div w:id="1489714218">
          <w:marLeft w:val="0"/>
          <w:marRight w:val="0"/>
          <w:marTop w:val="0"/>
          <w:marBottom w:val="0"/>
          <w:divBdr>
            <w:top w:val="none" w:sz="0" w:space="0" w:color="auto"/>
            <w:left w:val="none" w:sz="0" w:space="0" w:color="auto"/>
            <w:bottom w:val="none" w:sz="0" w:space="0" w:color="auto"/>
            <w:right w:val="none" w:sz="0" w:space="0" w:color="auto"/>
          </w:divBdr>
          <w:divsChild>
            <w:div w:id="1007707209">
              <w:marLeft w:val="0"/>
              <w:marRight w:val="0"/>
              <w:marTop w:val="0"/>
              <w:marBottom w:val="0"/>
              <w:divBdr>
                <w:top w:val="none" w:sz="0" w:space="0" w:color="auto"/>
                <w:left w:val="none" w:sz="0" w:space="0" w:color="auto"/>
                <w:bottom w:val="none" w:sz="0" w:space="0" w:color="auto"/>
                <w:right w:val="none" w:sz="0" w:space="0" w:color="auto"/>
              </w:divBdr>
            </w:div>
          </w:divsChild>
        </w:div>
        <w:div w:id="919826147">
          <w:marLeft w:val="0"/>
          <w:marRight w:val="0"/>
          <w:marTop w:val="0"/>
          <w:marBottom w:val="0"/>
          <w:divBdr>
            <w:top w:val="none" w:sz="0" w:space="0" w:color="auto"/>
            <w:left w:val="none" w:sz="0" w:space="0" w:color="auto"/>
            <w:bottom w:val="none" w:sz="0" w:space="0" w:color="auto"/>
            <w:right w:val="none" w:sz="0" w:space="0" w:color="auto"/>
          </w:divBdr>
          <w:divsChild>
            <w:div w:id="733819882">
              <w:marLeft w:val="0"/>
              <w:marRight w:val="0"/>
              <w:marTop w:val="0"/>
              <w:marBottom w:val="0"/>
              <w:divBdr>
                <w:top w:val="none" w:sz="0" w:space="0" w:color="auto"/>
                <w:left w:val="none" w:sz="0" w:space="0" w:color="auto"/>
                <w:bottom w:val="none" w:sz="0" w:space="0" w:color="auto"/>
                <w:right w:val="none" w:sz="0" w:space="0" w:color="auto"/>
              </w:divBdr>
            </w:div>
          </w:divsChild>
        </w:div>
        <w:div w:id="1547641701">
          <w:marLeft w:val="0"/>
          <w:marRight w:val="0"/>
          <w:marTop w:val="0"/>
          <w:marBottom w:val="0"/>
          <w:divBdr>
            <w:top w:val="none" w:sz="0" w:space="0" w:color="auto"/>
            <w:left w:val="none" w:sz="0" w:space="0" w:color="auto"/>
            <w:bottom w:val="none" w:sz="0" w:space="0" w:color="auto"/>
            <w:right w:val="none" w:sz="0" w:space="0" w:color="auto"/>
          </w:divBdr>
          <w:divsChild>
            <w:div w:id="737631554">
              <w:marLeft w:val="0"/>
              <w:marRight w:val="0"/>
              <w:marTop w:val="0"/>
              <w:marBottom w:val="0"/>
              <w:divBdr>
                <w:top w:val="none" w:sz="0" w:space="0" w:color="auto"/>
                <w:left w:val="none" w:sz="0" w:space="0" w:color="auto"/>
                <w:bottom w:val="none" w:sz="0" w:space="0" w:color="auto"/>
                <w:right w:val="none" w:sz="0" w:space="0" w:color="auto"/>
              </w:divBdr>
            </w:div>
          </w:divsChild>
        </w:div>
        <w:div w:id="1495998469">
          <w:marLeft w:val="0"/>
          <w:marRight w:val="0"/>
          <w:marTop w:val="0"/>
          <w:marBottom w:val="0"/>
          <w:divBdr>
            <w:top w:val="none" w:sz="0" w:space="0" w:color="auto"/>
            <w:left w:val="none" w:sz="0" w:space="0" w:color="auto"/>
            <w:bottom w:val="none" w:sz="0" w:space="0" w:color="auto"/>
            <w:right w:val="none" w:sz="0" w:space="0" w:color="auto"/>
          </w:divBdr>
          <w:divsChild>
            <w:div w:id="1978485451">
              <w:marLeft w:val="0"/>
              <w:marRight w:val="0"/>
              <w:marTop w:val="0"/>
              <w:marBottom w:val="0"/>
              <w:divBdr>
                <w:top w:val="none" w:sz="0" w:space="0" w:color="auto"/>
                <w:left w:val="none" w:sz="0" w:space="0" w:color="auto"/>
                <w:bottom w:val="none" w:sz="0" w:space="0" w:color="auto"/>
                <w:right w:val="none" w:sz="0" w:space="0" w:color="auto"/>
              </w:divBdr>
            </w:div>
          </w:divsChild>
        </w:div>
        <w:div w:id="192620269">
          <w:marLeft w:val="0"/>
          <w:marRight w:val="0"/>
          <w:marTop w:val="0"/>
          <w:marBottom w:val="0"/>
          <w:divBdr>
            <w:top w:val="none" w:sz="0" w:space="0" w:color="auto"/>
            <w:left w:val="none" w:sz="0" w:space="0" w:color="auto"/>
            <w:bottom w:val="none" w:sz="0" w:space="0" w:color="auto"/>
            <w:right w:val="none" w:sz="0" w:space="0" w:color="auto"/>
          </w:divBdr>
          <w:divsChild>
            <w:div w:id="2071028563">
              <w:marLeft w:val="0"/>
              <w:marRight w:val="0"/>
              <w:marTop w:val="0"/>
              <w:marBottom w:val="0"/>
              <w:divBdr>
                <w:top w:val="none" w:sz="0" w:space="0" w:color="auto"/>
                <w:left w:val="none" w:sz="0" w:space="0" w:color="auto"/>
                <w:bottom w:val="none" w:sz="0" w:space="0" w:color="auto"/>
                <w:right w:val="none" w:sz="0" w:space="0" w:color="auto"/>
              </w:divBdr>
            </w:div>
          </w:divsChild>
        </w:div>
        <w:div w:id="123961256">
          <w:marLeft w:val="0"/>
          <w:marRight w:val="0"/>
          <w:marTop w:val="0"/>
          <w:marBottom w:val="0"/>
          <w:divBdr>
            <w:top w:val="none" w:sz="0" w:space="0" w:color="auto"/>
            <w:left w:val="none" w:sz="0" w:space="0" w:color="auto"/>
            <w:bottom w:val="none" w:sz="0" w:space="0" w:color="auto"/>
            <w:right w:val="none" w:sz="0" w:space="0" w:color="auto"/>
          </w:divBdr>
          <w:divsChild>
            <w:div w:id="1841265032">
              <w:marLeft w:val="0"/>
              <w:marRight w:val="0"/>
              <w:marTop w:val="0"/>
              <w:marBottom w:val="0"/>
              <w:divBdr>
                <w:top w:val="none" w:sz="0" w:space="0" w:color="auto"/>
                <w:left w:val="none" w:sz="0" w:space="0" w:color="auto"/>
                <w:bottom w:val="none" w:sz="0" w:space="0" w:color="auto"/>
                <w:right w:val="none" w:sz="0" w:space="0" w:color="auto"/>
              </w:divBdr>
            </w:div>
          </w:divsChild>
        </w:div>
        <w:div w:id="1603491707">
          <w:marLeft w:val="0"/>
          <w:marRight w:val="0"/>
          <w:marTop w:val="0"/>
          <w:marBottom w:val="0"/>
          <w:divBdr>
            <w:top w:val="none" w:sz="0" w:space="0" w:color="auto"/>
            <w:left w:val="none" w:sz="0" w:space="0" w:color="auto"/>
            <w:bottom w:val="none" w:sz="0" w:space="0" w:color="auto"/>
            <w:right w:val="none" w:sz="0" w:space="0" w:color="auto"/>
          </w:divBdr>
          <w:divsChild>
            <w:div w:id="1932664413">
              <w:marLeft w:val="0"/>
              <w:marRight w:val="0"/>
              <w:marTop w:val="0"/>
              <w:marBottom w:val="0"/>
              <w:divBdr>
                <w:top w:val="none" w:sz="0" w:space="0" w:color="auto"/>
                <w:left w:val="none" w:sz="0" w:space="0" w:color="auto"/>
                <w:bottom w:val="none" w:sz="0" w:space="0" w:color="auto"/>
                <w:right w:val="none" w:sz="0" w:space="0" w:color="auto"/>
              </w:divBdr>
            </w:div>
          </w:divsChild>
        </w:div>
        <w:div w:id="944383960">
          <w:marLeft w:val="0"/>
          <w:marRight w:val="0"/>
          <w:marTop w:val="0"/>
          <w:marBottom w:val="0"/>
          <w:divBdr>
            <w:top w:val="none" w:sz="0" w:space="0" w:color="auto"/>
            <w:left w:val="none" w:sz="0" w:space="0" w:color="auto"/>
            <w:bottom w:val="none" w:sz="0" w:space="0" w:color="auto"/>
            <w:right w:val="none" w:sz="0" w:space="0" w:color="auto"/>
          </w:divBdr>
          <w:divsChild>
            <w:div w:id="960838141">
              <w:marLeft w:val="0"/>
              <w:marRight w:val="0"/>
              <w:marTop w:val="0"/>
              <w:marBottom w:val="0"/>
              <w:divBdr>
                <w:top w:val="none" w:sz="0" w:space="0" w:color="auto"/>
                <w:left w:val="none" w:sz="0" w:space="0" w:color="auto"/>
                <w:bottom w:val="none" w:sz="0" w:space="0" w:color="auto"/>
                <w:right w:val="none" w:sz="0" w:space="0" w:color="auto"/>
              </w:divBdr>
            </w:div>
          </w:divsChild>
        </w:div>
        <w:div w:id="846596742">
          <w:marLeft w:val="0"/>
          <w:marRight w:val="0"/>
          <w:marTop w:val="0"/>
          <w:marBottom w:val="0"/>
          <w:divBdr>
            <w:top w:val="none" w:sz="0" w:space="0" w:color="auto"/>
            <w:left w:val="none" w:sz="0" w:space="0" w:color="auto"/>
            <w:bottom w:val="none" w:sz="0" w:space="0" w:color="auto"/>
            <w:right w:val="none" w:sz="0" w:space="0" w:color="auto"/>
          </w:divBdr>
          <w:divsChild>
            <w:div w:id="286548193">
              <w:marLeft w:val="0"/>
              <w:marRight w:val="0"/>
              <w:marTop w:val="0"/>
              <w:marBottom w:val="0"/>
              <w:divBdr>
                <w:top w:val="none" w:sz="0" w:space="0" w:color="auto"/>
                <w:left w:val="none" w:sz="0" w:space="0" w:color="auto"/>
                <w:bottom w:val="none" w:sz="0" w:space="0" w:color="auto"/>
                <w:right w:val="none" w:sz="0" w:space="0" w:color="auto"/>
              </w:divBdr>
            </w:div>
          </w:divsChild>
        </w:div>
        <w:div w:id="575283867">
          <w:marLeft w:val="0"/>
          <w:marRight w:val="0"/>
          <w:marTop w:val="0"/>
          <w:marBottom w:val="0"/>
          <w:divBdr>
            <w:top w:val="none" w:sz="0" w:space="0" w:color="auto"/>
            <w:left w:val="none" w:sz="0" w:space="0" w:color="auto"/>
            <w:bottom w:val="none" w:sz="0" w:space="0" w:color="auto"/>
            <w:right w:val="none" w:sz="0" w:space="0" w:color="auto"/>
          </w:divBdr>
          <w:divsChild>
            <w:div w:id="1100561857">
              <w:marLeft w:val="0"/>
              <w:marRight w:val="0"/>
              <w:marTop w:val="0"/>
              <w:marBottom w:val="0"/>
              <w:divBdr>
                <w:top w:val="none" w:sz="0" w:space="0" w:color="auto"/>
                <w:left w:val="none" w:sz="0" w:space="0" w:color="auto"/>
                <w:bottom w:val="none" w:sz="0" w:space="0" w:color="auto"/>
                <w:right w:val="none" w:sz="0" w:space="0" w:color="auto"/>
              </w:divBdr>
            </w:div>
          </w:divsChild>
        </w:div>
        <w:div w:id="1978414090">
          <w:marLeft w:val="0"/>
          <w:marRight w:val="0"/>
          <w:marTop w:val="0"/>
          <w:marBottom w:val="0"/>
          <w:divBdr>
            <w:top w:val="none" w:sz="0" w:space="0" w:color="auto"/>
            <w:left w:val="none" w:sz="0" w:space="0" w:color="auto"/>
            <w:bottom w:val="none" w:sz="0" w:space="0" w:color="auto"/>
            <w:right w:val="none" w:sz="0" w:space="0" w:color="auto"/>
          </w:divBdr>
          <w:divsChild>
            <w:div w:id="684013141">
              <w:marLeft w:val="0"/>
              <w:marRight w:val="0"/>
              <w:marTop w:val="0"/>
              <w:marBottom w:val="0"/>
              <w:divBdr>
                <w:top w:val="none" w:sz="0" w:space="0" w:color="auto"/>
                <w:left w:val="none" w:sz="0" w:space="0" w:color="auto"/>
                <w:bottom w:val="none" w:sz="0" w:space="0" w:color="auto"/>
                <w:right w:val="none" w:sz="0" w:space="0" w:color="auto"/>
              </w:divBdr>
            </w:div>
          </w:divsChild>
        </w:div>
        <w:div w:id="1532567163">
          <w:marLeft w:val="0"/>
          <w:marRight w:val="0"/>
          <w:marTop w:val="0"/>
          <w:marBottom w:val="0"/>
          <w:divBdr>
            <w:top w:val="none" w:sz="0" w:space="0" w:color="auto"/>
            <w:left w:val="none" w:sz="0" w:space="0" w:color="auto"/>
            <w:bottom w:val="none" w:sz="0" w:space="0" w:color="auto"/>
            <w:right w:val="none" w:sz="0" w:space="0" w:color="auto"/>
          </w:divBdr>
          <w:divsChild>
            <w:div w:id="1767535513">
              <w:marLeft w:val="0"/>
              <w:marRight w:val="0"/>
              <w:marTop w:val="0"/>
              <w:marBottom w:val="0"/>
              <w:divBdr>
                <w:top w:val="none" w:sz="0" w:space="0" w:color="auto"/>
                <w:left w:val="none" w:sz="0" w:space="0" w:color="auto"/>
                <w:bottom w:val="none" w:sz="0" w:space="0" w:color="auto"/>
                <w:right w:val="none" w:sz="0" w:space="0" w:color="auto"/>
              </w:divBdr>
            </w:div>
          </w:divsChild>
        </w:div>
        <w:div w:id="1785075324">
          <w:marLeft w:val="0"/>
          <w:marRight w:val="0"/>
          <w:marTop w:val="0"/>
          <w:marBottom w:val="0"/>
          <w:divBdr>
            <w:top w:val="none" w:sz="0" w:space="0" w:color="auto"/>
            <w:left w:val="none" w:sz="0" w:space="0" w:color="auto"/>
            <w:bottom w:val="none" w:sz="0" w:space="0" w:color="auto"/>
            <w:right w:val="none" w:sz="0" w:space="0" w:color="auto"/>
          </w:divBdr>
          <w:divsChild>
            <w:div w:id="1391341744">
              <w:marLeft w:val="0"/>
              <w:marRight w:val="0"/>
              <w:marTop w:val="0"/>
              <w:marBottom w:val="0"/>
              <w:divBdr>
                <w:top w:val="none" w:sz="0" w:space="0" w:color="auto"/>
                <w:left w:val="none" w:sz="0" w:space="0" w:color="auto"/>
                <w:bottom w:val="none" w:sz="0" w:space="0" w:color="auto"/>
                <w:right w:val="none" w:sz="0" w:space="0" w:color="auto"/>
              </w:divBdr>
            </w:div>
          </w:divsChild>
        </w:div>
        <w:div w:id="110393792">
          <w:marLeft w:val="0"/>
          <w:marRight w:val="0"/>
          <w:marTop w:val="0"/>
          <w:marBottom w:val="0"/>
          <w:divBdr>
            <w:top w:val="none" w:sz="0" w:space="0" w:color="auto"/>
            <w:left w:val="none" w:sz="0" w:space="0" w:color="auto"/>
            <w:bottom w:val="none" w:sz="0" w:space="0" w:color="auto"/>
            <w:right w:val="none" w:sz="0" w:space="0" w:color="auto"/>
          </w:divBdr>
          <w:divsChild>
            <w:div w:id="249897343">
              <w:marLeft w:val="0"/>
              <w:marRight w:val="0"/>
              <w:marTop w:val="0"/>
              <w:marBottom w:val="0"/>
              <w:divBdr>
                <w:top w:val="none" w:sz="0" w:space="0" w:color="auto"/>
                <w:left w:val="none" w:sz="0" w:space="0" w:color="auto"/>
                <w:bottom w:val="none" w:sz="0" w:space="0" w:color="auto"/>
                <w:right w:val="none" w:sz="0" w:space="0" w:color="auto"/>
              </w:divBdr>
            </w:div>
          </w:divsChild>
        </w:div>
        <w:div w:id="1122309922">
          <w:marLeft w:val="0"/>
          <w:marRight w:val="0"/>
          <w:marTop w:val="0"/>
          <w:marBottom w:val="0"/>
          <w:divBdr>
            <w:top w:val="none" w:sz="0" w:space="0" w:color="auto"/>
            <w:left w:val="none" w:sz="0" w:space="0" w:color="auto"/>
            <w:bottom w:val="none" w:sz="0" w:space="0" w:color="auto"/>
            <w:right w:val="none" w:sz="0" w:space="0" w:color="auto"/>
          </w:divBdr>
          <w:divsChild>
            <w:div w:id="1909925946">
              <w:marLeft w:val="0"/>
              <w:marRight w:val="0"/>
              <w:marTop w:val="0"/>
              <w:marBottom w:val="0"/>
              <w:divBdr>
                <w:top w:val="none" w:sz="0" w:space="0" w:color="auto"/>
                <w:left w:val="none" w:sz="0" w:space="0" w:color="auto"/>
                <w:bottom w:val="none" w:sz="0" w:space="0" w:color="auto"/>
                <w:right w:val="none" w:sz="0" w:space="0" w:color="auto"/>
              </w:divBdr>
            </w:div>
          </w:divsChild>
        </w:div>
        <w:div w:id="765149446">
          <w:marLeft w:val="0"/>
          <w:marRight w:val="0"/>
          <w:marTop w:val="0"/>
          <w:marBottom w:val="0"/>
          <w:divBdr>
            <w:top w:val="none" w:sz="0" w:space="0" w:color="auto"/>
            <w:left w:val="none" w:sz="0" w:space="0" w:color="auto"/>
            <w:bottom w:val="none" w:sz="0" w:space="0" w:color="auto"/>
            <w:right w:val="none" w:sz="0" w:space="0" w:color="auto"/>
          </w:divBdr>
          <w:divsChild>
            <w:div w:id="275450508">
              <w:marLeft w:val="0"/>
              <w:marRight w:val="0"/>
              <w:marTop w:val="0"/>
              <w:marBottom w:val="0"/>
              <w:divBdr>
                <w:top w:val="none" w:sz="0" w:space="0" w:color="auto"/>
                <w:left w:val="none" w:sz="0" w:space="0" w:color="auto"/>
                <w:bottom w:val="none" w:sz="0" w:space="0" w:color="auto"/>
                <w:right w:val="none" w:sz="0" w:space="0" w:color="auto"/>
              </w:divBdr>
            </w:div>
          </w:divsChild>
        </w:div>
        <w:div w:id="1828015922">
          <w:marLeft w:val="0"/>
          <w:marRight w:val="0"/>
          <w:marTop w:val="0"/>
          <w:marBottom w:val="0"/>
          <w:divBdr>
            <w:top w:val="none" w:sz="0" w:space="0" w:color="auto"/>
            <w:left w:val="none" w:sz="0" w:space="0" w:color="auto"/>
            <w:bottom w:val="none" w:sz="0" w:space="0" w:color="auto"/>
            <w:right w:val="none" w:sz="0" w:space="0" w:color="auto"/>
          </w:divBdr>
          <w:divsChild>
            <w:div w:id="795953540">
              <w:marLeft w:val="0"/>
              <w:marRight w:val="0"/>
              <w:marTop w:val="0"/>
              <w:marBottom w:val="0"/>
              <w:divBdr>
                <w:top w:val="none" w:sz="0" w:space="0" w:color="auto"/>
                <w:left w:val="none" w:sz="0" w:space="0" w:color="auto"/>
                <w:bottom w:val="none" w:sz="0" w:space="0" w:color="auto"/>
                <w:right w:val="none" w:sz="0" w:space="0" w:color="auto"/>
              </w:divBdr>
            </w:div>
          </w:divsChild>
        </w:div>
        <w:div w:id="1833256483">
          <w:marLeft w:val="0"/>
          <w:marRight w:val="0"/>
          <w:marTop w:val="0"/>
          <w:marBottom w:val="0"/>
          <w:divBdr>
            <w:top w:val="none" w:sz="0" w:space="0" w:color="auto"/>
            <w:left w:val="none" w:sz="0" w:space="0" w:color="auto"/>
            <w:bottom w:val="none" w:sz="0" w:space="0" w:color="auto"/>
            <w:right w:val="none" w:sz="0" w:space="0" w:color="auto"/>
          </w:divBdr>
          <w:divsChild>
            <w:div w:id="1355886625">
              <w:marLeft w:val="0"/>
              <w:marRight w:val="0"/>
              <w:marTop w:val="0"/>
              <w:marBottom w:val="0"/>
              <w:divBdr>
                <w:top w:val="none" w:sz="0" w:space="0" w:color="auto"/>
                <w:left w:val="none" w:sz="0" w:space="0" w:color="auto"/>
                <w:bottom w:val="none" w:sz="0" w:space="0" w:color="auto"/>
                <w:right w:val="none" w:sz="0" w:space="0" w:color="auto"/>
              </w:divBdr>
            </w:div>
          </w:divsChild>
        </w:div>
        <w:div w:id="942348672">
          <w:marLeft w:val="0"/>
          <w:marRight w:val="0"/>
          <w:marTop w:val="0"/>
          <w:marBottom w:val="0"/>
          <w:divBdr>
            <w:top w:val="none" w:sz="0" w:space="0" w:color="auto"/>
            <w:left w:val="none" w:sz="0" w:space="0" w:color="auto"/>
            <w:bottom w:val="none" w:sz="0" w:space="0" w:color="auto"/>
            <w:right w:val="none" w:sz="0" w:space="0" w:color="auto"/>
          </w:divBdr>
          <w:divsChild>
            <w:div w:id="1236552894">
              <w:marLeft w:val="0"/>
              <w:marRight w:val="0"/>
              <w:marTop w:val="0"/>
              <w:marBottom w:val="0"/>
              <w:divBdr>
                <w:top w:val="none" w:sz="0" w:space="0" w:color="auto"/>
                <w:left w:val="none" w:sz="0" w:space="0" w:color="auto"/>
                <w:bottom w:val="none" w:sz="0" w:space="0" w:color="auto"/>
                <w:right w:val="none" w:sz="0" w:space="0" w:color="auto"/>
              </w:divBdr>
            </w:div>
          </w:divsChild>
        </w:div>
        <w:div w:id="2101679382">
          <w:marLeft w:val="0"/>
          <w:marRight w:val="0"/>
          <w:marTop w:val="0"/>
          <w:marBottom w:val="0"/>
          <w:divBdr>
            <w:top w:val="none" w:sz="0" w:space="0" w:color="auto"/>
            <w:left w:val="none" w:sz="0" w:space="0" w:color="auto"/>
            <w:bottom w:val="none" w:sz="0" w:space="0" w:color="auto"/>
            <w:right w:val="none" w:sz="0" w:space="0" w:color="auto"/>
          </w:divBdr>
          <w:divsChild>
            <w:div w:id="1408531721">
              <w:marLeft w:val="0"/>
              <w:marRight w:val="0"/>
              <w:marTop w:val="0"/>
              <w:marBottom w:val="0"/>
              <w:divBdr>
                <w:top w:val="none" w:sz="0" w:space="0" w:color="auto"/>
                <w:left w:val="none" w:sz="0" w:space="0" w:color="auto"/>
                <w:bottom w:val="none" w:sz="0" w:space="0" w:color="auto"/>
                <w:right w:val="none" w:sz="0" w:space="0" w:color="auto"/>
              </w:divBdr>
            </w:div>
          </w:divsChild>
        </w:div>
        <w:div w:id="1759793188">
          <w:marLeft w:val="0"/>
          <w:marRight w:val="0"/>
          <w:marTop w:val="0"/>
          <w:marBottom w:val="0"/>
          <w:divBdr>
            <w:top w:val="none" w:sz="0" w:space="0" w:color="auto"/>
            <w:left w:val="none" w:sz="0" w:space="0" w:color="auto"/>
            <w:bottom w:val="none" w:sz="0" w:space="0" w:color="auto"/>
            <w:right w:val="none" w:sz="0" w:space="0" w:color="auto"/>
          </w:divBdr>
          <w:divsChild>
            <w:div w:id="1857234572">
              <w:marLeft w:val="0"/>
              <w:marRight w:val="0"/>
              <w:marTop w:val="0"/>
              <w:marBottom w:val="0"/>
              <w:divBdr>
                <w:top w:val="none" w:sz="0" w:space="0" w:color="auto"/>
                <w:left w:val="none" w:sz="0" w:space="0" w:color="auto"/>
                <w:bottom w:val="none" w:sz="0" w:space="0" w:color="auto"/>
                <w:right w:val="none" w:sz="0" w:space="0" w:color="auto"/>
              </w:divBdr>
            </w:div>
          </w:divsChild>
        </w:div>
        <w:div w:id="1645039287">
          <w:marLeft w:val="0"/>
          <w:marRight w:val="0"/>
          <w:marTop w:val="0"/>
          <w:marBottom w:val="0"/>
          <w:divBdr>
            <w:top w:val="none" w:sz="0" w:space="0" w:color="auto"/>
            <w:left w:val="none" w:sz="0" w:space="0" w:color="auto"/>
            <w:bottom w:val="none" w:sz="0" w:space="0" w:color="auto"/>
            <w:right w:val="none" w:sz="0" w:space="0" w:color="auto"/>
          </w:divBdr>
          <w:divsChild>
            <w:div w:id="262685383">
              <w:marLeft w:val="0"/>
              <w:marRight w:val="0"/>
              <w:marTop w:val="0"/>
              <w:marBottom w:val="0"/>
              <w:divBdr>
                <w:top w:val="none" w:sz="0" w:space="0" w:color="auto"/>
                <w:left w:val="none" w:sz="0" w:space="0" w:color="auto"/>
                <w:bottom w:val="none" w:sz="0" w:space="0" w:color="auto"/>
                <w:right w:val="none" w:sz="0" w:space="0" w:color="auto"/>
              </w:divBdr>
            </w:div>
          </w:divsChild>
        </w:div>
        <w:div w:id="2044673927">
          <w:marLeft w:val="0"/>
          <w:marRight w:val="0"/>
          <w:marTop w:val="0"/>
          <w:marBottom w:val="0"/>
          <w:divBdr>
            <w:top w:val="none" w:sz="0" w:space="0" w:color="auto"/>
            <w:left w:val="none" w:sz="0" w:space="0" w:color="auto"/>
            <w:bottom w:val="none" w:sz="0" w:space="0" w:color="auto"/>
            <w:right w:val="none" w:sz="0" w:space="0" w:color="auto"/>
          </w:divBdr>
          <w:divsChild>
            <w:div w:id="1623534728">
              <w:marLeft w:val="0"/>
              <w:marRight w:val="0"/>
              <w:marTop w:val="0"/>
              <w:marBottom w:val="0"/>
              <w:divBdr>
                <w:top w:val="none" w:sz="0" w:space="0" w:color="auto"/>
                <w:left w:val="none" w:sz="0" w:space="0" w:color="auto"/>
                <w:bottom w:val="none" w:sz="0" w:space="0" w:color="auto"/>
                <w:right w:val="none" w:sz="0" w:space="0" w:color="auto"/>
              </w:divBdr>
            </w:div>
          </w:divsChild>
        </w:div>
        <w:div w:id="1535071289">
          <w:marLeft w:val="0"/>
          <w:marRight w:val="0"/>
          <w:marTop w:val="0"/>
          <w:marBottom w:val="0"/>
          <w:divBdr>
            <w:top w:val="none" w:sz="0" w:space="0" w:color="auto"/>
            <w:left w:val="none" w:sz="0" w:space="0" w:color="auto"/>
            <w:bottom w:val="none" w:sz="0" w:space="0" w:color="auto"/>
            <w:right w:val="none" w:sz="0" w:space="0" w:color="auto"/>
          </w:divBdr>
          <w:divsChild>
            <w:div w:id="779110321">
              <w:marLeft w:val="0"/>
              <w:marRight w:val="0"/>
              <w:marTop w:val="0"/>
              <w:marBottom w:val="0"/>
              <w:divBdr>
                <w:top w:val="none" w:sz="0" w:space="0" w:color="auto"/>
                <w:left w:val="none" w:sz="0" w:space="0" w:color="auto"/>
                <w:bottom w:val="none" w:sz="0" w:space="0" w:color="auto"/>
                <w:right w:val="none" w:sz="0" w:space="0" w:color="auto"/>
              </w:divBdr>
            </w:div>
          </w:divsChild>
        </w:div>
        <w:div w:id="1322392109">
          <w:marLeft w:val="0"/>
          <w:marRight w:val="0"/>
          <w:marTop w:val="0"/>
          <w:marBottom w:val="0"/>
          <w:divBdr>
            <w:top w:val="none" w:sz="0" w:space="0" w:color="auto"/>
            <w:left w:val="none" w:sz="0" w:space="0" w:color="auto"/>
            <w:bottom w:val="none" w:sz="0" w:space="0" w:color="auto"/>
            <w:right w:val="none" w:sz="0" w:space="0" w:color="auto"/>
          </w:divBdr>
          <w:divsChild>
            <w:div w:id="701441876">
              <w:marLeft w:val="0"/>
              <w:marRight w:val="0"/>
              <w:marTop w:val="0"/>
              <w:marBottom w:val="0"/>
              <w:divBdr>
                <w:top w:val="none" w:sz="0" w:space="0" w:color="auto"/>
                <w:left w:val="none" w:sz="0" w:space="0" w:color="auto"/>
                <w:bottom w:val="none" w:sz="0" w:space="0" w:color="auto"/>
                <w:right w:val="none" w:sz="0" w:space="0" w:color="auto"/>
              </w:divBdr>
            </w:div>
          </w:divsChild>
        </w:div>
        <w:div w:id="955331653">
          <w:marLeft w:val="0"/>
          <w:marRight w:val="0"/>
          <w:marTop w:val="0"/>
          <w:marBottom w:val="0"/>
          <w:divBdr>
            <w:top w:val="none" w:sz="0" w:space="0" w:color="auto"/>
            <w:left w:val="none" w:sz="0" w:space="0" w:color="auto"/>
            <w:bottom w:val="none" w:sz="0" w:space="0" w:color="auto"/>
            <w:right w:val="none" w:sz="0" w:space="0" w:color="auto"/>
          </w:divBdr>
          <w:divsChild>
            <w:div w:id="1228414709">
              <w:marLeft w:val="0"/>
              <w:marRight w:val="0"/>
              <w:marTop w:val="0"/>
              <w:marBottom w:val="0"/>
              <w:divBdr>
                <w:top w:val="none" w:sz="0" w:space="0" w:color="auto"/>
                <w:left w:val="none" w:sz="0" w:space="0" w:color="auto"/>
                <w:bottom w:val="none" w:sz="0" w:space="0" w:color="auto"/>
                <w:right w:val="none" w:sz="0" w:space="0" w:color="auto"/>
              </w:divBdr>
            </w:div>
          </w:divsChild>
        </w:div>
        <w:div w:id="54473947">
          <w:marLeft w:val="0"/>
          <w:marRight w:val="0"/>
          <w:marTop w:val="0"/>
          <w:marBottom w:val="0"/>
          <w:divBdr>
            <w:top w:val="none" w:sz="0" w:space="0" w:color="auto"/>
            <w:left w:val="none" w:sz="0" w:space="0" w:color="auto"/>
            <w:bottom w:val="none" w:sz="0" w:space="0" w:color="auto"/>
            <w:right w:val="none" w:sz="0" w:space="0" w:color="auto"/>
          </w:divBdr>
          <w:divsChild>
            <w:div w:id="1095444870">
              <w:marLeft w:val="0"/>
              <w:marRight w:val="0"/>
              <w:marTop w:val="0"/>
              <w:marBottom w:val="0"/>
              <w:divBdr>
                <w:top w:val="none" w:sz="0" w:space="0" w:color="auto"/>
                <w:left w:val="none" w:sz="0" w:space="0" w:color="auto"/>
                <w:bottom w:val="none" w:sz="0" w:space="0" w:color="auto"/>
                <w:right w:val="none" w:sz="0" w:space="0" w:color="auto"/>
              </w:divBdr>
            </w:div>
          </w:divsChild>
        </w:div>
        <w:div w:id="1334724072">
          <w:marLeft w:val="0"/>
          <w:marRight w:val="0"/>
          <w:marTop w:val="0"/>
          <w:marBottom w:val="0"/>
          <w:divBdr>
            <w:top w:val="none" w:sz="0" w:space="0" w:color="auto"/>
            <w:left w:val="none" w:sz="0" w:space="0" w:color="auto"/>
            <w:bottom w:val="none" w:sz="0" w:space="0" w:color="auto"/>
            <w:right w:val="none" w:sz="0" w:space="0" w:color="auto"/>
          </w:divBdr>
          <w:divsChild>
            <w:div w:id="1424230746">
              <w:marLeft w:val="0"/>
              <w:marRight w:val="0"/>
              <w:marTop w:val="0"/>
              <w:marBottom w:val="0"/>
              <w:divBdr>
                <w:top w:val="none" w:sz="0" w:space="0" w:color="auto"/>
                <w:left w:val="none" w:sz="0" w:space="0" w:color="auto"/>
                <w:bottom w:val="none" w:sz="0" w:space="0" w:color="auto"/>
                <w:right w:val="none" w:sz="0" w:space="0" w:color="auto"/>
              </w:divBdr>
            </w:div>
          </w:divsChild>
        </w:div>
        <w:div w:id="613446380">
          <w:marLeft w:val="0"/>
          <w:marRight w:val="0"/>
          <w:marTop w:val="0"/>
          <w:marBottom w:val="0"/>
          <w:divBdr>
            <w:top w:val="none" w:sz="0" w:space="0" w:color="auto"/>
            <w:left w:val="none" w:sz="0" w:space="0" w:color="auto"/>
            <w:bottom w:val="none" w:sz="0" w:space="0" w:color="auto"/>
            <w:right w:val="none" w:sz="0" w:space="0" w:color="auto"/>
          </w:divBdr>
          <w:divsChild>
            <w:div w:id="60443307">
              <w:marLeft w:val="0"/>
              <w:marRight w:val="0"/>
              <w:marTop w:val="0"/>
              <w:marBottom w:val="0"/>
              <w:divBdr>
                <w:top w:val="none" w:sz="0" w:space="0" w:color="auto"/>
                <w:left w:val="none" w:sz="0" w:space="0" w:color="auto"/>
                <w:bottom w:val="none" w:sz="0" w:space="0" w:color="auto"/>
                <w:right w:val="none" w:sz="0" w:space="0" w:color="auto"/>
              </w:divBdr>
            </w:div>
          </w:divsChild>
        </w:div>
        <w:div w:id="885139440">
          <w:marLeft w:val="0"/>
          <w:marRight w:val="0"/>
          <w:marTop w:val="0"/>
          <w:marBottom w:val="0"/>
          <w:divBdr>
            <w:top w:val="none" w:sz="0" w:space="0" w:color="auto"/>
            <w:left w:val="none" w:sz="0" w:space="0" w:color="auto"/>
            <w:bottom w:val="none" w:sz="0" w:space="0" w:color="auto"/>
            <w:right w:val="none" w:sz="0" w:space="0" w:color="auto"/>
          </w:divBdr>
          <w:divsChild>
            <w:div w:id="2168969">
              <w:marLeft w:val="0"/>
              <w:marRight w:val="0"/>
              <w:marTop w:val="0"/>
              <w:marBottom w:val="0"/>
              <w:divBdr>
                <w:top w:val="none" w:sz="0" w:space="0" w:color="auto"/>
                <w:left w:val="none" w:sz="0" w:space="0" w:color="auto"/>
                <w:bottom w:val="none" w:sz="0" w:space="0" w:color="auto"/>
                <w:right w:val="none" w:sz="0" w:space="0" w:color="auto"/>
              </w:divBdr>
            </w:div>
            <w:div w:id="1552231502">
              <w:marLeft w:val="0"/>
              <w:marRight w:val="0"/>
              <w:marTop w:val="0"/>
              <w:marBottom w:val="0"/>
              <w:divBdr>
                <w:top w:val="none" w:sz="0" w:space="0" w:color="auto"/>
                <w:left w:val="none" w:sz="0" w:space="0" w:color="auto"/>
                <w:bottom w:val="none" w:sz="0" w:space="0" w:color="auto"/>
                <w:right w:val="none" w:sz="0" w:space="0" w:color="auto"/>
              </w:divBdr>
            </w:div>
          </w:divsChild>
        </w:div>
        <w:div w:id="1339040089">
          <w:marLeft w:val="0"/>
          <w:marRight w:val="0"/>
          <w:marTop w:val="0"/>
          <w:marBottom w:val="0"/>
          <w:divBdr>
            <w:top w:val="none" w:sz="0" w:space="0" w:color="auto"/>
            <w:left w:val="none" w:sz="0" w:space="0" w:color="auto"/>
            <w:bottom w:val="none" w:sz="0" w:space="0" w:color="auto"/>
            <w:right w:val="none" w:sz="0" w:space="0" w:color="auto"/>
          </w:divBdr>
          <w:divsChild>
            <w:div w:id="786892262">
              <w:marLeft w:val="0"/>
              <w:marRight w:val="0"/>
              <w:marTop w:val="0"/>
              <w:marBottom w:val="0"/>
              <w:divBdr>
                <w:top w:val="none" w:sz="0" w:space="0" w:color="auto"/>
                <w:left w:val="none" w:sz="0" w:space="0" w:color="auto"/>
                <w:bottom w:val="none" w:sz="0" w:space="0" w:color="auto"/>
                <w:right w:val="none" w:sz="0" w:space="0" w:color="auto"/>
              </w:divBdr>
            </w:div>
          </w:divsChild>
        </w:div>
        <w:div w:id="993146412">
          <w:marLeft w:val="0"/>
          <w:marRight w:val="0"/>
          <w:marTop w:val="0"/>
          <w:marBottom w:val="0"/>
          <w:divBdr>
            <w:top w:val="none" w:sz="0" w:space="0" w:color="auto"/>
            <w:left w:val="none" w:sz="0" w:space="0" w:color="auto"/>
            <w:bottom w:val="none" w:sz="0" w:space="0" w:color="auto"/>
            <w:right w:val="none" w:sz="0" w:space="0" w:color="auto"/>
          </w:divBdr>
          <w:divsChild>
            <w:div w:id="1654601360">
              <w:marLeft w:val="0"/>
              <w:marRight w:val="0"/>
              <w:marTop w:val="0"/>
              <w:marBottom w:val="0"/>
              <w:divBdr>
                <w:top w:val="none" w:sz="0" w:space="0" w:color="auto"/>
                <w:left w:val="none" w:sz="0" w:space="0" w:color="auto"/>
                <w:bottom w:val="none" w:sz="0" w:space="0" w:color="auto"/>
                <w:right w:val="none" w:sz="0" w:space="0" w:color="auto"/>
              </w:divBdr>
            </w:div>
          </w:divsChild>
        </w:div>
        <w:div w:id="263347381">
          <w:marLeft w:val="0"/>
          <w:marRight w:val="0"/>
          <w:marTop w:val="0"/>
          <w:marBottom w:val="0"/>
          <w:divBdr>
            <w:top w:val="none" w:sz="0" w:space="0" w:color="auto"/>
            <w:left w:val="none" w:sz="0" w:space="0" w:color="auto"/>
            <w:bottom w:val="none" w:sz="0" w:space="0" w:color="auto"/>
            <w:right w:val="none" w:sz="0" w:space="0" w:color="auto"/>
          </w:divBdr>
          <w:divsChild>
            <w:div w:id="1294823963">
              <w:marLeft w:val="0"/>
              <w:marRight w:val="0"/>
              <w:marTop w:val="0"/>
              <w:marBottom w:val="0"/>
              <w:divBdr>
                <w:top w:val="none" w:sz="0" w:space="0" w:color="auto"/>
                <w:left w:val="none" w:sz="0" w:space="0" w:color="auto"/>
                <w:bottom w:val="none" w:sz="0" w:space="0" w:color="auto"/>
                <w:right w:val="none" w:sz="0" w:space="0" w:color="auto"/>
              </w:divBdr>
            </w:div>
          </w:divsChild>
        </w:div>
        <w:div w:id="614095905">
          <w:marLeft w:val="0"/>
          <w:marRight w:val="0"/>
          <w:marTop w:val="0"/>
          <w:marBottom w:val="0"/>
          <w:divBdr>
            <w:top w:val="none" w:sz="0" w:space="0" w:color="auto"/>
            <w:left w:val="none" w:sz="0" w:space="0" w:color="auto"/>
            <w:bottom w:val="none" w:sz="0" w:space="0" w:color="auto"/>
            <w:right w:val="none" w:sz="0" w:space="0" w:color="auto"/>
          </w:divBdr>
          <w:divsChild>
            <w:div w:id="1088884511">
              <w:marLeft w:val="0"/>
              <w:marRight w:val="0"/>
              <w:marTop w:val="0"/>
              <w:marBottom w:val="0"/>
              <w:divBdr>
                <w:top w:val="none" w:sz="0" w:space="0" w:color="auto"/>
                <w:left w:val="none" w:sz="0" w:space="0" w:color="auto"/>
                <w:bottom w:val="none" w:sz="0" w:space="0" w:color="auto"/>
                <w:right w:val="none" w:sz="0" w:space="0" w:color="auto"/>
              </w:divBdr>
            </w:div>
          </w:divsChild>
        </w:div>
        <w:div w:id="818418914">
          <w:marLeft w:val="0"/>
          <w:marRight w:val="0"/>
          <w:marTop w:val="0"/>
          <w:marBottom w:val="0"/>
          <w:divBdr>
            <w:top w:val="none" w:sz="0" w:space="0" w:color="auto"/>
            <w:left w:val="none" w:sz="0" w:space="0" w:color="auto"/>
            <w:bottom w:val="none" w:sz="0" w:space="0" w:color="auto"/>
            <w:right w:val="none" w:sz="0" w:space="0" w:color="auto"/>
          </w:divBdr>
          <w:divsChild>
            <w:div w:id="337196244">
              <w:marLeft w:val="0"/>
              <w:marRight w:val="0"/>
              <w:marTop w:val="0"/>
              <w:marBottom w:val="0"/>
              <w:divBdr>
                <w:top w:val="none" w:sz="0" w:space="0" w:color="auto"/>
                <w:left w:val="none" w:sz="0" w:space="0" w:color="auto"/>
                <w:bottom w:val="none" w:sz="0" w:space="0" w:color="auto"/>
                <w:right w:val="none" w:sz="0" w:space="0" w:color="auto"/>
              </w:divBdr>
            </w:div>
          </w:divsChild>
        </w:div>
        <w:div w:id="2007859084">
          <w:marLeft w:val="0"/>
          <w:marRight w:val="0"/>
          <w:marTop w:val="0"/>
          <w:marBottom w:val="0"/>
          <w:divBdr>
            <w:top w:val="none" w:sz="0" w:space="0" w:color="auto"/>
            <w:left w:val="none" w:sz="0" w:space="0" w:color="auto"/>
            <w:bottom w:val="none" w:sz="0" w:space="0" w:color="auto"/>
            <w:right w:val="none" w:sz="0" w:space="0" w:color="auto"/>
          </w:divBdr>
          <w:divsChild>
            <w:div w:id="835458036">
              <w:marLeft w:val="0"/>
              <w:marRight w:val="0"/>
              <w:marTop w:val="0"/>
              <w:marBottom w:val="0"/>
              <w:divBdr>
                <w:top w:val="none" w:sz="0" w:space="0" w:color="auto"/>
                <w:left w:val="none" w:sz="0" w:space="0" w:color="auto"/>
                <w:bottom w:val="none" w:sz="0" w:space="0" w:color="auto"/>
                <w:right w:val="none" w:sz="0" w:space="0" w:color="auto"/>
              </w:divBdr>
            </w:div>
          </w:divsChild>
        </w:div>
        <w:div w:id="1876651796">
          <w:marLeft w:val="0"/>
          <w:marRight w:val="0"/>
          <w:marTop w:val="0"/>
          <w:marBottom w:val="0"/>
          <w:divBdr>
            <w:top w:val="none" w:sz="0" w:space="0" w:color="auto"/>
            <w:left w:val="none" w:sz="0" w:space="0" w:color="auto"/>
            <w:bottom w:val="none" w:sz="0" w:space="0" w:color="auto"/>
            <w:right w:val="none" w:sz="0" w:space="0" w:color="auto"/>
          </w:divBdr>
          <w:divsChild>
            <w:div w:id="1593663134">
              <w:marLeft w:val="0"/>
              <w:marRight w:val="0"/>
              <w:marTop w:val="0"/>
              <w:marBottom w:val="0"/>
              <w:divBdr>
                <w:top w:val="none" w:sz="0" w:space="0" w:color="auto"/>
                <w:left w:val="none" w:sz="0" w:space="0" w:color="auto"/>
                <w:bottom w:val="none" w:sz="0" w:space="0" w:color="auto"/>
                <w:right w:val="none" w:sz="0" w:space="0" w:color="auto"/>
              </w:divBdr>
            </w:div>
          </w:divsChild>
        </w:div>
        <w:div w:id="497039071">
          <w:marLeft w:val="0"/>
          <w:marRight w:val="0"/>
          <w:marTop w:val="0"/>
          <w:marBottom w:val="0"/>
          <w:divBdr>
            <w:top w:val="none" w:sz="0" w:space="0" w:color="auto"/>
            <w:left w:val="none" w:sz="0" w:space="0" w:color="auto"/>
            <w:bottom w:val="none" w:sz="0" w:space="0" w:color="auto"/>
            <w:right w:val="none" w:sz="0" w:space="0" w:color="auto"/>
          </w:divBdr>
          <w:divsChild>
            <w:div w:id="1830053449">
              <w:marLeft w:val="0"/>
              <w:marRight w:val="0"/>
              <w:marTop w:val="0"/>
              <w:marBottom w:val="0"/>
              <w:divBdr>
                <w:top w:val="none" w:sz="0" w:space="0" w:color="auto"/>
                <w:left w:val="none" w:sz="0" w:space="0" w:color="auto"/>
                <w:bottom w:val="none" w:sz="0" w:space="0" w:color="auto"/>
                <w:right w:val="none" w:sz="0" w:space="0" w:color="auto"/>
              </w:divBdr>
            </w:div>
          </w:divsChild>
        </w:div>
        <w:div w:id="1767535186">
          <w:marLeft w:val="0"/>
          <w:marRight w:val="0"/>
          <w:marTop w:val="0"/>
          <w:marBottom w:val="0"/>
          <w:divBdr>
            <w:top w:val="none" w:sz="0" w:space="0" w:color="auto"/>
            <w:left w:val="none" w:sz="0" w:space="0" w:color="auto"/>
            <w:bottom w:val="none" w:sz="0" w:space="0" w:color="auto"/>
            <w:right w:val="none" w:sz="0" w:space="0" w:color="auto"/>
          </w:divBdr>
          <w:divsChild>
            <w:div w:id="874393289">
              <w:marLeft w:val="0"/>
              <w:marRight w:val="0"/>
              <w:marTop w:val="0"/>
              <w:marBottom w:val="0"/>
              <w:divBdr>
                <w:top w:val="none" w:sz="0" w:space="0" w:color="auto"/>
                <w:left w:val="none" w:sz="0" w:space="0" w:color="auto"/>
                <w:bottom w:val="none" w:sz="0" w:space="0" w:color="auto"/>
                <w:right w:val="none" w:sz="0" w:space="0" w:color="auto"/>
              </w:divBdr>
            </w:div>
          </w:divsChild>
        </w:div>
        <w:div w:id="609820233">
          <w:marLeft w:val="0"/>
          <w:marRight w:val="0"/>
          <w:marTop w:val="0"/>
          <w:marBottom w:val="0"/>
          <w:divBdr>
            <w:top w:val="none" w:sz="0" w:space="0" w:color="auto"/>
            <w:left w:val="none" w:sz="0" w:space="0" w:color="auto"/>
            <w:bottom w:val="none" w:sz="0" w:space="0" w:color="auto"/>
            <w:right w:val="none" w:sz="0" w:space="0" w:color="auto"/>
          </w:divBdr>
          <w:divsChild>
            <w:div w:id="1267619276">
              <w:marLeft w:val="0"/>
              <w:marRight w:val="0"/>
              <w:marTop w:val="0"/>
              <w:marBottom w:val="0"/>
              <w:divBdr>
                <w:top w:val="none" w:sz="0" w:space="0" w:color="auto"/>
                <w:left w:val="none" w:sz="0" w:space="0" w:color="auto"/>
                <w:bottom w:val="none" w:sz="0" w:space="0" w:color="auto"/>
                <w:right w:val="none" w:sz="0" w:space="0" w:color="auto"/>
              </w:divBdr>
            </w:div>
          </w:divsChild>
        </w:div>
        <w:div w:id="915943266">
          <w:marLeft w:val="0"/>
          <w:marRight w:val="0"/>
          <w:marTop w:val="0"/>
          <w:marBottom w:val="0"/>
          <w:divBdr>
            <w:top w:val="none" w:sz="0" w:space="0" w:color="auto"/>
            <w:left w:val="none" w:sz="0" w:space="0" w:color="auto"/>
            <w:bottom w:val="none" w:sz="0" w:space="0" w:color="auto"/>
            <w:right w:val="none" w:sz="0" w:space="0" w:color="auto"/>
          </w:divBdr>
          <w:divsChild>
            <w:div w:id="17213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6116">
      <w:bodyDiv w:val="1"/>
      <w:marLeft w:val="0"/>
      <w:marRight w:val="0"/>
      <w:marTop w:val="0"/>
      <w:marBottom w:val="0"/>
      <w:divBdr>
        <w:top w:val="none" w:sz="0" w:space="0" w:color="auto"/>
        <w:left w:val="none" w:sz="0" w:space="0" w:color="auto"/>
        <w:bottom w:val="none" w:sz="0" w:space="0" w:color="auto"/>
        <w:right w:val="none" w:sz="0" w:space="0" w:color="auto"/>
      </w:divBdr>
    </w:div>
    <w:div w:id="1590849858">
      <w:bodyDiv w:val="1"/>
      <w:marLeft w:val="0"/>
      <w:marRight w:val="0"/>
      <w:marTop w:val="0"/>
      <w:marBottom w:val="0"/>
      <w:divBdr>
        <w:top w:val="none" w:sz="0" w:space="0" w:color="auto"/>
        <w:left w:val="none" w:sz="0" w:space="0" w:color="auto"/>
        <w:bottom w:val="none" w:sz="0" w:space="0" w:color="auto"/>
        <w:right w:val="none" w:sz="0" w:space="0" w:color="auto"/>
      </w:divBdr>
    </w:div>
    <w:div w:id="1600798784">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682275143">
      <w:bodyDiv w:val="1"/>
      <w:marLeft w:val="0"/>
      <w:marRight w:val="0"/>
      <w:marTop w:val="0"/>
      <w:marBottom w:val="0"/>
      <w:divBdr>
        <w:top w:val="none" w:sz="0" w:space="0" w:color="auto"/>
        <w:left w:val="none" w:sz="0" w:space="0" w:color="auto"/>
        <w:bottom w:val="none" w:sz="0" w:space="0" w:color="auto"/>
        <w:right w:val="none" w:sz="0" w:space="0" w:color="auto"/>
      </w:divBdr>
    </w:div>
    <w:div w:id="1685279862">
      <w:bodyDiv w:val="1"/>
      <w:marLeft w:val="0"/>
      <w:marRight w:val="0"/>
      <w:marTop w:val="0"/>
      <w:marBottom w:val="0"/>
      <w:divBdr>
        <w:top w:val="none" w:sz="0" w:space="0" w:color="auto"/>
        <w:left w:val="none" w:sz="0" w:space="0" w:color="auto"/>
        <w:bottom w:val="none" w:sz="0" w:space="0" w:color="auto"/>
        <w:right w:val="none" w:sz="0" w:space="0" w:color="auto"/>
      </w:divBdr>
    </w:div>
    <w:div w:id="1734500992">
      <w:bodyDiv w:val="1"/>
      <w:marLeft w:val="0"/>
      <w:marRight w:val="0"/>
      <w:marTop w:val="0"/>
      <w:marBottom w:val="0"/>
      <w:divBdr>
        <w:top w:val="none" w:sz="0" w:space="0" w:color="auto"/>
        <w:left w:val="none" w:sz="0" w:space="0" w:color="auto"/>
        <w:bottom w:val="none" w:sz="0" w:space="0" w:color="auto"/>
        <w:right w:val="none" w:sz="0" w:space="0" w:color="auto"/>
      </w:divBdr>
    </w:div>
    <w:div w:id="1745375396">
      <w:bodyDiv w:val="1"/>
      <w:marLeft w:val="0"/>
      <w:marRight w:val="0"/>
      <w:marTop w:val="0"/>
      <w:marBottom w:val="0"/>
      <w:divBdr>
        <w:top w:val="none" w:sz="0" w:space="0" w:color="auto"/>
        <w:left w:val="none" w:sz="0" w:space="0" w:color="auto"/>
        <w:bottom w:val="none" w:sz="0" w:space="0" w:color="auto"/>
        <w:right w:val="none" w:sz="0" w:space="0" w:color="auto"/>
      </w:divBdr>
    </w:div>
    <w:div w:id="1767533026">
      <w:bodyDiv w:val="1"/>
      <w:marLeft w:val="0"/>
      <w:marRight w:val="0"/>
      <w:marTop w:val="0"/>
      <w:marBottom w:val="0"/>
      <w:divBdr>
        <w:top w:val="none" w:sz="0" w:space="0" w:color="auto"/>
        <w:left w:val="none" w:sz="0" w:space="0" w:color="auto"/>
        <w:bottom w:val="none" w:sz="0" w:space="0" w:color="auto"/>
        <w:right w:val="none" w:sz="0" w:space="0" w:color="auto"/>
      </w:divBdr>
    </w:div>
    <w:div w:id="1777676685">
      <w:bodyDiv w:val="1"/>
      <w:marLeft w:val="0"/>
      <w:marRight w:val="0"/>
      <w:marTop w:val="0"/>
      <w:marBottom w:val="0"/>
      <w:divBdr>
        <w:top w:val="none" w:sz="0" w:space="0" w:color="auto"/>
        <w:left w:val="none" w:sz="0" w:space="0" w:color="auto"/>
        <w:bottom w:val="none" w:sz="0" w:space="0" w:color="auto"/>
        <w:right w:val="none" w:sz="0" w:space="0" w:color="auto"/>
      </w:divBdr>
    </w:div>
    <w:div w:id="1811939621">
      <w:bodyDiv w:val="1"/>
      <w:marLeft w:val="0"/>
      <w:marRight w:val="0"/>
      <w:marTop w:val="0"/>
      <w:marBottom w:val="0"/>
      <w:divBdr>
        <w:top w:val="none" w:sz="0" w:space="0" w:color="auto"/>
        <w:left w:val="none" w:sz="0" w:space="0" w:color="auto"/>
        <w:bottom w:val="none" w:sz="0" w:space="0" w:color="auto"/>
        <w:right w:val="none" w:sz="0" w:space="0" w:color="auto"/>
      </w:divBdr>
    </w:div>
    <w:div w:id="1846550716">
      <w:bodyDiv w:val="1"/>
      <w:marLeft w:val="0"/>
      <w:marRight w:val="0"/>
      <w:marTop w:val="0"/>
      <w:marBottom w:val="0"/>
      <w:divBdr>
        <w:top w:val="none" w:sz="0" w:space="0" w:color="auto"/>
        <w:left w:val="none" w:sz="0" w:space="0" w:color="auto"/>
        <w:bottom w:val="none" w:sz="0" w:space="0" w:color="auto"/>
        <w:right w:val="none" w:sz="0" w:space="0" w:color="auto"/>
      </w:divBdr>
    </w:div>
    <w:div w:id="1898126645">
      <w:bodyDiv w:val="1"/>
      <w:marLeft w:val="0"/>
      <w:marRight w:val="0"/>
      <w:marTop w:val="0"/>
      <w:marBottom w:val="0"/>
      <w:divBdr>
        <w:top w:val="none" w:sz="0" w:space="0" w:color="auto"/>
        <w:left w:val="none" w:sz="0" w:space="0" w:color="auto"/>
        <w:bottom w:val="none" w:sz="0" w:space="0" w:color="auto"/>
        <w:right w:val="none" w:sz="0" w:space="0" w:color="auto"/>
      </w:divBdr>
    </w:div>
    <w:div w:id="1911772634">
      <w:bodyDiv w:val="1"/>
      <w:marLeft w:val="0"/>
      <w:marRight w:val="0"/>
      <w:marTop w:val="0"/>
      <w:marBottom w:val="0"/>
      <w:divBdr>
        <w:top w:val="none" w:sz="0" w:space="0" w:color="auto"/>
        <w:left w:val="none" w:sz="0" w:space="0" w:color="auto"/>
        <w:bottom w:val="none" w:sz="0" w:space="0" w:color="auto"/>
        <w:right w:val="none" w:sz="0" w:space="0" w:color="auto"/>
      </w:divBdr>
      <w:divsChild>
        <w:div w:id="1625691131">
          <w:marLeft w:val="0"/>
          <w:marRight w:val="0"/>
          <w:marTop w:val="0"/>
          <w:marBottom w:val="0"/>
          <w:divBdr>
            <w:top w:val="none" w:sz="0" w:space="0" w:color="auto"/>
            <w:left w:val="none" w:sz="0" w:space="0" w:color="auto"/>
            <w:bottom w:val="none" w:sz="0" w:space="0" w:color="auto"/>
            <w:right w:val="none" w:sz="0" w:space="0" w:color="auto"/>
          </w:divBdr>
        </w:div>
        <w:div w:id="330185422">
          <w:marLeft w:val="0"/>
          <w:marRight w:val="0"/>
          <w:marTop w:val="0"/>
          <w:marBottom w:val="0"/>
          <w:divBdr>
            <w:top w:val="none" w:sz="0" w:space="0" w:color="auto"/>
            <w:left w:val="none" w:sz="0" w:space="0" w:color="auto"/>
            <w:bottom w:val="none" w:sz="0" w:space="0" w:color="auto"/>
            <w:right w:val="none" w:sz="0" w:space="0" w:color="auto"/>
          </w:divBdr>
        </w:div>
        <w:div w:id="66155327">
          <w:marLeft w:val="0"/>
          <w:marRight w:val="0"/>
          <w:marTop w:val="0"/>
          <w:marBottom w:val="0"/>
          <w:divBdr>
            <w:top w:val="none" w:sz="0" w:space="0" w:color="auto"/>
            <w:left w:val="none" w:sz="0" w:space="0" w:color="auto"/>
            <w:bottom w:val="none" w:sz="0" w:space="0" w:color="auto"/>
            <w:right w:val="none" w:sz="0" w:space="0" w:color="auto"/>
          </w:divBdr>
        </w:div>
      </w:divsChild>
    </w:div>
    <w:div w:id="1913588014">
      <w:bodyDiv w:val="1"/>
      <w:marLeft w:val="0"/>
      <w:marRight w:val="0"/>
      <w:marTop w:val="0"/>
      <w:marBottom w:val="0"/>
      <w:divBdr>
        <w:top w:val="none" w:sz="0" w:space="0" w:color="auto"/>
        <w:left w:val="none" w:sz="0" w:space="0" w:color="auto"/>
        <w:bottom w:val="none" w:sz="0" w:space="0" w:color="auto"/>
        <w:right w:val="none" w:sz="0" w:space="0" w:color="auto"/>
      </w:divBdr>
    </w:div>
    <w:div w:id="1941179632">
      <w:bodyDiv w:val="1"/>
      <w:marLeft w:val="0"/>
      <w:marRight w:val="0"/>
      <w:marTop w:val="0"/>
      <w:marBottom w:val="0"/>
      <w:divBdr>
        <w:top w:val="none" w:sz="0" w:space="0" w:color="auto"/>
        <w:left w:val="none" w:sz="0" w:space="0" w:color="auto"/>
        <w:bottom w:val="none" w:sz="0" w:space="0" w:color="auto"/>
        <w:right w:val="none" w:sz="0" w:space="0" w:color="auto"/>
      </w:divBdr>
    </w:div>
    <w:div w:id="1948852884">
      <w:bodyDiv w:val="1"/>
      <w:marLeft w:val="0"/>
      <w:marRight w:val="0"/>
      <w:marTop w:val="0"/>
      <w:marBottom w:val="0"/>
      <w:divBdr>
        <w:top w:val="none" w:sz="0" w:space="0" w:color="auto"/>
        <w:left w:val="none" w:sz="0" w:space="0" w:color="auto"/>
        <w:bottom w:val="none" w:sz="0" w:space="0" w:color="auto"/>
        <w:right w:val="none" w:sz="0" w:space="0" w:color="auto"/>
      </w:divBdr>
    </w:div>
    <w:div w:id="2023507582">
      <w:bodyDiv w:val="1"/>
      <w:marLeft w:val="0"/>
      <w:marRight w:val="0"/>
      <w:marTop w:val="0"/>
      <w:marBottom w:val="0"/>
      <w:divBdr>
        <w:top w:val="none" w:sz="0" w:space="0" w:color="auto"/>
        <w:left w:val="none" w:sz="0" w:space="0" w:color="auto"/>
        <w:bottom w:val="none" w:sz="0" w:space="0" w:color="auto"/>
        <w:right w:val="none" w:sz="0" w:space="0" w:color="auto"/>
      </w:divBdr>
    </w:div>
    <w:div w:id="2062093674">
      <w:bodyDiv w:val="1"/>
      <w:marLeft w:val="0"/>
      <w:marRight w:val="0"/>
      <w:marTop w:val="0"/>
      <w:marBottom w:val="0"/>
      <w:divBdr>
        <w:top w:val="none" w:sz="0" w:space="0" w:color="auto"/>
        <w:left w:val="none" w:sz="0" w:space="0" w:color="auto"/>
        <w:bottom w:val="none" w:sz="0" w:space="0" w:color="auto"/>
        <w:right w:val="none" w:sz="0" w:space="0" w:color="auto"/>
      </w:divBdr>
    </w:div>
    <w:div w:id="2087873461">
      <w:bodyDiv w:val="1"/>
      <w:marLeft w:val="0"/>
      <w:marRight w:val="0"/>
      <w:marTop w:val="0"/>
      <w:marBottom w:val="0"/>
      <w:divBdr>
        <w:top w:val="none" w:sz="0" w:space="0" w:color="auto"/>
        <w:left w:val="none" w:sz="0" w:space="0" w:color="auto"/>
        <w:bottom w:val="none" w:sz="0" w:space="0" w:color="auto"/>
        <w:right w:val="none" w:sz="0" w:space="0" w:color="auto"/>
      </w:divBdr>
    </w:div>
    <w:div w:id="2103183385">
      <w:bodyDiv w:val="1"/>
      <w:marLeft w:val="0"/>
      <w:marRight w:val="0"/>
      <w:marTop w:val="0"/>
      <w:marBottom w:val="0"/>
      <w:divBdr>
        <w:top w:val="none" w:sz="0" w:space="0" w:color="auto"/>
        <w:left w:val="none" w:sz="0" w:space="0" w:color="auto"/>
        <w:bottom w:val="none" w:sz="0" w:space="0" w:color="auto"/>
        <w:right w:val="none" w:sz="0" w:space="0" w:color="auto"/>
      </w:divBdr>
    </w:div>
    <w:div w:id="21315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99" Type="http://schemas.openxmlformats.org/officeDocument/2006/relationships/header" Target="header146.xml"/><Relationship Id="rId303" Type="http://schemas.openxmlformats.org/officeDocument/2006/relationships/footer" Target="footer147.xml"/><Relationship Id="rId21" Type="http://schemas.openxmlformats.org/officeDocument/2006/relationships/footer" Target="footer6.xml"/><Relationship Id="rId42" Type="http://schemas.openxmlformats.org/officeDocument/2006/relationships/footer" Target="footer16.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footer" Target="footer75.xml"/><Relationship Id="rId324" Type="http://schemas.openxmlformats.org/officeDocument/2006/relationships/footer" Target="footer157.xml"/><Relationship Id="rId170" Type="http://schemas.openxmlformats.org/officeDocument/2006/relationships/header" Target="header81.xml"/><Relationship Id="rId191" Type="http://schemas.openxmlformats.org/officeDocument/2006/relationships/header" Target="header92.xml"/><Relationship Id="rId205" Type="http://schemas.openxmlformats.org/officeDocument/2006/relationships/footer" Target="footer98.xml"/><Relationship Id="rId226" Type="http://schemas.openxmlformats.org/officeDocument/2006/relationships/header" Target="header109.xml"/><Relationship Id="rId247" Type="http://schemas.openxmlformats.org/officeDocument/2006/relationships/footer" Target="footer119.xml"/><Relationship Id="rId107" Type="http://schemas.openxmlformats.org/officeDocument/2006/relationships/header" Target="header50.xml"/><Relationship Id="rId268" Type="http://schemas.openxmlformats.org/officeDocument/2006/relationships/header" Target="header130.xml"/><Relationship Id="rId289" Type="http://schemas.openxmlformats.org/officeDocument/2006/relationships/footer" Target="footer140.xml"/><Relationship Id="rId11" Type="http://schemas.openxmlformats.org/officeDocument/2006/relationships/header" Target="header2.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header" Target="header71.xml"/><Relationship Id="rId314" Type="http://schemas.openxmlformats.org/officeDocument/2006/relationships/header" Target="header153.xml"/><Relationship Id="rId335"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header" Target="header44.xml"/><Relationship Id="rId160" Type="http://schemas.openxmlformats.org/officeDocument/2006/relationships/header" Target="header76.xml"/><Relationship Id="rId181" Type="http://schemas.openxmlformats.org/officeDocument/2006/relationships/footer" Target="footer86.xml"/><Relationship Id="rId216" Type="http://schemas.openxmlformats.org/officeDocument/2006/relationships/footer" Target="footer103.xml"/><Relationship Id="rId237" Type="http://schemas.openxmlformats.org/officeDocument/2006/relationships/footer" Target="footer114.xml"/><Relationship Id="rId258" Type="http://schemas.openxmlformats.org/officeDocument/2006/relationships/footer" Target="footer124.xml"/><Relationship Id="rId279" Type="http://schemas.openxmlformats.org/officeDocument/2006/relationships/footer" Target="footer135.xml"/><Relationship Id="rId22" Type="http://schemas.openxmlformats.org/officeDocument/2006/relationships/header" Target="header7.xml"/><Relationship Id="rId43" Type="http://schemas.openxmlformats.org/officeDocument/2006/relationships/footer" Target="footer17.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footer" Target="footer65.xml"/><Relationship Id="rId290" Type="http://schemas.openxmlformats.org/officeDocument/2006/relationships/header" Target="header141.xml"/><Relationship Id="rId304" Type="http://schemas.openxmlformats.org/officeDocument/2006/relationships/header" Target="header148.xml"/><Relationship Id="rId325" Type="http://schemas.openxmlformats.org/officeDocument/2006/relationships/footer" Target="footer158.xml"/><Relationship Id="rId85" Type="http://schemas.openxmlformats.org/officeDocument/2006/relationships/footer" Target="footer38.xml"/><Relationship Id="rId150" Type="http://schemas.openxmlformats.org/officeDocument/2006/relationships/footer" Target="footer70.xml"/><Relationship Id="rId171" Type="http://schemas.openxmlformats.org/officeDocument/2006/relationships/footer" Target="footer81.xml"/><Relationship Id="rId192" Type="http://schemas.openxmlformats.org/officeDocument/2006/relationships/footer" Target="footer91.xml"/><Relationship Id="rId206" Type="http://schemas.openxmlformats.org/officeDocument/2006/relationships/header" Target="header99.xml"/><Relationship Id="rId227" Type="http://schemas.openxmlformats.org/officeDocument/2006/relationships/header" Target="header110.xml"/><Relationship Id="rId248" Type="http://schemas.openxmlformats.org/officeDocument/2006/relationships/header" Target="header120.xml"/><Relationship Id="rId269" Type="http://schemas.openxmlformats.org/officeDocument/2006/relationships/header" Target="header131.xml"/><Relationship Id="rId12" Type="http://schemas.openxmlformats.org/officeDocument/2006/relationships/footer" Target="footer1.xml"/><Relationship Id="rId33" Type="http://schemas.openxmlformats.org/officeDocument/2006/relationships/footer" Target="footer12.xml"/><Relationship Id="rId108" Type="http://schemas.openxmlformats.org/officeDocument/2006/relationships/footer" Target="footer49.xml"/><Relationship Id="rId129" Type="http://schemas.openxmlformats.org/officeDocument/2006/relationships/footer" Target="footer60.xml"/><Relationship Id="rId280" Type="http://schemas.openxmlformats.org/officeDocument/2006/relationships/header" Target="header136.xml"/><Relationship Id="rId315" Type="http://schemas.openxmlformats.org/officeDocument/2006/relationships/footer" Target="footer153.xml"/><Relationship Id="rId54" Type="http://schemas.openxmlformats.org/officeDocument/2006/relationships/footer" Target="footer22.xml"/><Relationship Id="rId75" Type="http://schemas.openxmlformats.org/officeDocument/2006/relationships/footer" Target="footer33.xml"/><Relationship Id="rId96" Type="http://schemas.openxmlformats.org/officeDocument/2006/relationships/footer" Target="footer43.xml"/><Relationship Id="rId140" Type="http://schemas.openxmlformats.org/officeDocument/2006/relationships/header" Target="header66.xml"/><Relationship Id="rId161" Type="http://schemas.openxmlformats.org/officeDocument/2006/relationships/header" Target="header77.xml"/><Relationship Id="rId182" Type="http://schemas.openxmlformats.org/officeDocument/2006/relationships/header" Target="header87.xml"/><Relationship Id="rId217" Type="http://schemas.openxmlformats.org/officeDocument/2006/relationships/footer" Target="footer104.xml"/><Relationship Id="rId6" Type="http://schemas.openxmlformats.org/officeDocument/2006/relationships/webSettings" Target="webSettings.xml"/><Relationship Id="rId238" Type="http://schemas.openxmlformats.org/officeDocument/2006/relationships/header" Target="header115.xml"/><Relationship Id="rId259" Type="http://schemas.openxmlformats.org/officeDocument/2006/relationships/footer" Target="footer125.xml"/><Relationship Id="rId23" Type="http://schemas.openxmlformats.org/officeDocument/2006/relationships/header" Target="header8.xml"/><Relationship Id="rId119" Type="http://schemas.openxmlformats.org/officeDocument/2006/relationships/header" Target="header56.xml"/><Relationship Id="rId270" Type="http://schemas.openxmlformats.org/officeDocument/2006/relationships/footer" Target="footer130.xml"/><Relationship Id="rId291" Type="http://schemas.openxmlformats.org/officeDocument/2006/relationships/footer" Target="footer141.xml"/><Relationship Id="rId305" Type="http://schemas.openxmlformats.org/officeDocument/2006/relationships/header" Target="header149.xml"/><Relationship Id="rId326" Type="http://schemas.openxmlformats.org/officeDocument/2006/relationships/header" Target="header159.xml"/><Relationship Id="rId44" Type="http://schemas.openxmlformats.org/officeDocument/2006/relationships/header" Target="header18.xml"/><Relationship Id="rId65" Type="http://schemas.openxmlformats.org/officeDocument/2006/relationships/header" Target="header29.xml"/><Relationship Id="rId86" Type="http://schemas.openxmlformats.org/officeDocument/2006/relationships/header" Target="header39.xml"/><Relationship Id="rId130" Type="http://schemas.openxmlformats.org/officeDocument/2006/relationships/header" Target="header61.xml"/><Relationship Id="rId151" Type="http://schemas.openxmlformats.org/officeDocument/2006/relationships/footer" Target="footer71.xml"/><Relationship Id="rId172" Type="http://schemas.openxmlformats.org/officeDocument/2006/relationships/header" Target="header82.xml"/><Relationship Id="rId193" Type="http://schemas.openxmlformats.org/officeDocument/2006/relationships/footer" Target="footer92.xml"/><Relationship Id="rId207" Type="http://schemas.openxmlformats.org/officeDocument/2006/relationships/footer" Target="footer99.xml"/><Relationship Id="rId228" Type="http://schemas.openxmlformats.org/officeDocument/2006/relationships/footer" Target="footer109.xml"/><Relationship Id="rId249" Type="http://schemas.openxmlformats.org/officeDocument/2006/relationships/footer" Target="footer120.xml"/><Relationship Id="rId13" Type="http://schemas.openxmlformats.org/officeDocument/2006/relationships/footer" Target="footer2.xml"/><Relationship Id="rId109" Type="http://schemas.openxmlformats.org/officeDocument/2006/relationships/footer" Target="footer50.xml"/><Relationship Id="rId260" Type="http://schemas.openxmlformats.org/officeDocument/2006/relationships/header" Target="header126.xml"/><Relationship Id="rId281" Type="http://schemas.openxmlformats.org/officeDocument/2006/relationships/header" Target="header137.xml"/><Relationship Id="rId316" Type="http://schemas.openxmlformats.org/officeDocument/2006/relationships/header" Target="header154.xml"/><Relationship Id="rId34" Type="http://schemas.openxmlformats.org/officeDocument/2006/relationships/header" Target="header13.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20" Type="http://schemas.openxmlformats.org/officeDocument/2006/relationships/footer" Target="footer55.xml"/><Relationship Id="rId141" Type="http://schemas.openxmlformats.org/officeDocument/2006/relationships/footer" Target="footer66.xml"/><Relationship Id="rId7" Type="http://schemas.openxmlformats.org/officeDocument/2006/relationships/footnotes" Target="footnotes.xml"/><Relationship Id="rId162" Type="http://schemas.openxmlformats.org/officeDocument/2006/relationships/footer" Target="footer76.xml"/><Relationship Id="rId183" Type="http://schemas.openxmlformats.org/officeDocument/2006/relationships/footer" Target="footer87.xml"/><Relationship Id="rId218" Type="http://schemas.openxmlformats.org/officeDocument/2006/relationships/header" Target="header105.xml"/><Relationship Id="rId239" Type="http://schemas.openxmlformats.org/officeDocument/2006/relationships/header" Target="header116.xml"/><Relationship Id="rId250" Type="http://schemas.openxmlformats.org/officeDocument/2006/relationships/header" Target="header121.xml"/><Relationship Id="rId271" Type="http://schemas.openxmlformats.org/officeDocument/2006/relationships/footer" Target="footer131.xml"/><Relationship Id="rId292" Type="http://schemas.openxmlformats.org/officeDocument/2006/relationships/header" Target="header142.xml"/><Relationship Id="rId306" Type="http://schemas.openxmlformats.org/officeDocument/2006/relationships/footer" Target="footer148.xml"/><Relationship Id="rId24" Type="http://schemas.openxmlformats.org/officeDocument/2006/relationships/footer" Target="footer7.xml"/><Relationship Id="rId45" Type="http://schemas.openxmlformats.org/officeDocument/2006/relationships/footer" Target="footer18.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header" Target="header51.xml"/><Relationship Id="rId131" Type="http://schemas.openxmlformats.org/officeDocument/2006/relationships/header" Target="header62.xml"/><Relationship Id="rId327" Type="http://schemas.openxmlformats.org/officeDocument/2006/relationships/footer" Target="footer159.xml"/><Relationship Id="R7055749c198d40d8" Type="http://schemas.microsoft.com/office/2018/08/relationships/commentsExtensible" Target="commentsExtensible.xml"/><Relationship Id="rId152" Type="http://schemas.openxmlformats.org/officeDocument/2006/relationships/header" Target="header72.xml"/><Relationship Id="rId173" Type="http://schemas.openxmlformats.org/officeDocument/2006/relationships/header" Target="header83.xml"/><Relationship Id="rId194" Type="http://schemas.openxmlformats.org/officeDocument/2006/relationships/header" Target="header93.xml"/><Relationship Id="rId208" Type="http://schemas.openxmlformats.org/officeDocument/2006/relationships/header" Target="header100.xml"/><Relationship Id="rId229" Type="http://schemas.openxmlformats.org/officeDocument/2006/relationships/footer" Target="footer110.xml"/><Relationship Id="rId240" Type="http://schemas.openxmlformats.org/officeDocument/2006/relationships/footer" Target="footer115.xml"/><Relationship Id="rId261" Type="http://schemas.openxmlformats.org/officeDocument/2006/relationships/footer" Target="footer126.xml"/><Relationship Id="rId14" Type="http://schemas.openxmlformats.org/officeDocument/2006/relationships/header" Target="header3.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282" Type="http://schemas.openxmlformats.org/officeDocument/2006/relationships/footer" Target="footer136.xml"/><Relationship Id="rId317" Type="http://schemas.openxmlformats.org/officeDocument/2006/relationships/header" Target="header155.xml"/><Relationship Id="rId8" Type="http://schemas.openxmlformats.org/officeDocument/2006/relationships/endnotes" Target="endnotes.xml"/><Relationship Id="rId98" Type="http://schemas.openxmlformats.org/officeDocument/2006/relationships/header" Target="header45.xml"/><Relationship Id="rId121" Type="http://schemas.openxmlformats.org/officeDocument/2006/relationships/footer" Target="footer56.xml"/><Relationship Id="rId142" Type="http://schemas.openxmlformats.org/officeDocument/2006/relationships/header" Target="header67.xml"/><Relationship Id="rId163" Type="http://schemas.openxmlformats.org/officeDocument/2006/relationships/footer" Target="footer77.xml"/><Relationship Id="rId184" Type="http://schemas.openxmlformats.org/officeDocument/2006/relationships/header" Target="header88.xml"/><Relationship Id="rId219" Type="http://schemas.openxmlformats.org/officeDocument/2006/relationships/footer" Target="footer105.xml"/><Relationship Id="rId3" Type="http://schemas.openxmlformats.org/officeDocument/2006/relationships/styles" Target="styles.xml"/><Relationship Id="rId214" Type="http://schemas.openxmlformats.org/officeDocument/2006/relationships/header" Target="header103.xml"/><Relationship Id="rId230" Type="http://schemas.openxmlformats.org/officeDocument/2006/relationships/header" Target="header111.xml"/><Relationship Id="rId235" Type="http://schemas.openxmlformats.org/officeDocument/2006/relationships/footer" Target="footer113.xml"/><Relationship Id="rId251" Type="http://schemas.openxmlformats.org/officeDocument/2006/relationships/header" Target="header122.xml"/><Relationship Id="rId256" Type="http://schemas.openxmlformats.org/officeDocument/2006/relationships/header" Target="header124.xml"/><Relationship Id="rId277" Type="http://schemas.openxmlformats.org/officeDocument/2006/relationships/footer" Target="footer134.xml"/><Relationship Id="rId298" Type="http://schemas.openxmlformats.org/officeDocument/2006/relationships/header" Target="header145.xml"/><Relationship Id="rId25" Type="http://schemas.openxmlformats.org/officeDocument/2006/relationships/footer" Target="footer8.xml"/><Relationship Id="rId46" Type="http://schemas.openxmlformats.org/officeDocument/2006/relationships/header" Target="header19.xml"/><Relationship Id="rId67" Type="http://schemas.openxmlformats.org/officeDocument/2006/relationships/footer" Target="footer29.xml"/><Relationship Id="rId116" Type="http://schemas.openxmlformats.org/officeDocument/2006/relationships/header" Target="header54.xml"/><Relationship Id="rId137" Type="http://schemas.openxmlformats.org/officeDocument/2006/relationships/header" Target="header65.xml"/><Relationship Id="rId158" Type="http://schemas.openxmlformats.org/officeDocument/2006/relationships/header" Target="header75.xml"/><Relationship Id="rId272" Type="http://schemas.openxmlformats.org/officeDocument/2006/relationships/header" Target="header132.xml"/><Relationship Id="rId293" Type="http://schemas.openxmlformats.org/officeDocument/2006/relationships/header" Target="header143.xml"/><Relationship Id="rId302" Type="http://schemas.openxmlformats.org/officeDocument/2006/relationships/header" Target="header147.xml"/><Relationship Id="rId307" Type="http://schemas.openxmlformats.org/officeDocument/2006/relationships/footer" Target="footer149.xml"/><Relationship Id="rId323" Type="http://schemas.openxmlformats.org/officeDocument/2006/relationships/header" Target="header158.xml"/><Relationship Id="rId328" Type="http://schemas.openxmlformats.org/officeDocument/2006/relationships/header" Target="header160.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header" Target="header40.xml"/><Relationship Id="rId111" Type="http://schemas.openxmlformats.org/officeDocument/2006/relationships/footer" Target="footer51.xml"/><Relationship Id="rId132" Type="http://schemas.openxmlformats.org/officeDocument/2006/relationships/footer" Target="footer61.xml"/><Relationship Id="rId153" Type="http://schemas.openxmlformats.org/officeDocument/2006/relationships/footer" Target="footer72.xml"/><Relationship Id="rId174" Type="http://schemas.openxmlformats.org/officeDocument/2006/relationships/footer" Target="footer82.xml"/><Relationship Id="rId179" Type="http://schemas.openxmlformats.org/officeDocument/2006/relationships/header" Target="header86.xml"/><Relationship Id="rId195" Type="http://schemas.openxmlformats.org/officeDocument/2006/relationships/footer" Target="footer93.xml"/><Relationship Id="rId209" Type="http://schemas.openxmlformats.org/officeDocument/2006/relationships/header" Target="header101.xml"/><Relationship Id="rId190" Type="http://schemas.openxmlformats.org/officeDocument/2006/relationships/header" Target="header91.xml"/><Relationship Id="rId204" Type="http://schemas.openxmlformats.org/officeDocument/2006/relationships/footer" Target="footer97.xml"/><Relationship Id="rId220" Type="http://schemas.openxmlformats.org/officeDocument/2006/relationships/header" Target="header106.xml"/><Relationship Id="rId225" Type="http://schemas.openxmlformats.org/officeDocument/2006/relationships/footer" Target="footer108.xml"/><Relationship Id="rId241" Type="http://schemas.openxmlformats.org/officeDocument/2006/relationships/footer" Target="footer116.xml"/><Relationship Id="rId246" Type="http://schemas.openxmlformats.org/officeDocument/2006/relationships/footer" Target="footer118.xml"/><Relationship Id="rId267" Type="http://schemas.openxmlformats.org/officeDocument/2006/relationships/footer" Target="footer129.xml"/><Relationship Id="rId288" Type="http://schemas.openxmlformats.org/officeDocument/2006/relationships/footer" Target="footer139.xml"/><Relationship Id="rId15" Type="http://schemas.openxmlformats.org/officeDocument/2006/relationships/footer" Target="footer3.xml"/><Relationship Id="rId36" Type="http://schemas.openxmlformats.org/officeDocument/2006/relationships/footer" Target="footer13.xml"/><Relationship Id="rId57" Type="http://schemas.openxmlformats.org/officeDocument/2006/relationships/footer" Target="footer24.xml"/><Relationship Id="rId106" Type="http://schemas.openxmlformats.org/officeDocument/2006/relationships/header" Target="header49.xml"/><Relationship Id="rId127" Type="http://schemas.openxmlformats.org/officeDocument/2006/relationships/footer" Target="footer59.xml"/><Relationship Id="rId262" Type="http://schemas.openxmlformats.org/officeDocument/2006/relationships/header" Target="header127.xml"/><Relationship Id="rId283" Type="http://schemas.openxmlformats.org/officeDocument/2006/relationships/footer" Target="footer137.xml"/><Relationship Id="rId313" Type="http://schemas.openxmlformats.org/officeDocument/2006/relationships/footer" Target="footer152.xml"/><Relationship Id="rId318" Type="http://schemas.openxmlformats.org/officeDocument/2006/relationships/footer" Target="footer154.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header" Target="header22.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header" Target="header68.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80.xml"/><Relationship Id="rId185" Type="http://schemas.openxmlformats.org/officeDocument/2006/relationships/header" Target="header89.xml"/><Relationship Id="rId33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footer" Target="footer85.xml"/><Relationship Id="rId210" Type="http://schemas.openxmlformats.org/officeDocument/2006/relationships/footer" Target="footer100.xml"/><Relationship Id="rId215" Type="http://schemas.openxmlformats.org/officeDocument/2006/relationships/header" Target="header104.xml"/><Relationship Id="rId236" Type="http://schemas.openxmlformats.org/officeDocument/2006/relationships/header" Target="header114.xml"/><Relationship Id="rId257" Type="http://schemas.openxmlformats.org/officeDocument/2006/relationships/header" Target="header125.xml"/><Relationship Id="rId278" Type="http://schemas.openxmlformats.org/officeDocument/2006/relationships/header" Target="header135.xml"/><Relationship Id="rId26" Type="http://schemas.openxmlformats.org/officeDocument/2006/relationships/header" Target="header9.xml"/><Relationship Id="rId231" Type="http://schemas.openxmlformats.org/officeDocument/2006/relationships/footer" Target="footer111.xml"/><Relationship Id="rId252" Type="http://schemas.openxmlformats.org/officeDocument/2006/relationships/footer" Target="footer121.xml"/><Relationship Id="rId273" Type="http://schemas.openxmlformats.org/officeDocument/2006/relationships/footer" Target="footer132.xml"/><Relationship Id="rId294" Type="http://schemas.openxmlformats.org/officeDocument/2006/relationships/footer" Target="footer142.xml"/><Relationship Id="rId308" Type="http://schemas.openxmlformats.org/officeDocument/2006/relationships/header" Target="header150.xml"/><Relationship Id="rId329" Type="http://schemas.openxmlformats.org/officeDocument/2006/relationships/header" Target="header161.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2.xml"/><Relationship Id="rId154" Type="http://schemas.openxmlformats.org/officeDocument/2006/relationships/header" Target="header73.xml"/><Relationship Id="rId175" Type="http://schemas.openxmlformats.org/officeDocument/2006/relationships/footer" Target="footer83.xml"/><Relationship Id="rId196" Type="http://schemas.openxmlformats.org/officeDocument/2006/relationships/header" Target="header94.xml"/><Relationship Id="rId200" Type="http://schemas.openxmlformats.org/officeDocument/2006/relationships/header" Target="header96.xml"/><Relationship Id="rId16" Type="http://schemas.openxmlformats.org/officeDocument/2006/relationships/header" Target="header4.xml"/><Relationship Id="rId221" Type="http://schemas.openxmlformats.org/officeDocument/2006/relationships/header" Target="header107.xml"/><Relationship Id="rId242" Type="http://schemas.openxmlformats.org/officeDocument/2006/relationships/header" Target="header117.xml"/><Relationship Id="rId263" Type="http://schemas.openxmlformats.org/officeDocument/2006/relationships/header" Target="header128.xml"/><Relationship Id="rId284" Type="http://schemas.openxmlformats.org/officeDocument/2006/relationships/header" Target="header138.xml"/><Relationship Id="rId319" Type="http://schemas.openxmlformats.org/officeDocument/2006/relationships/footer" Target="footer155.xml"/><Relationship Id="rId37" Type="http://schemas.openxmlformats.org/officeDocument/2006/relationships/footer" Target="footer14.xml"/><Relationship Id="rId58" Type="http://schemas.openxmlformats.org/officeDocument/2006/relationships/header" Target="header25.xml"/><Relationship Id="rId79" Type="http://schemas.openxmlformats.org/officeDocument/2006/relationships/footer" Target="footer35.xml"/><Relationship Id="rId102" Type="http://schemas.openxmlformats.org/officeDocument/2006/relationships/footer" Target="footer46.xml"/><Relationship Id="rId123" Type="http://schemas.openxmlformats.org/officeDocument/2006/relationships/footer" Target="footer57.xml"/><Relationship Id="rId144" Type="http://schemas.openxmlformats.org/officeDocument/2006/relationships/footer" Target="footer67.xml"/><Relationship Id="rId330" Type="http://schemas.openxmlformats.org/officeDocument/2006/relationships/footer" Target="footer160.xml"/><Relationship Id="rId90" Type="http://schemas.openxmlformats.org/officeDocument/2006/relationships/footer" Target="footer40.xml"/><Relationship Id="rId165" Type="http://schemas.openxmlformats.org/officeDocument/2006/relationships/footer" Target="footer78.xml"/><Relationship Id="rId186" Type="http://schemas.openxmlformats.org/officeDocument/2006/relationships/footer" Target="footer88.xml"/><Relationship Id="rId211" Type="http://schemas.openxmlformats.org/officeDocument/2006/relationships/footer" Target="footer101.xml"/><Relationship Id="rId232" Type="http://schemas.openxmlformats.org/officeDocument/2006/relationships/header" Target="header112.xml"/><Relationship Id="rId253" Type="http://schemas.openxmlformats.org/officeDocument/2006/relationships/footer" Target="footer122.xml"/><Relationship Id="rId274" Type="http://schemas.openxmlformats.org/officeDocument/2006/relationships/header" Target="header133.xml"/><Relationship Id="rId295" Type="http://schemas.openxmlformats.org/officeDocument/2006/relationships/footer" Target="footer143.xml"/><Relationship Id="rId309" Type="http://schemas.openxmlformats.org/officeDocument/2006/relationships/footer" Target="footer150.xml"/><Relationship Id="rId27" Type="http://schemas.openxmlformats.org/officeDocument/2006/relationships/footer" Target="footer9.xml"/><Relationship Id="rId48" Type="http://schemas.openxmlformats.org/officeDocument/2006/relationships/footer" Target="footer19.xml"/><Relationship Id="rId69" Type="http://schemas.openxmlformats.org/officeDocument/2006/relationships/footer" Target="footer30.xml"/><Relationship Id="rId113" Type="http://schemas.openxmlformats.org/officeDocument/2006/relationships/header" Target="header53.xml"/><Relationship Id="rId134" Type="http://schemas.openxmlformats.org/officeDocument/2006/relationships/header" Target="header63.xml"/><Relationship Id="rId320" Type="http://schemas.openxmlformats.org/officeDocument/2006/relationships/header" Target="header156.xml"/><Relationship Id="rId80" Type="http://schemas.openxmlformats.org/officeDocument/2006/relationships/header" Target="header36.xml"/><Relationship Id="rId155" Type="http://schemas.openxmlformats.org/officeDocument/2006/relationships/header" Target="header74.xml"/><Relationship Id="rId176" Type="http://schemas.openxmlformats.org/officeDocument/2006/relationships/header" Target="header84.xml"/><Relationship Id="rId197" Type="http://schemas.openxmlformats.org/officeDocument/2006/relationships/header" Target="header95.xml"/><Relationship Id="rId201" Type="http://schemas.openxmlformats.org/officeDocument/2006/relationships/footer" Target="footer96.xml"/><Relationship Id="rId222" Type="http://schemas.openxmlformats.org/officeDocument/2006/relationships/footer" Target="footer106.xml"/><Relationship Id="rId243" Type="http://schemas.openxmlformats.org/officeDocument/2006/relationships/footer" Target="footer117.xml"/><Relationship Id="rId264" Type="http://schemas.openxmlformats.org/officeDocument/2006/relationships/footer" Target="footer127.xml"/><Relationship Id="rId285" Type="http://schemas.openxmlformats.org/officeDocument/2006/relationships/footer" Target="footer138.xml"/><Relationship Id="rId17" Type="http://schemas.openxmlformats.org/officeDocument/2006/relationships/header" Target="header5.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footer" Target="footer47.xml"/><Relationship Id="rId124" Type="http://schemas.openxmlformats.org/officeDocument/2006/relationships/header" Target="header58.xml"/><Relationship Id="rId310" Type="http://schemas.openxmlformats.org/officeDocument/2006/relationships/header" Target="header151.xml"/><Relationship Id="rId70" Type="http://schemas.openxmlformats.org/officeDocument/2006/relationships/header" Target="header31.xml"/><Relationship Id="rId91" Type="http://schemas.openxmlformats.org/officeDocument/2006/relationships/footer" Target="footer41.xml"/><Relationship Id="rId145" Type="http://schemas.openxmlformats.org/officeDocument/2006/relationships/footer" Target="footer68.xml"/><Relationship Id="rId166" Type="http://schemas.openxmlformats.org/officeDocument/2006/relationships/header" Target="header79.xml"/><Relationship Id="rId187" Type="http://schemas.openxmlformats.org/officeDocument/2006/relationships/footer" Target="footer89.xml"/><Relationship Id="rId331" Type="http://schemas.openxmlformats.org/officeDocument/2006/relationships/footer" Target="footer161.xml"/><Relationship Id="rId1" Type="http://schemas.openxmlformats.org/officeDocument/2006/relationships/customXml" Target="../customXml/item1.xml"/><Relationship Id="rId212" Type="http://schemas.openxmlformats.org/officeDocument/2006/relationships/header" Target="header102.xml"/><Relationship Id="rId233" Type="http://schemas.openxmlformats.org/officeDocument/2006/relationships/header" Target="header113.xml"/><Relationship Id="rId254" Type="http://schemas.openxmlformats.org/officeDocument/2006/relationships/header" Target="header123.xml"/><Relationship Id="rId28" Type="http://schemas.openxmlformats.org/officeDocument/2006/relationships/header" Target="header10.xml"/><Relationship Id="rId49" Type="http://schemas.openxmlformats.org/officeDocument/2006/relationships/footer" Target="footer20.xml"/><Relationship Id="rId114" Type="http://schemas.openxmlformats.org/officeDocument/2006/relationships/footer" Target="footer52.xml"/><Relationship Id="rId275" Type="http://schemas.openxmlformats.org/officeDocument/2006/relationships/header" Target="header134.xml"/><Relationship Id="rId296" Type="http://schemas.openxmlformats.org/officeDocument/2006/relationships/header" Target="header144.xml"/><Relationship Id="rId300" Type="http://schemas.openxmlformats.org/officeDocument/2006/relationships/footer" Target="footer145.xml"/><Relationship Id="rId60" Type="http://schemas.openxmlformats.org/officeDocument/2006/relationships/footer" Target="footer25.xml"/><Relationship Id="rId81" Type="http://schemas.openxmlformats.org/officeDocument/2006/relationships/footer" Target="footer36.xml"/><Relationship Id="rId135" Type="http://schemas.openxmlformats.org/officeDocument/2006/relationships/footer" Target="footer63.xml"/><Relationship Id="rId156" Type="http://schemas.openxmlformats.org/officeDocument/2006/relationships/footer" Target="footer73.xml"/><Relationship Id="rId177" Type="http://schemas.openxmlformats.org/officeDocument/2006/relationships/footer" Target="footer84.xml"/><Relationship Id="rId198" Type="http://schemas.openxmlformats.org/officeDocument/2006/relationships/footer" Target="footer94.xml"/><Relationship Id="rId321" Type="http://schemas.openxmlformats.org/officeDocument/2006/relationships/footer" Target="footer156.xml"/><Relationship Id="R360d69ee142e46d7" Type="http://schemas.microsoft.com/office/2016/09/relationships/commentsIds" Target="commentsIds.xml"/><Relationship Id="rId202" Type="http://schemas.openxmlformats.org/officeDocument/2006/relationships/header" Target="header97.xml"/><Relationship Id="rId223" Type="http://schemas.openxmlformats.org/officeDocument/2006/relationships/footer" Target="footer107.xml"/><Relationship Id="rId244" Type="http://schemas.openxmlformats.org/officeDocument/2006/relationships/header" Target="header118.xml"/><Relationship Id="rId18" Type="http://schemas.openxmlformats.org/officeDocument/2006/relationships/footer" Target="footer4.xml"/><Relationship Id="rId39" Type="http://schemas.openxmlformats.org/officeDocument/2006/relationships/footer" Target="footer15.xml"/><Relationship Id="rId265" Type="http://schemas.openxmlformats.org/officeDocument/2006/relationships/footer" Target="footer128.xml"/><Relationship Id="rId286" Type="http://schemas.openxmlformats.org/officeDocument/2006/relationships/header" Target="header139.xml"/><Relationship Id="rId50" Type="http://schemas.openxmlformats.org/officeDocument/2006/relationships/header" Target="header21.xml"/><Relationship Id="rId104" Type="http://schemas.openxmlformats.org/officeDocument/2006/relationships/header" Target="header48.xml"/><Relationship Id="rId125" Type="http://schemas.openxmlformats.org/officeDocument/2006/relationships/header" Target="header59.xml"/><Relationship Id="rId146" Type="http://schemas.openxmlformats.org/officeDocument/2006/relationships/header" Target="header69.xml"/><Relationship Id="rId167" Type="http://schemas.openxmlformats.org/officeDocument/2006/relationships/header" Target="header80.xml"/><Relationship Id="rId188" Type="http://schemas.openxmlformats.org/officeDocument/2006/relationships/header" Target="header90.xml"/><Relationship Id="rId311" Type="http://schemas.openxmlformats.org/officeDocument/2006/relationships/header" Target="header152.xml"/><Relationship Id="rId332" Type="http://schemas.openxmlformats.org/officeDocument/2006/relationships/header" Target="header162.xml"/><Relationship Id="rId71" Type="http://schemas.openxmlformats.org/officeDocument/2006/relationships/header" Target="header32.xml"/><Relationship Id="rId92" Type="http://schemas.openxmlformats.org/officeDocument/2006/relationships/header" Target="header42.xml"/><Relationship Id="rId213" Type="http://schemas.openxmlformats.org/officeDocument/2006/relationships/footer" Target="footer102.xml"/><Relationship Id="rId234" Type="http://schemas.openxmlformats.org/officeDocument/2006/relationships/footer" Target="footer112.xml"/><Relationship Id="rId2" Type="http://schemas.openxmlformats.org/officeDocument/2006/relationships/numbering" Target="numbering.xml"/><Relationship Id="rId29" Type="http://schemas.openxmlformats.org/officeDocument/2006/relationships/header" Target="header11.xml"/><Relationship Id="rId255" Type="http://schemas.openxmlformats.org/officeDocument/2006/relationships/footer" Target="footer123.xml"/><Relationship Id="rId276" Type="http://schemas.openxmlformats.org/officeDocument/2006/relationships/footer" Target="footer133.xml"/><Relationship Id="rId297" Type="http://schemas.openxmlformats.org/officeDocument/2006/relationships/footer" Target="footer144.xml"/><Relationship Id="rId40" Type="http://schemas.openxmlformats.org/officeDocument/2006/relationships/header" Target="header16.xml"/><Relationship Id="rId115" Type="http://schemas.openxmlformats.org/officeDocument/2006/relationships/footer" Target="footer53.xml"/><Relationship Id="rId136" Type="http://schemas.openxmlformats.org/officeDocument/2006/relationships/header" Target="header64.xml"/><Relationship Id="rId157" Type="http://schemas.openxmlformats.org/officeDocument/2006/relationships/footer" Target="footer74.xml"/><Relationship Id="rId178" Type="http://schemas.openxmlformats.org/officeDocument/2006/relationships/header" Target="header85.xml"/><Relationship Id="rId301" Type="http://schemas.openxmlformats.org/officeDocument/2006/relationships/footer" Target="footer146.xml"/><Relationship Id="rId322" Type="http://schemas.openxmlformats.org/officeDocument/2006/relationships/header" Target="header157.xml"/><Relationship Id="rId61" Type="http://schemas.openxmlformats.org/officeDocument/2006/relationships/footer" Target="footer26.xml"/><Relationship Id="rId82" Type="http://schemas.openxmlformats.org/officeDocument/2006/relationships/header" Target="header37.xml"/><Relationship Id="rId199" Type="http://schemas.openxmlformats.org/officeDocument/2006/relationships/footer" Target="footer95.xml"/><Relationship Id="rId203" Type="http://schemas.openxmlformats.org/officeDocument/2006/relationships/header" Target="header98.xml"/><Relationship Id="rId19" Type="http://schemas.openxmlformats.org/officeDocument/2006/relationships/footer" Target="footer5.xml"/><Relationship Id="rId224" Type="http://schemas.openxmlformats.org/officeDocument/2006/relationships/header" Target="header108.xml"/><Relationship Id="rId245" Type="http://schemas.openxmlformats.org/officeDocument/2006/relationships/header" Target="header119.xml"/><Relationship Id="rId266" Type="http://schemas.openxmlformats.org/officeDocument/2006/relationships/header" Target="header129.xml"/><Relationship Id="rId287" Type="http://schemas.openxmlformats.org/officeDocument/2006/relationships/header" Target="header140.xml"/><Relationship Id="rId30" Type="http://schemas.openxmlformats.org/officeDocument/2006/relationships/footer" Target="footer10.xml"/><Relationship Id="rId105" Type="http://schemas.openxmlformats.org/officeDocument/2006/relationships/footer" Target="footer48.xml"/><Relationship Id="rId126" Type="http://schemas.openxmlformats.org/officeDocument/2006/relationships/footer" Target="footer58.xml"/><Relationship Id="rId147" Type="http://schemas.openxmlformats.org/officeDocument/2006/relationships/footer" Target="footer69.xml"/><Relationship Id="rId168" Type="http://schemas.openxmlformats.org/officeDocument/2006/relationships/footer" Target="footer79.xml"/><Relationship Id="rId312" Type="http://schemas.openxmlformats.org/officeDocument/2006/relationships/footer" Target="footer151.xml"/><Relationship Id="rId333" Type="http://schemas.openxmlformats.org/officeDocument/2006/relationships/footer" Target="footer162.xml"/><Relationship Id="rId51" Type="http://schemas.openxmlformats.org/officeDocument/2006/relationships/footer" Target="footer21.xml"/><Relationship Id="rId72" Type="http://schemas.openxmlformats.org/officeDocument/2006/relationships/footer" Target="footer31.xml"/><Relationship Id="rId93" Type="http://schemas.openxmlformats.org/officeDocument/2006/relationships/footer" Target="footer42.xml"/><Relationship Id="rId189" Type="http://schemas.openxmlformats.org/officeDocument/2006/relationships/footer" Target="foot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EA92-656D-4D5F-9265-98E85CC1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59848</Words>
  <Characters>341138</Characters>
  <Application>Microsoft Office Word</Application>
  <DocSecurity>0</DocSecurity>
  <Lines>2842</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2021-07-19T06:59:00Z</dcterms:created>
  <dcterms:modified xsi:type="dcterms:W3CDTF">2021-07-19T09:11:00Z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CP-036</vt:lpwstr>
  </property>
</Properties>
</file>