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B65C778-EC7B-450C-9754-45692084769E" style="width:455.5pt;height:42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autoSpaceDE w:val="0"/>
        <w:autoSpaceDN w:val="0"/>
        <w:adjustRightInd w:val="0"/>
        <w:spacing w:after="120" w:line="360" w:lineRule="auto"/>
        <w:jc w:val="center"/>
        <w:outlineLvl w:val="0"/>
        <w:rPr>
          <w:b/>
          <w:noProof/>
          <w:u w:val="single"/>
        </w:rPr>
      </w:pPr>
      <w:bookmarkStart w:id="1" w:name="_GoBack"/>
      <w:bookmarkEnd w:id="1"/>
      <w:r>
        <w:rPr>
          <w:b/>
          <w:noProof/>
          <w:u w:val="single"/>
        </w:rPr>
        <w:lastRenderedPageBreak/>
        <w:t>ΠΑΡΑΡΤΗΜΑ</w:t>
      </w:r>
    </w:p>
    <w:p>
      <w:pPr>
        <w:jc w:val="center"/>
        <w:rPr>
          <w:b/>
          <w:noProof/>
        </w:rPr>
      </w:pPr>
      <w:r>
        <w:rPr>
          <w:b/>
          <w:noProof/>
        </w:rPr>
        <w:t>Κατάλογος των οργανισμών εξαγωγικών πιστώσεων της ΕΕ που ανέφεραν δραστηριότητα το 2019</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tc>
          <w:tcPr>
            <w:tcW w:w="9180" w:type="dxa"/>
            <w:gridSpan w:val="2"/>
            <w:shd w:val="clear" w:color="auto" w:fill="44546A"/>
          </w:tcPr>
          <w:p>
            <w:pPr>
              <w:jc w:val="center"/>
              <w:rPr>
                <w:b/>
                <w:noProof/>
                <w:color w:val="FFFFFF"/>
              </w:rPr>
            </w:pPr>
            <w:r>
              <w:rPr>
                <w:b/>
                <w:noProof/>
                <w:color w:val="FFFFFF"/>
              </w:rPr>
              <w:t>Πίνακας 2. ΟΕΠ της ΕΕ που δραστηριοποιήθηκαν το 2019</w:t>
            </w:r>
          </w:p>
        </w:tc>
      </w:tr>
      <w:tr>
        <w:tc>
          <w:tcPr>
            <w:tcW w:w="2376" w:type="dxa"/>
            <w:shd w:val="clear" w:color="auto" w:fill="D5DCE4"/>
          </w:tcPr>
          <w:p>
            <w:pPr>
              <w:jc w:val="center"/>
              <w:rPr>
                <w:b/>
                <w:noProof/>
              </w:rPr>
            </w:pPr>
            <w:r>
              <w:rPr>
                <w:b/>
                <w:noProof/>
              </w:rPr>
              <w:t>Χώρα</w:t>
            </w:r>
          </w:p>
        </w:tc>
        <w:tc>
          <w:tcPr>
            <w:tcW w:w="6804" w:type="dxa"/>
            <w:shd w:val="clear" w:color="auto" w:fill="D5DCE4"/>
          </w:tcPr>
          <w:p>
            <w:pPr>
              <w:jc w:val="center"/>
              <w:rPr>
                <w:b/>
                <w:noProof/>
              </w:rPr>
            </w:pPr>
            <w:r>
              <w:rPr>
                <w:b/>
                <w:noProof/>
              </w:rPr>
              <w:t>Ονομασία και καθεστώς του ΟΕΠ</w:t>
            </w:r>
          </w:p>
        </w:tc>
      </w:tr>
      <w:tr>
        <w:tc>
          <w:tcPr>
            <w:tcW w:w="2376" w:type="dxa"/>
            <w:shd w:val="clear" w:color="auto" w:fill="auto"/>
          </w:tcPr>
          <w:p>
            <w:pPr>
              <w:rPr>
                <w:noProof/>
              </w:rPr>
            </w:pPr>
            <w:r>
              <w:rPr>
                <w:noProof/>
              </w:rPr>
              <w:t>Αυστρία</w:t>
            </w:r>
          </w:p>
        </w:tc>
        <w:tc>
          <w:tcPr>
            <w:tcW w:w="6804" w:type="dxa"/>
            <w:shd w:val="clear" w:color="auto" w:fill="auto"/>
          </w:tcPr>
          <w:p>
            <w:pPr>
              <w:rPr>
                <w:noProof/>
              </w:rPr>
            </w:pPr>
            <w:r>
              <w:rPr>
                <w:noProof/>
              </w:rPr>
              <w:t>Ο Oesterreichische Kontrollbank AG (OeKB) ενεργεί ως ΟΕΠ εξ ονόματος και για λογαριασμό της Δημοκρατίας της Αυστρίας βάσει του νόμου για τις εγγυήσεις εξαγωγών.</w:t>
            </w:r>
          </w:p>
        </w:tc>
      </w:tr>
      <w:tr>
        <w:tc>
          <w:tcPr>
            <w:tcW w:w="2376" w:type="dxa"/>
            <w:shd w:val="clear" w:color="auto" w:fill="auto"/>
          </w:tcPr>
          <w:p>
            <w:pPr>
              <w:rPr>
                <w:noProof/>
              </w:rPr>
            </w:pPr>
            <w:r>
              <w:rPr>
                <w:noProof/>
              </w:rPr>
              <w:t>Βέλγιο</w:t>
            </w:r>
          </w:p>
        </w:tc>
        <w:tc>
          <w:tcPr>
            <w:tcW w:w="6804" w:type="dxa"/>
            <w:shd w:val="clear" w:color="auto" w:fill="auto"/>
          </w:tcPr>
          <w:p>
            <w:pPr>
              <w:rPr>
                <w:noProof/>
              </w:rPr>
            </w:pPr>
            <w:r>
              <w:rPr>
                <w:noProof/>
              </w:rPr>
              <w:t>Ο ΟΕΠ Credendo αποτελεί αυτόνομο δημόσιο χρηματοπιστωτικό ίδρυμα με νομική προσωπικότητα και με την εγγύηση του βελγικού κράτους.</w:t>
            </w:r>
          </w:p>
        </w:tc>
      </w:tr>
      <w:tr>
        <w:tc>
          <w:tcPr>
            <w:tcW w:w="2376" w:type="dxa"/>
            <w:shd w:val="clear" w:color="auto" w:fill="auto"/>
          </w:tcPr>
          <w:p>
            <w:pPr>
              <w:rPr>
                <w:noProof/>
              </w:rPr>
            </w:pPr>
            <w:r>
              <w:rPr>
                <w:noProof/>
              </w:rPr>
              <w:t>Βουλγαρία</w:t>
            </w:r>
          </w:p>
        </w:tc>
        <w:tc>
          <w:tcPr>
            <w:tcW w:w="6804" w:type="dxa"/>
            <w:shd w:val="clear" w:color="auto" w:fill="auto"/>
          </w:tcPr>
          <w:p>
            <w:pPr>
              <w:rPr>
                <w:noProof/>
              </w:rPr>
            </w:pPr>
            <w:r>
              <w:rPr>
                <w:noProof/>
              </w:rPr>
              <w:t>Ο Bulgarian Export Insurance Agency (βουλγαρικός οργανισμός ασφάλισης εξαγωγικών πιστώσεων) (BAEZ) είναι ο εθνικός ΟΕΠ, με μοναδικό μέτοχο τη Δημοκρατία της Βουλγαρίας.</w:t>
            </w:r>
          </w:p>
        </w:tc>
      </w:tr>
      <w:tr>
        <w:tc>
          <w:tcPr>
            <w:tcW w:w="2376" w:type="dxa"/>
            <w:shd w:val="clear" w:color="auto" w:fill="auto"/>
          </w:tcPr>
          <w:p>
            <w:pPr>
              <w:rPr>
                <w:noProof/>
              </w:rPr>
            </w:pPr>
            <w:r>
              <w:rPr>
                <w:noProof/>
              </w:rPr>
              <w:t>Κροατία</w:t>
            </w:r>
          </w:p>
        </w:tc>
        <w:tc>
          <w:tcPr>
            <w:tcW w:w="6804" w:type="dxa"/>
            <w:shd w:val="clear" w:color="auto" w:fill="auto"/>
          </w:tcPr>
          <w:p>
            <w:pPr>
              <w:rPr>
                <w:noProof/>
              </w:rPr>
            </w:pPr>
            <w:r>
              <w:rPr>
                <w:noProof/>
              </w:rPr>
              <w:t>Η Croatian Bank for Reconstruction and Development (τράπεζα ανασυγκρότησης και ανάπτυξης της Κροατίας) (HBOR) ενεργεί ως εθνικός ΟΕΠ και παρέχει ασφάλιση εξαγωγικών πιστώσεων για λογαριασμό και εξ ονόματος της Δημοκρατίας της Κροατίας.</w:t>
            </w:r>
          </w:p>
        </w:tc>
      </w:tr>
      <w:tr>
        <w:tc>
          <w:tcPr>
            <w:tcW w:w="2376" w:type="dxa"/>
            <w:shd w:val="clear" w:color="auto" w:fill="auto"/>
          </w:tcPr>
          <w:p>
            <w:pPr>
              <w:rPr>
                <w:noProof/>
              </w:rPr>
            </w:pPr>
            <w:r>
              <w:rPr>
                <w:noProof/>
              </w:rPr>
              <w:t>Τσεχική Δημοκρατία</w:t>
            </w:r>
          </w:p>
        </w:tc>
        <w:tc>
          <w:tcPr>
            <w:tcW w:w="6804" w:type="dxa"/>
            <w:shd w:val="clear" w:color="auto" w:fill="auto"/>
          </w:tcPr>
          <w:p>
            <w:pPr>
              <w:rPr>
                <w:noProof/>
              </w:rPr>
            </w:pPr>
            <w:r>
              <w:rPr>
                <w:noProof/>
              </w:rPr>
              <w:t>Η Export Guarantee and Insurance Corporation (εταιρεία εγγυήσεων και ασφάλισης εξαγωγών) (EGAP), εξειδικευμένη κρατική εταιρεία ασφάλισης πιστώσεων, και η Czech Export Bank (τσεχική τράπεζα εξαγωγών) (CEB), εξειδικευμένη τράπεζα η οποία είναι ανώνυμη εταιρεία που ανήκει στο τσεχικό κράτος, ενεργούν και οι δύο ως ΟΕΠ και παρέχουν διαφορετικά προγράμματα (τραπεζικά και ασφαλιστικά προϊόντα).</w:t>
            </w:r>
          </w:p>
        </w:tc>
      </w:tr>
      <w:tr>
        <w:tc>
          <w:tcPr>
            <w:tcW w:w="2376" w:type="dxa"/>
            <w:shd w:val="clear" w:color="auto" w:fill="auto"/>
          </w:tcPr>
          <w:p>
            <w:pPr>
              <w:rPr>
                <w:noProof/>
              </w:rPr>
            </w:pPr>
            <w:r>
              <w:rPr>
                <w:noProof/>
              </w:rPr>
              <w:t>Δανία</w:t>
            </w:r>
          </w:p>
        </w:tc>
        <w:tc>
          <w:tcPr>
            <w:tcW w:w="6804" w:type="dxa"/>
            <w:shd w:val="clear" w:color="auto" w:fill="auto"/>
          </w:tcPr>
          <w:p>
            <w:pPr>
              <w:rPr>
                <w:noProof/>
              </w:rPr>
            </w:pPr>
            <w:r>
              <w:rPr>
                <w:noProof/>
              </w:rPr>
              <w:t>Η Eksport Kredit Fonden (EKF), ο ΟΕΠ της Δανίας, είναι ανεξάρτητη δημόσια επιχείρηση που ανήκει στο δανικό κράτος, το οποίο εγγυάται για αυτήν.</w:t>
            </w:r>
          </w:p>
        </w:tc>
      </w:tr>
      <w:tr>
        <w:tc>
          <w:tcPr>
            <w:tcW w:w="2376" w:type="dxa"/>
            <w:shd w:val="clear" w:color="auto" w:fill="auto"/>
          </w:tcPr>
          <w:p>
            <w:pPr>
              <w:rPr>
                <w:noProof/>
              </w:rPr>
            </w:pPr>
            <w:r>
              <w:rPr>
                <w:noProof/>
              </w:rPr>
              <w:t>Εσθονία</w:t>
            </w:r>
          </w:p>
        </w:tc>
        <w:tc>
          <w:tcPr>
            <w:tcW w:w="6804" w:type="dxa"/>
            <w:shd w:val="clear" w:color="auto" w:fill="auto"/>
          </w:tcPr>
          <w:p>
            <w:pPr>
              <w:rPr>
                <w:noProof/>
              </w:rPr>
            </w:pPr>
            <w:r>
              <w:rPr>
                <w:noProof/>
              </w:rPr>
              <w:t>Η Aktsiaselts KredEx Krediidikindlustus είναι ασφαλιστική εταιρεία που ενεργεί ως ΟΕΠ εξ ονόματος της Δημοκρατίας της Εσθονίας και για λογαριασμό της ως εντολοδόχος της βάσει του νόμου για τις κρατικές εγγυήσεις εξαγωγών.</w:t>
            </w:r>
          </w:p>
        </w:tc>
      </w:tr>
      <w:tr>
        <w:tc>
          <w:tcPr>
            <w:tcW w:w="2376" w:type="dxa"/>
            <w:shd w:val="clear" w:color="auto" w:fill="auto"/>
          </w:tcPr>
          <w:p>
            <w:pPr>
              <w:rPr>
                <w:noProof/>
              </w:rPr>
            </w:pPr>
            <w:r>
              <w:rPr>
                <w:noProof/>
              </w:rPr>
              <w:t>Φινλανδία</w:t>
            </w:r>
          </w:p>
        </w:tc>
        <w:tc>
          <w:tcPr>
            <w:tcW w:w="6804" w:type="dxa"/>
            <w:shd w:val="clear" w:color="auto" w:fill="auto"/>
          </w:tcPr>
          <w:p>
            <w:pPr>
              <w:rPr>
                <w:noProof/>
              </w:rPr>
            </w:pPr>
            <w:r>
              <w:rPr>
                <w:noProof/>
              </w:rPr>
              <w:t>Η Finnvera Plc είναι ο εθνικός ΟΕΠ, μια εξειδικευμένη εταιρεία χρηματοδότησης που ανήκει στο φινλανδικό κράτος.</w:t>
            </w:r>
          </w:p>
        </w:tc>
      </w:tr>
      <w:tr>
        <w:tc>
          <w:tcPr>
            <w:tcW w:w="2376" w:type="dxa"/>
            <w:shd w:val="clear" w:color="auto" w:fill="auto"/>
          </w:tcPr>
          <w:p>
            <w:pPr>
              <w:rPr>
                <w:noProof/>
              </w:rPr>
            </w:pPr>
            <w:r>
              <w:rPr>
                <w:noProof/>
              </w:rPr>
              <w:t>Γαλλία</w:t>
            </w:r>
          </w:p>
        </w:tc>
        <w:tc>
          <w:tcPr>
            <w:tcW w:w="6804" w:type="dxa"/>
            <w:shd w:val="clear" w:color="auto" w:fill="auto"/>
          </w:tcPr>
          <w:p>
            <w:pPr>
              <w:rPr>
                <w:noProof/>
              </w:rPr>
            </w:pPr>
            <w:r>
              <w:rPr>
                <w:noProof/>
              </w:rPr>
              <w:t>Η Bpifrance Assurance Export είναι υποκατάστημα δημόσιας τράπεζας επενδύσεων (Bpifrance SA) και διαχειρίζεται κρατικές εγγυήσεις εξ ονόματος, για λογαριασμό και υπό τον έλεγχο του γαλλικού κράτους.</w:t>
            </w:r>
          </w:p>
        </w:tc>
      </w:tr>
      <w:tr>
        <w:tc>
          <w:tcPr>
            <w:tcW w:w="2376" w:type="dxa"/>
            <w:shd w:val="clear" w:color="auto" w:fill="auto"/>
          </w:tcPr>
          <w:p>
            <w:pPr>
              <w:rPr>
                <w:noProof/>
              </w:rPr>
            </w:pPr>
            <w:r>
              <w:rPr>
                <w:noProof/>
              </w:rPr>
              <w:t>Γερμανία</w:t>
            </w:r>
          </w:p>
        </w:tc>
        <w:tc>
          <w:tcPr>
            <w:tcW w:w="6804" w:type="dxa"/>
            <w:shd w:val="clear" w:color="auto" w:fill="auto"/>
          </w:tcPr>
          <w:p>
            <w:pPr>
              <w:rPr>
                <w:noProof/>
              </w:rPr>
            </w:pPr>
            <w:r>
              <w:rPr>
                <w:noProof/>
              </w:rPr>
              <w:t>Η ομοσπονδιακή κυβέρνηση φέρει τη δημοσιονομική ευθύνη για το σύστημα εγγυήσεων των εξαγωγικών πιστώσεων. Αρμόδια για τη διαχείρισή του για λογαριασμό της Ομοσπονδιακής Δημοκρατίας της Γερμανίας είναι η Euler Hermes Aktiengesellschaft (ασφαλιστική εταιρεία) η οποία ενεργεί ως εντεταλμένη της ομοσπονδιακής κυβέρνησης.</w:t>
            </w:r>
          </w:p>
        </w:tc>
      </w:tr>
      <w:tr>
        <w:tc>
          <w:tcPr>
            <w:tcW w:w="2376" w:type="dxa"/>
            <w:shd w:val="clear" w:color="auto" w:fill="auto"/>
          </w:tcPr>
          <w:p>
            <w:pPr>
              <w:rPr>
                <w:noProof/>
              </w:rPr>
            </w:pPr>
            <w:r>
              <w:rPr>
                <w:noProof/>
              </w:rPr>
              <w:t>Ουγγαρία</w:t>
            </w:r>
          </w:p>
        </w:tc>
        <w:tc>
          <w:tcPr>
            <w:tcW w:w="6804" w:type="dxa"/>
            <w:shd w:val="clear" w:color="auto" w:fill="auto"/>
          </w:tcPr>
          <w:p>
            <w:pPr>
              <w:rPr>
                <w:noProof/>
              </w:rPr>
            </w:pPr>
            <w:r>
              <w:rPr>
                <w:noProof/>
              </w:rPr>
              <w:t>Η</w:t>
            </w:r>
            <w:r>
              <w:rPr>
                <w:noProof/>
                <w:lang w:val="en-US"/>
              </w:rPr>
              <w:t xml:space="preserve"> Hungarian Export-Import Bank Plc. </w:t>
            </w:r>
            <w:r>
              <w:rPr>
                <w:noProof/>
              </w:rPr>
              <w:t>(Eximbank) (ουγγρική τράπεζα εισαγωγών-εξαγωγών) είναι εξειδικευμένη κρατική τράπεζα. Η Hungarian Export Credit Insurance Plc. (MEHIB) (ουγγρική εταιρεία ασφάλισης εξαγωγικών πιστώσεων) είναι εξειδικευμένη κρατική εταιρεία ασφάλισης πιστώσεων. Η τράπεζα και η ασφαλιστική εταιρεία λειτουργούν σε ολοκληρωμένο πλαίσιο και ενεργούν ως ΟΕΠ μέσω συμπληρωματικών προγραμμάτων.</w:t>
            </w:r>
          </w:p>
        </w:tc>
      </w:tr>
      <w:tr>
        <w:tc>
          <w:tcPr>
            <w:tcW w:w="2376" w:type="dxa"/>
            <w:shd w:val="clear" w:color="auto" w:fill="auto"/>
          </w:tcPr>
          <w:p>
            <w:pPr>
              <w:rPr>
                <w:noProof/>
              </w:rPr>
            </w:pPr>
            <w:r>
              <w:rPr>
                <w:noProof/>
              </w:rPr>
              <w:t>Ιταλία</w:t>
            </w:r>
          </w:p>
        </w:tc>
        <w:tc>
          <w:tcPr>
            <w:tcW w:w="6804" w:type="dxa"/>
            <w:shd w:val="clear" w:color="auto" w:fill="auto"/>
          </w:tcPr>
          <w:p>
            <w:pPr>
              <w:rPr>
                <w:noProof/>
              </w:rPr>
            </w:pPr>
            <w:r>
              <w:rPr>
                <w:noProof/>
              </w:rPr>
              <w:t>Η SACE, ανώνυμη εταιρεία κρατικής ιδιοκτησίας (που ανήκει εξολοκλήρου στην Cassa Depositi e Prestiti), και η SIMEST, ανώνυμη εταιρεία που ελέγχεται από την Cassa Depositi e Prestiti μέσω της SACE, ενεργούν και οι δύο ως ΟΕΠ. Στο πλαίσιο προγραμμάτων εξαγωγικών πιστώσεων που τυγχάνουν δημόσιας στήριξης, η SACE παρέχει κυρίως εγγυήσεις και ασφάλειες, και η SIMEST πιστώσεις σε αγοραστές και προμηθευτές. Προσφέρουν επίσης σειρά από προϊόντα μη εξαγωγικών πιστώσεων.</w:t>
            </w:r>
          </w:p>
        </w:tc>
      </w:tr>
      <w:tr>
        <w:tc>
          <w:tcPr>
            <w:tcW w:w="2376" w:type="dxa"/>
            <w:shd w:val="clear" w:color="auto" w:fill="auto"/>
          </w:tcPr>
          <w:p>
            <w:pPr>
              <w:rPr>
                <w:noProof/>
              </w:rPr>
            </w:pPr>
            <w:r>
              <w:rPr>
                <w:noProof/>
              </w:rPr>
              <w:t>Λουξεμβούργο</w:t>
            </w:r>
          </w:p>
        </w:tc>
        <w:tc>
          <w:tcPr>
            <w:tcW w:w="6804" w:type="dxa"/>
            <w:shd w:val="clear" w:color="auto" w:fill="auto"/>
          </w:tcPr>
          <w:p>
            <w:pPr>
              <w:rPr>
                <w:noProof/>
              </w:rPr>
            </w:pPr>
            <w:r>
              <w:rPr>
                <w:noProof/>
              </w:rPr>
              <w:t>Το Office du Ducroire (ODL) είναι ο ΟΕΠ, το οποίο είναι δημόσιος οργανισμός που λειτουργεί με την εγγύηση του κράτους.</w:t>
            </w:r>
          </w:p>
        </w:tc>
      </w:tr>
      <w:tr>
        <w:tc>
          <w:tcPr>
            <w:tcW w:w="2376" w:type="dxa"/>
            <w:shd w:val="clear" w:color="auto" w:fill="auto"/>
          </w:tcPr>
          <w:p>
            <w:pPr>
              <w:rPr>
                <w:noProof/>
              </w:rPr>
            </w:pPr>
            <w:r>
              <w:rPr>
                <w:noProof/>
              </w:rPr>
              <w:t>Κάτω Χώρες</w:t>
            </w:r>
          </w:p>
        </w:tc>
        <w:tc>
          <w:tcPr>
            <w:tcW w:w="6804" w:type="dxa"/>
            <w:shd w:val="clear" w:color="auto" w:fill="auto"/>
          </w:tcPr>
          <w:p>
            <w:pPr>
              <w:rPr>
                <w:noProof/>
              </w:rPr>
            </w:pPr>
            <w:r>
              <w:rPr>
                <w:noProof/>
              </w:rPr>
              <w:t>Η Atradius State Business είναι ο ΟΕΠ της ολλανδικής κυβέρνησης. Εκτελεί τις συμβάσεις ασφάλισης και τις εγγυήσεις εξαγωγικών πιστώσεων που συνάπτει/εκδίδει ο υπουργός Οικονομικών, εκπροσωπώντας το ολλανδικό κράτος.</w:t>
            </w:r>
          </w:p>
        </w:tc>
      </w:tr>
      <w:tr>
        <w:tc>
          <w:tcPr>
            <w:tcW w:w="2376" w:type="dxa"/>
            <w:shd w:val="clear" w:color="auto" w:fill="auto"/>
          </w:tcPr>
          <w:p>
            <w:pPr>
              <w:rPr>
                <w:noProof/>
              </w:rPr>
            </w:pPr>
            <w:r>
              <w:rPr>
                <w:noProof/>
              </w:rPr>
              <w:t>Πολωνία</w:t>
            </w:r>
          </w:p>
        </w:tc>
        <w:tc>
          <w:tcPr>
            <w:tcW w:w="6804" w:type="dxa"/>
            <w:shd w:val="clear" w:color="auto" w:fill="auto"/>
          </w:tcPr>
          <w:p>
            <w:pPr>
              <w:rPr>
                <w:noProof/>
              </w:rPr>
            </w:pPr>
            <w:r>
              <w:rPr>
                <w:noProof/>
              </w:rPr>
              <w:t>Η KUKE είναι ανώνυμη εταιρεία στην οποία το Δημόσιο Ταμείο κατέχει το μεγαλύτερο μερίδιο. Η KUKE έλαβε εντολή με τον νόμο της 7ης Ιουλίου 1994 να διαχειρίζεται το σύστημα εξαγωγικών πιστώσεων καθαρής κάλυψης.</w:t>
            </w:r>
          </w:p>
        </w:tc>
      </w:tr>
    </w:tbl>
    <w:p>
      <w:pPr>
        <w:rPr>
          <w:noProof/>
        </w:rPr>
      </w:pPr>
    </w:p>
    <w:p>
      <w:pPr>
        <w:autoSpaceDE w:val="0"/>
        <w:autoSpaceDN w:val="0"/>
        <w:adjustRightInd w:val="0"/>
        <w:spacing w:after="120" w:line="360" w:lineRule="auto"/>
        <w:jc w:val="center"/>
        <w:outlineLvl w:val="0"/>
        <w:rPr>
          <w:b/>
          <w:noProof/>
          <w:u w:val="singl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241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6A8"/>
    <w:multiLevelType w:val="multilevel"/>
    <w:tmpl w:val="2F9A87F6"/>
    <w:lvl w:ilvl="0">
      <w:start w:val="6"/>
      <w:numFmt w:val="decimal"/>
      <w:lvlText w:val="%1."/>
      <w:lvlJc w:val="left"/>
      <w:pPr>
        <w:ind w:left="720" w:hanging="72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9571227"/>
    <w:multiLevelType w:val="hybridMultilevel"/>
    <w:tmpl w:val="DA68710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900A7A"/>
    <w:multiLevelType w:val="hybridMultilevel"/>
    <w:tmpl w:val="5A46A58E"/>
    <w:lvl w:ilvl="0" w:tplc="C794329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456CA3"/>
    <w:multiLevelType w:val="hybridMultilevel"/>
    <w:tmpl w:val="06460FC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19660DD7"/>
    <w:multiLevelType w:val="hybridMultilevel"/>
    <w:tmpl w:val="4D0AC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4D5A47"/>
    <w:multiLevelType w:val="hybridMultilevel"/>
    <w:tmpl w:val="D1B82C0E"/>
    <w:lvl w:ilvl="0" w:tplc="8FF04DD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21457E66"/>
    <w:multiLevelType w:val="hybridMultilevel"/>
    <w:tmpl w:val="21AAC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220893"/>
    <w:multiLevelType w:val="multilevel"/>
    <w:tmpl w:val="1BA03C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3EE34EE"/>
    <w:multiLevelType w:val="hybridMultilevel"/>
    <w:tmpl w:val="C596BB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AB66DD6"/>
    <w:multiLevelType w:val="multilevel"/>
    <w:tmpl w:val="4636FDE6"/>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4BD0BEC"/>
    <w:multiLevelType w:val="singleLevel"/>
    <w:tmpl w:val="72D6F376"/>
    <w:lvl w:ilvl="0">
      <w:start w:val="1"/>
      <w:numFmt w:val="bullet"/>
      <w:pStyle w:val="ListBullet"/>
      <w:lvlText w:val=""/>
      <w:lvlJc w:val="left"/>
      <w:pPr>
        <w:tabs>
          <w:tab w:val="num" w:pos="850"/>
        </w:tabs>
        <w:ind w:left="850" w:hanging="283"/>
      </w:pPr>
      <w:rPr>
        <w:rFonts w:ascii="Symbol" w:hAnsi="Symbol"/>
      </w:rPr>
    </w:lvl>
  </w:abstractNum>
  <w:abstractNum w:abstractNumId="11">
    <w:nsid w:val="5BAA456E"/>
    <w:multiLevelType w:val="hybridMultilevel"/>
    <w:tmpl w:val="B77C9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45673FD"/>
    <w:multiLevelType w:val="hybridMultilevel"/>
    <w:tmpl w:val="AD0E6E6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6FAE4037"/>
    <w:multiLevelType w:val="multilevel"/>
    <w:tmpl w:val="A44EBFAE"/>
    <w:lvl w:ilvl="0">
      <w:start w:val="4"/>
      <w:numFmt w:val="decimal"/>
      <w:lvlText w:val="%1"/>
      <w:lvlJc w:val="left"/>
      <w:pPr>
        <w:ind w:left="360" w:hanging="360"/>
      </w:pPr>
      <w:rPr>
        <w:rFonts w:eastAsia="Times New Roman" w:hint="default"/>
        <w:i/>
        <w:color w:val="auto"/>
      </w:rPr>
    </w:lvl>
    <w:lvl w:ilvl="1">
      <w:start w:val="1"/>
      <w:numFmt w:val="decimal"/>
      <w:lvlText w:val="%1.%2"/>
      <w:lvlJc w:val="left"/>
      <w:pPr>
        <w:ind w:left="360" w:hanging="360"/>
      </w:pPr>
      <w:rPr>
        <w:rFonts w:eastAsia="Times New Roman" w:hint="default"/>
        <w:i/>
        <w:color w:val="auto"/>
      </w:rPr>
    </w:lvl>
    <w:lvl w:ilvl="2">
      <w:start w:val="1"/>
      <w:numFmt w:val="decimal"/>
      <w:lvlText w:val="%1.%2.%3"/>
      <w:lvlJc w:val="left"/>
      <w:pPr>
        <w:ind w:left="720" w:hanging="720"/>
      </w:pPr>
      <w:rPr>
        <w:rFonts w:eastAsia="Times New Roman" w:hint="default"/>
        <w:i/>
        <w:color w:val="auto"/>
      </w:rPr>
    </w:lvl>
    <w:lvl w:ilvl="3">
      <w:start w:val="1"/>
      <w:numFmt w:val="decimal"/>
      <w:lvlText w:val="%1.%2.%3.%4"/>
      <w:lvlJc w:val="left"/>
      <w:pPr>
        <w:ind w:left="720" w:hanging="720"/>
      </w:pPr>
      <w:rPr>
        <w:rFonts w:eastAsia="Times New Roman" w:hint="default"/>
        <w:i/>
        <w:color w:val="auto"/>
      </w:rPr>
    </w:lvl>
    <w:lvl w:ilvl="4">
      <w:start w:val="1"/>
      <w:numFmt w:val="decimal"/>
      <w:lvlText w:val="%1.%2.%3.%4.%5"/>
      <w:lvlJc w:val="left"/>
      <w:pPr>
        <w:ind w:left="1080" w:hanging="1080"/>
      </w:pPr>
      <w:rPr>
        <w:rFonts w:eastAsia="Times New Roman" w:hint="default"/>
        <w:i/>
        <w:color w:val="auto"/>
      </w:rPr>
    </w:lvl>
    <w:lvl w:ilvl="5">
      <w:start w:val="1"/>
      <w:numFmt w:val="decimal"/>
      <w:lvlText w:val="%1.%2.%3.%4.%5.%6"/>
      <w:lvlJc w:val="left"/>
      <w:pPr>
        <w:ind w:left="1080" w:hanging="1080"/>
      </w:pPr>
      <w:rPr>
        <w:rFonts w:eastAsia="Times New Roman" w:hint="default"/>
        <w:i/>
        <w:color w:val="auto"/>
      </w:rPr>
    </w:lvl>
    <w:lvl w:ilvl="6">
      <w:start w:val="1"/>
      <w:numFmt w:val="decimal"/>
      <w:lvlText w:val="%1.%2.%3.%4.%5.%6.%7"/>
      <w:lvlJc w:val="left"/>
      <w:pPr>
        <w:ind w:left="1440" w:hanging="1440"/>
      </w:pPr>
      <w:rPr>
        <w:rFonts w:eastAsia="Times New Roman" w:hint="default"/>
        <w:i/>
        <w:color w:val="auto"/>
      </w:rPr>
    </w:lvl>
    <w:lvl w:ilvl="7">
      <w:start w:val="1"/>
      <w:numFmt w:val="decimal"/>
      <w:lvlText w:val="%1.%2.%3.%4.%5.%6.%7.%8"/>
      <w:lvlJc w:val="left"/>
      <w:pPr>
        <w:ind w:left="1440" w:hanging="1440"/>
      </w:pPr>
      <w:rPr>
        <w:rFonts w:eastAsia="Times New Roman" w:hint="default"/>
        <w:i/>
        <w:color w:val="auto"/>
      </w:rPr>
    </w:lvl>
    <w:lvl w:ilvl="8">
      <w:start w:val="1"/>
      <w:numFmt w:val="decimal"/>
      <w:lvlText w:val="%1.%2.%3.%4.%5.%6.%7.%8.%9"/>
      <w:lvlJc w:val="left"/>
      <w:pPr>
        <w:ind w:left="1800" w:hanging="1800"/>
      </w:pPr>
      <w:rPr>
        <w:rFonts w:eastAsia="Times New Roman" w:hint="default"/>
        <w:i/>
        <w:color w:val="auto"/>
      </w:rPr>
    </w:lvl>
  </w:abstractNum>
  <w:abstractNum w:abstractNumId="14">
    <w:nsid w:val="76206909"/>
    <w:multiLevelType w:val="hybridMultilevel"/>
    <w:tmpl w:val="8238071A"/>
    <w:lvl w:ilvl="0" w:tplc="869A4E90">
      <w:start w:val="1"/>
      <w:numFmt w:val="decimal"/>
      <w:lvlText w:val="%1."/>
      <w:lvlJc w:val="left"/>
      <w:pPr>
        <w:ind w:left="720" w:hanging="72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3"/>
  </w:num>
  <w:num w:numId="13">
    <w:abstractNumId w:val="5"/>
  </w:num>
  <w:num w:numId="14">
    <w:abstractNumId w:val="13"/>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964?\u951?\u962? "/>
    <w:docVar w:name="LW_ANNEX_NBR_FIRST" w:val="1"/>
    <w:docVar w:name="LW_ANNEX_NBR_LAST" w:val="1"/>
    <w:docVar w:name="LW_ANNEX_UNIQUE" w:val="1"/>
    <w:docVar w:name="LW_CORRIGENDUM" w:val="&lt;UNUSED&gt;"/>
    <w:docVar w:name="LW_COVERPAGE_EXISTS" w:val="True"/>
    <w:docVar w:name="LW_COVERPAGE_GUID" w:val="8B65C778-EC7B-450C-9754-45692084769E"/>
    <w:docVar w:name="LW_COVERPAGE_TYPE" w:val="1"/>
    <w:docVar w:name="LW_CROSSREFERENCE" w:val="&lt;UNUSED&gt;"/>
    <w:docVar w:name="LW_DocType" w:val="NORMAL"/>
    <w:docVar w:name="LW_EMISSION" w:val="15.7.2021"/>
    <w:docVar w:name="LW_EMISSION_ISODATE" w:val="2021-07-15"/>
    <w:docVar w:name="LW_EMISSION_LOCATION" w:val="BRX"/>
    <w:docVar w:name="LW_EMISSION_PREFIX" w:val="Βρυξέλλες, "/>
    <w:docVar w:name="LW_EMISSION_SUFFIX" w:val=" "/>
    <w:docVar w:name="LW_ID_DOCTYPE_NONLW" w:val="CP-039"/>
    <w:docVar w:name="LW_LANGUE" w:val="EL"/>
    <w:docVar w:name="LW_LEVEL_OF_SENSITIVITY" w:val="Standard treatment"/>
    <w:docVar w:name="LW_NOM.INST" w:val="\u917?\u933?\u929?\u937?\u928?\u913?\u938?\u922?\u919? \u917?\u928?\u921?\u932?\u929?\u927?\u928?\u919?"/>
    <w:docVar w:name="LW_NOM.INST_JOINTDOC" w:val="&lt;EMPTY&gt;"/>
    <w:docVar w:name="LW_OBJETACTEPRINCIPAL.CP" w:val="\u964?\u969?\u957? \u949?\u964?\u942?\u963?\u953?\u969?\u957? \u949?\u954?\u952?\u941?\u963?\u949?\u969?\u957? \u948?\u961?\u945?\u963?\u964?\u951?\u961?\u953?\u959?\u964?\u942?\u964?\u969?\u957? \u964?\u969?\u957? \u954?\u961?\u945?\u964?\u974?\u957? \u956?\u949?\u955?\u974?\u957? \u972?\u963?\u959?\u957? \u945?\u966?\u959?\u961?\u940? \u964?\u953?\u962? \u949?\u958?\u945?\u947?\u969?\u947?\u953?\u954?\u941?\u962? \u960?\u953?\u963?\u964?\u974?\u963?\u949?\u953?\u962? \u954?\u945?\u964?\u940? \u964?\u951?\u957? \u941?\u957?\u957?\u959?\u953?\u945? \u964?\u959?\u965? \u954?\u945?\u957?\u959?\u957?\u953?\u963?\u956?\u959?\u973? (\u917?\u917?) \u945?\u961?\u953?\u952?. 1233/2011&lt;FMT:Font=Cambria&gt;_x000d_&lt;/FMT&gt;_x000b_&lt;FMT:Font=Cambria&gt;_x000d__x000d__x000d__x000d__x000d__x000d__x000d_&lt;/FMT&gt;_x000b_&lt;FMT:Font=Cambria&gt;_x000d__x000d__x000d__x000d__x000d__x000d__x000d_&lt;/FMT&gt;_x000b_"/>
    <w:docVar w:name="LW_PART_NBR" w:val="1"/>
    <w:docVar w:name="LW_PART_NBR_TOTAL" w:val="1"/>
    <w:docVar w:name="LW_REF.INST.NEW" w:val="COM"/>
    <w:docVar w:name="LW_REF.INST.NEW_ADOPTED" w:val="final"/>
    <w:docVar w:name="LW_REF.INST.NEW_TEXT" w:val="(2021)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928?\u913?\u929?\u913?\u929?\u932?\u919?\u924?\u913?_x000b_"/>
    <w:docVar w:name="LW_TYPEACTEPRINCIPAL.CP" w:val="\u949?\u964?\u942?\u963?\u953?\u945?\u962? \u949?\u960?\u953?\u963?\u954?\u972?\u960?\u951?\u963?\u951?\u962? \u945?\u960?\u972? \u964?\u951?\u957? \u917?\u960?\u953?\u964?\u961?\u959?\u960?\u942?"/>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l-G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l-G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l-G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ListParagraph">
    <w:name w:val="List Paragraph"/>
    <w:basedOn w:val="Normal"/>
    <w:uiPriority w:val="34"/>
    <w:qFormat/>
    <w:pPr>
      <w:spacing w:after="240"/>
      <w:ind w:left="708"/>
      <w:jc w:val="both"/>
    </w:pPr>
    <w:rPr>
      <w:rFonts w:eastAsia="Times New Roman"/>
      <w:szCs w:val="20"/>
    </w:rPr>
  </w:style>
  <w:style w:type="character" w:customStyle="1" w:styleId="FootnoteTextChar">
    <w:name w:val="Footnote Text Char"/>
    <w:aliases w:val="Footnote TextCSR Char"/>
    <w:basedOn w:val="DefaultParagraphFont"/>
    <w:link w:val="FootnoteText"/>
    <w:uiPriority w:val="99"/>
    <w:locked/>
  </w:style>
  <w:style w:type="paragraph" w:styleId="FootnoteText">
    <w:name w:val="footnote text"/>
    <w:aliases w:val="Footnote TextCSR"/>
    <w:basedOn w:val="Normal"/>
    <w:link w:val="FootnoteTextChar"/>
    <w:uiPriority w:val="99"/>
    <w:unhideWhenUsed/>
    <w:rPr>
      <w:sz w:val="20"/>
      <w:szCs w:val="20"/>
    </w:rPr>
  </w:style>
  <w:style w:type="character" w:customStyle="1" w:styleId="FootnoteTextChar1">
    <w:name w:val="Footnote Text Char1"/>
    <w:basedOn w:val="DefaultParagraphFont"/>
    <w:uiPriority w:val="99"/>
    <w:semiHidden/>
    <w:rPr>
      <w:lang w:val="el-GR"/>
    </w:rPr>
  </w:style>
  <w:style w:type="character" w:styleId="FootnoteReference">
    <w:name w:val="footnote reference"/>
    <w:aliases w:val="SUPERS,BVI fnr,Footnote call"/>
    <w:basedOn w:val="DefaultParagraphFont"/>
    <w:uiPriority w:val="99"/>
    <w:semiHidden/>
    <w:unhideWhenUsed/>
    <w:rPr>
      <w:vertAlign w:val="superscript"/>
    </w:rPr>
  </w:style>
  <w:style w:type="paragraph" w:styleId="CommentText">
    <w:name w:val="annotation text"/>
    <w:basedOn w:val="Normal"/>
    <w:link w:val="CommentTextChar"/>
    <w:semiHidden/>
    <w:unhideWhenUsed/>
    <w:pPr>
      <w:spacing w:after="240"/>
      <w:jc w:val="both"/>
    </w:pPr>
    <w:rPr>
      <w:rFonts w:eastAsia="Times New Roman"/>
      <w:sz w:val="20"/>
      <w:szCs w:val="20"/>
      <w:lang w:eastAsia="en-GB"/>
    </w:rPr>
  </w:style>
  <w:style w:type="character" w:customStyle="1" w:styleId="CommentTextChar">
    <w:name w:val="Comment Text Char"/>
    <w:basedOn w:val="DefaultParagraphFont"/>
    <w:link w:val="CommentText"/>
    <w:semiHidden/>
    <w:rPr>
      <w:rFonts w:eastAsia="Times New Roman"/>
      <w:lang w:val="el-GR" w:eastAsia="en-GB"/>
    </w:rPr>
  </w:style>
  <w:style w:type="paragraph" w:customStyle="1" w:styleId="Body">
    <w:name w:val="Body"/>
    <w:pPr>
      <w:spacing w:after="160" w:line="256" w:lineRule="auto"/>
    </w:pPr>
    <w:rPr>
      <w:rFonts w:ascii="Calibri" w:eastAsia="Calibri" w:hAnsi="Calibri" w:cs="Calibri"/>
      <w:color w:val="000000"/>
      <w:sz w:val="22"/>
      <w:szCs w:val="22"/>
      <w:u w:color="000000"/>
      <w:lang w:eastAsia="en-GB"/>
    </w:rPr>
  </w:style>
  <w:style w:type="character" w:styleId="CommentReference">
    <w:name w:val="annotation reference"/>
    <w:basedOn w:val="DefaultParagraphFont"/>
    <w:uiPriority w:val="99"/>
    <w:semiHidden/>
    <w:unhideWhenUsed/>
    <w:rPr>
      <w:sz w:val="16"/>
      <w:szCs w:val="16"/>
    </w:rPr>
  </w:style>
  <w:style w:type="character" w:customStyle="1" w:styleId="Fuentedeprrafopredeter">
    <w:name w:val="Fuente de párrafo predeter."/>
  </w:style>
  <w:style w:type="paragraph" w:styleId="BalloonText">
    <w:name w:val="Balloon Text"/>
    <w:basedOn w:val="Normal"/>
    <w:link w:val="BalloonTextChar"/>
    <w:uiPriority w:val="99"/>
    <w:semiHidden/>
    <w:unhideWhenUsed/>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l-GR" w:eastAsia="en-GB"/>
    </w:rPr>
  </w:style>
  <w:style w:type="paragraph" w:styleId="NormalWeb">
    <w:name w:val="Normal (Web)"/>
    <w:basedOn w:val="Normal"/>
    <w:uiPriority w:val="99"/>
    <w:semiHidden/>
    <w:unhideWhenUsed/>
    <w:pPr>
      <w:spacing w:before="100" w:beforeAutospacing="1" w:after="100" w:afterAutospacing="1"/>
    </w:pPr>
    <w:rPr>
      <w:rFonts w:eastAsia="Times New Roman"/>
      <w:lang w:eastAsia="en-GB"/>
    </w:rPr>
  </w:style>
  <w:style w:type="paragraph" w:styleId="ListBullet">
    <w:name w:val="List Bullet"/>
    <w:basedOn w:val="Normal"/>
    <w:semiHidden/>
    <w:unhideWhenUsed/>
    <w:pPr>
      <w:numPr>
        <w:numId w:val="10"/>
      </w:numPr>
      <w:spacing w:after="240"/>
      <w:jc w:val="both"/>
    </w:pPr>
    <w:rPr>
      <w:rFonts w:eastAsia="Times New Roman"/>
      <w:szCs w:val="20"/>
    </w:rPr>
  </w:style>
  <w:style w:type="paragraph" w:styleId="CommentSubject">
    <w:name w:val="annotation subject"/>
    <w:basedOn w:val="CommentText"/>
    <w:next w:val="CommentText"/>
    <w:link w:val="CommentSubjectChar"/>
    <w:uiPriority w:val="99"/>
    <w:semiHidden/>
    <w:unhideWhenUsed/>
    <w:pPr>
      <w:spacing w:after="0"/>
      <w:jc w:val="left"/>
    </w:pPr>
    <w:rPr>
      <w:b/>
      <w:bCs/>
    </w:rPr>
  </w:style>
  <w:style w:type="character" w:customStyle="1" w:styleId="CommentSubjectChar">
    <w:name w:val="Comment Subject Char"/>
    <w:basedOn w:val="CommentTextChar"/>
    <w:link w:val="CommentSubject"/>
    <w:uiPriority w:val="99"/>
    <w:semiHidden/>
    <w:rPr>
      <w:rFonts w:eastAsia="Times New Roman"/>
      <w:b/>
      <w:bCs/>
      <w:lang w:val="el-GR" w:eastAsia="en-GB"/>
    </w:rPr>
  </w:style>
  <w:style w:type="paragraph" w:styleId="Revision">
    <w:name w:val="Revision"/>
    <w:hidden/>
    <w:uiPriority w:val="99"/>
    <w:semiHidden/>
    <w:rPr>
      <w:rFonts w:eastAsia="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val="el-GR"/>
    </w:rPr>
  </w:style>
  <w:style w:type="character" w:styleId="EndnoteReference">
    <w:name w:val="end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l-G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l-G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l-G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ListParagraph">
    <w:name w:val="List Paragraph"/>
    <w:basedOn w:val="Normal"/>
    <w:uiPriority w:val="34"/>
    <w:qFormat/>
    <w:pPr>
      <w:spacing w:after="240"/>
      <w:ind w:left="708"/>
      <w:jc w:val="both"/>
    </w:pPr>
    <w:rPr>
      <w:rFonts w:eastAsia="Times New Roman"/>
      <w:szCs w:val="20"/>
    </w:rPr>
  </w:style>
  <w:style w:type="character" w:customStyle="1" w:styleId="FootnoteTextChar">
    <w:name w:val="Footnote Text Char"/>
    <w:aliases w:val="Footnote TextCSR Char"/>
    <w:basedOn w:val="DefaultParagraphFont"/>
    <w:link w:val="FootnoteText"/>
    <w:uiPriority w:val="99"/>
    <w:locked/>
  </w:style>
  <w:style w:type="paragraph" w:styleId="FootnoteText">
    <w:name w:val="footnote text"/>
    <w:aliases w:val="Footnote TextCSR"/>
    <w:basedOn w:val="Normal"/>
    <w:link w:val="FootnoteTextChar"/>
    <w:uiPriority w:val="99"/>
    <w:unhideWhenUsed/>
    <w:rPr>
      <w:sz w:val="20"/>
      <w:szCs w:val="20"/>
    </w:rPr>
  </w:style>
  <w:style w:type="character" w:customStyle="1" w:styleId="FootnoteTextChar1">
    <w:name w:val="Footnote Text Char1"/>
    <w:basedOn w:val="DefaultParagraphFont"/>
    <w:uiPriority w:val="99"/>
    <w:semiHidden/>
    <w:rPr>
      <w:lang w:val="el-GR"/>
    </w:rPr>
  </w:style>
  <w:style w:type="character" w:styleId="FootnoteReference">
    <w:name w:val="footnote reference"/>
    <w:aliases w:val="SUPERS,BVI fnr,Footnote call"/>
    <w:basedOn w:val="DefaultParagraphFont"/>
    <w:uiPriority w:val="99"/>
    <w:semiHidden/>
    <w:unhideWhenUsed/>
    <w:rPr>
      <w:vertAlign w:val="superscript"/>
    </w:rPr>
  </w:style>
  <w:style w:type="paragraph" w:styleId="CommentText">
    <w:name w:val="annotation text"/>
    <w:basedOn w:val="Normal"/>
    <w:link w:val="CommentTextChar"/>
    <w:semiHidden/>
    <w:unhideWhenUsed/>
    <w:pPr>
      <w:spacing w:after="240"/>
      <w:jc w:val="both"/>
    </w:pPr>
    <w:rPr>
      <w:rFonts w:eastAsia="Times New Roman"/>
      <w:sz w:val="20"/>
      <w:szCs w:val="20"/>
      <w:lang w:eastAsia="en-GB"/>
    </w:rPr>
  </w:style>
  <w:style w:type="character" w:customStyle="1" w:styleId="CommentTextChar">
    <w:name w:val="Comment Text Char"/>
    <w:basedOn w:val="DefaultParagraphFont"/>
    <w:link w:val="CommentText"/>
    <w:semiHidden/>
    <w:rPr>
      <w:rFonts w:eastAsia="Times New Roman"/>
      <w:lang w:val="el-GR" w:eastAsia="en-GB"/>
    </w:rPr>
  </w:style>
  <w:style w:type="paragraph" w:customStyle="1" w:styleId="Body">
    <w:name w:val="Body"/>
    <w:pPr>
      <w:spacing w:after="160" w:line="256" w:lineRule="auto"/>
    </w:pPr>
    <w:rPr>
      <w:rFonts w:ascii="Calibri" w:eastAsia="Calibri" w:hAnsi="Calibri" w:cs="Calibri"/>
      <w:color w:val="000000"/>
      <w:sz w:val="22"/>
      <w:szCs w:val="22"/>
      <w:u w:color="000000"/>
      <w:lang w:eastAsia="en-GB"/>
    </w:rPr>
  </w:style>
  <w:style w:type="character" w:styleId="CommentReference">
    <w:name w:val="annotation reference"/>
    <w:basedOn w:val="DefaultParagraphFont"/>
    <w:uiPriority w:val="99"/>
    <w:semiHidden/>
    <w:unhideWhenUsed/>
    <w:rPr>
      <w:sz w:val="16"/>
      <w:szCs w:val="16"/>
    </w:rPr>
  </w:style>
  <w:style w:type="character" w:customStyle="1" w:styleId="Fuentedeprrafopredeter">
    <w:name w:val="Fuente de párrafo predeter."/>
  </w:style>
  <w:style w:type="paragraph" w:styleId="BalloonText">
    <w:name w:val="Balloon Text"/>
    <w:basedOn w:val="Normal"/>
    <w:link w:val="BalloonTextChar"/>
    <w:uiPriority w:val="99"/>
    <w:semiHidden/>
    <w:unhideWhenUsed/>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l-GR" w:eastAsia="en-GB"/>
    </w:rPr>
  </w:style>
  <w:style w:type="paragraph" w:styleId="NormalWeb">
    <w:name w:val="Normal (Web)"/>
    <w:basedOn w:val="Normal"/>
    <w:uiPriority w:val="99"/>
    <w:semiHidden/>
    <w:unhideWhenUsed/>
    <w:pPr>
      <w:spacing w:before="100" w:beforeAutospacing="1" w:after="100" w:afterAutospacing="1"/>
    </w:pPr>
    <w:rPr>
      <w:rFonts w:eastAsia="Times New Roman"/>
      <w:lang w:eastAsia="en-GB"/>
    </w:rPr>
  </w:style>
  <w:style w:type="paragraph" w:styleId="ListBullet">
    <w:name w:val="List Bullet"/>
    <w:basedOn w:val="Normal"/>
    <w:semiHidden/>
    <w:unhideWhenUsed/>
    <w:pPr>
      <w:numPr>
        <w:numId w:val="10"/>
      </w:numPr>
      <w:spacing w:after="240"/>
      <w:jc w:val="both"/>
    </w:pPr>
    <w:rPr>
      <w:rFonts w:eastAsia="Times New Roman"/>
      <w:szCs w:val="20"/>
    </w:rPr>
  </w:style>
  <w:style w:type="paragraph" w:styleId="CommentSubject">
    <w:name w:val="annotation subject"/>
    <w:basedOn w:val="CommentText"/>
    <w:next w:val="CommentText"/>
    <w:link w:val="CommentSubjectChar"/>
    <w:uiPriority w:val="99"/>
    <w:semiHidden/>
    <w:unhideWhenUsed/>
    <w:pPr>
      <w:spacing w:after="0"/>
      <w:jc w:val="left"/>
    </w:pPr>
    <w:rPr>
      <w:b/>
      <w:bCs/>
    </w:rPr>
  </w:style>
  <w:style w:type="character" w:customStyle="1" w:styleId="CommentSubjectChar">
    <w:name w:val="Comment Subject Char"/>
    <w:basedOn w:val="CommentTextChar"/>
    <w:link w:val="CommentSubject"/>
    <w:uiPriority w:val="99"/>
    <w:semiHidden/>
    <w:rPr>
      <w:rFonts w:eastAsia="Times New Roman"/>
      <w:b/>
      <w:bCs/>
      <w:lang w:val="el-GR" w:eastAsia="en-GB"/>
    </w:rPr>
  </w:style>
  <w:style w:type="paragraph" w:styleId="Revision">
    <w:name w:val="Revision"/>
    <w:hidden/>
    <w:uiPriority w:val="99"/>
    <w:semiHidden/>
    <w:rPr>
      <w:rFonts w:eastAsia="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val="el-GR"/>
    </w:rPr>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FB68-0AA0-4A22-B0BE-B7EF294A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15</cp:revision>
  <dcterms:created xsi:type="dcterms:W3CDTF">2021-06-16T10:01:00Z</dcterms:created>
  <dcterms:modified xsi:type="dcterms:W3CDTF">2021-07-14T09:31:00Z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20200226</vt:lpwstr>
  </property>
  <property fmtid="{D5CDD505-2E9C-101B-9397-08002B2CF9AE}" pid="11" name="Created using">
    <vt:lpwstr>LW 7.0, Build 20190717</vt:lpwstr>
  </property>
</Properties>
</file>