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1FF" w:rsidRDefault="00A94E08" w:rsidP="00A94E0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E3F06A7-DBFE-48E9-A08E-DCD3141E9B52" style="width:450.3pt;height:352.05pt">
            <v:imagedata r:id="rId8" o:title=""/>
          </v:shape>
        </w:pict>
      </w:r>
    </w:p>
    <w:p w:rsidR="007731FF" w:rsidRDefault="007731FF">
      <w:pPr>
        <w:rPr>
          <w:noProof/>
        </w:rPr>
        <w:sectPr w:rsidR="007731FF" w:rsidSect="00A94E08">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7731FF" w:rsidRDefault="00A94E08">
      <w:pPr>
        <w:pStyle w:val="Exposdesmotifstitre"/>
        <w:rPr>
          <w:noProof/>
        </w:rPr>
      </w:pPr>
      <w:bookmarkStart w:id="0" w:name="_GoBack"/>
      <w:bookmarkEnd w:id="0"/>
      <w:r>
        <w:rPr>
          <w:noProof/>
        </w:rPr>
        <w:lastRenderedPageBreak/>
        <w:t>MOTIVERING</w:t>
      </w:r>
    </w:p>
    <w:p w:rsidR="007731FF" w:rsidRDefault="00A94E08">
      <w:pPr>
        <w:pStyle w:val="ManualHeading1"/>
        <w:rPr>
          <w:noProof/>
        </w:rPr>
      </w:pPr>
      <w:r>
        <w:rPr>
          <w:noProof/>
        </w:rPr>
        <w:t>1.</w:t>
      </w:r>
      <w:r>
        <w:rPr>
          <w:noProof/>
        </w:rPr>
        <w:tab/>
        <w:t>BAKGRUND TILL FÖRSLAGET</w:t>
      </w:r>
    </w:p>
    <w:p w:rsidR="007731FF" w:rsidRDefault="00A94E08">
      <w:pPr>
        <w:pStyle w:val="ManualHeading2"/>
        <w:rPr>
          <w:rFonts w:eastAsia="Arial Unicode MS"/>
          <w:noProof/>
        </w:rPr>
      </w:pPr>
      <w:r>
        <w:rPr>
          <w:noProof/>
          <w:color w:val="000000"/>
          <w:u w:color="000000"/>
          <w:bdr w:val="nil"/>
        </w:rPr>
        <w:t>•</w:t>
      </w:r>
      <w:r>
        <w:rPr>
          <w:noProof/>
        </w:rPr>
        <w:tab/>
        <w:t>Motiv och syfte med förslaget</w:t>
      </w:r>
    </w:p>
    <w:p w:rsidR="007731FF" w:rsidRDefault="00A94E08">
      <w:pPr>
        <w:rPr>
          <w:noProof/>
        </w:rPr>
      </w:pPr>
      <w:r>
        <w:rPr>
          <w:noProof/>
        </w:rPr>
        <w:t>I rådets förordning (EU) nr 1386/2011</w:t>
      </w:r>
      <w:r>
        <w:rPr>
          <w:rStyle w:val="FootnoteReference"/>
          <w:noProof/>
        </w:rPr>
        <w:footnoteReference w:id="1"/>
      </w:r>
      <w:r>
        <w:rPr>
          <w:noProof/>
        </w:rPr>
        <w:t xml:space="preserve"> föreskrivs ett tillfälligt upphävande av Gemensamma tulltaxans autonoma tullar för import av vissa industriprodukter till Kanarieöarna. Kanarieöarna hör till Europeiska unionens yttersta randområden, för vilka särskilda åtgärder i enlighet med artikel 349</w:t>
      </w:r>
      <w:r>
        <w:rPr>
          <w:noProof/>
        </w:rPr>
        <w:t xml:space="preserve"> i fördraget om Europeiska unionens funktionssätt (EUF-fördraget) får vidtas för att jämna ut de ekonomiska nackdelar som dessa regioner har till följd av sitt geografiska läge.</w:t>
      </w:r>
    </w:p>
    <w:p w:rsidR="007731FF" w:rsidRDefault="00A94E08">
      <w:pPr>
        <w:pStyle w:val="ManualHeading2"/>
        <w:tabs>
          <w:tab w:val="clear" w:pos="850"/>
          <w:tab w:val="left" w:pos="0"/>
        </w:tabs>
        <w:ind w:left="0" w:firstLine="0"/>
        <w:rPr>
          <w:noProof/>
        </w:rPr>
      </w:pPr>
      <w:r>
        <w:rPr>
          <w:b w:val="0"/>
          <w:noProof/>
        </w:rPr>
        <w:t>De åtgärder som föreskrivs i rådets förordning (EU) nr 1386/2011, som syftar t</w:t>
      </w:r>
      <w:r>
        <w:rPr>
          <w:b w:val="0"/>
          <w:noProof/>
        </w:rPr>
        <w:t>ill att stärka de lokala ekonomiska aktörernas konkurrenskraft och på så sätt skapa stabilare sysselsättning på dessa öar, löper ut den 31 december 2021. I april 2021 begärde Spaniens regering en förlängning av upphävandet av Gemensamma tulltaxans autonoma</w:t>
      </w:r>
      <w:r>
        <w:rPr>
          <w:b w:val="0"/>
          <w:noProof/>
        </w:rPr>
        <w:t xml:space="preserve"> tullar för ett antal produkter. Enligt begäran kvarstår de strukturella och permanenta begränsningarna för regionen, vilka beror på regionens isolering samt marknadens ringa storlek och dess fragmentering. Kanarieöarna har på grund av dessa begränsningar </w:t>
      </w:r>
      <w:r>
        <w:rPr>
          <w:b w:val="0"/>
          <w:noProof/>
        </w:rPr>
        <w:t>högre produktions- och transportkostnader och högre miljökostnader. De kan inte heller dra nytta av globaliseringen i samma utsträckning som andra europeiska regioner. Den begärda ordningen för upphävande syftar till att minska dessa begränsningar för Kana</w:t>
      </w:r>
      <w:r>
        <w:rPr>
          <w:b w:val="0"/>
          <w:noProof/>
        </w:rPr>
        <w:t>rieöarnas marknad.</w:t>
      </w:r>
    </w:p>
    <w:p w:rsidR="007731FF" w:rsidRDefault="00A94E08">
      <w:pPr>
        <w:pStyle w:val="Text1"/>
        <w:ind w:left="0"/>
        <w:rPr>
          <w:noProof/>
        </w:rPr>
      </w:pPr>
      <w:r>
        <w:rPr>
          <w:noProof/>
        </w:rPr>
        <w:t>I samma sammanhang begärde de spanska myndigheterna dessutom att tullarna i Gemensamma tulltaxan skulle upphävas för sju nya produktkategorier som omfattas av KN-nummer 3903 19, 5603 94, 5604 10, 7326 90, 7607 20, 8441 40 och 8479 90.</w:t>
      </w:r>
    </w:p>
    <w:p w:rsidR="007731FF" w:rsidRDefault="007731FF">
      <w:pPr>
        <w:rPr>
          <w:noProof/>
        </w:rPr>
      </w:pPr>
    </w:p>
    <w:p w:rsidR="007731FF" w:rsidRDefault="00A94E08">
      <w:pPr>
        <w:pStyle w:val="ManualHeading2"/>
        <w:rPr>
          <w:rFonts w:eastAsia="Arial Unicode MS"/>
          <w:noProof/>
          <w:color w:val="000000"/>
          <w:u w:color="000000"/>
          <w:bdr w:val="nil"/>
        </w:rPr>
      </w:pPr>
      <w:r>
        <w:rPr>
          <w:noProof/>
          <w:color w:val="000000"/>
          <w:u w:color="000000"/>
          <w:bdr w:val="nil"/>
        </w:rPr>
        <w:t>•</w:t>
      </w:r>
      <w:r>
        <w:rPr>
          <w:noProof/>
        </w:rPr>
        <w:tab/>
        <w:t>Förenlighet med befintliga bestämmelser inom området</w:t>
      </w:r>
    </w:p>
    <w:p w:rsidR="007731FF" w:rsidRDefault="00A94E08">
      <w:pPr>
        <w:spacing w:before="0" w:after="240"/>
        <w:rPr>
          <w:noProof/>
        </w:rPr>
      </w:pPr>
      <w:bookmarkStart w:id="1" w:name="_Toc349729730"/>
      <w:r>
        <w:rPr>
          <w:noProof/>
        </w:rPr>
        <w:t>I meddelandet från 2017 om ett starkare och förnyat strategiskt partnerskap med EU:s yttersta randområden</w:t>
      </w:r>
      <w:r>
        <w:rPr>
          <w:rStyle w:val="FootnoteReference"/>
          <w:noProof/>
        </w:rPr>
        <w:footnoteReference w:id="2"/>
      </w:r>
      <w:r>
        <w:rPr>
          <w:noProof/>
        </w:rPr>
        <w:t xml:space="preserve"> konstaterades att de yttersta randområdena fortfarande står inför allvarliga utmaningar, varav </w:t>
      </w:r>
      <w:r>
        <w:rPr>
          <w:noProof/>
        </w:rPr>
        <w:t xml:space="preserve">många är permanenta. I det meddelandet presenteras kommissionens strategi för att bistå dessa regioner med att utveckla deras unika tillgångar och identifiera nya tillväxtsektorer för att möjliggöra tillväxt och nya arbetstillfällen. </w:t>
      </w:r>
    </w:p>
    <w:p w:rsidR="007731FF" w:rsidRDefault="00A94E08">
      <w:pPr>
        <w:spacing w:before="0" w:after="240"/>
        <w:rPr>
          <w:noProof/>
        </w:rPr>
      </w:pPr>
      <w:r>
        <w:rPr>
          <w:noProof/>
        </w:rPr>
        <w:t>Med detta i åtanke är</w:t>
      </w:r>
      <w:r>
        <w:rPr>
          <w:noProof/>
        </w:rPr>
        <w:t xml:space="preserve"> syftet med föreliggande förslag att bistå de spanska yttersta randområdena med att utveckla sina tillgångar för att möjliggöra ekonomisk tillväxt och nya arbetstillfällen i den lokala sektorn. Detta förslag kompletterar det särskilda programmet för vissa </w:t>
      </w:r>
      <w:r>
        <w:rPr>
          <w:noProof/>
        </w:rPr>
        <w:t>regioner beroende på dessa regioners avsides läge och ökaraktär (Posei), som inriktas på stöd till primärsektorn och produktionen av råvaror, Europeiska havs- och fiskerifonden (EHFF) och finansieringen av det särskilda extra anslaget från Europeiska regio</w:t>
      </w:r>
      <w:r>
        <w:rPr>
          <w:noProof/>
        </w:rPr>
        <w:t>nala utvecklingsfonden (Eruf).</w:t>
      </w:r>
    </w:p>
    <w:p w:rsidR="007731FF" w:rsidRDefault="00A94E08">
      <w:pPr>
        <w:spacing w:before="0" w:after="240"/>
        <w:rPr>
          <w:rFonts w:eastAsia="Arial Unicode MS"/>
          <w:noProof/>
        </w:rPr>
      </w:pPr>
      <w:r>
        <w:rPr>
          <w:noProof/>
        </w:rPr>
        <w:t xml:space="preserve">Kanarieöarna </w:t>
      </w:r>
      <w:bookmarkEnd w:id="1"/>
      <w:r>
        <w:rPr>
          <w:noProof/>
        </w:rPr>
        <w:t>omfattas av andra liknande åtgärder (autonoma tullsänkningar), till exempel rådets förordning (EU) 2020/1785 av den 16 november 2020</w:t>
      </w:r>
      <w:r>
        <w:rPr>
          <w:rStyle w:val="FootnoteReference"/>
          <w:noProof/>
        </w:rPr>
        <w:footnoteReference w:id="3"/>
      </w:r>
      <w:r>
        <w:rPr>
          <w:noProof/>
        </w:rPr>
        <w:t xml:space="preserve"> om öppnande av autonoma tullkvoter för import av vissa fiskeriprodukter till K</w:t>
      </w:r>
      <w:r>
        <w:rPr>
          <w:noProof/>
        </w:rPr>
        <w:t xml:space="preserve">anarieöarna. Dessutom omfattas detta </w:t>
      </w:r>
      <w:r>
        <w:rPr>
          <w:noProof/>
        </w:rPr>
        <w:lastRenderedPageBreak/>
        <w:t>yttersta randområde av de befrielser och partiella nedsättningar av AIEM-skatt</w:t>
      </w:r>
      <w:r>
        <w:rPr>
          <w:rStyle w:val="FootnoteReference"/>
          <w:noProof/>
        </w:rPr>
        <w:footnoteReference w:id="4"/>
      </w:r>
      <w:r>
        <w:rPr>
          <w:noProof/>
        </w:rPr>
        <w:t xml:space="preserve"> som föreskrivs i rådets beslut (EU) 2020/1792 av den 16 november 2020</w:t>
      </w:r>
      <w:r>
        <w:rPr>
          <w:rStyle w:val="FootnoteReference"/>
          <w:noProof/>
        </w:rPr>
        <w:footnoteReference w:id="5"/>
      </w:r>
      <w:r>
        <w:rPr>
          <w:noProof/>
        </w:rPr>
        <w:t>.</w:t>
      </w:r>
    </w:p>
    <w:p w:rsidR="007731FF" w:rsidRDefault="00A94E08">
      <w:pPr>
        <w:pStyle w:val="ManualHeading2"/>
        <w:rPr>
          <w:rFonts w:eastAsia="Arial Unicode MS"/>
          <w:noProof/>
        </w:rPr>
      </w:pPr>
      <w:r>
        <w:rPr>
          <w:noProof/>
          <w:color w:val="000000"/>
          <w:u w:color="000000"/>
          <w:bdr w:val="nil"/>
        </w:rPr>
        <w:t>•</w:t>
      </w:r>
      <w:r>
        <w:rPr>
          <w:noProof/>
        </w:rPr>
        <w:tab/>
        <w:t>Förenlighet med unionens politik inom andra områden</w:t>
      </w:r>
    </w:p>
    <w:p w:rsidR="007731FF" w:rsidRDefault="00A94E08">
      <w:pPr>
        <w:spacing w:before="60" w:after="0"/>
        <w:rPr>
          <w:noProof/>
        </w:rPr>
      </w:pPr>
      <w:r>
        <w:rPr>
          <w:noProof/>
        </w:rPr>
        <w:t>Detta förslag</w:t>
      </w:r>
      <w:r>
        <w:rPr>
          <w:noProof/>
        </w:rPr>
        <w:t xml:space="preserve"> är förenligt med unionens politik, särskilt när det gäller den övergripande politiken för de yttersta randområdena och politiken för internationell handel, konkurrens, miljö, näringsliv, utveckling och yttre förbindelser.</w:t>
      </w:r>
    </w:p>
    <w:p w:rsidR="007731FF" w:rsidRDefault="00A94E08">
      <w:pPr>
        <w:pStyle w:val="ManualHeading1"/>
        <w:rPr>
          <w:noProof/>
        </w:rPr>
      </w:pPr>
      <w:r>
        <w:rPr>
          <w:noProof/>
        </w:rPr>
        <w:t>2.</w:t>
      </w:r>
      <w:r>
        <w:rPr>
          <w:noProof/>
        </w:rPr>
        <w:tab/>
        <w:t>RÄTTSLIG GRUND, SUBSIDIARITETS</w:t>
      </w:r>
      <w:r>
        <w:rPr>
          <w:noProof/>
        </w:rPr>
        <w:t>PRINCIPEN OCH PROPORTIONALITETSPRINCIPEN</w:t>
      </w:r>
    </w:p>
    <w:p w:rsidR="007731FF" w:rsidRDefault="00A94E08">
      <w:pPr>
        <w:pStyle w:val="ManualHeading2"/>
        <w:rPr>
          <w:rFonts w:eastAsia="Arial Unicode MS"/>
          <w:noProof/>
          <w:u w:color="000000"/>
          <w:bdr w:val="nil"/>
        </w:rPr>
      </w:pPr>
      <w:r>
        <w:rPr>
          <w:noProof/>
          <w:u w:color="000000"/>
          <w:bdr w:val="nil"/>
        </w:rPr>
        <w:t>•</w:t>
      </w:r>
      <w:r>
        <w:rPr>
          <w:noProof/>
        </w:rPr>
        <w:tab/>
      </w:r>
      <w:r>
        <w:rPr>
          <w:noProof/>
          <w:u w:color="000000"/>
          <w:bdr w:val="nil"/>
        </w:rPr>
        <w:t>Rättslig grund</w:t>
      </w:r>
    </w:p>
    <w:p w:rsidR="007731FF" w:rsidRDefault="00A94E08">
      <w:pPr>
        <w:spacing w:before="60" w:after="180"/>
        <w:rPr>
          <w:rFonts w:eastAsia="Arial Unicode MS"/>
          <w:noProof/>
        </w:rPr>
      </w:pPr>
      <w:r>
        <w:rPr>
          <w:noProof/>
        </w:rPr>
        <w:t xml:space="preserve">Den rättsliga grunden för detta förslag är artikel 349 i EUF-fördraget. Denna bestämmelse gör det möjligt för rådet att, med beaktande av de strukturella sociala och ekonomiska begränsningarna i </w:t>
      </w:r>
      <w:r>
        <w:rPr>
          <w:noProof/>
        </w:rPr>
        <w:t>unionens yttersta randområden (inbegripet deras avlägsna belägenhet, ökaraktär, ringa storlek, besvärliga terräng- och klimatförhållanden samt ekonomiska beroende av ett fåtal produkter) anta särskilda åtgärder för att anpassa fördragens tillämpning på des</w:t>
      </w:r>
      <w:r>
        <w:rPr>
          <w:noProof/>
        </w:rPr>
        <w:t>sa regioner. Dessa åtgärder rör särskilda områden, bland annat tull- och handelspolitiken.</w:t>
      </w:r>
    </w:p>
    <w:p w:rsidR="007731FF" w:rsidRDefault="00A94E08">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Subsidiaritetsprincipen (för icke-exklusiv befogenhet) </w:t>
      </w:r>
    </w:p>
    <w:p w:rsidR="007731FF" w:rsidRDefault="00A94E08">
      <w:pPr>
        <w:spacing w:before="60" w:after="180"/>
        <w:rPr>
          <w:noProof/>
        </w:rPr>
      </w:pPr>
      <w:r>
        <w:rPr>
          <w:noProof/>
        </w:rPr>
        <w:t>Förslaget avser ett område där unionen har exklusiv befogenhet. Subsidiaritetsprincipen är därför inte till</w:t>
      </w:r>
      <w:r>
        <w:rPr>
          <w:noProof/>
        </w:rPr>
        <w:t>ämplig.</w:t>
      </w:r>
    </w:p>
    <w:p w:rsidR="007731FF" w:rsidRDefault="00A94E08">
      <w:pPr>
        <w:pStyle w:val="ManualHeading2"/>
        <w:rPr>
          <w:rFonts w:eastAsia="Arial Unicode MS"/>
          <w:noProof/>
          <w:u w:color="000000"/>
          <w:bdr w:val="nil"/>
        </w:rPr>
      </w:pPr>
      <w:r>
        <w:rPr>
          <w:noProof/>
          <w:u w:color="000000"/>
          <w:bdr w:val="nil"/>
        </w:rPr>
        <w:t>•</w:t>
      </w:r>
      <w:r>
        <w:rPr>
          <w:noProof/>
        </w:rPr>
        <w:tab/>
      </w:r>
      <w:r>
        <w:rPr>
          <w:noProof/>
          <w:u w:color="000000"/>
          <w:bdr w:val="nil"/>
        </w:rPr>
        <w:t>Proportionalitetsprincipen</w:t>
      </w:r>
    </w:p>
    <w:p w:rsidR="007731FF" w:rsidRDefault="00A94E08">
      <w:pPr>
        <w:spacing w:before="60" w:after="0"/>
        <w:rPr>
          <w:noProof/>
        </w:rPr>
      </w:pPr>
      <w:r>
        <w:rPr>
          <w:noProof/>
        </w:rPr>
        <w:t>Förslaget är förenligt med proportionalitetsprincipen av följande skäl:</w:t>
      </w:r>
    </w:p>
    <w:p w:rsidR="007731FF" w:rsidRDefault="00A94E08">
      <w:pPr>
        <w:spacing w:before="60" w:after="180"/>
        <w:rPr>
          <w:rFonts w:eastAsia="Arial Unicode MS"/>
          <w:noProof/>
        </w:rPr>
      </w:pPr>
      <w:r>
        <w:rPr>
          <w:noProof/>
        </w:rPr>
        <w:t>Denna typ av åtgärder används ofta för att stärka de ekonomiska aktörernas konkurrenskraft. Införandet av kontroller av slutanvändningen i enlighet</w:t>
      </w:r>
      <w:r>
        <w:rPr>
          <w:noProof/>
        </w:rPr>
        <w:t xml:space="preserve"> med bestämmelserna i unionens tullkodex och dess tillämpningsföreskrifter är ett etablerat förfarande i detta sammanhang och skapar inte några betydande ytterligare administrativa bördor för regionala och lokala myndigheter och ekonomiska aktörer. </w:t>
      </w:r>
    </w:p>
    <w:p w:rsidR="007731FF" w:rsidRDefault="00A94E08">
      <w:pPr>
        <w:pStyle w:val="ManualHeading2"/>
        <w:rPr>
          <w:rFonts w:eastAsia="Arial Unicode MS"/>
          <w:noProof/>
          <w:u w:color="000000"/>
          <w:bdr w:val="nil"/>
        </w:rPr>
      </w:pPr>
      <w:r>
        <w:rPr>
          <w:noProof/>
          <w:u w:color="000000"/>
          <w:bdr w:val="nil"/>
        </w:rPr>
        <w:t>•</w:t>
      </w:r>
      <w:r>
        <w:rPr>
          <w:noProof/>
        </w:rPr>
        <w:tab/>
      </w:r>
      <w:r>
        <w:rPr>
          <w:noProof/>
          <w:u w:color="000000"/>
          <w:bdr w:val="nil"/>
        </w:rPr>
        <w:t xml:space="preserve">Val </w:t>
      </w:r>
      <w:r>
        <w:rPr>
          <w:noProof/>
          <w:u w:color="000000"/>
          <w:bdr w:val="nil"/>
        </w:rPr>
        <w:t>av instrument</w:t>
      </w:r>
    </w:p>
    <w:p w:rsidR="007731FF" w:rsidRDefault="00A94E08">
      <w:pPr>
        <w:pBdr>
          <w:top w:val="nil"/>
          <w:left w:val="nil"/>
          <w:bottom w:val="nil"/>
          <w:right w:val="nil"/>
          <w:between w:val="nil"/>
          <w:bar w:val="nil"/>
        </w:pBdr>
        <w:spacing w:before="0" w:after="240"/>
        <w:rPr>
          <w:noProof/>
        </w:rPr>
      </w:pPr>
      <w:r>
        <w:rPr>
          <w:noProof/>
        </w:rPr>
        <w:t>Förslaget avser en förordning.</w:t>
      </w:r>
    </w:p>
    <w:p w:rsidR="007731FF" w:rsidRDefault="007731FF">
      <w:pPr>
        <w:spacing w:before="60" w:after="180"/>
        <w:rPr>
          <w:noProof/>
        </w:rPr>
      </w:pPr>
    </w:p>
    <w:p w:rsidR="007731FF" w:rsidRDefault="00A94E08">
      <w:pPr>
        <w:pStyle w:val="ManualHeading1"/>
        <w:rPr>
          <w:noProof/>
        </w:rPr>
      </w:pPr>
      <w:r>
        <w:rPr>
          <w:noProof/>
        </w:rPr>
        <w:t>3.</w:t>
      </w:r>
      <w:r>
        <w:rPr>
          <w:noProof/>
        </w:rPr>
        <w:tab/>
        <w:t>RESULTAT AV EFTERHANDSUTVÄRDERINGAR, SAMRÅD MED BERÖRDA PARTER OCH KONSEKVENSBEDÖMNINGAR</w:t>
      </w:r>
    </w:p>
    <w:p w:rsidR="007731FF" w:rsidRDefault="00A94E08">
      <w:pPr>
        <w:pStyle w:val="ManualHeading2"/>
        <w:rPr>
          <w:rFonts w:eastAsia="Arial Unicode MS"/>
          <w:noProof/>
          <w:u w:color="000000"/>
          <w:bdr w:val="nil"/>
        </w:rPr>
      </w:pPr>
      <w:r>
        <w:rPr>
          <w:noProof/>
          <w:u w:color="000000"/>
          <w:bdr w:val="nil"/>
        </w:rPr>
        <w:t>•</w:t>
      </w:r>
      <w:r>
        <w:rPr>
          <w:noProof/>
        </w:rPr>
        <w:tab/>
      </w:r>
      <w:r>
        <w:rPr>
          <w:noProof/>
          <w:u w:color="000000"/>
          <w:bdr w:val="nil"/>
        </w:rPr>
        <w:t>•</w:t>
      </w:r>
      <w:r>
        <w:rPr>
          <w:noProof/>
        </w:rPr>
        <w:tab/>
      </w:r>
      <w:r>
        <w:rPr>
          <w:noProof/>
          <w:u w:color="000000"/>
          <w:bdr w:val="nil"/>
        </w:rPr>
        <w:t>Samråd med berörda parter</w:t>
      </w:r>
    </w:p>
    <w:p w:rsidR="007731FF" w:rsidRDefault="00A94E08">
      <w:pPr>
        <w:rPr>
          <w:rFonts w:eastAsia="Calibri"/>
          <w:noProof/>
        </w:rPr>
      </w:pPr>
      <w:r>
        <w:rPr>
          <w:noProof/>
        </w:rPr>
        <w:t>Expertgruppen för tulltaxefrågor av ekonomisk art, som bistår kommissionen vid utarbetan</w:t>
      </w:r>
      <w:r>
        <w:rPr>
          <w:noProof/>
        </w:rPr>
        <w:t>det av rådets förslag om autonoma tulltaxebestämmelser, har rådfrågats om detta förslag.</w:t>
      </w:r>
    </w:p>
    <w:p w:rsidR="007731FF" w:rsidRDefault="00A94E08">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Insamling och användning av sakkunnigutlåtanden</w:t>
      </w:r>
    </w:p>
    <w:p w:rsidR="007731FF" w:rsidRDefault="00A94E08">
      <w:pPr>
        <w:rPr>
          <w:noProof/>
        </w:rPr>
      </w:pPr>
      <w:r>
        <w:rPr>
          <w:noProof/>
        </w:rPr>
        <w:t>För att undersöka konsekvenserna av åtgärderna uppmanade kommissionen de spanska myndigheterna att lämna den informat</w:t>
      </w:r>
      <w:r>
        <w:rPr>
          <w:noProof/>
        </w:rPr>
        <w:t>ion som krävs. De spanska myndigheterna lämnade uppgifter om de berörda produkterna som hade importerats till Kanarieöarna tillsammans med en analys av dessa produkter.</w:t>
      </w:r>
    </w:p>
    <w:p w:rsidR="007731FF" w:rsidRDefault="00A94E08">
      <w:pPr>
        <w:rPr>
          <w:noProof/>
        </w:rPr>
      </w:pPr>
      <w:r>
        <w:rPr>
          <w:noProof/>
        </w:rPr>
        <w:t>Information samlades också in rörande särskilda områden, t.ex. sysselsättning (från Kan</w:t>
      </w:r>
      <w:r>
        <w:rPr>
          <w:noProof/>
        </w:rPr>
        <w:t>arieöarnas statistiska institut), turism (officiell statistik om turism på Kanarieöarna) och konsumtion (Eurobarometer).</w:t>
      </w:r>
    </w:p>
    <w:p w:rsidR="007731FF" w:rsidRDefault="00A94E08">
      <w:pPr>
        <w:pStyle w:val="ManualHeading2"/>
        <w:rPr>
          <w:rFonts w:eastAsia="Arial Unicode MS"/>
          <w:noProof/>
          <w:u w:color="000000"/>
          <w:bdr w:val="nil"/>
        </w:rPr>
      </w:pPr>
      <w:r>
        <w:rPr>
          <w:noProof/>
          <w:u w:color="000000"/>
          <w:bdr w:val="nil"/>
        </w:rPr>
        <w:t>•</w:t>
      </w:r>
      <w:r>
        <w:rPr>
          <w:noProof/>
        </w:rPr>
        <w:tab/>
      </w:r>
      <w:r>
        <w:rPr>
          <w:noProof/>
          <w:u w:color="000000"/>
          <w:bdr w:val="nil"/>
        </w:rPr>
        <w:t>Konsekvensbedömning</w:t>
      </w:r>
    </w:p>
    <w:p w:rsidR="007731FF" w:rsidRDefault="00A94E08">
      <w:pPr>
        <w:pBdr>
          <w:top w:val="nil"/>
          <w:left w:val="nil"/>
          <w:bottom w:val="nil"/>
          <w:right w:val="nil"/>
          <w:between w:val="nil"/>
          <w:bar w:val="nil"/>
        </w:pBdr>
        <w:spacing w:before="0" w:after="240"/>
        <w:rPr>
          <w:rFonts w:eastAsia="Arial Unicode MS"/>
          <w:noProof/>
        </w:rPr>
      </w:pPr>
      <w:r>
        <w:rPr>
          <w:noProof/>
        </w:rPr>
        <w:t>Ingen konsekvensbedömning har genomförts. Förslaget syftar till att förlänga de nuvarande åtgärder som löper ut i</w:t>
      </w:r>
      <w:r>
        <w:rPr>
          <w:noProof/>
        </w:rPr>
        <w:t xml:space="preserve"> slutet av 2021. En konsekvensbedömning är inte motiverad med tanke på åtgärdernas mycket begränsade omfattning och det faktum att det inte finns några betydande förändringar i fråga om förväntade effekter</w:t>
      </w:r>
    </w:p>
    <w:p w:rsidR="007731FF" w:rsidRDefault="00A94E08">
      <w:pPr>
        <w:pStyle w:val="ManualHeading2"/>
        <w:rPr>
          <w:rFonts w:eastAsia="Arial Unicode MS"/>
          <w:noProof/>
          <w:u w:color="000000"/>
          <w:bdr w:val="nil"/>
        </w:rPr>
      </w:pPr>
      <w:r>
        <w:rPr>
          <w:noProof/>
          <w:u w:color="000000"/>
          <w:bdr w:val="nil"/>
        </w:rPr>
        <w:t>•</w:t>
      </w:r>
      <w:r>
        <w:rPr>
          <w:noProof/>
        </w:rPr>
        <w:tab/>
      </w:r>
      <w:r>
        <w:rPr>
          <w:noProof/>
          <w:u w:color="000000"/>
          <w:bdr w:val="nil"/>
        </w:rPr>
        <w:t>Grundläggande rättigheter</w:t>
      </w:r>
    </w:p>
    <w:p w:rsidR="007731FF" w:rsidRDefault="00A94E08">
      <w:pPr>
        <w:rPr>
          <w:noProof/>
        </w:rPr>
      </w:pPr>
      <w:r>
        <w:rPr>
          <w:noProof/>
        </w:rPr>
        <w:t xml:space="preserve">Förslaget har inga </w:t>
      </w:r>
      <w:r>
        <w:rPr>
          <w:noProof/>
        </w:rPr>
        <w:t>konsekvenser för de grundläggande rättigheterna.</w:t>
      </w:r>
    </w:p>
    <w:p w:rsidR="007731FF" w:rsidRDefault="00A94E08">
      <w:pPr>
        <w:pStyle w:val="ManualHeading1"/>
        <w:rPr>
          <w:noProof/>
        </w:rPr>
      </w:pPr>
      <w:r>
        <w:rPr>
          <w:noProof/>
        </w:rPr>
        <w:t>4.</w:t>
      </w:r>
      <w:r>
        <w:rPr>
          <w:noProof/>
        </w:rPr>
        <w:tab/>
        <w:t>BUDGETKONSEKVENSER</w:t>
      </w:r>
    </w:p>
    <w:p w:rsidR="007731FF" w:rsidRDefault="00A94E08">
      <w:pPr>
        <w:rPr>
          <w:noProof/>
        </w:rPr>
      </w:pPr>
      <w:r>
        <w:rPr>
          <w:noProof/>
        </w:rPr>
        <w:t>Detta förslag påverkar inte utgifterna, men däremot inkomsterna enligt följande: Intäkterna från tullar minskar med ungefär 3,3 miljoner EUR per år. Inverkan på de traditionella egna me</w:t>
      </w:r>
      <w:r>
        <w:rPr>
          <w:noProof/>
        </w:rPr>
        <w:t>dlen i budgeten uppgår till 2,5 miljoner EUR per år (dvs. 75 % av den totala minskningen). Finansieringsöversikten innehåller mer detaljerade uppgifter om budgetkonsekvenserna av förslaget.</w:t>
      </w:r>
    </w:p>
    <w:p w:rsidR="007731FF" w:rsidRDefault="00A94E08">
      <w:pPr>
        <w:rPr>
          <w:noProof/>
        </w:rPr>
      </w:pPr>
      <w:r>
        <w:rPr>
          <w:noProof/>
        </w:rPr>
        <w:t>Förlusten av traditionella egna medel ska kompenseras genom medlem</w:t>
      </w:r>
      <w:r>
        <w:rPr>
          <w:noProof/>
        </w:rPr>
        <w:t>sstaternas BNI-baserade egna medel.</w:t>
      </w:r>
    </w:p>
    <w:p w:rsidR="007731FF" w:rsidRDefault="00A94E08">
      <w:pPr>
        <w:rPr>
          <w:noProof/>
        </w:rPr>
      </w:pPr>
      <w:r>
        <w:rPr>
          <w:noProof/>
        </w:rPr>
        <w:t xml:space="preserve"> </w:t>
      </w:r>
    </w:p>
    <w:p w:rsidR="007731FF" w:rsidRDefault="007731FF">
      <w:pPr>
        <w:pStyle w:val="ManualHeading1"/>
        <w:rPr>
          <w:noProof/>
        </w:rPr>
      </w:pPr>
    </w:p>
    <w:p w:rsidR="007731FF" w:rsidRDefault="007731FF">
      <w:pPr>
        <w:rPr>
          <w:noProof/>
        </w:rPr>
        <w:sectPr w:rsidR="007731FF" w:rsidSect="00A94E08">
          <w:footerReference w:type="default" r:id="rId15"/>
          <w:footerReference w:type="first" r:id="rId16"/>
          <w:pgSz w:w="11907" w:h="16839"/>
          <w:pgMar w:top="1134" w:right="1417" w:bottom="1134" w:left="1417" w:header="709" w:footer="709" w:gutter="0"/>
          <w:cols w:space="708"/>
          <w:docGrid w:linePitch="360"/>
        </w:sectPr>
      </w:pPr>
    </w:p>
    <w:p w:rsidR="007731FF" w:rsidRDefault="00A94E08" w:rsidP="00A94E08">
      <w:pPr>
        <w:pStyle w:val="Rfrenceinterinstitutionnelle"/>
        <w:rPr>
          <w:noProof/>
        </w:rPr>
      </w:pPr>
      <w:r w:rsidRPr="00A94E08">
        <w:lastRenderedPageBreak/>
        <w:t>2021/0209 (CNS)</w:t>
      </w:r>
    </w:p>
    <w:p w:rsidR="007731FF" w:rsidRDefault="00A94E08" w:rsidP="00A94E08">
      <w:pPr>
        <w:pStyle w:val="Statut"/>
        <w:rPr>
          <w:noProof/>
        </w:rPr>
      </w:pPr>
      <w:r w:rsidRPr="00A94E08">
        <w:t>Förslag till</w:t>
      </w:r>
    </w:p>
    <w:p w:rsidR="007731FF" w:rsidRDefault="00A94E08" w:rsidP="00A94E08">
      <w:pPr>
        <w:pStyle w:val="Typedudocument"/>
        <w:rPr>
          <w:noProof/>
        </w:rPr>
      </w:pPr>
      <w:r w:rsidRPr="00A94E08">
        <w:t>RÅDETS FÖRORDNING</w:t>
      </w:r>
    </w:p>
    <w:p w:rsidR="007731FF" w:rsidRDefault="00A94E08" w:rsidP="00A94E08">
      <w:pPr>
        <w:pStyle w:val="Titreobjet"/>
        <w:rPr>
          <w:noProof/>
        </w:rPr>
      </w:pPr>
      <w:r w:rsidRPr="00A94E08">
        <w:t>om tillfälligt upphävande av de autonoma tullarna i Gemensamma tulltaxan för import av vissa industriprodukter till Kanarieöarna</w:t>
      </w:r>
    </w:p>
    <w:p w:rsidR="007731FF" w:rsidRDefault="00A94E08">
      <w:pPr>
        <w:pStyle w:val="Institutionquiagit"/>
        <w:rPr>
          <w:noProof/>
        </w:rPr>
      </w:pPr>
      <w:r>
        <w:rPr>
          <w:noProof/>
        </w:rPr>
        <w:t>E</w:t>
      </w:r>
      <w:r>
        <w:rPr>
          <w:noProof/>
        </w:rPr>
        <w:t>UROPEISKA UNIONENS RÅD HAR ANTAGIT DENNA FÖRORDNING</w:t>
      </w:r>
    </w:p>
    <w:p w:rsidR="007731FF" w:rsidRDefault="00A94E08">
      <w:pPr>
        <w:rPr>
          <w:noProof/>
        </w:rPr>
      </w:pPr>
      <w:r>
        <w:rPr>
          <w:noProof/>
        </w:rPr>
        <w:t>med beaktande av fördraget om Europeiska unionens funktionssätt, särskilt artikel 349,</w:t>
      </w:r>
    </w:p>
    <w:p w:rsidR="007731FF" w:rsidRDefault="00A94E08">
      <w:pPr>
        <w:rPr>
          <w:noProof/>
        </w:rPr>
      </w:pPr>
      <w:r>
        <w:rPr>
          <w:noProof/>
        </w:rPr>
        <w:t>med beaktande av Europeiska kommissionens förslag,</w:t>
      </w:r>
    </w:p>
    <w:p w:rsidR="007731FF" w:rsidRDefault="00A94E08">
      <w:pPr>
        <w:rPr>
          <w:noProof/>
        </w:rPr>
      </w:pPr>
      <w:r>
        <w:rPr>
          <w:noProof/>
        </w:rPr>
        <w:t>efter översändande av utkastet till lagstiftnin</w:t>
      </w:r>
      <w:r>
        <w:rPr>
          <w:noProof/>
        </w:rPr>
        <w:t xml:space="preserve">gsakt till de nationella parlamenten, </w:t>
      </w:r>
    </w:p>
    <w:p w:rsidR="007731FF" w:rsidRDefault="00A94E08">
      <w:pPr>
        <w:rPr>
          <w:noProof/>
        </w:rPr>
      </w:pPr>
      <w:r>
        <w:rPr>
          <w:noProof/>
        </w:rPr>
        <w:t xml:space="preserve">med beaktande av Europaparlamentets yttrande, </w:t>
      </w:r>
    </w:p>
    <w:p w:rsidR="007731FF" w:rsidRDefault="00A94E08">
      <w:pPr>
        <w:rPr>
          <w:noProof/>
        </w:rPr>
      </w:pPr>
      <w:r>
        <w:rPr>
          <w:noProof/>
        </w:rPr>
        <w:t>i enlighet med ett särskilt lagstiftningsförfarande, och</w:t>
      </w:r>
    </w:p>
    <w:p w:rsidR="007731FF" w:rsidRDefault="00A94E08">
      <w:pPr>
        <w:rPr>
          <w:noProof/>
        </w:rPr>
      </w:pPr>
      <w:r>
        <w:rPr>
          <w:noProof/>
        </w:rPr>
        <w:t>av följande skäl:</w:t>
      </w:r>
    </w:p>
    <w:p w:rsidR="007731FF" w:rsidRDefault="00A94E08">
      <w:pPr>
        <w:pStyle w:val="ManualConsidrant"/>
        <w:rPr>
          <w:noProof/>
        </w:rPr>
      </w:pPr>
      <w:r>
        <w:rPr>
          <w:noProof/>
        </w:rPr>
        <w:t>(1)</w:t>
      </w:r>
      <w:r>
        <w:rPr>
          <w:noProof/>
        </w:rPr>
        <w:tab/>
        <w:t>Enligt rådets förordning (EU) nr 1386/2011</w:t>
      </w:r>
      <w:r>
        <w:rPr>
          <w:rStyle w:val="FootnoteReference"/>
          <w:noProof/>
        </w:rPr>
        <w:footnoteReference w:id="6"/>
      </w:r>
      <w:r>
        <w:rPr>
          <w:noProof/>
        </w:rPr>
        <w:t xml:space="preserve"> kommer upphävandet av tull på vissa insatsvaror</w:t>
      </w:r>
      <w:r>
        <w:rPr>
          <w:noProof/>
        </w:rPr>
        <w:t xml:space="preserve"> för kommersiell eller industriell användning som importeras till Kanarieöarna att upphöra att gälla den 31 december 2021. </w:t>
      </w:r>
    </w:p>
    <w:p w:rsidR="007731FF" w:rsidRDefault="00A94E08">
      <w:pPr>
        <w:pStyle w:val="ManualConsidrant"/>
        <w:rPr>
          <w:noProof/>
        </w:rPr>
      </w:pPr>
      <w:r>
        <w:rPr>
          <w:noProof/>
        </w:rPr>
        <w:t>(2)</w:t>
      </w:r>
      <w:r>
        <w:rPr>
          <w:noProof/>
        </w:rPr>
        <w:tab/>
        <w:t>I april 2021 begärde Spaniens regering en förlängning av upphävandet av Gemensamma tulltaxans autonoma tullar för ett antal prod</w:t>
      </w:r>
      <w:r>
        <w:rPr>
          <w:noProof/>
        </w:rPr>
        <w:t>ukter i enlighet med artikel 349 i fördraget. De åtgärder som infördes genom förordning (EU) nr 1386/2011 har bidragit positivt till utvecklingen av Kanarieöarnas ekonomi, särskilt inom industrin och byggsektorn, och därmed minskat de allvarliga konsekvens</w:t>
      </w:r>
      <w:r>
        <w:rPr>
          <w:noProof/>
        </w:rPr>
        <w:t>erna av dessa öars avlägsna belägenhet, ökaraktär och ringa storlek.</w:t>
      </w:r>
    </w:p>
    <w:p w:rsidR="007731FF" w:rsidRDefault="00A94E08">
      <w:pPr>
        <w:pStyle w:val="ManualConsidrant"/>
        <w:rPr>
          <w:noProof/>
        </w:rPr>
      </w:pPr>
      <w:r>
        <w:rPr>
          <w:noProof/>
        </w:rPr>
        <w:t>(3)</w:t>
      </w:r>
      <w:r>
        <w:rPr>
          <w:noProof/>
        </w:rPr>
        <w:tab/>
        <w:t>Kanarieöarnas ekonomi fortsätter att påverkas negativt av marknadens ringa storlek, fragmentering och avlägsna läge i förhållande till Europa, samt den särskilt höga arbetslösheten oc</w:t>
      </w:r>
      <w:r>
        <w:rPr>
          <w:noProof/>
        </w:rPr>
        <w:t>h de högre produktions- och distributionskostnaderna jämfört med ekonomiska aktörer på den europeiska kontinenten. Arbetslösheten på Kanarieöarna förbättrades något fram till 2019, men ökade sedan från 20,5 % år 2019 till 22,6 % år 2020, vilket är betydlig</w:t>
      </w:r>
      <w:r>
        <w:rPr>
          <w:noProof/>
        </w:rPr>
        <w:t>t högre än genomsnitten på nationell nivå och unionsnivå, som låg på 15,5 % respektive 7,1 % (Eurostat, 2021).</w:t>
      </w:r>
    </w:p>
    <w:p w:rsidR="007731FF" w:rsidRDefault="00A94E08">
      <w:pPr>
        <w:pStyle w:val="ManualConsidrant"/>
        <w:rPr>
          <w:noProof/>
        </w:rPr>
      </w:pPr>
      <w:r>
        <w:rPr>
          <w:noProof/>
        </w:rPr>
        <w:t>(4)</w:t>
      </w:r>
      <w:r>
        <w:rPr>
          <w:noProof/>
        </w:rPr>
        <w:tab/>
        <w:t>Utöver detta stoppade covid-19-krisen turismen på Kanarieöarna, vilket uppskattningsvis ledde till en minskning av BNP på cirka 20 % under 20</w:t>
      </w:r>
      <w:r>
        <w:rPr>
          <w:noProof/>
        </w:rPr>
        <w:t xml:space="preserve">20. Dessutom minskade bygg- och industriverksamheten med uppskattningsvis 13 % jämfört med 2019. </w:t>
      </w:r>
    </w:p>
    <w:p w:rsidR="007731FF" w:rsidRDefault="00A94E08">
      <w:pPr>
        <w:pStyle w:val="ManualConsidrant"/>
        <w:rPr>
          <w:noProof/>
        </w:rPr>
      </w:pPr>
      <w:r>
        <w:rPr>
          <w:noProof/>
        </w:rPr>
        <w:t>(5)</w:t>
      </w:r>
      <w:r>
        <w:rPr>
          <w:noProof/>
        </w:rPr>
        <w:tab/>
        <w:t>Det är därför lämpligt att förlänga upphävandet av Gemensamma tulltaxans tullar för vissa varor som förtecknas i bilagorna I och II till förordning (EU) n</w:t>
      </w:r>
      <w:r>
        <w:rPr>
          <w:noProof/>
        </w:rPr>
        <w:t>r 1386/2011 för att</w:t>
      </w:r>
    </w:p>
    <w:p w:rsidR="007731FF" w:rsidRDefault="00A94E08">
      <w:pPr>
        <w:pStyle w:val="Tiret1"/>
        <w:numPr>
          <w:ilvl w:val="0"/>
          <w:numId w:val="12"/>
        </w:numPr>
        <w:rPr>
          <w:noProof/>
        </w:rPr>
      </w:pPr>
      <w:r>
        <w:rPr>
          <w:noProof/>
        </w:rPr>
        <w:t xml:space="preserve">säkerställa hållbara positiva effekter av förordning (EU) nr 1386/2011, </w:t>
      </w:r>
    </w:p>
    <w:p w:rsidR="007731FF" w:rsidRDefault="00A94E08">
      <w:pPr>
        <w:pStyle w:val="Tiret1"/>
        <w:rPr>
          <w:noProof/>
        </w:rPr>
      </w:pPr>
      <w:r>
        <w:rPr>
          <w:noProof/>
        </w:rPr>
        <w:lastRenderedPageBreak/>
        <w:t xml:space="preserve">bidra till diversifieringen av ekonomin, </w:t>
      </w:r>
    </w:p>
    <w:p w:rsidR="007731FF" w:rsidRDefault="00A94E08">
      <w:pPr>
        <w:pStyle w:val="Tiret1"/>
        <w:rPr>
          <w:noProof/>
        </w:rPr>
      </w:pPr>
      <w:r>
        <w:rPr>
          <w:noProof/>
        </w:rPr>
        <w:t xml:space="preserve">säkerställa konstant tillväxt och skapande av arbetstillfällen inom industrin och byggverksamheten, </w:t>
      </w:r>
    </w:p>
    <w:p w:rsidR="007731FF" w:rsidRDefault="00A94E08">
      <w:pPr>
        <w:pStyle w:val="Tiret1"/>
        <w:rPr>
          <w:noProof/>
        </w:rPr>
      </w:pPr>
      <w:r>
        <w:rPr>
          <w:noProof/>
        </w:rPr>
        <w:t xml:space="preserve">öka innovationen, </w:t>
      </w:r>
    </w:p>
    <w:p w:rsidR="007731FF" w:rsidRDefault="00A94E08">
      <w:pPr>
        <w:pStyle w:val="Tiret1"/>
        <w:rPr>
          <w:noProof/>
        </w:rPr>
      </w:pPr>
      <w:r>
        <w:rPr>
          <w:noProof/>
        </w:rPr>
        <w:t xml:space="preserve">minska den lokala ekonomins beroende av tjänstesektorn, </w:t>
      </w:r>
    </w:p>
    <w:p w:rsidR="007731FF" w:rsidRDefault="00A94E08">
      <w:pPr>
        <w:pStyle w:val="Tiret1"/>
        <w:rPr>
          <w:noProof/>
        </w:rPr>
      </w:pPr>
      <w:r>
        <w:rPr>
          <w:noProof/>
        </w:rPr>
        <w:t xml:space="preserve">komplettera andra åtgärder för stabilisering av den ekonomiska och sociala miljön på Kanarieöarna. </w:t>
      </w:r>
    </w:p>
    <w:p w:rsidR="007731FF" w:rsidRDefault="00A94E08">
      <w:pPr>
        <w:pStyle w:val="ManualConsidrant"/>
        <w:rPr>
          <w:noProof/>
        </w:rPr>
      </w:pPr>
      <w:r>
        <w:rPr>
          <w:noProof/>
        </w:rPr>
        <w:t>(6)</w:t>
      </w:r>
      <w:r>
        <w:rPr>
          <w:noProof/>
        </w:rPr>
        <w:tab/>
        <w:t xml:space="preserve">Utöver de produktkategorier som omfattas av förordning (EU) nr 1386/2011 har Spaniens regering </w:t>
      </w:r>
      <w:r>
        <w:rPr>
          <w:noProof/>
        </w:rPr>
        <w:t>i samma sammanhang begärt att tullarna i Gemensamma tulltaxan ska upphävas för sju nya produktkategorier som omfattas av KN-nummer 3903 19, 5603 94, 5604 10, 7326 90, 7607 20, 8441 40 och 8479 90. Denna begäran bör godtas eftersom upphävandet av tullar för</w:t>
      </w:r>
      <w:r>
        <w:rPr>
          <w:noProof/>
        </w:rPr>
        <w:t xml:space="preserve"> dessa kategorier, som omfattar maskiner för industriella ändamål och råvaror, skulle stärka Kanarieöarnas ekonomi.</w:t>
      </w:r>
    </w:p>
    <w:p w:rsidR="007731FF" w:rsidRDefault="00A94E08">
      <w:pPr>
        <w:pStyle w:val="ManualConsidrant"/>
        <w:rPr>
          <w:noProof/>
        </w:rPr>
      </w:pPr>
      <w:r>
        <w:rPr>
          <w:noProof/>
        </w:rPr>
        <w:t>(7)</w:t>
      </w:r>
      <w:r>
        <w:rPr>
          <w:noProof/>
        </w:rPr>
        <w:tab/>
        <w:t>För att säkerställa att endast ekonomiska aktörer som är etablerade på Kanarieöarnas territorium omfattas av dessa tullåtgärder bör upph</w:t>
      </w:r>
      <w:r>
        <w:rPr>
          <w:noProof/>
        </w:rPr>
        <w:t>ävandena göras avhängiga av produkternas slutanvändning, i enlighet med Europaparlamentets och rådets förordning (EU) nr 952/2013</w:t>
      </w:r>
      <w:r>
        <w:rPr>
          <w:rStyle w:val="FootnoteReference"/>
          <w:noProof/>
        </w:rPr>
        <w:footnoteReference w:id="7"/>
      </w:r>
      <w:r>
        <w:rPr>
          <w:noProof/>
        </w:rPr>
        <w:t xml:space="preserve"> och kommissionens genomförandeförordning (EU) nr 2015/2447</w:t>
      </w:r>
      <w:r>
        <w:rPr>
          <w:rStyle w:val="FootnoteReference"/>
          <w:noProof/>
        </w:rPr>
        <w:footnoteReference w:id="8"/>
      </w:r>
      <w:r>
        <w:rPr>
          <w:noProof/>
        </w:rPr>
        <w:t>.</w:t>
      </w:r>
    </w:p>
    <w:p w:rsidR="007731FF" w:rsidRDefault="00A94E08">
      <w:pPr>
        <w:pStyle w:val="ManualConsidrant"/>
        <w:rPr>
          <w:noProof/>
        </w:rPr>
      </w:pPr>
      <w:r>
        <w:rPr>
          <w:noProof/>
        </w:rPr>
        <w:t>(8)</w:t>
      </w:r>
      <w:r>
        <w:rPr>
          <w:noProof/>
        </w:rPr>
        <w:tab/>
        <w:t>Om handeln skulle minska och för att säkerställa enhetliga v</w:t>
      </w:r>
      <w:r>
        <w:rPr>
          <w:noProof/>
        </w:rPr>
        <w:t>illkor för genomförandet av denna förordning bör kommissionen tilldelas genomförandebefogenheter så att den tillfälligt kan dra tillbaka upphävandet. Dessa befogenheter bör utövas i enlighet med Europaparlamentets och rådets förordning (EU) nr 182/2011</w:t>
      </w:r>
      <w:r>
        <w:rPr>
          <w:rStyle w:val="FootnoteReference"/>
          <w:noProof/>
        </w:rPr>
        <w:footnoteReference w:id="9"/>
      </w:r>
      <w:r>
        <w:rPr>
          <w:noProof/>
        </w:rPr>
        <w:t xml:space="preserve">. </w:t>
      </w:r>
    </w:p>
    <w:p w:rsidR="007731FF" w:rsidRDefault="00A94E08">
      <w:pPr>
        <w:pStyle w:val="ManualConsidrant"/>
        <w:rPr>
          <w:noProof/>
        </w:rPr>
      </w:pPr>
      <w:r>
        <w:rPr>
          <w:noProof/>
        </w:rPr>
        <w:t>(9)</w:t>
      </w:r>
      <w:r>
        <w:rPr>
          <w:noProof/>
        </w:rPr>
        <w:tab/>
        <w:t>De åtgärder som föreskrivs i denna förordning bör säkerställa kontinuiteten efter det att förordning (EU) nr 1386/2011 upphör att gälla. Därför bör de åtgärder som föreskrivs i den här förordningen tillämpas från och med den 1 januari 2022 till och med</w:t>
      </w:r>
      <w:r>
        <w:rPr>
          <w:noProof/>
        </w:rPr>
        <w:t xml:space="preserve"> den 31 december 2031.</w:t>
      </w:r>
    </w:p>
    <w:p w:rsidR="007731FF" w:rsidRDefault="00A94E08">
      <w:pPr>
        <w:pStyle w:val="Formuledadoption"/>
        <w:rPr>
          <w:noProof/>
        </w:rPr>
      </w:pPr>
      <w:r>
        <w:rPr>
          <w:noProof/>
        </w:rPr>
        <w:t>HÄRIGENOM FÖRESKRIVS FÖLJANDE.</w:t>
      </w:r>
    </w:p>
    <w:p w:rsidR="007731FF" w:rsidRDefault="00A94E08">
      <w:pPr>
        <w:pStyle w:val="Titrearticle"/>
        <w:rPr>
          <w:noProof/>
        </w:rPr>
      </w:pPr>
      <w:r>
        <w:rPr>
          <w:noProof/>
        </w:rPr>
        <w:t>Artikel 1</w:t>
      </w:r>
    </w:p>
    <w:p w:rsidR="007731FF" w:rsidRDefault="00A94E08">
      <w:pPr>
        <w:ind w:left="121" w:right="26"/>
        <w:rPr>
          <w:noProof/>
        </w:rPr>
      </w:pPr>
      <w:r>
        <w:rPr>
          <w:noProof/>
        </w:rPr>
        <w:t>Från och med den 1 januari 2022 till och med den 31 december 2031 ska de tullar i Gemensamma tulltaxan som avses i artikel 56.2 c i förordning EU nr 952/2013, som är tillämpliga på import till</w:t>
      </w:r>
      <w:r>
        <w:rPr>
          <w:noProof/>
        </w:rPr>
        <w:t xml:space="preserve"> Kanarieöarna av insatsvaror för kommersiell eller industriell användning vilka omfattas av de KN-nummer som förtecknas i bilaga I, upphävas fullt ut. </w:t>
      </w:r>
    </w:p>
    <w:p w:rsidR="007731FF" w:rsidRDefault="00A94E08">
      <w:pPr>
        <w:spacing w:after="10"/>
        <w:ind w:left="121" w:right="26"/>
        <w:rPr>
          <w:rFonts w:eastAsia="Times New Roman"/>
          <w:i/>
          <w:noProof/>
        </w:rPr>
      </w:pPr>
      <w:r>
        <w:rPr>
          <w:noProof/>
        </w:rPr>
        <w:t>I enlighet med de relevanta bestämmelserna i förordning (EU) nr 952/2013 och förordning (EU) 2015/2447 s</w:t>
      </w:r>
      <w:r>
        <w:rPr>
          <w:noProof/>
        </w:rPr>
        <w:t>ka dessa varor i minst 24 månader efter det att de har övergått till fri omsättning användas av ekonomiska aktörer som är etablerade på Kanarieöarna.</w:t>
      </w:r>
      <w:r>
        <w:rPr>
          <w:i/>
          <w:noProof/>
        </w:rPr>
        <w:t xml:space="preserve"> </w:t>
      </w:r>
    </w:p>
    <w:p w:rsidR="007731FF" w:rsidRDefault="00A94E08">
      <w:pPr>
        <w:pStyle w:val="Titrearticle"/>
        <w:rPr>
          <w:noProof/>
        </w:rPr>
      </w:pPr>
      <w:r>
        <w:rPr>
          <w:noProof/>
        </w:rPr>
        <w:lastRenderedPageBreak/>
        <w:t>Artikel 2</w:t>
      </w:r>
    </w:p>
    <w:p w:rsidR="007731FF" w:rsidRDefault="00A94E08">
      <w:pPr>
        <w:rPr>
          <w:noProof/>
        </w:rPr>
      </w:pPr>
      <w:r>
        <w:rPr>
          <w:noProof/>
        </w:rPr>
        <w:t>Från och med den 1 januari 2022 till och med den 31 december 2031 ska de tullar i Gemensamma tu</w:t>
      </w:r>
      <w:r>
        <w:rPr>
          <w:noProof/>
        </w:rPr>
        <w:t>lltaxan som avses i artikel 56.2 c i förordning nr 952/2013 som är tillämpliga på import till Kanarieöarna av råvaror, delar och komponenter vilka omfattas av de KN-nummer som förtecknas i bilaga II och vilka används för industriell bearbetning eller för u</w:t>
      </w:r>
      <w:r>
        <w:rPr>
          <w:noProof/>
        </w:rPr>
        <w:t>nderhåll upphävas fullt ut.</w:t>
      </w:r>
    </w:p>
    <w:p w:rsidR="007731FF" w:rsidRDefault="00A94E08">
      <w:pPr>
        <w:pStyle w:val="Titrearticle"/>
        <w:rPr>
          <w:noProof/>
        </w:rPr>
      </w:pPr>
      <w:r>
        <w:rPr>
          <w:noProof/>
        </w:rPr>
        <w:t>Artikel 3</w:t>
      </w:r>
    </w:p>
    <w:p w:rsidR="007731FF" w:rsidRDefault="00A94E08">
      <w:pPr>
        <w:spacing w:before="0" w:after="512" w:line="238" w:lineRule="auto"/>
        <w:ind w:left="-5" w:right="26" w:hanging="8"/>
        <w:rPr>
          <w:rFonts w:eastAsia="Times New Roman"/>
          <w:noProof/>
          <w:color w:val="1A171B"/>
          <w:szCs w:val="24"/>
        </w:rPr>
      </w:pPr>
      <w:r>
        <w:rPr>
          <w:noProof/>
        </w:rPr>
        <w:t>Det tullupphävande som avses i artiklarna 1 och 2 ska omfattas av tullövervakning i samband med slutanvändning i enlighet med artikel 254 i förordning (EU) nr 952/2013.</w:t>
      </w:r>
      <w:r>
        <w:rPr>
          <w:i/>
          <w:noProof/>
          <w:color w:val="1A171B"/>
          <w:szCs w:val="24"/>
        </w:rPr>
        <w:t xml:space="preserve"> </w:t>
      </w:r>
    </w:p>
    <w:p w:rsidR="007731FF" w:rsidRDefault="00A94E08">
      <w:pPr>
        <w:pStyle w:val="Titrearticle"/>
        <w:rPr>
          <w:noProof/>
        </w:rPr>
      </w:pPr>
      <w:r>
        <w:rPr>
          <w:noProof/>
        </w:rPr>
        <w:t>Artikel 4</w:t>
      </w:r>
    </w:p>
    <w:p w:rsidR="007731FF" w:rsidRDefault="00A94E08">
      <w:pPr>
        <w:pStyle w:val="ManualNumPar1"/>
        <w:rPr>
          <w:noProof/>
        </w:rPr>
      </w:pPr>
      <w:r>
        <w:rPr>
          <w:noProof/>
        </w:rPr>
        <w:t>1.</w:t>
      </w:r>
      <w:r>
        <w:rPr>
          <w:noProof/>
        </w:rPr>
        <w:tab/>
      </w:r>
      <w:r>
        <w:rPr>
          <w:noProof/>
        </w:rPr>
        <w:t>Om kommissionen har anledning att tro att de upphävanden som fastställs i denna förordning har lett till en minskning av handeln för en särskild produkt ska den ges befogenhet att anta genomförandeakter som tillfälligt drar tillbaka upphävandet avseende de</w:t>
      </w:r>
      <w:r>
        <w:rPr>
          <w:noProof/>
        </w:rPr>
        <w:t xml:space="preserve">n produkten under en period på högst tolv månader.  Dessa genomförandeakter ska antas i enlighet med det granskningsförfarande som avses i artikel 5.2. </w:t>
      </w:r>
    </w:p>
    <w:p w:rsidR="007731FF" w:rsidRDefault="00A94E08">
      <w:pPr>
        <w:pStyle w:val="Text1"/>
        <w:rPr>
          <w:noProof/>
        </w:rPr>
      </w:pPr>
      <w:r>
        <w:rPr>
          <w:noProof/>
        </w:rPr>
        <w:t>Säkerhet ska ställas för importtullar för produkter för vilka upphävandet tillfälligt har dragits tillb</w:t>
      </w:r>
      <w:r>
        <w:rPr>
          <w:noProof/>
        </w:rPr>
        <w:t xml:space="preserve">aka, och de berörda produkternas övergång till fri omsättning på Kanarieöarna ska ske på villkor att en sådan säkerhet ställs. </w:t>
      </w:r>
    </w:p>
    <w:p w:rsidR="007731FF" w:rsidRDefault="00A94E08">
      <w:pPr>
        <w:pStyle w:val="ManualNumPar1"/>
        <w:rPr>
          <w:noProof/>
        </w:rPr>
      </w:pPr>
      <w:r>
        <w:rPr>
          <w:noProof/>
        </w:rPr>
        <w:t>2.</w:t>
      </w:r>
      <w:r>
        <w:rPr>
          <w:noProof/>
        </w:rPr>
        <w:tab/>
        <w:t>Om rådet i enlighet med det förfarande som anges i fördraget inom tolvmånadersperioden beslutar att upphävandet slutgiltigt s</w:t>
      </w:r>
      <w:r>
        <w:rPr>
          <w:noProof/>
        </w:rPr>
        <w:t>ka dras tillbaka, ska den tull för vilken säkerhet ställts slutgiltigt tas ut.</w:t>
      </w:r>
    </w:p>
    <w:p w:rsidR="007731FF" w:rsidRDefault="00A94E08">
      <w:pPr>
        <w:pStyle w:val="ManualNumPar1"/>
        <w:rPr>
          <w:noProof/>
        </w:rPr>
      </w:pPr>
      <w:r>
        <w:rPr>
          <w:noProof/>
        </w:rPr>
        <w:t>3.</w:t>
      </w:r>
      <w:r>
        <w:rPr>
          <w:noProof/>
        </w:rPr>
        <w:tab/>
        <w:t>Om inget slutgiltigt beslut har antagits inom tolvmånadersperioden i enlighet med punkt 2 ska säkerheten frisläppas.</w:t>
      </w:r>
      <w:r>
        <w:rPr>
          <w:i/>
          <w:noProof/>
        </w:rPr>
        <w:t xml:space="preserve"> </w:t>
      </w:r>
    </w:p>
    <w:p w:rsidR="007731FF" w:rsidRDefault="00A94E08">
      <w:pPr>
        <w:pStyle w:val="Titrearticle"/>
        <w:rPr>
          <w:noProof/>
        </w:rPr>
      </w:pPr>
      <w:r>
        <w:rPr>
          <w:noProof/>
        </w:rPr>
        <w:t>Artikel 5</w:t>
      </w:r>
    </w:p>
    <w:p w:rsidR="007731FF" w:rsidRDefault="00A94E08">
      <w:pPr>
        <w:pStyle w:val="ManualNumPar1"/>
        <w:rPr>
          <w:noProof/>
        </w:rPr>
      </w:pPr>
      <w:r>
        <w:rPr>
          <w:noProof/>
        </w:rPr>
        <w:t>1.</w:t>
      </w:r>
      <w:r>
        <w:rPr>
          <w:noProof/>
        </w:rPr>
        <w:tab/>
      </w:r>
      <w:r>
        <w:rPr>
          <w:noProof/>
        </w:rPr>
        <w:t xml:space="preserve">Kommissionen ska biträdas av den tullkodexkommitté som inrättats genom artikel 285.1 i förordning (EU) nr 952/2013. </w:t>
      </w:r>
    </w:p>
    <w:p w:rsidR="007731FF" w:rsidRDefault="00A94E08">
      <w:pPr>
        <w:pStyle w:val="ManualNumPar1"/>
        <w:rPr>
          <w:noProof/>
        </w:rPr>
      </w:pPr>
      <w:r>
        <w:rPr>
          <w:noProof/>
        </w:rPr>
        <w:t>2.</w:t>
      </w:r>
      <w:r>
        <w:rPr>
          <w:noProof/>
        </w:rPr>
        <w:tab/>
        <w:t>När det hänvisas till denna punkt ska artikel 5 i förordning (EU) nr 182/2011 tillämpas.</w:t>
      </w:r>
      <w:r>
        <w:rPr>
          <w:i/>
          <w:noProof/>
        </w:rPr>
        <w:t xml:space="preserve"> </w:t>
      </w:r>
    </w:p>
    <w:p w:rsidR="007731FF" w:rsidRDefault="00A94E08">
      <w:pPr>
        <w:pStyle w:val="Titrearticle"/>
        <w:rPr>
          <w:noProof/>
        </w:rPr>
      </w:pPr>
      <w:r>
        <w:rPr>
          <w:noProof/>
        </w:rPr>
        <w:t>Artikel 6</w:t>
      </w:r>
    </w:p>
    <w:p w:rsidR="007731FF" w:rsidRDefault="00A94E08">
      <w:pPr>
        <w:rPr>
          <w:noProof/>
        </w:rPr>
      </w:pPr>
      <w:r>
        <w:rPr>
          <w:noProof/>
        </w:rPr>
        <w:t xml:space="preserve">Denna förordning träder i kraft den </w:t>
      </w:r>
      <w:r>
        <w:rPr>
          <w:noProof/>
        </w:rPr>
        <w:t xml:space="preserve">tjugonde dagen efter det att den har offentliggjorts i </w:t>
      </w:r>
      <w:r>
        <w:rPr>
          <w:i/>
          <w:noProof/>
        </w:rPr>
        <w:t>Europeiska unionens officiella tidning</w:t>
      </w:r>
      <w:r>
        <w:rPr>
          <w:noProof/>
        </w:rPr>
        <w:t>.</w:t>
      </w:r>
    </w:p>
    <w:p w:rsidR="007731FF" w:rsidRDefault="00A94E08">
      <w:pPr>
        <w:rPr>
          <w:noProof/>
        </w:rPr>
      </w:pPr>
      <w:r>
        <w:rPr>
          <w:noProof/>
        </w:rPr>
        <w:t>Det ska tillämpas från och med den 1 januari 2022.</w:t>
      </w:r>
    </w:p>
    <w:p w:rsidR="007731FF" w:rsidRDefault="00A94E08">
      <w:pPr>
        <w:pStyle w:val="Applicationdirecte"/>
        <w:keepNext/>
        <w:keepLines/>
        <w:rPr>
          <w:noProof/>
        </w:rPr>
      </w:pPr>
      <w:r>
        <w:rPr>
          <w:noProof/>
        </w:rPr>
        <w:lastRenderedPageBreak/>
        <w:t>Denna förordning är till alla delar bindande och direkt tillämplig i alla medlemsstater.</w:t>
      </w:r>
    </w:p>
    <w:p w:rsidR="007731FF" w:rsidRDefault="00A94E08" w:rsidP="00A94E08">
      <w:pPr>
        <w:pStyle w:val="Fait"/>
        <w:rPr>
          <w:noProof/>
        </w:rPr>
      </w:pPr>
      <w:r w:rsidRPr="00A94E08">
        <w:t>Utfärdad i Bryssel den</w:t>
      </w:r>
    </w:p>
    <w:p w:rsidR="007731FF" w:rsidRDefault="00A94E08">
      <w:pPr>
        <w:pStyle w:val="Institutionquisigne"/>
        <w:rPr>
          <w:noProof/>
        </w:rPr>
      </w:pPr>
      <w:r>
        <w:rPr>
          <w:noProof/>
        </w:rPr>
        <w:tab/>
      </w:r>
      <w:r>
        <w:rPr>
          <w:noProof/>
        </w:rPr>
        <w:t>På rådets vägnar</w:t>
      </w:r>
    </w:p>
    <w:p w:rsidR="007731FF" w:rsidRDefault="00A94E08">
      <w:pPr>
        <w:pStyle w:val="Personnequisigne"/>
        <w:rPr>
          <w:noProof/>
        </w:rPr>
      </w:pPr>
      <w:r>
        <w:rPr>
          <w:noProof/>
        </w:rPr>
        <w:tab/>
        <w:t>Ordförande</w:t>
      </w:r>
    </w:p>
    <w:p w:rsidR="007731FF" w:rsidRDefault="00A94E08">
      <w:pPr>
        <w:pStyle w:val="Fichefinanciretitre"/>
        <w:rPr>
          <w:noProof/>
        </w:rPr>
      </w:pPr>
      <w:r>
        <w:rPr>
          <w:noProof/>
        </w:rPr>
        <w:br w:type="page"/>
      </w:r>
      <w:r>
        <w:rPr>
          <w:noProof/>
        </w:rPr>
        <w:lastRenderedPageBreak/>
        <w:t>FINANSIERINGSÖVERSIKT FÖR RÄTTSAKT FÖR FÖRSLAG SOM ENDAST PÅVERKAR BUDGETENS INKOMSTSIDA</w:t>
      </w:r>
    </w:p>
    <w:p w:rsidR="007731FF" w:rsidRDefault="00A94E08">
      <w:pPr>
        <w:pStyle w:val="ManualHeading1"/>
        <w:rPr>
          <w:noProof/>
        </w:rPr>
      </w:pPr>
      <w:r>
        <w:rPr>
          <w:noProof/>
        </w:rPr>
        <w:t>1.</w:t>
      </w:r>
      <w:r>
        <w:rPr>
          <w:noProof/>
        </w:rPr>
        <w:tab/>
        <w:t>FÖRSLAGETS BETECKNING</w:t>
      </w:r>
    </w:p>
    <w:p w:rsidR="007731FF" w:rsidRDefault="00A94E08">
      <w:pPr>
        <w:pStyle w:val="Text1"/>
        <w:rPr>
          <w:noProof/>
        </w:rPr>
      </w:pPr>
      <w:r>
        <w:rPr>
          <w:noProof/>
        </w:rPr>
        <w:t>Rådets förordning om tillfälligt upphävande av de autonoma tullarna i Gemensamma tulltaxan för import av viss</w:t>
      </w:r>
      <w:r>
        <w:rPr>
          <w:noProof/>
        </w:rPr>
        <w:t>a industriprodukter till Kanarieöarna.</w:t>
      </w:r>
    </w:p>
    <w:p w:rsidR="007731FF" w:rsidRDefault="00A94E08">
      <w:pPr>
        <w:pStyle w:val="ManualHeading1"/>
        <w:rPr>
          <w:noProof/>
        </w:rPr>
      </w:pPr>
      <w:r>
        <w:rPr>
          <w:noProof/>
        </w:rPr>
        <w:t>2.</w:t>
      </w:r>
      <w:r>
        <w:rPr>
          <w:noProof/>
        </w:rPr>
        <w:tab/>
        <w:t>BERÖRDA BUDGETRUBRIKER</w:t>
      </w:r>
    </w:p>
    <w:p w:rsidR="007731FF" w:rsidRDefault="00A94E08">
      <w:pPr>
        <w:pStyle w:val="Text1"/>
        <w:rPr>
          <w:noProof/>
        </w:rPr>
      </w:pPr>
      <w:r>
        <w:rPr>
          <w:noProof/>
        </w:rPr>
        <w:t>Kapitel och artikel: Kapitel 12 artikel 120.</w:t>
      </w:r>
    </w:p>
    <w:p w:rsidR="007731FF" w:rsidRDefault="00A94E08">
      <w:pPr>
        <w:pStyle w:val="Text1"/>
        <w:rPr>
          <w:b/>
          <w:noProof/>
        </w:rPr>
      </w:pPr>
      <w:r>
        <w:rPr>
          <w:noProof/>
        </w:rPr>
        <w:t>Budgeterat belopp för 2021:  17 605 700 000 EUR</w:t>
      </w:r>
    </w:p>
    <w:p w:rsidR="007731FF" w:rsidRDefault="00A94E08">
      <w:pPr>
        <w:pStyle w:val="ManualHeading1"/>
        <w:rPr>
          <w:noProof/>
        </w:rPr>
      </w:pPr>
      <w:r>
        <w:rPr>
          <w:noProof/>
        </w:rPr>
        <w:t>3.</w:t>
      </w:r>
      <w:r>
        <w:rPr>
          <w:noProof/>
        </w:rPr>
        <w:tab/>
        <w:t xml:space="preserve">BUDGETKONSEKVENSER </w:t>
      </w:r>
    </w:p>
    <w:p w:rsidR="007731FF" w:rsidRDefault="00A94E08">
      <w:pPr>
        <w:pStyle w:val="Text1"/>
        <w:rPr>
          <w:noProof/>
        </w:rPr>
      </w:pPr>
      <w:r>
        <w:rPr>
          <w:noProof/>
        </w:rPr>
        <w:sym w:font="Wingdings" w:char="F0A8"/>
      </w:r>
      <w:r>
        <w:rPr>
          <w:noProof/>
        </w:rPr>
        <w:tab/>
        <w:t>Förslaget påverkar inte budgeten</w:t>
      </w:r>
    </w:p>
    <w:p w:rsidR="007731FF" w:rsidRDefault="00A94E08">
      <w:pPr>
        <w:pStyle w:val="Text1"/>
        <w:rPr>
          <w:noProof/>
        </w:rPr>
      </w:pPr>
      <w:r>
        <w:rPr>
          <w:noProof/>
        </w:rPr>
        <w:t>X</w:t>
      </w:r>
      <w:r>
        <w:rPr>
          <w:noProof/>
        </w:rPr>
        <w:tab/>
        <w:t>Förslaget påverkar inte utgifterna, me</w:t>
      </w:r>
      <w:r>
        <w:rPr>
          <w:noProof/>
        </w:rPr>
        <w:t>n däremot inkomsterna på följande sätt:</w:t>
      </w:r>
    </w:p>
    <w:p w:rsidR="007731FF" w:rsidRDefault="00A94E08">
      <w:pPr>
        <w:pStyle w:val="NormalRight"/>
        <w:rPr>
          <w:noProof/>
          <w:sz w:val="18"/>
        </w:rPr>
      </w:pPr>
      <w:r>
        <w:rPr>
          <w:noProof/>
        </w:rPr>
        <w:t>(miljoner EUR avrundat till en decimal)</w:t>
      </w:r>
    </w:p>
    <w:tbl>
      <w:tblPr>
        <w:tblW w:w="83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22"/>
        <w:gridCol w:w="2880"/>
        <w:gridCol w:w="2070"/>
        <w:gridCol w:w="2070"/>
      </w:tblGrid>
      <w:tr w:rsidR="007731FF">
        <w:trPr>
          <w:gridAfter w:val="2"/>
          <w:wAfter w:w="4140" w:type="dxa"/>
          <w:cantSplit/>
        </w:trPr>
        <w:tc>
          <w:tcPr>
            <w:tcW w:w="1322" w:type="dxa"/>
          </w:tcPr>
          <w:p w:rsidR="007731FF" w:rsidRDefault="007731FF">
            <w:pPr>
              <w:rPr>
                <w:noProof/>
                <w:sz w:val="18"/>
              </w:rPr>
            </w:pPr>
          </w:p>
        </w:tc>
        <w:tc>
          <w:tcPr>
            <w:tcW w:w="2880" w:type="dxa"/>
          </w:tcPr>
          <w:p w:rsidR="007731FF" w:rsidRDefault="007731FF">
            <w:pPr>
              <w:rPr>
                <w:noProof/>
                <w:sz w:val="18"/>
              </w:rPr>
            </w:pPr>
          </w:p>
        </w:tc>
      </w:tr>
      <w:tr w:rsidR="007731FF">
        <w:tblPrEx>
          <w:tblCellMar>
            <w:left w:w="108" w:type="dxa"/>
            <w:right w:w="108" w:type="dxa"/>
          </w:tblCellMar>
        </w:tblPrEx>
        <w:tc>
          <w:tcPr>
            <w:tcW w:w="1322" w:type="dxa"/>
          </w:tcPr>
          <w:p w:rsidR="007731FF" w:rsidRDefault="00A94E08">
            <w:pPr>
              <w:rPr>
                <w:noProof/>
              </w:rPr>
            </w:pPr>
            <w:r>
              <w:rPr>
                <w:noProof/>
              </w:rPr>
              <w:t>Budgetrubrik</w:t>
            </w:r>
          </w:p>
        </w:tc>
        <w:tc>
          <w:tcPr>
            <w:tcW w:w="2880" w:type="dxa"/>
          </w:tcPr>
          <w:p w:rsidR="007731FF" w:rsidRDefault="00A94E08">
            <w:pPr>
              <w:jc w:val="center"/>
              <w:rPr>
                <w:noProof/>
              </w:rPr>
            </w:pPr>
            <w:r>
              <w:rPr>
                <w:noProof/>
              </w:rPr>
              <w:t>Inkomster</w:t>
            </w:r>
            <w:r>
              <w:rPr>
                <w:rStyle w:val="FootnoteReference"/>
                <w:noProof/>
              </w:rPr>
              <w:footnoteReference w:id="10"/>
            </w:r>
          </w:p>
        </w:tc>
        <w:tc>
          <w:tcPr>
            <w:tcW w:w="2070" w:type="dxa"/>
          </w:tcPr>
          <w:p w:rsidR="007731FF" w:rsidRDefault="00A94E08">
            <w:pPr>
              <w:jc w:val="center"/>
              <w:rPr>
                <w:noProof/>
              </w:rPr>
            </w:pPr>
            <w:r>
              <w:rPr>
                <w:noProof/>
              </w:rPr>
              <w:t>Period, som inleds dd/mm/åååå</w:t>
            </w:r>
          </w:p>
        </w:tc>
        <w:tc>
          <w:tcPr>
            <w:tcW w:w="2070" w:type="dxa"/>
          </w:tcPr>
          <w:p w:rsidR="007731FF" w:rsidRDefault="00A94E08">
            <w:pPr>
              <w:jc w:val="center"/>
              <w:rPr>
                <w:noProof/>
              </w:rPr>
            </w:pPr>
            <w:r>
              <w:rPr>
                <w:noProof/>
              </w:rPr>
              <w:t>[År 2022–2031]</w:t>
            </w:r>
          </w:p>
        </w:tc>
      </w:tr>
      <w:tr w:rsidR="007731FF">
        <w:tblPrEx>
          <w:tblCellMar>
            <w:left w:w="108" w:type="dxa"/>
            <w:right w:w="108" w:type="dxa"/>
          </w:tblCellMar>
        </w:tblPrEx>
        <w:tc>
          <w:tcPr>
            <w:tcW w:w="1322" w:type="dxa"/>
          </w:tcPr>
          <w:p w:rsidR="007731FF" w:rsidRDefault="00A94E08">
            <w:pPr>
              <w:rPr>
                <w:noProof/>
              </w:rPr>
            </w:pPr>
            <w:r>
              <w:rPr>
                <w:noProof/>
              </w:rPr>
              <w:t>Artikel 120</w:t>
            </w:r>
          </w:p>
        </w:tc>
        <w:tc>
          <w:tcPr>
            <w:tcW w:w="2880" w:type="dxa"/>
          </w:tcPr>
          <w:p w:rsidR="007731FF" w:rsidRDefault="00A94E08">
            <w:pPr>
              <w:rPr>
                <w:i/>
                <w:noProof/>
              </w:rPr>
            </w:pPr>
            <w:r>
              <w:rPr>
                <w:i/>
                <w:noProof/>
              </w:rPr>
              <w:t>Påverkan på egna medel</w:t>
            </w:r>
          </w:p>
        </w:tc>
        <w:tc>
          <w:tcPr>
            <w:tcW w:w="2070" w:type="dxa"/>
          </w:tcPr>
          <w:p w:rsidR="007731FF" w:rsidRDefault="00A94E08">
            <w:pPr>
              <w:jc w:val="center"/>
              <w:rPr>
                <w:noProof/>
              </w:rPr>
            </w:pPr>
            <w:r>
              <w:rPr>
                <w:noProof/>
              </w:rPr>
              <w:t>1.1.2022–31.12.2031</w:t>
            </w:r>
          </w:p>
        </w:tc>
        <w:tc>
          <w:tcPr>
            <w:tcW w:w="2070" w:type="dxa"/>
          </w:tcPr>
          <w:p w:rsidR="007731FF" w:rsidRDefault="00A94E08">
            <w:pPr>
              <w:jc w:val="center"/>
              <w:rPr>
                <w:noProof/>
              </w:rPr>
            </w:pPr>
            <w:r>
              <w:rPr>
                <w:noProof/>
              </w:rPr>
              <w:t>-2,5/år</w:t>
            </w:r>
          </w:p>
        </w:tc>
      </w:tr>
    </w:tbl>
    <w:p w:rsidR="007731FF" w:rsidRDefault="00A94E08">
      <w:pPr>
        <w:pStyle w:val="Text1"/>
        <w:rPr>
          <w:noProof/>
        </w:rPr>
      </w:pPr>
      <w:r>
        <w:rPr>
          <w:noProof/>
        </w:rPr>
        <w:t xml:space="preserve">För att de ekonomiska aktörerna ska </w:t>
      </w:r>
      <w:r>
        <w:rPr>
          <w:noProof/>
        </w:rPr>
        <w:t>kunna fatta långsiktiga investeringsbeslut bör de föreslagna upphävandena gälla i tio år.</w:t>
      </w:r>
    </w:p>
    <w:p w:rsidR="007731FF" w:rsidRDefault="00A94E08">
      <w:pPr>
        <w:pStyle w:val="Text1"/>
        <w:rPr>
          <w:noProof/>
        </w:rPr>
      </w:pPr>
      <w:r>
        <w:rPr>
          <w:noProof/>
        </w:rPr>
        <w:t>Förslaget ersätter de åtgärder som infördes genom rådets förordning (EU) nr 1386/2011, som upphör att gälla den 31 december 2021.</w:t>
      </w:r>
    </w:p>
    <w:p w:rsidR="007731FF" w:rsidRDefault="00A94E08">
      <w:pPr>
        <w:pStyle w:val="Text1"/>
        <w:outlineLvl w:val="0"/>
        <w:rPr>
          <w:noProof/>
        </w:rPr>
      </w:pPr>
      <w:r>
        <w:rPr>
          <w:noProof/>
          <w:u w:val="single"/>
        </w:rPr>
        <w:t>Beräknad kostnad för åtgärden</w:t>
      </w:r>
    </w:p>
    <w:p w:rsidR="007731FF" w:rsidRDefault="00A94E08">
      <w:pPr>
        <w:pStyle w:val="Text1"/>
        <w:rPr>
          <w:noProof/>
        </w:rPr>
      </w:pPr>
      <w:r>
        <w:rPr>
          <w:noProof/>
        </w:rPr>
        <w:t>På gru</w:t>
      </w:r>
      <w:r>
        <w:rPr>
          <w:noProof/>
        </w:rPr>
        <w:t>ndval av de uppgifter som lämnats av de regionala myndigheterna uppskattas inverkan på inkomstbortfallet till följd av denna förordning till 3,3 miljoner EUR (bruttobelopp, inklusive uppbördskostnader) x 0,75 = 2,5 miljoner EUR per år för perioden 1.1.2012</w:t>
      </w:r>
      <w:r>
        <w:rPr>
          <w:noProof/>
        </w:rPr>
        <w:t>–31.12.2021. Eftersom förslaget förlänger de åtgärder som för närvarande tillämpas kommer det dock praktiskt taget inte att ske någon förändring av nivån på icke uppburna traditionella egna medel när denna förordning träder i kraft.</w:t>
      </w:r>
    </w:p>
    <w:p w:rsidR="007731FF" w:rsidRDefault="00A94E08">
      <w:pPr>
        <w:pStyle w:val="ManualHeading1"/>
        <w:rPr>
          <w:noProof/>
        </w:rPr>
      </w:pPr>
      <w:r>
        <w:rPr>
          <w:noProof/>
        </w:rPr>
        <w:t>4.</w:t>
      </w:r>
      <w:r>
        <w:rPr>
          <w:noProof/>
        </w:rPr>
        <w:tab/>
        <w:t>BESTÄMMELSER OM BEDR</w:t>
      </w:r>
      <w:r>
        <w:rPr>
          <w:noProof/>
        </w:rPr>
        <w:t>ÄGERIBEKÄMPNING</w:t>
      </w:r>
    </w:p>
    <w:p w:rsidR="007731FF" w:rsidRDefault="00A94E08">
      <w:pPr>
        <w:pStyle w:val="Text1"/>
        <w:rPr>
          <w:noProof/>
        </w:rPr>
      </w:pPr>
      <w:r>
        <w:rPr>
          <w:noProof/>
        </w:rPr>
        <w:t xml:space="preserve">Slutanvändningen av de produkter som omfattas av denna rådsförordning kommer att kontrolleras i enlighet med artikel 254 i Europaparlamentets och rådets förordning (EU) nr 952/2013 av den 9 oktober 2013 om fastställande av en tullkodex för </w:t>
      </w:r>
      <w:r>
        <w:rPr>
          <w:noProof/>
        </w:rPr>
        <w:t xml:space="preserve">unionen. </w:t>
      </w:r>
    </w:p>
    <w:sectPr w:rsidR="007731FF" w:rsidSect="00A94E0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1FF" w:rsidRDefault="00A94E08">
      <w:pPr>
        <w:spacing w:before="0" w:after="0"/>
      </w:pPr>
      <w:r>
        <w:separator/>
      </w:r>
    </w:p>
  </w:endnote>
  <w:endnote w:type="continuationSeparator" w:id="0">
    <w:p w:rsidR="007731FF" w:rsidRDefault="00A94E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08" w:rsidRPr="00A94E08" w:rsidRDefault="00A94E08" w:rsidP="00A94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1FF" w:rsidRPr="00A94E08" w:rsidRDefault="00A94E08" w:rsidP="00A94E08">
    <w:pPr>
      <w:pStyle w:val="Footer"/>
      <w:rPr>
        <w:rFonts w:ascii="Arial" w:hAnsi="Arial" w:cs="Arial"/>
        <w:b/>
        <w:sz w:val="48"/>
      </w:rPr>
    </w:pPr>
    <w:r w:rsidRPr="00A94E08">
      <w:rPr>
        <w:rFonts w:ascii="Arial" w:hAnsi="Arial" w:cs="Arial"/>
        <w:b/>
        <w:sz w:val="48"/>
      </w:rPr>
      <w:t>SV</w:t>
    </w:r>
    <w:r w:rsidRPr="00A94E08">
      <w:rPr>
        <w:rFonts w:ascii="Arial" w:hAnsi="Arial" w:cs="Arial"/>
        <w:b/>
        <w:sz w:val="48"/>
      </w:rPr>
      <w:tab/>
    </w:r>
    <w:r w:rsidRPr="00A94E08">
      <w:rPr>
        <w:rFonts w:ascii="Arial" w:hAnsi="Arial" w:cs="Arial"/>
        <w:b/>
        <w:sz w:val="48"/>
      </w:rPr>
      <w:tab/>
    </w:r>
    <w:r w:rsidRPr="00A94E08">
      <w:tab/>
    </w:r>
    <w:proofErr w:type="spellStart"/>
    <w:r w:rsidRPr="00A94E08">
      <w:rPr>
        <w:rFonts w:ascii="Arial" w:hAnsi="Arial" w:cs="Arial"/>
        <w:b/>
        <w:sz w:val="48"/>
      </w:rPr>
      <w:t>SV</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08" w:rsidRPr="00A94E08" w:rsidRDefault="00A94E08" w:rsidP="00A94E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08" w:rsidRPr="00A94E08" w:rsidRDefault="00A94E08" w:rsidP="00A94E08">
    <w:pPr>
      <w:pStyle w:val="Footer"/>
      <w:rPr>
        <w:rFonts w:ascii="Arial" w:hAnsi="Arial" w:cs="Arial"/>
        <w:b/>
        <w:sz w:val="48"/>
      </w:rPr>
    </w:pPr>
    <w:r w:rsidRPr="00A94E08">
      <w:rPr>
        <w:rFonts w:ascii="Arial" w:hAnsi="Arial" w:cs="Arial"/>
        <w:b/>
        <w:sz w:val="48"/>
      </w:rPr>
      <w:t>SV</w:t>
    </w:r>
    <w:r w:rsidRPr="00A94E08">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rsidRPr="00A94E08">
      <w:tab/>
    </w:r>
    <w:r w:rsidRPr="00A94E08">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08" w:rsidRPr="00A94E08" w:rsidRDefault="00A94E08" w:rsidP="00A94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1FF" w:rsidRDefault="00A94E08">
      <w:pPr>
        <w:spacing w:before="0" w:after="0"/>
      </w:pPr>
      <w:r>
        <w:separator/>
      </w:r>
    </w:p>
  </w:footnote>
  <w:footnote w:type="continuationSeparator" w:id="0">
    <w:p w:rsidR="007731FF" w:rsidRDefault="00A94E08">
      <w:pPr>
        <w:spacing w:before="0" w:after="0"/>
      </w:pPr>
      <w:r>
        <w:continuationSeparator/>
      </w:r>
    </w:p>
  </w:footnote>
  <w:footnote w:id="1">
    <w:p w:rsidR="007731FF" w:rsidRDefault="00A94E08">
      <w:pPr>
        <w:pStyle w:val="FootnoteText"/>
      </w:pPr>
      <w:r>
        <w:rPr>
          <w:rStyle w:val="FootnoteReference"/>
        </w:rPr>
        <w:footnoteRef/>
      </w:r>
      <w:r>
        <w:rPr>
          <w:lang w:val="en-GB"/>
        </w:rPr>
        <w:tab/>
        <w:t xml:space="preserve">EUT L 345, 29.12.2011, s. </w:t>
      </w:r>
      <w:proofErr w:type="gramStart"/>
      <w:r>
        <w:rPr>
          <w:lang w:val="en-GB"/>
        </w:rPr>
        <w:t>1</w:t>
      </w:r>
      <w:proofErr w:type="gramEnd"/>
      <w:r>
        <w:rPr>
          <w:lang w:val="en-GB"/>
        </w:rPr>
        <w:t>.</w:t>
      </w:r>
    </w:p>
  </w:footnote>
  <w:footnote w:id="2">
    <w:p w:rsidR="007731FF" w:rsidRDefault="00A94E08">
      <w:pPr>
        <w:pStyle w:val="FootnoteText"/>
      </w:pPr>
      <w:r>
        <w:rPr>
          <w:rStyle w:val="FootnoteReference"/>
        </w:rPr>
        <w:footnoteRef/>
      </w:r>
      <w:r>
        <w:rPr>
          <w:lang w:val="en-GB"/>
        </w:rPr>
        <w:tab/>
        <w:t xml:space="preserve">COM(2017) 623 final </w:t>
      </w:r>
    </w:p>
  </w:footnote>
  <w:footnote w:id="3">
    <w:p w:rsidR="007731FF" w:rsidRDefault="00A94E08">
      <w:pPr>
        <w:pStyle w:val="FootnoteText"/>
      </w:pPr>
      <w:r>
        <w:rPr>
          <w:rStyle w:val="FootnoteReference"/>
        </w:rPr>
        <w:footnoteRef/>
      </w:r>
      <w:r>
        <w:rPr>
          <w:lang w:val="en-GB"/>
        </w:rPr>
        <w:tab/>
        <w:t xml:space="preserve">EUT L 403, 1.12.2020, s. </w:t>
      </w:r>
      <w:proofErr w:type="gramStart"/>
      <w:r>
        <w:rPr>
          <w:lang w:val="en-GB"/>
        </w:rPr>
        <w:t>1</w:t>
      </w:r>
      <w:proofErr w:type="gramEnd"/>
      <w:r>
        <w:rPr>
          <w:lang w:val="en-GB"/>
        </w:rPr>
        <w:t>.</w:t>
      </w:r>
    </w:p>
  </w:footnote>
  <w:footnote w:id="4">
    <w:p w:rsidR="007731FF" w:rsidRDefault="00A94E08">
      <w:pPr>
        <w:pStyle w:val="FootnoteText"/>
      </w:pPr>
      <w:r>
        <w:rPr>
          <w:rStyle w:val="FootnoteReference"/>
        </w:rPr>
        <w:footnoteRef/>
      </w:r>
      <w:r w:rsidRPr="00A94E08">
        <w:rPr>
          <w:lang w:val="fr-BE"/>
        </w:rPr>
        <w:tab/>
      </w:r>
      <w:r w:rsidRPr="00A94E08">
        <w:rPr>
          <w:lang w:val="fr-BE"/>
        </w:rPr>
        <w:t>Skatt som kallas ”Arbitrio sobre las Importaciones y Entregas de Mercancías en las islas Canarias” (AIEM-skatt).</w:t>
      </w:r>
    </w:p>
  </w:footnote>
  <w:footnote w:id="5">
    <w:p w:rsidR="007731FF" w:rsidRDefault="00A94E08">
      <w:pPr>
        <w:pStyle w:val="FootnoteText"/>
      </w:pPr>
      <w:r>
        <w:rPr>
          <w:rStyle w:val="FootnoteReference"/>
        </w:rPr>
        <w:footnoteRef/>
      </w:r>
      <w:r w:rsidRPr="00A94E08">
        <w:tab/>
      </w:r>
      <w:r w:rsidRPr="00A94E08">
        <w:t>EUT L 402, 1.12.2020, s. 13.</w:t>
      </w:r>
    </w:p>
  </w:footnote>
  <w:footnote w:id="6">
    <w:p w:rsidR="007731FF" w:rsidRDefault="00A94E08">
      <w:pPr>
        <w:pStyle w:val="FootnoteText"/>
      </w:pPr>
      <w:r>
        <w:rPr>
          <w:rStyle w:val="FootnoteReference"/>
        </w:rPr>
        <w:footnoteRef/>
      </w:r>
      <w:r>
        <w:tab/>
        <w:t>Rådets för</w:t>
      </w:r>
      <w:r>
        <w:t>ordning (EU) nr 1386/2011 av den 19 december 2011 om tillfälligt upphävande av de autonoma tullarna i Gemensamma tulltaxan för import av vissa industriprodukter till Kanarieöarna (OJ L 345, 29.12.2011, s. 1).</w:t>
      </w:r>
    </w:p>
  </w:footnote>
  <w:footnote w:id="7">
    <w:p w:rsidR="007731FF" w:rsidRDefault="00A94E08">
      <w:pPr>
        <w:pStyle w:val="FootnoteText"/>
      </w:pPr>
      <w:r>
        <w:rPr>
          <w:rStyle w:val="FootnoteReference"/>
        </w:rPr>
        <w:footnoteRef/>
      </w:r>
      <w:r>
        <w:tab/>
        <w:t>Europaparlamentets och rådets förordning (EU)</w:t>
      </w:r>
      <w:r>
        <w:t xml:space="preserve"> nr 952/2013 av den 9 oktober 2013 om fastställande av en tullkodex för unionen (EUT L 269, 10.10.2013, s. 1).</w:t>
      </w:r>
    </w:p>
  </w:footnote>
  <w:footnote w:id="8">
    <w:p w:rsidR="007731FF" w:rsidRDefault="00A94E08">
      <w:pPr>
        <w:pStyle w:val="FootnoteText"/>
      </w:pPr>
      <w:r>
        <w:rPr>
          <w:rStyle w:val="FootnoteReference"/>
        </w:rPr>
        <w:footnoteRef/>
      </w:r>
      <w:r>
        <w:tab/>
        <w:t>Kommissionens genomförandeförordning (EU) 2015/2447 av den 24 november 2015 om närmare regler för genomförande av vissa bestämmelser i Europapa</w:t>
      </w:r>
      <w:r>
        <w:t>rlamentets och rådets förordning (EU) nr 952/2013 om fastställande av en tullkodex för unionen (EUT L 343, 29.12.2015, s. 558).</w:t>
      </w:r>
    </w:p>
  </w:footnote>
  <w:footnote w:id="9">
    <w:p w:rsidR="007731FF" w:rsidRDefault="00A94E08">
      <w:pPr>
        <w:pStyle w:val="FootnoteText"/>
      </w:pPr>
      <w:r>
        <w:rPr>
          <w:rStyle w:val="FootnoteReference"/>
        </w:rPr>
        <w:footnoteRef/>
      </w:r>
      <w:r>
        <w:tab/>
        <w:t>Europaparlamentets och rådets förordning (EU) nr 182/2011 av den 16 februari 2011 om fastställande av allmänna regler och prin</w:t>
      </w:r>
      <w:r>
        <w:t>ciper för medlemsstaternas kontroll av kommissionens utövande av sina genomförandebefogenheter (EUT L 55, 28.2.2011, s. 13).</w:t>
      </w:r>
    </w:p>
  </w:footnote>
  <w:footnote w:id="10">
    <w:p w:rsidR="007731FF" w:rsidRDefault="00A94E08">
      <w:pPr>
        <w:pStyle w:val="FootnoteText"/>
      </w:pPr>
      <w:r>
        <w:rPr>
          <w:rStyle w:val="FootnoteReference"/>
        </w:rPr>
        <w:footnoteRef/>
      </w:r>
      <w:r>
        <w:tab/>
        <w:t xml:space="preserve">När det gäller traditionella egna medel (jordbrukstullar, sockertullar, tullavgifter), ska de angivna beloppen vara nettobelopp, </w:t>
      </w:r>
      <w:r>
        <w:t>dvs. bruttobelopp efter avdrag med 25 % av uppbördskostnader.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08" w:rsidRPr="00A94E08" w:rsidRDefault="00A94E08" w:rsidP="00A94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08" w:rsidRPr="00A94E08" w:rsidRDefault="00A94E08" w:rsidP="00A94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08" w:rsidRPr="00A94E08" w:rsidRDefault="00A94E08" w:rsidP="00A94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1E8B2E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3C0EB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C341FB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D2055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724CC6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E2839E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FE5A5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11AD5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num>
  <w:num w:numId="12">
    <w:abstractNumId w:val="12"/>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8"/>
  <w:hideSpellingErrors/>
  <w:hideGrammaticalErrors/>
  <w:proofState w:spelling="clean" w:grammar="clean"/>
  <w:attachedTemplate r:id="rId1"/>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7-08 12:09:1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8E3F06A7-DBFE-48E9-A08E-DCD3141E9B52"/>
    <w:docVar w:name="LW_COVERPAGE_TYPE" w:val="1"/>
    <w:docVar w:name="LW_CROSSREFERENCE" w:val="&lt;UNUSED&gt;"/>
    <w:docVar w:name="LW_DocType" w:val="COM"/>
    <w:docVar w:name="LW_EMISSION" w:val="14.7.2021"/>
    <w:docVar w:name="LW_EMISSION_ISODATE" w:val="2021-07-14"/>
    <w:docVar w:name="LW_EMISSION_LOCATION" w:val="BRX"/>
    <w:docVar w:name="LW_EMISSION_PREFIX" w:val="Bryssel den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NS"/>
    <w:docVar w:name="LW_REF.II.NEW.CP_NUMBER" w:val="0209"/>
    <w:docVar w:name="LW_REF.II.NEW.CP_YEAR" w:val="2021"/>
    <w:docVar w:name="LW_REF.INST.NEW" w:val="COM"/>
    <w:docVar w:name="LW_REF.INST.NEW_ADOPTED" w:val="final"/>
    <w:docVar w:name="LW_REF.INST.NEW_TEXT" w:val="(2021) 3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tillfälligt upphävande av de autonoma tullarna i Gemensamma tulltaxan för import av vissa industriprodukter till Kanarieöarna"/>
    <w:docVar w:name="LW_TYPE.DOC.CP" w:val="RÅDETS FÖRORDNING"/>
    <w:docVar w:name="LwApiVersions" w:val="LW4CoDe 1.23.0.0; LW 8.0, Build 20210114"/>
  </w:docVars>
  <w:rsids>
    <w:rsidRoot w:val="007731FF"/>
    <w:rsid w:val="007731FF"/>
    <w:rsid w:val="00A9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AAA186DA-26FA-4BC5-9468-BE005F79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pPr>
      <w:spacing w:after="10"/>
      <w:ind w:left="121" w:right="26"/>
    </w:pPr>
    <w:rPr>
      <w:rFonts w:eastAsia="Times New Roman"/>
      <w:i/>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styleId="Header">
    <w:name w:val="header"/>
    <w:basedOn w:val="Normal"/>
    <w:link w:val="HeaderChar"/>
    <w:uiPriority w:val="99"/>
    <w:unhideWhenUsed/>
    <w:rsid w:val="00A94E08"/>
    <w:pPr>
      <w:tabs>
        <w:tab w:val="center" w:pos="4535"/>
        <w:tab w:val="right" w:pos="9071"/>
      </w:tabs>
      <w:spacing w:before="0"/>
    </w:pPr>
  </w:style>
  <w:style w:type="character" w:customStyle="1" w:styleId="HeaderChar">
    <w:name w:val="Header Char"/>
    <w:basedOn w:val="DefaultParagraphFont"/>
    <w:link w:val="Header"/>
    <w:uiPriority w:val="99"/>
    <w:rsid w:val="00A94E08"/>
    <w:rPr>
      <w:rFonts w:ascii="Times New Roman" w:hAnsi="Times New Roman" w:cs="Times New Roman"/>
      <w:sz w:val="24"/>
      <w:lang w:val="sv-SE"/>
    </w:rPr>
  </w:style>
  <w:style w:type="paragraph" w:styleId="Footer">
    <w:name w:val="footer"/>
    <w:basedOn w:val="Normal"/>
    <w:link w:val="FooterChar"/>
    <w:uiPriority w:val="99"/>
    <w:unhideWhenUsed/>
    <w:rsid w:val="00A94E0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94E08"/>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94E08"/>
    <w:pPr>
      <w:tabs>
        <w:tab w:val="center" w:pos="7285"/>
        <w:tab w:val="right" w:pos="14003"/>
      </w:tabs>
      <w:spacing w:before="0"/>
    </w:pPr>
  </w:style>
  <w:style w:type="paragraph" w:customStyle="1" w:styleId="FooterLandscape">
    <w:name w:val="FooterLandscape"/>
    <w:basedOn w:val="Normal"/>
    <w:rsid w:val="00A94E0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94E0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94E08"/>
    <w:pPr>
      <w:spacing w:before="0"/>
      <w:jc w:val="right"/>
    </w:pPr>
    <w:rPr>
      <w:sz w:val="28"/>
    </w:rPr>
  </w:style>
  <w:style w:type="paragraph" w:customStyle="1" w:styleId="FooterSensitivity">
    <w:name w:val="Footer Sensitivity"/>
    <w:basedOn w:val="Normal"/>
    <w:rsid w:val="00A94E0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4DC0C-AC24-4C10-89C6-9A2E83F9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2</TotalTime>
  <Pages>9</Pages>
  <Words>2097</Words>
  <Characters>12982</Characters>
  <Application>Microsoft Office Word</Application>
  <DocSecurity>0</DocSecurity>
  <Lines>254</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SEILER Brigitte (SG)</cp:lastModifiedBy>
  <cp:revision>33</cp:revision>
  <dcterms:created xsi:type="dcterms:W3CDTF">2021-07-05T09:18:00Z</dcterms:created>
  <dcterms:modified xsi:type="dcterms:W3CDTF">2021-07-08T12:48:00Z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Yellow (DQC version 03)</vt:lpwstr>
  </property>
</Properties>
</file>