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D252EE1-57B4-4B2D-B84E-CA8936A1AC89" style="width:455.25pt;height:378.75pt">
            <v:imagedata r:id="rId9" o:title=""/>
          </v:shape>
        </w:pict>
      </w:r>
    </w:p>
    <w:bookmarkEnd w:id="0"/>
    <w:p>
      <w:pPr>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упражняването на правомощието за приемане на делегирани актове, предоставено на Комисията по силата на Регламент (EС) 2017/625 на Европейския парламент и на Съвета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(Регламент относно официалния контрол)</w:t>
      </w:r>
    </w:p>
    <w:p>
      <w:pPr>
        <w:pStyle w:val="ManualHeading1"/>
        <w:rPr>
          <w:noProof/>
        </w:rPr>
      </w:pPr>
      <w:r>
        <w:rPr>
          <w:noProof/>
        </w:rPr>
        <w:t>ВЪВЕДЕНИЕ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Регламент (EС) 2017/625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r>
        <w:rPr>
          <w:rFonts w:ascii="Times New Roman" w:hAnsi="Times New Roman" w:cs="Times New Roman"/>
          <w:noProof/>
          <w:sz w:val="24"/>
          <w:szCs w:val="24"/>
          <w:vertAlign w:val="superscript"/>
          <w:lang w:val="en-GB" w:eastAsia="en-GB"/>
        </w:rPr>
        <w:footnoteReference w:id="1"/>
      </w:r>
      <w:r>
        <w:rPr>
          <w:rFonts w:ascii="Times New Roman" w:hAnsi="Times New Roman"/>
          <w:noProof/>
          <w:sz w:val="24"/>
          <w:szCs w:val="24"/>
        </w:rPr>
        <w:t xml:space="preserve">, беше приет на 15 март 2017 г. и влезе в сила на 27 април 2017 г. Той се прилага от 14 декември 2019 г. с изключение на предвиденото в член 167, параграфи 2—4 от същия регламент.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Регламент (ЕС) 2017/625 представлява основният акт, в който се регламентира извършването на официален контрол за проверка на спазването на правилата на Съюза в областта на агрохранителната верига, включително когато тези правила се прилагат за животни и стоки, които се въвеждат в Съюза от трети държави. С него се отменя и заменя Регламент (ЕО) № 882/2004</w:t>
      </w:r>
      <w:r>
        <w:rPr>
          <w:rStyle w:val="FootnoteReference"/>
          <w:rFonts w:ascii="Times New Roman" w:hAnsi="Times New Roman"/>
          <w:noProof/>
          <w:sz w:val="24"/>
          <w:szCs w:val="24"/>
          <w:lang w:val="en-GB" w:eastAsia="en-GB"/>
        </w:rPr>
        <w:footnoteReference w:id="2"/>
      </w:r>
      <w:r>
        <w:rPr>
          <w:rFonts w:ascii="Times New Roman" w:hAnsi="Times New Roman"/>
          <w:noProof/>
          <w:sz w:val="24"/>
          <w:szCs w:val="24"/>
        </w:rPr>
        <w:t xml:space="preserve"> относно официалния контрол, както и друго законодателство, с което преди това са се уреждали официалният контрол и действията по осигуряване на изпълнението по агрохранителната верига в Съюза, включително Директива 97/78/ЕО на Съвета</w:t>
      </w:r>
      <w:r>
        <w:rPr>
          <w:rStyle w:val="FootnoteReference"/>
          <w:rFonts w:ascii="Times New Roman" w:hAnsi="Times New Roman"/>
          <w:noProof/>
          <w:sz w:val="24"/>
          <w:szCs w:val="24"/>
          <w:lang w:val="en-GB" w:eastAsia="en-GB"/>
        </w:rPr>
        <w:footnoteReference w:id="3"/>
      </w:r>
      <w:r>
        <w:rPr>
          <w:rFonts w:ascii="Times New Roman" w:hAnsi="Times New Roman"/>
          <w:noProof/>
          <w:sz w:val="24"/>
          <w:szCs w:val="24"/>
        </w:rPr>
        <w:t xml:space="preserve"> и Регламент (ЕО) 854/2004</w:t>
      </w:r>
      <w:r>
        <w:rPr>
          <w:rStyle w:val="FootnoteReference"/>
          <w:rFonts w:ascii="Times New Roman" w:hAnsi="Times New Roman"/>
          <w:noProof/>
          <w:sz w:val="24"/>
          <w:szCs w:val="24"/>
          <w:lang w:val="en-GB" w:eastAsia="en-GB"/>
        </w:rPr>
        <w:footnoteReference w:id="4"/>
      </w:r>
      <w:r>
        <w:rPr>
          <w:rFonts w:ascii="Times New Roman" w:hAnsi="Times New Roman"/>
          <w:noProof/>
          <w:sz w:val="24"/>
          <w:szCs w:val="24"/>
        </w:rPr>
        <w:t xml:space="preserve">. Целта на Регламент (ЕС) 2017/625 е да се осигури единна и хармонизирана законодателна рамка за организирането на официалния контрол.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В тази връзка с Регламент (ЕС) 2017/625 правото за административно осигуряване на изпълнението на законодателството на ЕС в областта на агрохранителната верига в държавите членки значително се опростява и кодифицира на равнище ЕС. Освен това приложното поле на регламента е голямо и обхваща проверката на съответствието с правилата относно храните и тяхната безопасност и относно фуражите и тяхната безопасност, изискванията за здравето на животните и хуманното отношение към тях, изискванията за здравето на растенията, правилата за страничните животински продукти, правилата за биологичното производство и етикетирането на биологични продукти, правилата за продуктите за растителна защита, защитените географски указания и съзнателното освобождаване на генетично модифицирани организми (ГМО) в околната среда за целите на производството на храни и фуражи.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допълнение, с Регламент (ЕС) 2017/625 се установяват обща рамка за извършването на граничен контрол на животните и стоките, които се въвеждат в ЕС, единна и хармонизирана рамка за официално сертифициране, както и разпоредби за засилване на сътрудничеството и на административната помощ между държавите членки. С този регламент се предоставят правомощия на Комисията да приема редица мерки, когато са налице доказателства за сериозен срив в системата за контрол на държава членка, въвеждат се по-строги правила относно финансовите санкции при измамни и подвеждащи практики и се въвеждат разпоредби относно защитата на подателите на сигнали за такива практики.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 Регламент (ЕС) 2017/625 на Комисията се предоставят правомощия да приема редица актове за изпълнение и делегирани актове. </w:t>
      </w:r>
    </w:p>
    <w:p>
      <w:pPr>
        <w:pStyle w:val="ManualHeading1"/>
        <w:rPr>
          <w:noProof/>
        </w:rPr>
      </w:pPr>
      <w:r>
        <w:rPr>
          <w:noProof/>
        </w:rPr>
        <w:t>ПРАВНО ОСНОВАНИЕ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 член 144, параграф 2 </w:t>
      </w:r>
      <w:r>
        <w:rPr>
          <w:rFonts w:ascii="Times New Roman" w:hAnsi="Times New Roman"/>
          <w:iCs/>
          <w:noProof/>
          <w:sz w:val="24"/>
          <w:szCs w:val="24"/>
        </w:rPr>
        <w:t xml:space="preserve">от Регламент (ЕС) 2017/625 </w:t>
      </w:r>
      <w:r>
        <w:rPr>
          <w:rFonts w:ascii="Times New Roman" w:hAnsi="Times New Roman"/>
          <w:noProof/>
          <w:sz w:val="24"/>
          <w:szCs w:val="24"/>
        </w:rPr>
        <w:t xml:space="preserve">на Комисията се предоставя правомощието да приема делегирани актове според посоченото в разпоредбите на този член (вж. раздел 3 по-долу). По силата на член 144, параграф 2 </w:t>
      </w:r>
      <w:r>
        <w:rPr>
          <w:rFonts w:ascii="Times New Roman" w:hAnsi="Times New Roman"/>
          <w:iCs/>
          <w:noProof/>
          <w:sz w:val="24"/>
          <w:szCs w:val="24"/>
        </w:rPr>
        <w:t>от Регламент (ЕС) 2017/625</w:t>
      </w:r>
      <w:r>
        <w:rPr>
          <w:rFonts w:ascii="Times New Roman" w:hAnsi="Times New Roman"/>
          <w:noProof/>
          <w:sz w:val="24"/>
          <w:szCs w:val="24"/>
        </w:rPr>
        <w:t xml:space="preserve"> правомощието да приема делегирани актове по изброените в текста на този регламент въпроси се предоставя на Комисията за срок от пет години, считано от 28 април 2017 г. От Комисията се изисква да изготви доклад до Европейския парламент и до Съвета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pPr>
        <w:pStyle w:val="ManualHeading1"/>
        <w:rPr>
          <w:noProof/>
        </w:rPr>
      </w:pPr>
      <w:r>
        <w:rPr>
          <w:noProof/>
        </w:rPr>
        <w:t>УПРАЖНЯВАНЕ НА ДЕЛЕГИРАНЕТО</w:t>
      </w:r>
    </w:p>
    <w:p>
      <w:pPr>
        <w:spacing w:after="240" w:line="240" w:lineRule="auto"/>
        <w:jc w:val="both"/>
        <w:rPr>
          <w:rFonts w:ascii="Times New Roman" w:hAnsi="Times New Roman" w:cs="Times New Roman"/>
          <w:noProof/>
          <w:sz w:val="24"/>
          <w:szCs w:val="24"/>
        </w:rPr>
      </w:pPr>
      <w:r>
        <w:rPr>
          <w:rFonts w:ascii="Times New Roman" w:hAnsi="Times New Roman"/>
          <w:iCs/>
          <w:noProof/>
          <w:sz w:val="24"/>
          <w:szCs w:val="24"/>
        </w:rPr>
        <w:t>Съгласно член 144, параграф 2 от Регламент (ЕС) 2017/625 на Комисията се предоставят правомощията да приема делегираните актове, посочени в член 18, параграф 7, член 21, параграф 8, член 41, член 45, параграф 4, член 47, параграф 3, член 48, член 50, параграф 4, член 51, член 53, параграф 1, член 62, параграф 3, член 64, параграфи 2 и 5, член 77, параграфи 1 и 2, член 92, параграф 4, член 99, параграф 2, член 100, параграф 6, член 101, параграф 2, член 126, параграф 1, член 142, параграфи 1 и 2, член 149, параграф 2, член 150, параграф 3, член 154, параграф 3, член 155, параграф 3 и член 165, параграф 3 от този регламент</w:t>
      </w:r>
      <w:r>
        <w:rPr>
          <w:rFonts w:ascii="Times New Roman" w:hAnsi="Times New Roman"/>
          <w:noProof/>
          <w:sz w:val="24"/>
          <w:szCs w:val="24"/>
        </w:rPr>
        <w:t>.</w:t>
      </w:r>
    </w:p>
    <w:p>
      <w:pPr>
        <w:pStyle w:val="ManualHeading2"/>
        <w:rPr>
          <w:noProof/>
        </w:rPr>
      </w:pPr>
      <w:r>
        <w:rPr>
          <w:noProof/>
        </w:rPr>
        <w:t>3.1.</w:t>
      </w:r>
      <w:r>
        <w:rPr>
          <w:noProof/>
        </w:rPr>
        <w:tab/>
        <w:t xml:space="preserve">ПРАВОМОЩИЯ, КОИТО СА ИЗПОЛЗВАНИ ПО ВРЕМЕ НА ОТЧЕТНИЯ ПЕРИОД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По време на отчетния период</w:t>
      </w:r>
      <w:r>
        <w:rPr>
          <w:rStyle w:val="FootnoteReference"/>
          <w:rFonts w:ascii="Times New Roman" w:hAnsi="Times New Roman"/>
          <w:noProof/>
          <w:sz w:val="24"/>
          <w:szCs w:val="24"/>
          <w:lang w:val="en-GB" w:eastAsia="en-GB"/>
        </w:rPr>
        <w:footnoteReference w:id="5"/>
      </w:r>
      <w:r>
        <w:rPr>
          <w:rFonts w:ascii="Times New Roman" w:hAnsi="Times New Roman"/>
          <w:noProof/>
          <w:sz w:val="24"/>
          <w:szCs w:val="24"/>
        </w:rPr>
        <w:t xml:space="preserve"> Комисията използва делегираните си правомощия, като прие следните делегирани актове</w:t>
      </w:r>
      <w:r>
        <w:rPr>
          <w:rStyle w:val="FootnoteReference"/>
          <w:rFonts w:ascii="Times New Roman" w:hAnsi="Times New Roman"/>
          <w:noProof/>
          <w:sz w:val="24"/>
          <w:szCs w:val="24"/>
          <w:lang w:val="en-GB" w:eastAsia="en-GB"/>
        </w:rPr>
        <w:footnoteReference w:id="6"/>
      </w:r>
      <w:r>
        <w:rPr>
          <w:rFonts w:ascii="Times New Roman" w:hAnsi="Times New Roman"/>
          <w:noProof/>
          <w:sz w:val="24"/>
          <w:szCs w:val="24"/>
        </w:rPr>
        <w:t>:</w:t>
      </w:r>
    </w:p>
    <w:p>
      <w:pPr>
        <w:pStyle w:val="Bullet0"/>
        <w:rPr>
          <w:noProof/>
        </w:rPr>
      </w:pPr>
      <w:r>
        <w:rPr>
          <w:noProof/>
        </w:rPr>
        <w:t>Делегиран регламент (ЕС) 2018/631 на Комисията от 7 февруари 2018 г. за допълнение на Регламент (ЕС) 2017/625 на Европейския парламент и на Съвета посредством създаване на референтни лаборатории на Европейския съюз за вредители по растенията</w:t>
      </w:r>
      <w:r>
        <w:rPr>
          <w:noProof/>
          <w:vertAlign w:val="superscript"/>
        </w:rPr>
        <w:footnoteReference w:id="7"/>
      </w:r>
      <w:r>
        <w:rPr>
          <w:noProof/>
        </w:rPr>
        <w:t>. Този акт влезе в сила на 15 май 2018 г. и започна да се прилага от същата дата.</w:t>
      </w:r>
    </w:p>
    <w:p>
      <w:pPr>
        <w:pStyle w:val="Bullet0"/>
        <w:rPr>
          <w:noProof/>
        </w:rPr>
      </w:pPr>
      <w:r>
        <w:rPr>
          <w:noProof/>
        </w:rPr>
        <w:t>Делегиран регламент (ЕС) 2019/478 на Комисията от 14 януари 2019 г. за изменение на Регламент (ЕС) 2017/625 на Европейския парламент и на Съвета по отношение на категориите на пратките, които подлежат на официален контрол на граничните контролни пунктове</w:t>
      </w:r>
      <w:r>
        <w:rPr>
          <w:noProof/>
          <w:vertAlign w:val="superscript"/>
        </w:rPr>
        <w:footnoteReference w:id="8"/>
      </w:r>
      <w:r>
        <w:rPr>
          <w:noProof/>
        </w:rPr>
        <w:t xml:space="preserve">. Този акт влезе в сила на 14 април 2019 г. и започна да се прилага от 14 декември 2019 г. </w:t>
      </w:r>
    </w:p>
    <w:p>
      <w:pPr>
        <w:pStyle w:val="Bullet0"/>
        <w:rPr>
          <w:noProof/>
        </w:rPr>
      </w:pPr>
      <w:r>
        <w:rPr>
          <w:noProof/>
        </w:rPr>
        <w:t>Делегиран регламент (ЕС) 2019/624 на Комисията от 8 февруари 2019 г. относно специалните правила за извършването на официален контрол върху производството на месо и за районите за производство и за повторно полагане на живи двучерупчести мекотели в съответствие с Регламент (ЕС) 2017/625 на Европейския парламент и на Съвета</w:t>
      </w:r>
      <w:r>
        <w:rPr>
          <w:noProof/>
          <w:vertAlign w:val="superscript"/>
        </w:rPr>
        <w:footnoteReference w:id="9"/>
      </w:r>
      <w:r>
        <w:rPr>
          <w:noProof/>
        </w:rPr>
        <w:t xml:space="preserve">. Този акт влезе в сила на 6 юни 2019 г. и започна да се прилага от 14 декември 2019 г. </w:t>
      </w:r>
    </w:p>
    <w:p>
      <w:pPr>
        <w:pStyle w:val="Bullet0"/>
        <w:rPr>
          <w:rFonts w:eastAsia="Times New Roman"/>
          <w:noProof/>
        </w:rPr>
      </w:pPr>
      <w:r>
        <w:rPr>
          <w:noProof/>
        </w:rPr>
        <w:t>Делегиран регламент (ЕС) 2019/625 на Комисията от 4 март 2019 г. за допълнение на Регламент (ЕС) 2017/625 на Европейския парламент и на Съвета по отношение на изискванията за въвеждане в Съюза на пратки от определени животни и стоки, предназначени за консумация от човека</w:t>
      </w:r>
      <w:r>
        <w:rPr>
          <w:rFonts w:eastAsia="Times New Roman"/>
          <w:noProof/>
          <w:vertAlign w:val="superscript"/>
          <w:lang w:eastAsia="en-GB"/>
        </w:rPr>
        <w:footnoteReference w:id="10"/>
      </w:r>
      <w:r>
        <w:rPr>
          <w:noProof/>
        </w:rPr>
        <w:t>. Този акт влезе в сила на 6 юни 2019 г. и започна да се прилага от 14 декември 2019 г. Изискванията, посочени в член 12 и член 14, параграфи 1 и 2, обаче започнаха да се прилагат от 21 април 2021 г.</w:t>
      </w:r>
    </w:p>
    <w:p>
      <w:pPr>
        <w:pStyle w:val="Bullet0"/>
        <w:rPr>
          <w:rFonts w:eastAsia="Times New Roman"/>
          <w:noProof/>
        </w:rPr>
      </w:pPr>
      <w:r>
        <w:rPr>
          <w:noProof/>
        </w:rPr>
        <w:t>Делегиран регламент (ЕС) 2019/1012 на Комисията от 12 март 2019 г. за допълване на Регламент (ЕС) 2017/625 на Европейския парламент и на Съвета чрез дерогация от правилата за определяне на контролни пунктове и от минималните изисквания по отношение на граничните контролни пунктове</w:t>
      </w:r>
      <w:r>
        <w:rPr>
          <w:noProof/>
          <w:vertAlign w:val="superscript"/>
          <w:lang w:eastAsia="en-GB"/>
        </w:rPr>
        <w:footnoteReference w:id="11"/>
      </w:r>
      <w:r>
        <w:rPr>
          <w:noProof/>
        </w:rPr>
        <w:t xml:space="preserve">. Този акт влезе в сила на 11 юли 2019 г. и започна да се прилага от 14 декември 2019 г. </w:t>
      </w:r>
    </w:p>
    <w:p>
      <w:pPr>
        <w:pStyle w:val="Bullet0"/>
        <w:rPr>
          <w:noProof/>
        </w:rPr>
      </w:pPr>
      <w:r>
        <w:rPr>
          <w:noProof/>
        </w:rPr>
        <w:t>Делегиран регламент (ЕС) 2019/1602 на Комисията от 23 април 2019 г. за допълнение на Регламент (ЕС) 2017/625 на Европейския парламент и на Съвета по отношение на единния здравен документ за въвеждане, придружаващ пратки от животни и стоки до тяхното местоназначение</w:t>
      </w:r>
      <w:r>
        <w:rPr>
          <w:noProof/>
          <w:vertAlign w:val="superscript"/>
          <w:lang w:eastAsia="en-GB"/>
        </w:rPr>
        <w:footnoteReference w:id="12"/>
      </w:r>
      <w:r>
        <w:rPr>
          <w:noProof/>
        </w:rPr>
        <w:t>. Този акт влезе в сила на 20 октомври 2019 г. и започна да се прилага от 14 декември 2019 г. Определени разпоредби обаче започват да се прилагат във всяка държава членка от по-ранната от двете дати — от датата, на която митническите средства за електронна обработка на данни, посочени в член 6, параграф 1 от Регламент (ЕС) № 952/2013</w:t>
      </w:r>
      <w:r>
        <w:rPr>
          <w:rStyle w:val="FootnoteReference"/>
          <w:iCs/>
          <w:noProof/>
        </w:rPr>
        <w:footnoteReference w:id="13"/>
      </w:r>
      <w:r>
        <w:rPr>
          <w:noProof/>
        </w:rPr>
        <w:t>, са готови за въвеждане в действие в съответната държава членка, или от 1 март 2023 г.</w:t>
      </w:r>
    </w:p>
    <w:p>
      <w:pPr>
        <w:pStyle w:val="Bullet0"/>
        <w:rPr>
          <w:noProof/>
        </w:rPr>
      </w:pPr>
      <w:r>
        <w:rPr>
          <w:noProof/>
        </w:rPr>
        <w:t>Делегиран регламент (ЕС) 2019/1666 на Комисията от 24 юни 2019 г. за допълнение на Регламент (ЕС) 2017/625 на Европейския парламент и на Съвета по отношение на условията за наблюдение на транспортирането и пристигането на пратки с определени стоки от граничния контролен пункт на пристигане до обекта по местоназначение в Съюза</w:t>
      </w:r>
      <w:r>
        <w:rPr>
          <w:noProof/>
          <w:vertAlign w:val="superscript"/>
        </w:rPr>
        <w:footnoteReference w:id="14"/>
      </w:r>
      <w:r>
        <w:rPr>
          <w:noProof/>
        </w:rPr>
        <w:t>. Този акт влезе в сила на 24 октомври 2019 г. и започна да се прилага от 14 декември 2019 г.</w:t>
      </w:r>
    </w:p>
    <w:p>
      <w:pPr>
        <w:pStyle w:val="Bullet0"/>
        <w:rPr>
          <w:noProof/>
        </w:rPr>
      </w:pPr>
      <w:r>
        <w:rPr>
          <w:noProof/>
        </w:rPr>
        <w:t>Делегиран регламент (ЕС) 2019/2074 на Комисията от 23 септември 2019 г. за допълнение на Регламент (ЕС) 2017/625 на Европейския парламент и на Съвета по отношение на правилата за специалния официален контрол на пратки с някои животни и стоки с произход от Съюза, които се връщат в Съюза след отказ за въвеждането им от трета държава</w:t>
      </w:r>
      <w:r>
        <w:rPr>
          <w:noProof/>
          <w:vertAlign w:val="superscript"/>
        </w:rPr>
        <w:footnoteReference w:id="15"/>
      </w:r>
      <w:r>
        <w:rPr>
          <w:noProof/>
        </w:rPr>
        <w:t>. Този акт влезе в сила на 26 декември 2019 г. и се прилага от 14 декември 2019 г.</w:t>
      </w:r>
    </w:p>
    <w:p>
      <w:pPr>
        <w:pStyle w:val="Bullet0"/>
        <w:rPr>
          <w:noProof/>
        </w:rPr>
      </w:pPr>
      <w:r>
        <w:rPr>
          <w:noProof/>
        </w:rPr>
        <w:t>Делегиран регламент (ЕС) 2019/2122 на Комисията от 10 октомври 2019 г. за допълнение на Регламент (ЕС) 2017/625 на Европейския парламент и на Съвета по отношение на някои категории животни и стоки, освободени от официален контрол на граничните контролни пунктове, по отношение на специалния контрол на личния багаж на пътниците и на малките пратки от стоки, изпратени до физически лица, които не са предназначени за пускане на пазара, и за изменение на Регламент (ЕС) № 142/2011 на Комисията</w:t>
      </w:r>
      <w:r>
        <w:rPr>
          <w:iCs/>
          <w:noProof/>
          <w:vertAlign w:val="superscript"/>
        </w:rPr>
        <w:footnoteReference w:id="16"/>
      </w:r>
      <w:r>
        <w:rPr>
          <w:noProof/>
        </w:rPr>
        <w:t>. Този регламент влезе в сила на 1 януари 2020 г. и се прилага от 14 декември 2019 г.</w:t>
      </w:r>
    </w:p>
    <w:p>
      <w:pPr>
        <w:pStyle w:val="Bullet0"/>
        <w:rPr>
          <w:noProof/>
        </w:rPr>
      </w:pPr>
      <w:r>
        <w:rPr>
          <w:noProof/>
        </w:rPr>
        <w:t>Делегиран регламент (ЕС) 2019/2123 на Комисията от 10 октомври 2019 г. за допълнение на Регламент (ЕС) 2017/625 на Европейския парламент и на Съвета по отношение на случаите и условията, при които проверките за идентичност и физическите проверки на някои стоки може да се извършват на контролни пунктове, а проверките на документи може да се извършват на разстояние от граничните контролни пунктове</w:t>
      </w:r>
      <w:r>
        <w:rPr>
          <w:noProof/>
          <w:vertAlign w:val="superscript"/>
        </w:rPr>
        <w:footnoteReference w:id="17"/>
      </w:r>
      <w:r>
        <w:rPr>
          <w:noProof/>
        </w:rPr>
        <w:t>. Този акт влезе в сила на 1 януари 2020 г. и се прилага от 14 декември 2019 г.</w:t>
      </w:r>
    </w:p>
    <w:p>
      <w:pPr>
        <w:pStyle w:val="Bullet0"/>
        <w:rPr>
          <w:noProof/>
        </w:rPr>
      </w:pPr>
      <w:r>
        <w:rPr>
          <w:noProof/>
        </w:rPr>
        <w:t>Делегиран регламент (ЕС) 2019/2124 на Комисията от 10 октомври 2019 г. за допълнение на Регламент (ЕС) 2017/625 на Европейския парламент и на Съвета по отношение на правилата за официалния контрол на пратки животни и стоки в режим на транзит, претоварване и по-нататъшно транспортиране през Съюза и за изменение на регламенти (ЕО) № 798/2008, (ЕО) № 1251/2008, (ЕО) № 119/2009, (ЕС) № 206/2010, (ЕС) № 605/2010, (ЕС) № 142/2011, (ЕС) № 28/2012 на Комисията, Регламент за изпълнение (ЕС) 2016/759 на Комисията и Решение 2007/777/ЕО на Комисията</w:t>
      </w:r>
      <w:r>
        <w:rPr>
          <w:noProof/>
          <w:vertAlign w:val="superscript"/>
        </w:rPr>
        <w:footnoteReference w:id="18"/>
      </w:r>
      <w:r>
        <w:rPr>
          <w:noProof/>
        </w:rPr>
        <w:t>. Този акт влезе в сила на 1 януари 2020 г. и се прилага от 14 декември 2019 г.</w:t>
      </w:r>
    </w:p>
    <w:p>
      <w:pPr>
        <w:pStyle w:val="Bullet0"/>
        <w:rPr>
          <w:noProof/>
        </w:rPr>
      </w:pPr>
      <w:r>
        <w:rPr>
          <w:noProof/>
        </w:rPr>
        <w:t>Делегиран регламент (ЕС) 2019/2125 на Комисията от 10 октомври 2019 г. за допълнение на Регламент (ЕС) 2017/625 на Европейския парламент и на Съвета по отношение на правилата за извършването на специален официален контрол на дървения опаковъчен материал, по отношение на уведомяването за определени пратки и по отношение на мерките, които да се предприемат в случай на несъответствие</w:t>
      </w:r>
      <w:r>
        <w:rPr>
          <w:noProof/>
          <w:vertAlign w:val="superscript"/>
        </w:rPr>
        <w:footnoteReference w:id="19"/>
      </w:r>
      <w:r>
        <w:rPr>
          <w:noProof/>
        </w:rPr>
        <w:t>. Този акт влезе в сила на 1 януари 2020 г. и се прилага от 14 декември 2019 г.</w:t>
      </w:r>
    </w:p>
    <w:p>
      <w:pPr>
        <w:pStyle w:val="Bullet0"/>
        <w:rPr>
          <w:noProof/>
        </w:rPr>
      </w:pPr>
      <w:r>
        <w:rPr>
          <w:noProof/>
        </w:rPr>
        <w:t>Делегиран регламент (ЕС) 2019/2126 на Комисията от 10 октомври 2019 г. за допълнение на Регламент (ЕС) 2017/625 на Европейския парламент и на Съвета по отношение на правилата за извършване на специален официален контрол на някои категории животни и стоки, по отношение на мерките, които да се предприемат след извършването на този контрол, и по отношение на някои категории животни и стоки, освободени от официален контрол на граничните контролни пунктове</w:t>
      </w:r>
      <w:r>
        <w:rPr>
          <w:noProof/>
          <w:vertAlign w:val="superscript"/>
        </w:rPr>
        <w:footnoteReference w:id="20"/>
      </w:r>
      <w:r>
        <w:rPr>
          <w:noProof/>
        </w:rPr>
        <w:t>. Този акт влезе в сила на 1 януари 2020 г. и се прилага от 14 декември 2019 г.</w:t>
      </w:r>
    </w:p>
    <w:p>
      <w:pPr>
        <w:pStyle w:val="Bullet0"/>
        <w:rPr>
          <w:noProof/>
        </w:rPr>
      </w:pPr>
      <w:r>
        <w:rPr>
          <w:noProof/>
        </w:rPr>
        <w:t>Делегиран регламент (ЕС) 2019/2127 на Комисията от 10 октомври 2019 г. за изменение на Регламент (ЕС) 2017/625 на Европейския парламент и на Съвета по отношение на датата на прилагане на някои разпоредби на директиви 91/496/ЕИО, 97/78/ЕО и 2000/29/ЕО на Съвета</w:t>
      </w:r>
      <w:r>
        <w:rPr>
          <w:noProof/>
          <w:vertAlign w:val="superscript"/>
        </w:rPr>
        <w:footnoteReference w:id="21"/>
      </w:r>
      <w:r>
        <w:rPr>
          <w:noProof/>
        </w:rPr>
        <w:t>. Този акт влезе в сила на 1 януари 2020 г. и се прилага от 14 декември 2019 г.</w:t>
      </w:r>
    </w:p>
    <w:p>
      <w:pPr>
        <w:pStyle w:val="Bullet0"/>
        <w:rPr>
          <w:noProof/>
        </w:rPr>
      </w:pPr>
      <w:r>
        <w:rPr>
          <w:noProof/>
        </w:rPr>
        <w:t>Делегиран регламент (ЕС) 2020/2190 на Комисията от 29 октомври 2020 г. за изменение на Делегиран регламент (ЕС) 2019/2124 по отношение на официалния контрол на граничния контролен пункт, през който стоките напускат Съюза, и на някои разпоредби относно транзита и претоварването</w:t>
      </w:r>
      <w:r>
        <w:rPr>
          <w:noProof/>
          <w:vertAlign w:val="superscript"/>
        </w:rPr>
        <w:footnoteReference w:id="22"/>
      </w:r>
      <w:r>
        <w:rPr>
          <w:noProof/>
        </w:rPr>
        <w:t>. Този акт влезе в сила на 12 януари 2021 г. и се прилага от 1 януари 2021 г.</w:t>
      </w:r>
    </w:p>
    <w:p>
      <w:pPr>
        <w:pStyle w:val="Bullet0"/>
        <w:rPr>
          <w:noProof/>
        </w:rPr>
      </w:pPr>
      <w:r>
        <w:rPr>
          <w:noProof/>
        </w:rPr>
        <w:t>Делегиран регламент (ЕС) 2021/573 на Комисията от 1 февруари 2021 г. за изменение на Делегиран регламент (ЕС) 2019/625 по отношение на условията за внос на живи охлюви, съставни продукти и естествени обвивки, пускани на пазара за консумация от човека</w:t>
      </w:r>
      <w:r>
        <w:rPr>
          <w:rStyle w:val="FootnoteReference"/>
          <w:noProof/>
        </w:rPr>
        <w:footnoteReference w:id="23"/>
      </w:r>
      <w:r>
        <w:rPr>
          <w:noProof/>
        </w:rPr>
        <w:t xml:space="preserve">. Този акт влезе в сила на 28 април 2021 г. и се прилага от същата дата. Определени разпоредби обаче се прилагат от 21 април 2021 г. </w:t>
      </w:r>
    </w:p>
    <w:p>
      <w:pPr>
        <w:pStyle w:val="Bullet0"/>
        <w:rPr>
          <w:noProof/>
        </w:rPr>
      </w:pPr>
      <w:r>
        <w:rPr>
          <w:noProof/>
        </w:rPr>
        <w:t>Делегиран регламент (ЕС) 2021/630 на Комисията от 16 февруари 2021 г. за допълнение на Регламент (ЕС) 2017/625 на Европейския парламент и на Съвета по отношение на някои категории стоки, освободени от официален контрол на граничните контролни пунктове, и за изменение на Решение 2007/275/ЕО на Комисията</w:t>
      </w:r>
      <w:r>
        <w:rPr>
          <w:rStyle w:val="FootnoteReference"/>
          <w:noProof/>
        </w:rPr>
        <w:footnoteReference w:id="24"/>
      </w:r>
      <w:r>
        <w:rPr>
          <w:noProof/>
        </w:rPr>
        <w:t>. Този акт влезе в сила на 9 май 2021 г. и се прилага от 21 април 2021 г.</w:t>
      </w:r>
    </w:p>
    <w:p>
      <w:pPr>
        <w:pStyle w:val="Bullet0"/>
        <w:rPr>
          <w:noProof/>
        </w:rPr>
      </w:pPr>
      <w:r>
        <w:rPr>
          <w:noProof/>
        </w:rPr>
        <w:t>Делегиран регламент (ЕС) 2021/… на Комисията за допълнение на Регламент (ЕС) 2017/625 на Европейския парламент и на Съвета по отношение на случаите и условията, при които компетентните органи могат да определят официални лаборатории, които не отговарят на условията по отношение на всички методи, които те използват за официален контрол или други официални дейности (C(2021) 3285). Този акт е приет на 17 май 2021 г.</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Комисията е нотифицирала всеки от изброените по-горе делегирани актове на Европейския парламент и на Съвета в съответствие с член 144, параграф 5 от Регламент (ЕС) 2017/625. Нито Европейският парламент, нито Съветът са удължили срока за представяне на възражения, посочен в член 144, параграф 6 от Регламент (ЕС) 2017/625, във връзка с някой от тези актове. По подобен начин нито Европейският парламент, нито Съветът са представили възражения в съответствие с член 144, параграф 6 от Регламент (ЕС) 2017/625</w:t>
      </w:r>
      <w:r>
        <w:rPr>
          <w:rStyle w:val="FootnoteReference"/>
          <w:rFonts w:ascii="Times New Roman" w:hAnsi="Times New Roman"/>
          <w:noProof/>
          <w:color w:val="000000"/>
          <w:sz w:val="24"/>
          <w:szCs w:val="24"/>
          <w:lang w:val="en-GB"/>
        </w:rPr>
        <w:footnoteReference w:id="25"/>
      </w:r>
      <w:r>
        <w:rPr>
          <w:rFonts w:ascii="Times New Roman" w:hAnsi="Times New Roman"/>
          <w:noProof/>
          <w:color w:val="000000"/>
          <w:sz w:val="24"/>
          <w:szCs w:val="24"/>
        </w:rPr>
        <w:t xml:space="preserve"> срещу някой от тези актове.</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Досега Комисията е използвала 17 от предоставените ѝ 26 правомощия, посочени в член 144, параграф 2 от Регламент (ЕС) 2017/625, които следователно попадат в обхвата на настоящия доклад. От тези 17 използвани правомощия 4 са частично използвани. Някои от делегираните правомощия са съчетани в един делегиран акт, когато между правилата е налице съществена връзка</w:t>
      </w:r>
      <w:r>
        <w:rPr>
          <w:rFonts w:ascii="Times New Roman" w:hAnsi="Times New Roman"/>
          <w:noProof/>
          <w:sz w:val="24"/>
          <w:szCs w:val="24"/>
        </w:rPr>
        <w:t>, което е извършено в съответствие с раздел V, точка 31 от Междуинституционалното споразумение между Европейския парламент, Съвета на Европейския съюз и Европейската комисия за по-добро законотворчество</w:t>
      </w:r>
      <w:r>
        <w:rPr>
          <w:rStyle w:val="FootnoteReference"/>
          <w:rFonts w:ascii="Times New Roman" w:hAnsi="Times New Roman"/>
          <w:noProof/>
          <w:sz w:val="24"/>
          <w:szCs w:val="24"/>
        </w:rPr>
        <w:footnoteReference w:id="26"/>
      </w:r>
      <w:r>
        <w:rPr>
          <w:rFonts w:ascii="Times New Roman" w:hAnsi="Times New Roman"/>
          <w:noProof/>
          <w:color w:val="000000"/>
          <w:sz w:val="24"/>
          <w:szCs w:val="24"/>
        </w:rPr>
        <w:t xml:space="preserve">. </w:t>
      </w:r>
    </w:p>
    <w:p>
      <w:pPr>
        <w:rPr>
          <w:rFonts w:ascii="Times New Roman" w:hAnsi="Times New Roman" w:cs="Times New Roman"/>
          <w:noProof/>
          <w:color w:val="000000"/>
          <w:sz w:val="24"/>
          <w:szCs w:val="24"/>
        </w:rPr>
      </w:pPr>
      <w:r>
        <w:rPr>
          <w:noProof/>
        </w:rPr>
        <w:br w:type="page"/>
      </w:r>
    </w:p>
    <w:p>
      <w:pPr>
        <w:pStyle w:val="ManualHeading2"/>
        <w:rPr>
          <w:noProof/>
        </w:rPr>
      </w:pPr>
      <w:r>
        <w:rPr>
          <w:noProof/>
        </w:rPr>
        <w:t>3.2.</w:t>
      </w:r>
      <w:r>
        <w:rPr>
          <w:noProof/>
        </w:rPr>
        <w:tab/>
        <w:t xml:space="preserve">ПРАВОМОЩИЯ, КОИТО НЕ СА ИЗПОЛЗВАНИ ПО ВРЕМЕ НА ОТЧЕТНИЯ ПЕРИОД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Някои от правомощията в Регламент (ЕС) 2017/625 не са използвани по време на отчетния период поради посочените по-долу причини.</w:t>
      </w:r>
    </w:p>
    <w:p>
      <w:pPr>
        <w:pStyle w:val="Bullet0"/>
        <w:rPr>
          <w:iCs/>
          <w:noProof/>
        </w:rPr>
      </w:pPr>
      <w:r>
        <w:rPr>
          <w:noProof/>
        </w:rPr>
        <w:t xml:space="preserve">Член 21, параграф 8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iCs/>
          <w:noProof/>
          <w:sz w:val="24"/>
          <w:szCs w:val="24"/>
        </w:rPr>
        <w:t>Комисията извършва непрекъснато оценяване на необходимостта от определяне на специални правила за официален контрол в допълнение към общите изисквания, посочени в Регламент (ЕС) 2017/625, с цел да се решат проблемите във връзка с несъответствието и с евентуалните различия в практиките за осигуряване на изпълнението в държавите членки. По-специално Комисията установи необходимостта, която при последните инциденти в Средиземно море беше допълнително изведена на преден план, разпоредбите на член 21, параграф 8, букви а) и в) да бъдат използвани за определяне на специални изисквания за извършването на официален контрол с цел да се предприемат мерки срещу рисковете, свързани с плавателните съдове за живи животни, както и правила за проверка на спазването на изискванията за хуманно отношение към животните в изходните пунктове. Очаква се този акт да бъде приет през 2022 г. В допълнение, в рамките на преразглеждането на законодателството на ЕС в областта на хуманното отношение към животните до 2023 г. съгласно стратегията „От фермата до трапезата“</w:t>
      </w:r>
      <w:r>
        <w:rPr>
          <w:rStyle w:val="FootnoteReference"/>
          <w:rFonts w:ascii="Times New Roman" w:hAnsi="Times New Roman"/>
          <w:iCs/>
          <w:noProof/>
          <w:sz w:val="24"/>
          <w:szCs w:val="24"/>
        </w:rPr>
        <w:footnoteReference w:id="27"/>
      </w:r>
      <w:r>
        <w:rPr>
          <w:rFonts w:ascii="Times New Roman" w:hAnsi="Times New Roman"/>
          <w:iCs/>
          <w:noProof/>
          <w:sz w:val="24"/>
          <w:szCs w:val="24"/>
        </w:rPr>
        <w:t>, в момента се обмисля възможното използване на разпоредбите на член 21, параграф 8 в бъдеще. Например при необходимост новите правила за хуманно отношение към котките и кучетата по време на транспортиране може да бъдат допълнени впоследствие със специални изисквания за официален контрол в съответствие с член 21, параграф 8, буква а). Също така в съответствие с член 21, параграф 8, буква г) може да бъдат определени специални критерии и условия за активиране на механизма за оказване на административна помощ, предвиден в членове 102—108 от Регламент (ЕС) 2017/625, с цел да се спомогне за справянето с проблема например с незаконната търговия с кученца. Все още обаче не е взето такова решение относно по-нататъшното използване на правомощието, посочено в член 21, параграф 8.</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По подобен начин не е използван и член 154, параграф 3. Това правомощие обаче е свързано с приемането на делегирани актове и на актове за изпълнение, както е предвидено в член 21. </w:t>
      </w:r>
    </w:p>
    <w:p>
      <w:pPr>
        <w:pStyle w:val="Bullet0"/>
        <w:rPr>
          <w:iCs/>
          <w:noProof/>
        </w:rPr>
      </w:pPr>
      <w:r>
        <w:rPr>
          <w:noProof/>
        </w:rPr>
        <w:t>Член 48, букви a) и ж)</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noProof/>
          <w:sz w:val="24"/>
          <w:szCs w:val="24"/>
        </w:rPr>
        <w:t>Що се отнася до член 48, буква а), с Регламент (ЕС) № 142/2011 на Комисията</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вече са определени такива правила по отношение на някои проби и артикули, които се квалифицират като странични животински продукти и производни продукти, непредназначени за консумация от човека, както е предвидено в член 16, параграф 1, букви д) и е) от Директива 97/78/ЕО на Съвета</w:t>
      </w:r>
      <w:r>
        <w:rPr>
          <w:rStyle w:val="FootnoteReference"/>
          <w:rFonts w:ascii="Times New Roman" w:hAnsi="Times New Roman"/>
          <w:noProof/>
          <w:sz w:val="24"/>
          <w:szCs w:val="24"/>
        </w:rPr>
        <w:footnoteReference w:id="29"/>
      </w:r>
      <w:r>
        <w:rPr>
          <w:rFonts w:ascii="Times New Roman" w:hAnsi="Times New Roman"/>
          <w:noProof/>
          <w:sz w:val="24"/>
          <w:szCs w:val="24"/>
        </w:rPr>
        <w:t>, понастоящем заменени с член 48, букви а) и б) от Регламент (ЕС) 2017/625</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Това правомощие и правомощието съгласно буква ж) обаче са все още необходими за определянето на правила в допълнение към определените в делегирани регламенти (ЕС) 2019/2122 и (ЕС) 2019/2126. </w:t>
      </w:r>
    </w:p>
    <w:p>
      <w:pPr>
        <w:pStyle w:val="Bullet0"/>
        <w:rPr>
          <w:noProof/>
        </w:rPr>
      </w:pPr>
      <w:r>
        <w:rPr>
          <w:noProof/>
        </w:rPr>
        <w:t>Член 51, параграф 1, буква д) и член 51, параграф 2</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 приемането на Делегиран регламент (ЕС) 2019/2124, с който се определят правилата, посочени в член 51, параграф 1, букви б), в) и г) от Регламент (ЕС) 2017/625, нито Комисията, нито експерти от държавите членки, участвали в консултациите в рамките на експертната група „Официален контрол“ към Комисията, установиха необходимост от предвиждане на дерогации от посочените правила. В допълнение, с Делегиран регламент (ЕС) 2019/2123 се определят правила за случаите и условията, при които компетентните органи могат да извършват проверки на документи на разстояние от граничен контролен пункт на пратки растения, растителни продукти и други обекти, посочени в член 47, параграф 1, буква в). Комисията извършва непрекъснато оценяване на необходимостта от създаване на такива дерогации в светлината на опита, натрупан при изпълнението на делегирани регламенти (ЕС) 2019/2124 и (ЕС) 2019/2123. </w:t>
      </w:r>
    </w:p>
    <w:p>
      <w:pPr>
        <w:pStyle w:val="Bullet0"/>
        <w:rPr>
          <w:noProof/>
        </w:rPr>
      </w:pPr>
      <w:r>
        <w:rPr>
          <w:noProof/>
        </w:rPr>
        <w:t xml:space="preserve">Член 53, параграф 1, букви б) и в) и член 53, параграф 1, буква г), подточки i), iii) и iv)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извършва непрекъснато оценяване на необходимостта от създаване на такива правила в светлината на опита, натрупан при изпълнението на Регламент (ЕС) 2017/625. Що се отнася до правомощията, посочени в член 53, параграф 1, буква г), подточки i), iii) и iv), при такъв вид оценяване освен това се отчита дали тези стоки са освободени от официален контрол на граничните контролни пунктове или не, както и какви отговорности по отношение на официалния контрол вече са предоставени на митническите органи чрез други актове на Съюза, като Регламент (ЕС) 952/2013</w:t>
      </w:r>
      <w:r>
        <w:rPr>
          <w:rStyle w:val="FootnoteReference"/>
          <w:rFonts w:ascii="Times New Roman" w:hAnsi="Times New Roman"/>
          <w:iCs/>
          <w:noProof/>
          <w:sz w:val="24"/>
          <w:szCs w:val="24"/>
        </w:rPr>
        <w:footnoteReference w:id="31"/>
      </w:r>
      <w:r>
        <w:rPr>
          <w:rFonts w:ascii="Times New Roman" w:hAnsi="Times New Roman"/>
          <w:noProof/>
          <w:sz w:val="24"/>
          <w:szCs w:val="24"/>
        </w:rPr>
        <w:t xml:space="preserve">. Освен това подобни правомощия могат да бъдат използвани в бъдеще, например като част от разработването на специална политика в областта на продажбите по интернет, в която са включени правила относно официалния контрол. </w:t>
      </w:r>
    </w:p>
    <w:p>
      <w:pPr>
        <w:pStyle w:val="Bullet0"/>
        <w:rPr>
          <w:noProof/>
        </w:rPr>
      </w:pPr>
      <w:r>
        <w:rPr>
          <w:noProof/>
        </w:rPr>
        <w:t>Член 77, параграф 1, букви д), е), ж) и и)</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извършва непрекъснато оценяване на необходимостта от създаване на специални правила в съответствие с тези правомощия, по-специално в светлината на опита, натрупан при прилагането на общите правила за официален контрол на животни и стоки, които се въвеждат в Съюза от трети държави, като тези общи правила са определени в Регламент (ЕС) 2017/625 и в свързаните с него актове. В този смисъл, във връзка с член 77, параграф 1, буква д), при такъв вид оценяване се отчитат приложимите изисквания по отношение на здравеопазването на животните, както и някои случаи на освобождаване от официален контрол на граничните контролни пунктове, посочени в приложение III, точка 3 към Делегиран регламент (ЕС) 2019/2122, във връзка с храни за домашни любимци, необходими по здравословни причини. Разпоредбите на член 77, параграф 1, буква е) могат да бъдат използвани в бъдеще като част от разработването на специална политика в областта на продажбите по интернет, в която са включени правила относно официалния контрол. По отношение на растителните продукти, посочени в член 77, параграф 1, буква ж), при такъв вид оценяване се отчита фактът, че понастоящем сеното и сламата подлежат на официален контрол на граничните контролни пунктове по силата на член 47, параграф 1, буква б), след влизането в сила на Делегиран регламент (ЕС) 2019/478. Що се отнася до правомощията по член 77, параграф 1, буква и), Комисията ще оцени необходимостта от предприемане на мерки в това отношение в светлината на опита при практическото прилагане на Регламент (ЕС) 2017/625.</w:t>
      </w:r>
    </w:p>
    <w:p>
      <w:pPr>
        <w:pStyle w:val="Bullet0"/>
        <w:rPr>
          <w:iCs/>
          <w:noProof/>
        </w:rPr>
      </w:pPr>
      <w:r>
        <w:rPr>
          <w:noProof/>
        </w:rPr>
        <w:t xml:space="preserve">Член 99, параграф 2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noProof/>
          <w:sz w:val="24"/>
          <w:szCs w:val="24"/>
        </w:rPr>
        <w:t xml:space="preserve">Правилата, посочени в това правомощие, следва да се ограничават до ситуации на нови или нововъзникващи рискове, нови или нововъзникващи болести по животните или вредители по растенията или ако това се налага поради нови правни изисквания. Такива ситуации или изисквания обаче все още не са възникнали, но може да възникнат в бъдеще. </w:t>
      </w:r>
    </w:p>
    <w:p>
      <w:pPr>
        <w:pStyle w:val="Bullet0"/>
        <w:rPr>
          <w:noProof/>
        </w:rPr>
      </w:pPr>
      <w:r>
        <w:rPr>
          <w:noProof/>
        </w:rPr>
        <w:t>Член 100, параграф 6 и член 101, параграф 2</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По силата на член 100, параграф 6 и член 101, параграф 2 правилата, посочени в тези правомощия, се ограничават до осигуряване на съгласуваност с допълнителните отговорности и задачи, приети в съответствие с член 99, параграф 2. Следователно в бъдеще може да възникне необходимост от приемане на такива правила, за да се осигури съгласуваност с всички допълнителни отговорности и задачи, определени в съответствие с член 99, параграф 2.</w:t>
      </w:r>
    </w:p>
    <w:p>
      <w:pPr>
        <w:pStyle w:val="Bullet0"/>
        <w:rPr>
          <w:iCs/>
          <w:noProof/>
        </w:rPr>
      </w:pPr>
      <w:r>
        <w:rPr>
          <w:noProof/>
        </w:rPr>
        <w:t xml:space="preserve">Член 142, параграф 1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В това отношение понастоящем няма промяна в правилата, посочени в член 1, параграф 2 от Регламент (ЕС) 2017/625, и не се съобщава за развитие на технологиите и науката в областите, попадащи в обхвата на приложения II и III към посочения регламент. Въпреки това при извършване на бъдещи промени и наличие на развитие може да се наложи да се пристъпи към изготвяне на делегиран акт съгласно член 142, параграф 1. </w:t>
      </w:r>
    </w:p>
    <w:p>
      <w:pPr>
        <w:pStyle w:val="Bullet0"/>
        <w:rPr>
          <w:iCs/>
          <w:noProof/>
        </w:rPr>
      </w:pPr>
      <w:r>
        <w:rPr>
          <w:noProof/>
        </w:rPr>
        <w:t xml:space="preserve">Член 142, параграф 2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В това отношение от страна на Европейския комитет по стандартизация понастоящем не е извършено изменение на стандартите, за които се отнася това правомощие. Въпреки това при извършване на бъдещи изменения от страна на Европейския комитет по стандартизация може да се наложи да се пристъпи към изготвяне на делегиран акт съгласно член 142, параграф 2. </w:t>
      </w:r>
    </w:p>
    <w:p>
      <w:pPr>
        <w:pStyle w:val="Bullet0"/>
        <w:rPr>
          <w:iCs/>
          <w:noProof/>
        </w:rPr>
      </w:pPr>
      <w:r>
        <w:rPr>
          <w:noProof/>
        </w:rPr>
        <w:t xml:space="preserve">Член 150, параграф 3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noProof/>
          <w:sz w:val="24"/>
          <w:szCs w:val="24"/>
        </w:rPr>
        <w:t xml:space="preserve">В момента Комисията подготвя два акта за изпълнение въз основа на посоченото в член 19, параграф 3, букви а) и б) от Регламент (ЕС) 2017/625, които ще се прилагат от 15 декември 2022 г. В същото време не е изключено тези актове да бъдат приети след 28 април 2022 г. и да бъдат изменени по такъв начин, че да се прилагат преди 14 декември 2022 г. </w:t>
      </w:r>
    </w:p>
    <w:p>
      <w:pPr>
        <w:pStyle w:val="Bullet0"/>
        <w:rPr>
          <w:iCs/>
          <w:noProof/>
        </w:rPr>
      </w:pPr>
      <w:r>
        <w:rPr>
          <w:noProof/>
        </w:rPr>
        <w:t xml:space="preserve">Член 155, параграф 3 </w:t>
      </w:r>
    </w:p>
    <w:p>
      <w:pPr>
        <w:autoSpaceDE w:val="0"/>
        <w:autoSpaceDN w:val="0"/>
        <w:adjustRightInd w:val="0"/>
        <w:spacing w:after="240" w:line="240" w:lineRule="auto"/>
        <w:jc w:val="both"/>
        <w:rPr>
          <w:rFonts w:ascii="Times New Roman" w:hAnsi="Times New Roman" w:cs="Times New Roman"/>
          <w:iCs/>
          <w:noProof/>
          <w:sz w:val="24"/>
          <w:szCs w:val="24"/>
        </w:rPr>
      </w:pPr>
      <w:r>
        <w:rPr>
          <w:rFonts w:ascii="Times New Roman" w:hAnsi="Times New Roman"/>
          <w:noProof/>
          <w:sz w:val="24"/>
          <w:szCs w:val="24"/>
        </w:rPr>
        <w:t>В момента Комисията подготвя делегиран акт в съответствие с член 19, параграф 2 от Регламент (ЕС) 2017/625 и акт за изпълнение по силата на член 19, параграф 3, буква б) от посочения регламент. С тези актове ще се възстановят разпоредбите на член 27, параграф 1 и член 30 от Регламент (ЕО) № 396/2005</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Следователно и двата акта трябва да се прилагат от 15 декември 2022 г. В същото време не е изключено тези актове да бъдат приети след 28 април 2022 г. и да бъдат изменени по такъв начин, че да се прилагат преди 14 декември 2022 г.  </w:t>
      </w:r>
    </w:p>
    <w:p>
      <w:pPr>
        <w:pStyle w:val="Bullet0"/>
        <w:numPr>
          <w:ilvl w:val="0"/>
          <w:numId w:val="0"/>
        </w:numPr>
        <w:spacing w:after="240"/>
        <w:rPr>
          <w:b/>
          <w:noProof/>
        </w:rPr>
      </w:pPr>
      <w:r>
        <w:rPr>
          <w:b/>
          <w:noProof/>
        </w:rPr>
        <w:t>ЗАКЛЮЧЕНИЕ</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K</w:t>
      </w:r>
      <w:r>
        <w:rPr>
          <w:rFonts w:ascii="Times New Roman" w:hAnsi="Times New Roman"/>
          <w:iCs/>
          <w:noProof/>
          <w:color w:val="000000"/>
          <w:sz w:val="24"/>
          <w:szCs w:val="24"/>
        </w:rPr>
        <w:t>омисията смята, че е необходимо мълчаливо продължаване на делегирането на правомощия, както е предвидено в член 144, параграф 2 от Регламент (ЕС) 2017/625, за срок от пет години в съответствие с посочения член. Пр</w:t>
      </w:r>
      <w:r>
        <w:rPr>
          <w:rFonts w:ascii="Times New Roman" w:hAnsi="Times New Roman"/>
          <w:noProof/>
          <w:color w:val="000000"/>
          <w:sz w:val="24"/>
          <w:szCs w:val="24"/>
        </w:rPr>
        <w:t xml:space="preserve">ичината се състои във факта, че необходимостта от разработване на правила, основани на правомощията, които са предоставени съгласно член 144, параграф 2 от Регламент (ЕС) 2017/625, ще се запази и в бъдеще. Това ще бъде особено важно, за да се осигури необходимата гъвкавост на новата правна рамка, да се гарантира редовното ѝ допълване и адаптиране към най-новите научни стандарти и да се даде възможност на Комисията да предприема мерки в области, в които досега не го е правила, но е възможно такава необходимост да възникне в бъдеще.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С настоящия доклад Комисията изпълнява изискванията за докладване, установени в член 144, параграф 2 от Регламент (ЕС) 2017/625. </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Комисията приканва Европейския парламент и Съвета да вземат под внимание настоящия доклад.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9803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w:t>
      </w:r>
      <w:r>
        <w:rPr>
          <w:rFonts w:ascii="Times New Roman" w:hAnsi="Times New Roman"/>
          <w:iCs/>
        </w:rPr>
        <w:t>ОВ L 095, 7.4.2017 г., стр. 1</w:t>
      </w:r>
      <w:r>
        <w:rPr>
          <w:rFonts w:ascii="Times New Roman" w:hAnsi="Times New Roman"/>
        </w:rPr>
        <w:t>).</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882/2004 на Европейския парламент и на Съвета от 29 април 2004 г.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(ОВ L 165, 30.4.2004 г., стр.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Директива 97/78/ЕО на Съвета от 18 декември 1997 г. за определяне на принципите, които регулират организацията на ветеринарните проверки на продуктите, въведени в Общността от трети страни (ОВ L 24, 30.1.1998 г., стр. 9).</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 (ОВ L 139, 30.4.2004 г., стр. 206).</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Включването в този раздел на делегирани актове, които са приети по време на отчетния период, е приключило на 15 юни 2021 г.  </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Изброяването на делегираните актове е извършено в хронологичен ред според датата на приемането им. </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105, 25.4.2018 г., стр. 1.</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ОВ L 82, 25.3.2019 г., стр. 4.</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131, 17.5.2019 г., стр. 1.</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131, 17.5.2019 г., стр. 18.</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165, 21.6.2019 г., стр. 4.</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250, 30.9.2019 г., стр. 6.</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952/2013 на Европейския парламент и на Съвета от 9 октомври 2013 г. за създаване на Митнически кодекс на Съюза (преработен текст) (ОВ L 269, 10.10.2013 г., стр. 1).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255, 4.10.2019 г, стр. 1.</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316, 6.12.2019 г., стр. 6.</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i w:val="0"/>
        </w:rPr>
        <w:t>ОВ L 321, 12.12.2019 г., стр. 45.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321, 12.12.2019 г., стр. 64.</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ОВ L 321, 12.12.2019 г., стр. 73.</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321, 12.12.2019 г., стр. 99.</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321, 12.12.2019 г., стр. 104.</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321, 12.12.2019 г., стр. 111.</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434, 23.12.2020 г., стр. 3.</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120, 8.4.2021 г., стр. 6.</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132, 19.4.2021 г., стр. 17. </w:t>
      </w:r>
    </w:p>
  </w:footnote>
  <w:footnote w:id="2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Що се отнася до Делегиран регламент (ЕС) 2021/… на Комисията за допълнение на Регламент (ЕС) 2017/625 на Европейския парламент и на Съвета по отношение на случаите и условията, при които компетентните органи могат да определят официални лаборатории, които не отговарят на условията по отношение на всички методи, които те използват за официален контрол или други официални дейности (C(2021) 3285), периодът за представяне на възражения, посочен в член 144, параграф 6 от Регламент (ЕС) 2017/625, изтича на 18 юли 2021 г.</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COM/2020/381 final. </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Регламент (ЕС) № 142/2011 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(ОВ L 054, 26.2.2011 г., стр. 1).</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Директива 97/78/ЕО на Съвета от 18 декември 1997 г. за определяне на принципите, които регулират организацията на ветеринарните проверки на продуктите, въведени в Общността от трети страни (ОВ L 24, 30.1.1998 г., стр. 9).</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Вж. приложение V, точка 4 към Регламент (ЕС) 2017/625.</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952/2013 на Европейския парламент и на Съвета от 9 октомври 2013 г. за създаване на Митнически кодекс на Съюза (преработен текст) (ОВ L 269, 10.10.2013 г., стр. 1). </w:t>
      </w:r>
    </w:p>
  </w:footnote>
  <w:footnote w:id="3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L 70, 16.3.2005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7AA4C2"/>
    <w:lvl w:ilvl="0">
      <w:start w:val="1"/>
      <w:numFmt w:val="decimal"/>
      <w:lvlText w:val="%1."/>
      <w:lvlJc w:val="left"/>
      <w:pPr>
        <w:tabs>
          <w:tab w:val="num" w:pos="1492"/>
        </w:tabs>
        <w:ind w:left="1492" w:hanging="360"/>
      </w:pPr>
    </w:lvl>
  </w:abstractNum>
  <w:abstractNum w:abstractNumId="1">
    <w:nsid w:val="FFFFFF7D"/>
    <w:multiLevelType w:val="singleLevel"/>
    <w:tmpl w:val="278C6900"/>
    <w:lvl w:ilvl="0">
      <w:start w:val="1"/>
      <w:numFmt w:val="decimal"/>
      <w:lvlText w:val="%1."/>
      <w:lvlJc w:val="left"/>
      <w:pPr>
        <w:tabs>
          <w:tab w:val="num" w:pos="1209"/>
        </w:tabs>
        <w:ind w:left="1209" w:hanging="360"/>
      </w:pPr>
    </w:lvl>
  </w:abstractNum>
  <w:abstractNum w:abstractNumId="2">
    <w:nsid w:val="FFFFFF7E"/>
    <w:multiLevelType w:val="singleLevel"/>
    <w:tmpl w:val="F7680E84"/>
    <w:lvl w:ilvl="0">
      <w:start w:val="1"/>
      <w:numFmt w:val="decimal"/>
      <w:lvlText w:val="%1."/>
      <w:lvlJc w:val="left"/>
      <w:pPr>
        <w:tabs>
          <w:tab w:val="num" w:pos="926"/>
        </w:tabs>
        <w:ind w:left="926" w:hanging="360"/>
      </w:pPr>
    </w:lvl>
  </w:abstractNum>
  <w:abstractNum w:abstractNumId="3">
    <w:nsid w:val="FFFFFF7F"/>
    <w:multiLevelType w:val="singleLevel"/>
    <w:tmpl w:val="95E620D6"/>
    <w:lvl w:ilvl="0">
      <w:start w:val="1"/>
      <w:numFmt w:val="decimal"/>
      <w:lvlText w:val="%1."/>
      <w:lvlJc w:val="left"/>
      <w:pPr>
        <w:tabs>
          <w:tab w:val="num" w:pos="643"/>
        </w:tabs>
        <w:ind w:left="643" w:hanging="360"/>
      </w:pPr>
    </w:lvl>
  </w:abstractNum>
  <w:abstractNum w:abstractNumId="4">
    <w:nsid w:val="FFFFFF80"/>
    <w:multiLevelType w:val="singleLevel"/>
    <w:tmpl w:val="29E8FD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EAD4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345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469C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C7602"/>
    <w:lvl w:ilvl="0">
      <w:start w:val="1"/>
      <w:numFmt w:val="decimal"/>
      <w:lvlText w:val="%1."/>
      <w:lvlJc w:val="left"/>
      <w:pPr>
        <w:tabs>
          <w:tab w:val="num" w:pos="360"/>
        </w:tabs>
        <w:ind w:left="360" w:hanging="360"/>
      </w:pPr>
    </w:lvl>
  </w:abstractNum>
  <w:abstractNum w:abstractNumId="9">
    <w:nsid w:val="FFFFFF89"/>
    <w:multiLevelType w:val="singleLevel"/>
    <w:tmpl w:val="9A38DF54"/>
    <w:lvl w:ilvl="0">
      <w:start w:val="1"/>
      <w:numFmt w:val="bullet"/>
      <w:lvlText w:val=""/>
      <w:lvlJc w:val="left"/>
      <w:pPr>
        <w:tabs>
          <w:tab w:val="num" w:pos="360"/>
        </w:tabs>
        <w:ind w:left="360" w:hanging="360"/>
      </w:pPr>
      <w:rPr>
        <w:rFonts w:ascii="Symbol" w:hAnsi="Symbol" w:hint="default"/>
      </w:rPr>
    </w:lvl>
  </w:abstractNum>
  <w:abstractNum w:abstractNumId="10">
    <w:nsid w:val="40151C93"/>
    <w:multiLevelType w:val="hybridMultilevel"/>
    <w:tmpl w:val="47200D60"/>
    <w:lvl w:ilvl="0" w:tplc="A1548A2C">
      <w:start w:val="1"/>
      <w:numFmt w:val="bullet"/>
      <w:pStyle w:val="Bullet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8216557"/>
    <w:multiLevelType w:val="hybridMultilevel"/>
    <w:tmpl w:val="C5C0F164"/>
    <w:lvl w:ilvl="0" w:tplc="2A18245C">
      <w:start w:val="1"/>
      <w:numFmt w:val="decimal"/>
      <w:pStyle w:val="ManualHeading1"/>
      <w:lvlText w:val="%1."/>
      <w:lvlJc w:val="left"/>
      <w:pPr>
        <w:ind w:left="360" w:hanging="360"/>
      </w:pPr>
      <w:rPr>
        <w:rFonts w:hint="default"/>
        <w:b/>
      </w:r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AE85FC7"/>
    <w:multiLevelType w:val="hybridMultilevel"/>
    <w:tmpl w:val="373EB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252EE1-57B4-4B2D-B84E-CA8936A1AC89"/>
    <w:docVar w:name="LW_COVERPAGE_TYPE" w:val="1"/>
    <w:docVar w:name="LW_CROSSREFERENCE" w:val="&lt;UNUSED&gt;"/>
    <w:docVar w:name="LW_DocType" w:val="NORMAL"/>
    <w:docVar w:name="LW_EMISSION" w:val="9.7.2021"/>
    <w:docVar w:name="LW_EMISSION_ISODATE" w:val="2021-07-0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E\u1057?) 2017/625 \u1085?\u1072? \u1045?\u1074?\u1088?\u1086?\u1087?\u1077?\u1081?\u1089?\u1082?\u1080?\u1103? \u1087?\u1072?\u1088?\u1083?\u1072?\u1084?\u1077?\u1085?\u1090? \u1080? \u1085?\u1072? \u1057?\u1098?\u1074?\u1077?\u1090?\u1072? \u1086?\u1090?\u1085?\u1086?\u1089?\u1085?\u1086? \u1086?\u1092?\u1080?\u1094?\u1080?\u1072?\u1083?\u1085?\u1080?\u1103? \u1082?\u1086?\u1085?\u1090?\u1088?\u1086?\u1083? \u1080? \u1076?\u1088?\u1091?\u1075?\u1080?\u1090?\u1077? \u1086?\u1092?\u1080?\u1094?\u1080?\u1072?\u1083?\u1085?\u1080? \u1076?\u1077?\u1081?\u1085?\u1086?\u1089?\u1090?\u1080?, \u1080?\u1079?\u1074?\u1098?\u1088?\u1096?\u1074?\u1072?\u1085?\u1080? \u1089? \u1094?\u1077?\u1083? \u1076?\u1072? \u1089?\u1077? \u1075?\u1072?\u1088?\u1072?\u1085?\u1090?\u1080?\u1088?\u1072? \u1087?\u1088?\u1080?\u1083?\u1072?\u1075?\u1072?\u1085?\u1077?\u1090?\u1086? \u1085?\u1072? \u1079?\u1072?\u1082?\u1086?\u1085?\u1086?\u1076?\u1072?\u1090?\u1077?\u1083?\u1089?\u1090?\u1074?\u1086?\u1090?\u1086? \u1074? \u1086?\u1073?\u1083?\u1072?\u1089?\u1090?\u1090?\u1072? \u1085?\u1072? \u1093?\u1088?\u1072?\u1085?\u1080?\u1090?\u1077? \u1080? \u1092?\u1091?\u1088?\u1072?\u1078?\u1080?\u1090?\u1077?, \u1087?\u1088?\u1072?\u1074?\u1080?\u1083?\u1072?\u1090?\u1072? \u1086?\u1090?\u1085?\u1086?\u1089?\u1085?\u1086? \u1079?\u1076?\u1088?\u1072?\u1074?\u1077?\u1086?\u1087?\u1072?\u1079?\u1074?\u1072?\u1085?\u1077?\u1090?\u1086? \u1085?\u1072? \u1078?\u1080?\u1074?\u1086?\u1090?\u1085?\u1080?\u1090?\u1077? \u1080? \u1093?\u1091?\u1084?\u1072?\u1085?\u1085?\u1086?\u1090?\u1086? \u1086?\u1090?\u1085?\u1086?\u1096?\u1077?\u1085?\u1080?\u1077? \u1082?\u1098?\u1084? \u1090?\u1103?\u1093?, \u1079?\u1076?\u1088?\u1072?\u1074?\u1077?\u1090?\u1086? \u1085?\u1072? \u1088?\u1072?\u1089?\u1090?\u1077?\u1085?\u1080?\u1103?\u1090?\u1072? \u1080? \u1087?\u1088?\u1086?\u1076?\u1091?\u1082?\u1090?\u1080?\u1090?\u1077? \u1079?\u1072? \u1088?\u1072?\u1089?\u1090?\u1080?\u1090?\u1077?\u1083?\u1085?\u1072? \u1079?\u1072?\u1097?\u1080?\u1090?\u1072? (\u1056?\u1077?\u1075?\u1083?\u1072?\u1084?\u1077?\u1085?\u1090? \u1086?\u1090?\u1085?\u1086?\u1089?\u1085?\u1086? \u1086?\u1092?\u1080?\u1094?\u1080?\u1072?\u1083?\u1085?\u1080?\u1103? \u1082?\u1086?\u1085?\u1090?\u1088?\u1086?\u1083?)"/>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Emphasis">
    <w:name w:val="Emphasis"/>
    <w:uiPriority w:val="20"/>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
    <w:name w:val="Typ"/>
    <w:basedOn w:val="Normal"/>
    <w:pPr>
      <w:spacing w:after="200" w:line="276" w:lineRule="auto"/>
      <w:contextualSpacing/>
      <w:jc w:val="center"/>
    </w:pPr>
    <w:rPr>
      <w:rFonts w:ascii="Times New Roman" w:hAnsi="Times New Roman" w:cs="Times New Roman"/>
      <w:b/>
      <w:sz w:val="24"/>
      <w:szCs w:val="24"/>
    </w:rPr>
  </w:style>
  <w:style w:type="paragraph" w:customStyle="1" w:styleId="Type">
    <w:name w:val="Type"/>
    <w:basedOn w:val="Typ"/>
  </w:style>
  <w:style w:type="paragraph" w:customStyle="1" w:styleId="Titreobjet">
    <w:name w:val="Titre objet"/>
    <w:basedOn w:val="Normal"/>
    <w:pPr>
      <w:spacing w:before="360" w:after="360" w:line="240" w:lineRule="auto"/>
      <w:jc w:val="center"/>
    </w:pPr>
    <w:rPr>
      <w:rFonts w:ascii="Times New Roman" w:hAnsi="Times New Roman" w:cs="Times New Roman"/>
      <w:b/>
      <w:sz w:val="24"/>
    </w:rPr>
  </w:style>
  <w:style w:type="paragraph" w:customStyle="1" w:styleId="ManualHeading1">
    <w:name w:val="Manual Heading 1"/>
    <w:basedOn w:val="Normal"/>
    <w:pPr>
      <w:numPr>
        <w:numId w:val="1"/>
      </w:numPr>
      <w:spacing w:before="360" w:after="240" w:line="240" w:lineRule="auto"/>
    </w:pPr>
    <w:rPr>
      <w:rFonts w:ascii="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ManualHeading2">
    <w:name w:val="Manual Heading 2"/>
    <w:basedOn w:val="Normal"/>
    <w:pPr>
      <w:spacing w:after="240" w:line="240" w:lineRule="auto"/>
      <w:jc w:val="both"/>
    </w:pPr>
    <w:rPr>
      <w:rFonts w:ascii="Times New Roman" w:hAnsi="Times New Roman" w:cs="Times New Roman"/>
      <w:b/>
      <w:sz w:val="24"/>
      <w:szCs w:val="24"/>
      <w:lang w:eastAsia="en-GB"/>
    </w:rPr>
  </w:style>
  <w:style w:type="paragraph" w:customStyle="1" w:styleId="Bullet0">
    <w:name w:val="Bullet 0"/>
    <w:basedOn w:val="Normal"/>
    <w:pPr>
      <w:numPr>
        <w:numId w:val="2"/>
      </w:numPr>
      <w:spacing w:before="100" w:beforeAutospacing="1" w:after="20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Emphasis">
    <w:name w:val="Emphasis"/>
    <w:uiPriority w:val="20"/>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
    <w:name w:val="Typ"/>
    <w:basedOn w:val="Normal"/>
    <w:pPr>
      <w:spacing w:after="200" w:line="276" w:lineRule="auto"/>
      <w:contextualSpacing/>
      <w:jc w:val="center"/>
    </w:pPr>
    <w:rPr>
      <w:rFonts w:ascii="Times New Roman" w:hAnsi="Times New Roman" w:cs="Times New Roman"/>
      <w:b/>
      <w:sz w:val="24"/>
      <w:szCs w:val="24"/>
    </w:rPr>
  </w:style>
  <w:style w:type="paragraph" w:customStyle="1" w:styleId="Type">
    <w:name w:val="Type"/>
    <w:basedOn w:val="Typ"/>
  </w:style>
  <w:style w:type="paragraph" w:customStyle="1" w:styleId="Titreobjet">
    <w:name w:val="Titre objet"/>
    <w:basedOn w:val="Normal"/>
    <w:pPr>
      <w:spacing w:before="360" w:after="360" w:line="240" w:lineRule="auto"/>
      <w:jc w:val="center"/>
    </w:pPr>
    <w:rPr>
      <w:rFonts w:ascii="Times New Roman" w:hAnsi="Times New Roman" w:cs="Times New Roman"/>
      <w:b/>
      <w:sz w:val="24"/>
    </w:rPr>
  </w:style>
  <w:style w:type="paragraph" w:customStyle="1" w:styleId="ManualHeading1">
    <w:name w:val="Manual Heading 1"/>
    <w:basedOn w:val="Normal"/>
    <w:pPr>
      <w:numPr>
        <w:numId w:val="1"/>
      </w:numPr>
      <w:spacing w:before="360" w:after="240" w:line="240" w:lineRule="auto"/>
    </w:pPr>
    <w:rPr>
      <w:rFonts w:ascii="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ManualHeading2">
    <w:name w:val="Manual Heading 2"/>
    <w:basedOn w:val="Normal"/>
    <w:pPr>
      <w:spacing w:after="240" w:line="240" w:lineRule="auto"/>
      <w:jc w:val="both"/>
    </w:pPr>
    <w:rPr>
      <w:rFonts w:ascii="Times New Roman" w:hAnsi="Times New Roman" w:cs="Times New Roman"/>
      <w:b/>
      <w:sz w:val="24"/>
      <w:szCs w:val="24"/>
      <w:lang w:eastAsia="en-GB"/>
    </w:rPr>
  </w:style>
  <w:style w:type="paragraph" w:customStyle="1" w:styleId="Bullet0">
    <w:name w:val="Bullet 0"/>
    <w:basedOn w:val="Normal"/>
    <w:pPr>
      <w:numPr>
        <w:numId w:val="2"/>
      </w:numPr>
      <w:spacing w:before="100" w:beforeAutospacing="1" w:after="20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399C-81B9-4871-AAE3-62C9CAC4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3850</Words>
  <Characters>20291</Characters>
  <Application>Microsoft Office Word</Application>
  <DocSecurity>0</DocSecurity>
  <Lines>343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29</cp:revision>
  <cp:lastPrinted>2021-06-10T09:44:00Z</cp:lastPrinted>
  <dcterms:created xsi:type="dcterms:W3CDTF">2021-06-23T13:56:00Z</dcterms:created>
  <dcterms:modified xsi:type="dcterms:W3CDTF">2021-07-02T07:41:00Z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20190916</vt:lpwstr>
  </property>
</Properties>
</file>