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harts/style1.xml" ContentType="application/vnd.ms-office.chartstyle+xml"/>
  <Override PartName="/word/charts/colors1.xml" ContentType="application/vnd.ms-office.chartcolor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3F06429C-4D5F-422E-8918-0D1DD55DD84D" style="width:455.45pt;height:337.4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26"/>
        </w:sectPr>
      </w:pPr>
    </w:p>
    <w:p>
      <w:pPr>
        <w:rPr>
          <w:noProof/>
        </w:rPr>
        <w:sectPr>
          <w:headerReference w:type="even" r:id="rId19"/>
          <w:headerReference w:type="default" r:id="rId20"/>
          <w:footerReference w:type="even" r:id="rId21"/>
          <w:footerReference w:type="default" r:id="rId22"/>
          <w:headerReference w:type="first" r:id="rId23"/>
          <w:footerReference w:type="first" r:id="rId24"/>
          <w:pgSz w:w="11907" w:h="16839" w:code="9"/>
          <w:pgMar w:top="1418" w:right="1418" w:bottom="1134" w:left="1418" w:header="635" w:footer="635" w:gutter="0"/>
          <w:pgNumType w:start="1"/>
          <w:cols w:space="720"/>
          <w:docGrid w:linePitch="360"/>
        </w:sectPr>
      </w:pPr>
      <w:bookmarkStart w:id="1" w:name="_GoBack"/>
      <w:bookmarkEnd w:id="1"/>
    </w:p>
    <w:p>
      <w:pPr>
        <w:rPr>
          <w:noProof/>
        </w:rPr>
        <w:sectPr>
          <w:headerReference w:type="even" r:id="rId25"/>
          <w:headerReference w:type="default" r:id="rId26"/>
          <w:footerReference w:type="even" r:id="rId27"/>
          <w:footerReference w:type="default" r:id="rId28"/>
          <w:headerReference w:type="first" r:id="rId29"/>
          <w:footerReference w:type="first" r:id="rId30"/>
          <w:pgSz w:w="11907" w:h="16839" w:code="9"/>
          <w:pgMar w:top="1418" w:right="1418" w:bottom="1134" w:left="1418" w:header="635" w:footer="635" w:gutter="0"/>
          <w:cols w:space="720"/>
          <w:docGrid w:linePitch="360"/>
        </w:sectPr>
      </w:pPr>
    </w:p>
    <w:p>
      <w:pPr>
        <w:pStyle w:val="BasicParagraph"/>
        <w:spacing w:before="2640"/>
        <w:ind w:left="3828"/>
        <w:rPr>
          <w:rFonts w:ascii="EC Square Sans Pro" w:hAnsi="EC Square Sans Pro" w:cs="EC Square Sans Pro"/>
          <w:noProof/>
          <w:color w:val="024DA1"/>
          <w:spacing w:val="14"/>
          <w:sz w:val="56"/>
          <w:szCs w:val="72"/>
        </w:rPr>
      </w:pPr>
      <w:r>
        <w:rPr>
          <w:rFonts w:ascii="EC Square Sans Pro" w:hAnsi="EC Square Sans Pro" w:cs="EC Square Sans Pro"/>
          <w:noProof/>
          <w:color w:val="024DA1"/>
          <w:spacing w:val="14"/>
          <w:sz w:val="56"/>
          <w:szCs w:val="72"/>
        </w:rPr>
        <w:t xml:space="preserve">Annual </w:t>
      </w:r>
      <w:r>
        <w:rPr>
          <w:rFonts w:ascii="EC Square Sans Pro" w:hAnsi="EC Square Sans Pro" w:cs="EC Square Sans Pro"/>
          <w:noProof/>
          <w:color w:val="024DA1"/>
          <w:spacing w:val="14"/>
          <w:sz w:val="56"/>
          <w:szCs w:val="72"/>
        </w:rPr>
        <w:br/>
        <w:t xml:space="preserve">Management </w:t>
      </w:r>
      <w:r>
        <w:rPr>
          <w:rFonts w:ascii="EC Square Sans Pro" w:hAnsi="EC Square Sans Pro" w:cs="EC Square Sans Pro"/>
          <w:noProof/>
          <w:color w:val="024DA1"/>
          <w:spacing w:val="14"/>
          <w:sz w:val="56"/>
          <w:szCs w:val="72"/>
        </w:rPr>
        <w:br/>
        <w:t xml:space="preserve">and Performance </w:t>
      </w:r>
      <w:r>
        <w:rPr>
          <w:rFonts w:ascii="EC Square Sans Pro" w:hAnsi="EC Square Sans Pro" w:cs="EC Square Sans Pro"/>
          <w:noProof/>
          <w:color w:val="024DA1"/>
          <w:spacing w:val="14"/>
          <w:sz w:val="56"/>
          <w:szCs w:val="72"/>
        </w:rPr>
        <w:br/>
        <w:t xml:space="preserve">Report for </w:t>
      </w:r>
      <w:r>
        <w:rPr>
          <w:rFonts w:ascii="EC Square Sans Pro" w:hAnsi="EC Square Sans Pro" w:cs="EC Square Sans Pro"/>
          <w:noProof/>
          <w:color w:val="024DA1"/>
          <w:spacing w:val="14"/>
          <w:sz w:val="56"/>
          <w:szCs w:val="72"/>
        </w:rPr>
        <w:br/>
        <w:t>the EU Budget</w:t>
      </w:r>
    </w:p>
    <w:p>
      <w:pPr>
        <w:pStyle w:val="BasicParagraph"/>
        <w:spacing w:before="720"/>
        <w:ind w:left="3828"/>
        <w:rPr>
          <w:rFonts w:ascii="EC Square Sans Pro" w:hAnsi="EC Square Sans Pro" w:cs="EC Square Sans Pro"/>
          <w:noProof/>
          <w:color w:val="F26A47" w:themeColor="accent1"/>
          <w:spacing w:val="10"/>
          <w:sz w:val="36"/>
          <w:szCs w:val="36"/>
        </w:rPr>
      </w:pPr>
      <w:r>
        <w:rPr>
          <w:rFonts w:ascii="EC Square Sans Pro" w:hAnsi="EC Square Sans Pro" w:cs="EC Square Sans Pro"/>
          <w:noProof/>
          <w:color w:val="F26A47" w:themeColor="accent1"/>
          <w:spacing w:val="10"/>
          <w:sz w:val="36"/>
          <w:szCs w:val="36"/>
        </w:rPr>
        <w:t>Volume I</w:t>
      </w:r>
    </w:p>
    <w:p>
      <w:pPr>
        <w:rPr>
          <w:noProof/>
        </w:rPr>
      </w:pPr>
      <w:r>
        <w:rPr>
          <w:noProof/>
        </w:rPr>
        <w:br w:type="page"/>
      </w:r>
    </w:p>
    <w:p>
      <w:pPr>
        <w:rPr>
          <w:noProof/>
        </w:rPr>
      </w:pPr>
    </w:p>
    <w:p>
      <w:pPr>
        <w:rPr>
          <w:noProof/>
        </w:rPr>
        <w:sectPr>
          <w:headerReference w:type="even" r:id="rId31"/>
          <w:headerReference w:type="default" r:id="rId32"/>
          <w:footerReference w:type="even" r:id="rId33"/>
          <w:footerReference w:type="default" r:id="rId34"/>
          <w:headerReference w:type="first" r:id="rId35"/>
          <w:footerReference w:type="first" r:id="rId36"/>
          <w:pgSz w:w="11907" w:h="16839" w:code="9"/>
          <w:pgMar w:top="1418" w:right="1418" w:bottom="1134" w:left="1418" w:header="635" w:footer="635" w:gutter="0"/>
          <w:pgNumType w:start="1"/>
          <w:cols w:space="720"/>
          <w:docGrid w:linePitch="360"/>
        </w:sectPr>
      </w:pPr>
    </w:p>
    <w:p>
      <w:pPr>
        <w:rPr>
          <w:noProof/>
        </w:rPr>
        <w:sectPr>
          <w:headerReference w:type="even" r:id="rId37"/>
          <w:headerReference w:type="default" r:id="rId38"/>
          <w:footerReference w:type="even" r:id="rId39"/>
          <w:footerReference w:type="default" r:id="rId40"/>
          <w:headerReference w:type="first" r:id="rId41"/>
          <w:footerReference w:type="first" r:id="rId42"/>
          <w:pgSz w:w="11907" w:h="16839" w:code="9"/>
          <w:pgMar w:top="1418" w:right="1418" w:bottom="1134" w:left="1418" w:header="635" w:footer="635" w:gutter="0"/>
          <w:cols w:space="720"/>
          <w:docGrid w:linePitch="360"/>
        </w:sectPr>
      </w:pPr>
    </w:p>
    <w:p>
      <w:pPr>
        <w:rPr>
          <w:noProof/>
        </w:rPr>
      </w:pPr>
      <w:bookmarkStart w:id="2" w:name="_Toc69823309"/>
      <w:bookmarkStart w:id="3" w:name="_Toc69895005"/>
      <w:bookmarkStart w:id="4" w:name="_Toc70007482"/>
      <w:bookmarkStart w:id="5" w:name="_Toc71702355"/>
      <w:bookmarkStart w:id="6" w:name="_Toc71718174"/>
      <w:bookmarkStart w:id="7" w:name="_Toc71718561"/>
      <w:bookmarkStart w:id="8" w:name="_Toc71724695"/>
      <w:bookmarkStart w:id="9" w:name="_Toc71726222"/>
      <w:bookmarkStart w:id="10" w:name="_Toc72420541"/>
      <w:bookmarkStart w:id="11" w:name="_Toc72420559"/>
    </w:p>
    <w:p>
      <w:pPr>
        <w:pStyle w:val="amprTITLE1"/>
        <w:numPr>
          <w:ilvl w:val="0"/>
          <w:numId w:val="0"/>
        </w:numPr>
        <w:rPr>
          <w:noProof/>
        </w:rPr>
      </w:pPr>
      <w:r>
        <w:rPr>
          <w:noProof/>
        </w:rPr>
        <w:t>Introduction</w:t>
      </w:r>
      <w:bookmarkEnd w:id="2"/>
      <w:bookmarkEnd w:id="3"/>
      <w:bookmarkEnd w:id="4"/>
      <w:bookmarkEnd w:id="5"/>
      <w:bookmarkEnd w:id="6"/>
      <w:bookmarkEnd w:id="7"/>
      <w:bookmarkEnd w:id="8"/>
      <w:bookmarkEnd w:id="9"/>
      <w:bookmarkEnd w:id="10"/>
      <w:bookmarkEnd w:id="11"/>
    </w:p>
    <w:p>
      <w:pPr>
        <w:pStyle w:val="amprBodyText"/>
        <w:rPr>
          <w:noProof/>
        </w:rPr>
      </w:pPr>
      <w:r>
        <w:rPr>
          <w:noProof/>
        </w:rPr>
        <w:t xml:space="preserve">The </w:t>
      </w:r>
      <w:r>
        <w:rPr>
          <w:i/>
          <w:iCs/>
          <w:noProof/>
        </w:rPr>
        <w:t>Annual Management and Performance Report for the EU Budget</w:t>
      </w:r>
      <w:r>
        <w:rPr>
          <w:rFonts w:ascii="Calibri" w:hAnsi="Calibri" w:cs="Calibri"/>
          <w:i/>
          <w:iCs/>
          <w:noProof/>
        </w:rPr>
        <w:t> </w:t>
      </w:r>
      <w:r>
        <w:rPr>
          <w:i/>
          <w:iCs/>
          <w:noProof/>
        </w:rPr>
        <w:t>– Financial year 2020</w:t>
      </w:r>
      <w:r>
        <w:rPr>
          <w:noProof/>
        </w:rPr>
        <w:t xml:space="preserve"> together with its annexes is the Commission’s main contribution to the annual discharge procedure</w:t>
      </w:r>
      <w:r>
        <w:rPr>
          <w:rStyle w:val="fnRef"/>
          <w:rFonts w:ascii="Arial" w:hAnsi="Arial" w:cs="Arial"/>
          <w:noProof/>
        </w:rPr>
        <w:t> </w:t>
      </w:r>
      <w:r>
        <w:rPr>
          <w:rStyle w:val="fnRef"/>
          <w:noProof/>
        </w:rPr>
        <w:t>(</w:t>
      </w:r>
      <w:r>
        <w:rPr>
          <w:rStyle w:val="fnRef"/>
          <w:rFonts w:ascii="ZWAdobeF" w:hAnsi="ZWAdobeF" w:cs="ZWAdobeF"/>
          <w:noProof/>
          <w:color w:val="auto"/>
          <w:sz w:val="2"/>
          <w:szCs w:val="2"/>
        </w:rPr>
        <w:t>0F</w:t>
      </w:r>
      <w:r>
        <w:rPr>
          <w:rStyle w:val="FootnoteReference"/>
          <w:noProof/>
        </w:rPr>
        <w:footnoteReference w:id="2"/>
      </w:r>
      <w:r>
        <w:rPr>
          <w:rStyle w:val="fnRef"/>
          <w:noProof/>
        </w:rPr>
        <w:t xml:space="preserve">) </w:t>
      </w:r>
      <w:r>
        <w:rPr>
          <w:noProof/>
        </w:rPr>
        <w:t>by which the European Parliament and the Council scrutinise the implementation of the EU budget. It fulfils the Commission’s obligations under the Treaty on the Functioning of the EU (</w:t>
      </w:r>
      <w:r>
        <w:rPr>
          <w:rFonts w:ascii="ZWAdobeF" w:hAnsi="ZWAdobeF" w:cs="ZWAdobeF"/>
          <w:noProof/>
          <w:color w:val="auto"/>
          <w:sz w:val="2"/>
          <w:szCs w:val="2"/>
        </w:rPr>
        <w:t>1F</w:t>
      </w:r>
      <w:r>
        <w:rPr>
          <w:rStyle w:val="FootnoteReference"/>
          <w:noProof/>
        </w:rPr>
        <w:footnoteReference w:id="3"/>
      </w:r>
      <w:r>
        <w:rPr>
          <w:noProof/>
        </w:rPr>
        <w:t xml:space="preserve">) and the financial regulation </w:t>
      </w:r>
      <w:r>
        <w:rPr>
          <w:rStyle w:val="fnRef"/>
          <w:noProof/>
        </w:rPr>
        <w:t>(</w:t>
      </w:r>
      <w:r>
        <w:rPr>
          <w:rStyle w:val="fnRef"/>
          <w:rFonts w:ascii="ZWAdobeF" w:hAnsi="ZWAdobeF" w:cs="ZWAdobeF"/>
          <w:noProof/>
          <w:color w:val="auto"/>
          <w:sz w:val="2"/>
          <w:szCs w:val="2"/>
        </w:rPr>
        <w:t>2F</w:t>
      </w:r>
      <w:r>
        <w:rPr>
          <w:rStyle w:val="FootnoteReference"/>
          <w:noProof/>
        </w:rPr>
        <w:footnoteReference w:id="4"/>
      </w:r>
      <w:r>
        <w:rPr>
          <w:rStyle w:val="fnRef"/>
          <w:noProof/>
        </w:rPr>
        <w:t>)</w:t>
      </w:r>
      <w:r>
        <w:rPr>
          <w:noProof/>
        </w:rPr>
        <w:t>.</w:t>
      </w:r>
    </w:p>
    <w:p>
      <w:pPr>
        <w:pStyle w:val="amprBodyText"/>
        <w:rPr>
          <w:rFonts w:eastAsiaTheme="minorEastAsia"/>
          <w:noProof/>
        </w:rPr>
      </w:pPr>
      <w:r>
        <w:rPr>
          <w:noProof/>
          <w:spacing w:val="1"/>
        </w:rPr>
        <w:t xml:space="preserve">Implementing the EU budget </w:t>
      </w:r>
      <w:r>
        <w:rPr>
          <w:noProof/>
        </w:rPr>
        <w:t>is a shared responsibility. The Commission works hand in hand with the Member States and with other partners and organisations</w:t>
      </w:r>
      <w:r>
        <w:rPr>
          <w:rFonts w:eastAsiaTheme="minorEastAsia"/>
          <w:noProof/>
        </w:rPr>
        <w:t>.</w:t>
      </w:r>
    </w:p>
    <w:p>
      <w:pPr>
        <w:pStyle w:val="amprBodyText"/>
        <w:rPr>
          <w:noProof/>
        </w:rPr>
      </w:pPr>
      <w:r>
        <w:rPr>
          <w:noProof/>
        </w:rPr>
        <w:t>The report is composed of three volumes:</w:t>
      </w:r>
    </w:p>
    <w:p>
      <w:pPr>
        <w:pStyle w:val="amprBodyText"/>
        <w:numPr>
          <w:ilvl w:val="0"/>
          <w:numId w:val="35"/>
        </w:numPr>
        <w:rPr>
          <w:noProof/>
        </w:rPr>
      </w:pPr>
      <w:r>
        <w:rPr>
          <w:rStyle w:val="amprcharBoldBlue"/>
          <w:noProof/>
        </w:rPr>
        <w:t>Volume I</w:t>
      </w:r>
      <w:r>
        <w:rPr>
          <w:noProof/>
        </w:rPr>
        <w:t xml:space="preserve"> provides the key facts and achievements of budgetary management for 2020.</w:t>
      </w:r>
    </w:p>
    <w:p>
      <w:pPr>
        <w:pStyle w:val="amprBodyText"/>
        <w:numPr>
          <w:ilvl w:val="0"/>
          <w:numId w:val="35"/>
        </w:numPr>
        <w:rPr>
          <w:noProof/>
        </w:rPr>
      </w:pPr>
      <w:r>
        <w:rPr>
          <w:rStyle w:val="amprcharBoldBlue"/>
          <w:noProof/>
        </w:rPr>
        <w:t>Volume II</w:t>
      </w:r>
      <w:r>
        <w:rPr>
          <w:noProof/>
        </w:rPr>
        <w:t xml:space="preserve"> presents a more comprehensive picture of the implementation of the EU budget. </w:t>
      </w:r>
      <w:r>
        <w:rPr>
          <w:rStyle w:val="amprcharBoldBlue"/>
          <w:noProof/>
        </w:rPr>
        <w:t>Annex</w:t>
      </w:r>
      <w:r>
        <w:rPr>
          <w:rStyle w:val="amprcharBoldBlue"/>
          <w:rFonts w:ascii="Calibri" w:hAnsi="Calibri" w:cs="Calibri"/>
          <w:noProof/>
        </w:rPr>
        <w:t> </w:t>
      </w:r>
      <w:r>
        <w:rPr>
          <w:rStyle w:val="amprcharBoldBlue"/>
          <w:noProof/>
        </w:rPr>
        <w:t xml:space="preserve">1 </w:t>
      </w:r>
      <w:r>
        <w:rPr>
          <w:noProof/>
        </w:rPr>
        <w:t xml:space="preserve">provides a high-level overview of the performance of the EU budget in 2020. </w:t>
      </w:r>
      <w:r>
        <w:rPr>
          <w:rStyle w:val="amprcharBoldBlue"/>
          <w:noProof/>
        </w:rPr>
        <w:t>Annex</w:t>
      </w:r>
      <w:r>
        <w:rPr>
          <w:rStyle w:val="amprcharBoldBlue"/>
          <w:rFonts w:ascii="Calibri" w:hAnsi="Calibri" w:cs="Calibri"/>
          <w:noProof/>
        </w:rPr>
        <w:t> </w:t>
      </w:r>
      <w:r>
        <w:rPr>
          <w:rStyle w:val="amprcharBoldBlue"/>
          <w:noProof/>
        </w:rPr>
        <w:t xml:space="preserve">2 </w:t>
      </w:r>
      <w:r>
        <w:rPr>
          <w:noProof/>
        </w:rPr>
        <w:t xml:space="preserve">provides a high-level overview of internal control and financial management. </w:t>
      </w:r>
    </w:p>
    <w:p>
      <w:pPr>
        <w:pStyle w:val="amprBodyText"/>
        <w:numPr>
          <w:ilvl w:val="0"/>
          <w:numId w:val="35"/>
        </w:numPr>
        <w:rPr>
          <w:noProof/>
        </w:rPr>
      </w:pPr>
      <w:r>
        <w:rPr>
          <w:rStyle w:val="amprcharBoldBlue"/>
          <w:noProof/>
        </w:rPr>
        <w:t xml:space="preserve">Volume III </w:t>
      </w:r>
      <w:r>
        <w:rPr>
          <w:noProof/>
        </w:rPr>
        <w:t xml:space="preserve">contains technical annexes supporting the report. It includes Annex 3, detailed programme-by-programme performance information in the </w:t>
      </w:r>
      <w:r>
        <w:rPr>
          <w:rStyle w:val="amprcharBoldBlue"/>
          <w:rFonts w:ascii="Calibri" w:hAnsi="Calibri" w:cs="Calibri"/>
          <w:noProof/>
        </w:rPr>
        <w:t>‘</w:t>
      </w:r>
      <w:r>
        <w:rPr>
          <w:rStyle w:val="amprcharBoldBlue"/>
          <w:noProof/>
        </w:rPr>
        <w:t>Programme performance overview’.</w:t>
      </w:r>
      <w:r>
        <w:rPr>
          <w:noProof/>
        </w:rPr>
        <w:t xml:space="preserve"> </w:t>
      </w:r>
    </w:p>
    <w:p>
      <w:pPr>
        <w:pStyle w:val="amprBodyText"/>
        <w:spacing w:before="120"/>
        <w:rPr>
          <w:noProof/>
        </w:rPr>
      </w:pPr>
      <w:r>
        <w:rPr>
          <w:noProof/>
        </w:rPr>
        <w:t>This report is part of the broader integrated financial and accountability reporting package</w:t>
      </w:r>
      <w:r>
        <w:rPr>
          <w:rStyle w:val="fnRef"/>
          <w:rFonts w:ascii="Arial" w:hAnsi="Arial" w:cs="Arial"/>
          <w:noProof/>
        </w:rPr>
        <w:t> </w:t>
      </w:r>
      <w:r>
        <w:rPr>
          <w:rStyle w:val="fnRef"/>
          <w:noProof/>
        </w:rPr>
        <w:t>(</w:t>
      </w:r>
      <w:r>
        <w:rPr>
          <w:rStyle w:val="fnRef"/>
          <w:rFonts w:ascii="ZWAdobeF" w:hAnsi="ZWAdobeF" w:cs="ZWAdobeF"/>
          <w:noProof/>
          <w:color w:val="auto"/>
          <w:sz w:val="2"/>
          <w:szCs w:val="2"/>
        </w:rPr>
        <w:t>3F</w:t>
      </w:r>
      <w:r>
        <w:rPr>
          <w:rStyle w:val="FootnoteReference"/>
          <w:noProof/>
        </w:rPr>
        <w:footnoteReference w:id="5"/>
      </w:r>
      <w:r>
        <w:rPr>
          <w:rStyle w:val="fnRef"/>
          <w:noProof/>
        </w:rPr>
        <w:t>)</w:t>
      </w:r>
      <w:r>
        <w:rPr>
          <w:noProof/>
        </w:rPr>
        <w:t>, which also includes the annual accounts</w:t>
      </w:r>
      <w:r>
        <w:rPr>
          <w:rStyle w:val="fnRef"/>
          <w:rFonts w:ascii="Arial" w:hAnsi="Arial" w:cs="Arial"/>
          <w:noProof/>
        </w:rPr>
        <w:t> </w:t>
      </w:r>
      <w:r>
        <w:rPr>
          <w:rStyle w:val="fnRef"/>
          <w:noProof/>
        </w:rPr>
        <w:t>(</w:t>
      </w:r>
      <w:r>
        <w:rPr>
          <w:rStyle w:val="fnRef"/>
          <w:rFonts w:ascii="ZWAdobeF" w:hAnsi="ZWAdobeF" w:cs="ZWAdobeF"/>
          <w:noProof/>
          <w:color w:val="auto"/>
          <w:sz w:val="2"/>
          <w:szCs w:val="2"/>
        </w:rPr>
        <w:t>4F</w:t>
      </w:r>
      <w:r>
        <w:rPr>
          <w:rStyle w:val="FootnoteReference"/>
          <w:noProof/>
        </w:rPr>
        <w:footnoteReference w:id="6"/>
      </w:r>
      <w:r>
        <w:rPr>
          <w:rStyle w:val="fnRef"/>
          <w:noProof/>
        </w:rPr>
        <w:t>)</w:t>
      </w:r>
      <w:r>
        <w:rPr>
          <w:noProof/>
        </w:rPr>
        <w:t>, a long-term forecast of future inflows and outflows covering the next 5</w:t>
      </w:r>
      <w:r>
        <w:rPr>
          <w:rFonts w:ascii="Calibri" w:hAnsi="Calibri" w:cs="Calibri"/>
          <w:noProof/>
        </w:rPr>
        <w:t> </w:t>
      </w:r>
      <w:r>
        <w:rPr>
          <w:noProof/>
        </w:rPr>
        <w:t>years</w:t>
      </w:r>
      <w:r>
        <w:rPr>
          <w:rStyle w:val="fnRef"/>
          <w:rFonts w:ascii="Arial" w:hAnsi="Arial" w:cs="Arial"/>
          <w:noProof/>
        </w:rPr>
        <w:t> </w:t>
      </w:r>
      <w:r>
        <w:rPr>
          <w:rStyle w:val="fnRef"/>
          <w:noProof/>
        </w:rPr>
        <w:t>(</w:t>
      </w:r>
      <w:r>
        <w:rPr>
          <w:rStyle w:val="fnRef"/>
          <w:rFonts w:ascii="ZWAdobeF" w:hAnsi="ZWAdobeF" w:cs="ZWAdobeF"/>
          <w:noProof/>
          <w:color w:val="auto"/>
          <w:sz w:val="2"/>
          <w:szCs w:val="2"/>
        </w:rPr>
        <w:t>5F</w:t>
      </w:r>
      <w:r>
        <w:rPr>
          <w:rStyle w:val="FootnoteReference"/>
          <w:noProof/>
        </w:rPr>
        <w:footnoteReference w:id="7"/>
      </w:r>
      <w:r>
        <w:rPr>
          <w:rStyle w:val="fnRef"/>
          <w:noProof/>
        </w:rPr>
        <w:t>)</w:t>
      </w:r>
      <w:r>
        <w:rPr>
          <w:noProof/>
        </w:rPr>
        <w:t>, the report on internal audits</w:t>
      </w:r>
      <w:r>
        <w:rPr>
          <w:rStyle w:val="fnRef"/>
          <w:rFonts w:ascii="Arial" w:hAnsi="Arial" w:cs="Arial"/>
          <w:noProof/>
        </w:rPr>
        <w:t> </w:t>
      </w:r>
      <w:r>
        <w:rPr>
          <w:rStyle w:val="fnRef"/>
          <w:noProof/>
        </w:rPr>
        <w:t>(</w:t>
      </w:r>
      <w:r>
        <w:rPr>
          <w:rStyle w:val="fnRef"/>
          <w:rFonts w:ascii="ZWAdobeF" w:hAnsi="ZWAdobeF" w:cs="ZWAdobeF"/>
          <w:noProof/>
          <w:color w:val="auto"/>
          <w:sz w:val="2"/>
          <w:szCs w:val="2"/>
        </w:rPr>
        <w:t>6F</w:t>
      </w:r>
      <w:r>
        <w:rPr>
          <w:rStyle w:val="FootnoteReference"/>
          <w:noProof/>
        </w:rPr>
        <w:footnoteReference w:id="8"/>
      </w:r>
      <w:r>
        <w:rPr>
          <w:rStyle w:val="fnRef"/>
          <w:noProof/>
        </w:rPr>
        <w:t>)</w:t>
      </w:r>
      <w:r>
        <w:rPr>
          <w:noProof/>
        </w:rPr>
        <w:t xml:space="preserve"> and the report on the follow-up to the discharge</w:t>
      </w:r>
      <w:r>
        <w:rPr>
          <w:rStyle w:val="fnRef"/>
          <w:rFonts w:ascii="Arial" w:hAnsi="Arial" w:cs="Arial"/>
          <w:noProof/>
        </w:rPr>
        <w:t> </w:t>
      </w:r>
      <w:r>
        <w:rPr>
          <w:rStyle w:val="fnRef"/>
          <w:noProof/>
        </w:rPr>
        <w:t>(</w:t>
      </w:r>
      <w:r>
        <w:rPr>
          <w:rStyle w:val="fnRef"/>
          <w:rFonts w:ascii="ZWAdobeF" w:hAnsi="ZWAdobeF" w:cs="ZWAdobeF"/>
          <w:noProof/>
          <w:color w:val="auto"/>
          <w:sz w:val="2"/>
          <w:szCs w:val="2"/>
        </w:rPr>
        <w:t>7F</w:t>
      </w:r>
      <w:r>
        <w:rPr>
          <w:rStyle w:val="FootnoteReference"/>
          <w:noProof/>
        </w:rPr>
        <w:footnoteReference w:id="9"/>
      </w:r>
      <w:r>
        <w:rPr>
          <w:rStyle w:val="fnRef"/>
          <w:noProof/>
        </w:rPr>
        <w:t>)</w:t>
      </w:r>
      <w:r>
        <w:rPr>
          <w:noProof/>
        </w:rPr>
        <w:t>.</w:t>
      </w:r>
    </w:p>
    <w:p>
      <w:pPr>
        <w:rPr>
          <w:noProof/>
        </w:rPr>
      </w:pPr>
    </w:p>
    <w:p>
      <w:pPr>
        <w:spacing w:after="0"/>
        <w:rPr>
          <w:noProof/>
        </w:rPr>
      </w:pPr>
      <w:r>
        <w:rPr>
          <w:noProof/>
        </w:rPr>
        <w:br w:type="page"/>
      </w:r>
    </w:p>
    <w:p>
      <w:pPr>
        <w:pStyle w:val="amprTITLE1"/>
        <w:numPr>
          <w:ilvl w:val="0"/>
          <w:numId w:val="0"/>
        </w:numPr>
        <w:rPr>
          <w:noProof/>
        </w:rPr>
      </w:pPr>
      <w:bookmarkStart w:id="12" w:name="_Toc72420542"/>
      <w:bookmarkStart w:id="13" w:name="_Toc72420560"/>
      <w:r>
        <w:rPr>
          <w:noProof/>
        </w:rPr>
        <w:t>Annual Management and Performance Report</w:t>
      </w:r>
      <w:bookmarkEnd w:id="12"/>
      <w:bookmarkEnd w:id="13"/>
      <w:r>
        <w:rPr>
          <w:noProof/>
        </w:rPr>
        <w:t xml:space="preserve"> </w:t>
      </w:r>
    </w:p>
    <w:p>
      <w:pPr>
        <w:pStyle w:val="ampranxTitle2"/>
        <w:rPr>
          <w:noProof/>
        </w:rPr>
      </w:pPr>
      <w:bookmarkStart w:id="14" w:name="_Toc72420543"/>
      <w:bookmarkStart w:id="15" w:name="_Toc72420561"/>
      <w:r>
        <w:rPr>
          <w:noProof/>
        </w:rPr>
        <w:t>The EU budget and the response to the COVID-19 pandemic</w:t>
      </w:r>
      <w:bookmarkEnd w:id="14"/>
      <w:bookmarkEnd w:id="15"/>
    </w:p>
    <w:p>
      <w:pPr>
        <w:pStyle w:val="amprBodyText"/>
        <w:rPr>
          <w:rStyle w:val="amprcharBoldBlue"/>
          <w:rFonts w:eastAsiaTheme="minorHAnsi" w:cstheme="minorBidi"/>
          <w:b w:val="0"/>
          <w:noProof/>
          <w:color w:val="auto"/>
          <w:spacing w:val="0"/>
          <w:szCs w:val="22"/>
          <w:lang w:eastAsia="en-US"/>
        </w:rPr>
      </w:pPr>
      <w:r>
        <w:rPr>
          <w:rStyle w:val="amprcharBoldBlue"/>
          <w:rFonts w:eastAsiaTheme="minorHAnsi"/>
          <w:noProof/>
        </w:rPr>
        <w:t>Facing unprecedented challenges</w:t>
      </w:r>
      <w:r>
        <w:rPr>
          <w:noProof/>
          <w:color w:val="005D95"/>
          <w:szCs w:val="20"/>
          <w:lang w:eastAsia="fr-BE"/>
        </w:rPr>
        <w:t xml:space="preserve"> </w:t>
      </w:r>
      <w:r>
        <w:rPr>
          <w:rStyle w:val="amprcharBoldBlue"/>
          <w:rFonts w:eastAsiaTheme="minorHAnsi"/>
          <w:noProof/>
        </w:rPr>
        <w:t>due to the COVID-19 pandemic</w:t>
      </w:r>
      <w:r>
        <w:rPr>
          <w:rStyle w:val="amprcharBoldBlue"/>
          <w:noProof/>
        </w:rPr>
        <w:t xml:space="preserve">, </w:t>
      </w:r>
      <w:r>
        <w:rPr>
          <w:rStyle w:val="amprcharBoldBlue"/>
          <w:rFonts w:eastAsiaTheme="minorHAnsi"/>
          <w:noProof/>
        </w:rPr>
        <w:t>the EU relied on its strength of solidarity.</w:t>
      </w:r>
      <w:r>
        <w:rPr>
          <w:noProof/>
        </w:rPr>
        <w:t xml:space="preserve"> It reacted swiftly and decisively to protect lives and livelihoods. </w:t>
      </w:r>
    </w:p>
    <w:p>
      <w:pPr>
        <w:pStyle w:val="amprBodyText"/>
        <w:rPr>
          <w:noProof/>
        </w:rPr>
      </w:pPr>
      <w:r>
        <w:rPr>
          <w:rStyle w:val="amprcharBoldBlue"/>
          <w:rFonts w:eastAsiaTheme="minorHAnsi"/>
          <w:noProof/>
        </w:rPr>
        <w:t>The EU budget was at the heart of this response.</w:t>
      </w:r>
      <w:r>
        <w:rPr>
          <w:noProof/>
        </w:rPr>
        <w:t xml:space="preserve"> It took the Commission only 3</w:t>
      </w:r>
      <w:r>
        <w:rPr>
          <w:rFonts w:ascii="Calibri" w:hAnsi="Calibri" w:cs="Calibri"/>
          <w:noProof/>
        </w:rPr>
        <w:t> </w:t>
      </w:r>
      <w:r>
        <w:rPr>
          <w:noProof/>
        </w:rPr>
        <w:t>weeks from the designation of the COVID-19 outbreak as a pandemic by the World Health Organisation on 11</w:t>
      </w:r>
      <w:r>
        <w:rPr>
          <w:rFonts w:ascii="Calibri" w:hAnsi="Calibri" w:cs="Calibri"/>
          <w:noProof/>
        </w:rPr>
        <w:t> </w:t>
      </w:r>
      <w:r>
        <w:rPr>
          <w:noProof/>
        </w:rPr>
        <w:t>March 2020 to put forward proposals for a coordinated and comprehensive response through the EU</w:t>
      </w:r>
      <w:r>
        <w:rPr>
          <w:rFonts w:ascii="Calibri" w:hAnsi="Calibri" w:cs="Calibri"/>
          <w:noProof/>
        </w:rPr>
        <w:t> </w:t>
      </w:r>
      <w:r>
        <w:rPr>
          <w:noProof/>
        </w:rPr>
        <w:t>budget. This involved mobilising financing quickly and flexibly to address the most pressing needs, without making any compromises on applying the highest standards of financial management. That response included the following measures (see Annex</w:t>
      </w:r>
      <w:r>
        <w:rPr>
          <w:rFonts w:ascii="Calibri" w:hAnsi="Calibri" w:cs="Calibri"/>
          <w:noProof/>
        </w:rPr>
        <w:t> </w:t>
      </w:r>
      <w:r>
        <w:rPr>
          <w:noProof/>
        </w:rPr>
        <w:t>1 for more details</w:t>
      </w:r>
      <w:r>
        <w:rPr>
          <w:rStyle w:val="amprcharBoldBlue"/>
          <w:rFonts w:eastAsiaTheme="minorHAnsi"/>
          <w:b w:val="0"/>
          <w:noProof/>
          <w:color w:val="auto"/>
        </w:rPr>
        <w:t>)</w:t>
      </w:r>
      <w:r>
        <w:rPr>
          <w:noProof/>
        </w:rPr>
        <w:t>:</w:t>
      </w:r>
    </w:p>
    <w:p>
      <w:pPr>
        <w:pStyle w:val="amprLISTorangebullets-L1"/>
        <w:rPr>
          <w:noProof/>
        </w:rPr>
      </w:pPr>
      <w:r>
        <w:rPr>
          <w:noProof/>
        </w:rPr>
        <w:t xml:space="preserve">the </w:t>
      </w:r>
      <w:r>
        <w:rPr>
          <w:rStyle w:val="amprcharBoldBlue"/>
          <w:rFonts w:eastAsiaTheme="minorHAnsi"/>
          <w:noProof/>
        </w:rPr>
        <w:t>Coronavirus Response Investment Initiatives (CRII)</w:t>
      </w:r>
      <w:r>
        <w:rPr>
          <w:rFonts w:asciiTheme="minorHAnsi" w:hAnsiTheme="minorHAnsi" w:cstheme="minorBidi"/>
          <w:noProof/>
          <w:color w:val="auto"/>
          <w:sz w:val="22"/>
          <w:szCs w:val="22"/>
          <w:lang w:eastAsia="en-US"/>
        </w:rPr>
        <w:t xml:space="preserve"> </w:t>
      </w:r>
      <w:r>
        <w:rPr>
          <w:noProof/>
        </w:rPr>
        <w:t>under cohesion policy facilitating flexibility arrangements and mobilising some EUR 23 billion in liquidity to Member States. The initiatives help fighting the COVID-19 pandemic by supporting healthcare, small businesses and workers;</w:t>
      </w:r>
    </w:p>
    <w:p>
      <w:pPr>
        <w:pStyle w:val="amprLISTorangebullets-L1"/>
        <w:rPr>
          <w:noProof/>
        </w:rPr>
      </w:pPr>
      <w:r>
        <w:rPr>
          <w:noProof/>
        </w:rPr>
        <w:t xml:space="preserve">the reactivation of the </w:t>
      </w:r>
      <w:r>
        <w:rPr>
          <w:rStyle w:val="amprcharBoldBlue"/>
          <w:rFonts w:eastAsiaTheme="minorHAnsi"/>
          <w:noProof/>
        </w:rPr>
        <w:t>Emergency Support Instrument</w:t>
      </w:r>
      <w:r>
        <w:rPr>
          <w:noProof/>
        </w:rPr>
        <w:t>, with a budget of EUR</w:t>
      </w:r>
      <w:r>
        <w:rPr>
          <w:rFonts w:ascii="Calibri" w:hAnsi="Calibri" w:cs="Calibri"/>
          <w:noProof/>
        </w:rPr>
        <w:t> </w:t>
      </w:r>
      <w:r>
        <w:rPr>
          <w:noProof/>
        </w:rPr>
        <w:t>2.7</w:t>
      </w:r>
      <w:r>
        <w:rPr>
          <w:rFonts w:ascii="Calibri" w:hAnsi="Calibri" w:cs="Calibri"/>
          <w:noProof/>
        </w:rPr>
        <w:t> </w:t>
      </w:r>
      <w:r>
        <w:rPr>
          <w:noProof/>
        </w:rPr>
        <w:t xml:space="preserve">billion to fight the cross-border health emergency; </w:t>
      </w:r>
    </w:p>
    <w:p>
      <w:pPr>
        <w:pStyle w:val="amprLISTorangebullets-L1"/>
        <w:rPr>
          <w:noProof/>
        </w:rPr>
      </w:pPr>
      <w:r>
        <w:rPr>
          <w:noProof/>
        </w:rPr>
        <w:t>EUR</w:t>
      </w:r>
      <w:r>
        <w:rPr>
          <w:rFonts w:ascii="Calibri" w:hAnsi="Calibri" w:cs="Calibri"/>
          <w:noProof/>
        </w:rPr>
        <w:t> </w:t>
      </w:r>
      <w:r>
        <w:rPr>
          <w:noProof/>
        </w:rPr>
        <w:t>415</w:t>
      </w:r>
      <w:r>
        <w:rPr>
          <w:rFonts w:ascii="Calibri" w:hAnsi="Calibri" w:cs="Calibri"/>
          <w:noProof/>
        </w:rPr>
        <w:t> </w:t>
      </w:r>
      <w:r>
        <w:rPr>
          <w:noProof/>
        </w:rPr>
        <w:t xml:space="preserve">million in additional financing for the </w:t>
      </w:r>
      <w:r>
        <w:rPr>
          <w:rStyle w:val="amprcharBoldBlue"/>
          <w:rFonts w:eastAsiaTheme="minorHAnsi"/>
          <w:noProof/>
        </w:rPr>
        <w:t>Union Civil Protection Mechanism</w:t>
      </w:r>
      <w:r>
        <w:rPr>
          <w:rStyle w:val="amprcharBoldBlue"/>
          <w:rFonts w:ascii="Calibri" w:eastAsiaTheme="minorHAnsi" w:hAnsi="Calibri" w:cs="Calibri"/>
          <w:noProof/>
        </w:rPr>
        <w:t> </w:t>
      </w:r>
      <w:r>
        <w:rPr>
          <w:rStyle w:val="amprcharBoldBlue"/>
          <w:rFonts w:eastAsiaTheme="minorHAnsi"/>
          <w:noProof/>
        </w:rPr>
        <w:t>/ rescEU</w:t>
      </w:r>
      <w:r>
        <w:rPr>
          <w:noProof/>
        </w:rPr>
        <w:t xml:space="preserve"> to provide immediate disaster relief to the most affected areas;</w:t>
      </w:r>
    </w:p>
    <w:p>
      <w:pPr>
        <w:pStyle w:val="amprLISTorangebullets-L1"/>
        <w:rPr>
          <w:noProof/>
        </w:rPr>
      </w:pPr>
      <w:r>
        <w:rPr>
          <w:noProof/>
        </w:rPr>
        <w:t xml:space="preserve">the extension of the </w:t>
      </w:r>
      <w:r>
        <w:rPr>
          <w:rStyle w:val="amprcharBoldBlue"/>
          <w:rFonts w:eastAsiaTheme="minorHAnsi"/>
          <w:noProof/>
        </w:rPr>
        <w:t>EU Solidarity Fund</w:t>
      </w:r>
      <w:r>
        <w:rPr>
          <w:noProof/>
        </w:rPr>
        <w:t xml:space="preserve"> to cover major health crises in addition to natural disasters; and</w:t>
      </w:r>
    </w:p>
    <w:p>
      <w:pPr>
        <w:pStyle w:val="amprLISTorangebullets-L1"/>
        <w:spacing w:after="200"/>
        <w:rPr>
          <w:noProof/>
        </w:rPr>
      </w:pPr>
      <w:r>
        <w:rPr>
          <w:noProof/>
        </w:rPr>
        <w:t>a novel financial assistance instrument</w:t>
      </w:r>
      <w:r>
        <w:rPr>
          <w:rFonts w:ascii="Calibri" w:hAnsi="Calibri" w:cs="Calibri"/>
          <w:noProof/>
        </w:rPr>
        <w:t> </w:t>
      </w:r>
      <w:r>
        <w:rPr>
          <w:noProof/>
        </w:rPr>
        <w:t xml:space="preserve">– the </w:t>
      </w:r>
      <w:r>
        <w:rPr>
          <w:rStyle w:val="amprcharBoldBlue"/>
          <w:rFonts w:eastAsiaTheme="minorHAnsi"/>
          <w:noProof/>
        </w:rPr>
        <w:t>support to mitigate unemployment risks in an emergency programme</w:t>
      </w:r>
      <w:r>
        <w:rPr>
          <w:rStyle w:val="amprcharBoldBlue"/>
          <w:rFonts w:ascii="Calibri" w:eastAsiaTheme="minorHAnsi" w:hAnsi="Calibri" w:cs="Calibri"/>
          <w:noProof/>
        </w:rPr>
        <w:t> </w:t>
      </w:r>
      <w:r>
        <w:rPr>
          <w:rStyle w:val="amprcharBoldBlue"/>
          <w:rFonts w:eastAsiaTheme="minorHAnsi"/>
          <w:noProof/>
        </w:rPr>
        <w:t>(SURE)</w:t>
      </w:r>
      <w:r>
        <w:rPr>
          <w:rFonts w:ascii="Calibri" w:hAnsi="Calibri" w:cs="Calibri"/>
          <w:noProof/>
        </w:rPr>
        <w:t xml:space="preserve"> </w:t>
      </w:r>
      <w:r>
        <w:rPr>
          <w:noProof/>
        </w:rPr>
        <w:t>– with a budget of up to EUR</w:t>
      </w:r>
      <w:r>
        <w:rPr>
          <w:rFonts w:ascii="Calibri" w:hAnsi="Calibri" w:cs="Calibri"/>
          <w:noProof/>
        </w:rPr>
        <w:t> </w:t>
      </w:r>
      <w:r>
        <w:rPr>
          <w:noProof/>
        </w:rPr>
        <w:t>100</w:t>
      </w:r>
      <w:r>
        <w:rPr>
          <w:rFonts w:ascii="Calibri" w:hAnsi="Calibri" w:cs="Calibri"/>
          <w:noProof/>
        </w:rPr>
        <w:t> </w:t>
      </w:r>
      <w:r>
        <w:rPr>
          <w:noProof/>
        </w:rPr>
        <w:t xml:space="preserve">billion. </w:t>
      </w:r>
    </w:p>
    <w:p>
      <w:pPr>
        <w:pStyle w:val="amprBodyText"/>
        <w:spacing w:after="240"/>
        <w:rPr>
          <w:noProof/>
        </w:rPr>
      </w:pPr>
      <w:r>
        <w:rPr>
          <w:rStyle w:val="amprcharBoldBlue"/>
          <w:rFonts w:eastAsiaTheme="minorHAnsi"/>
          <w:noProof/>
        </w:rPr>
        <w:t xml:space="preserve">The European Parliament, the Council of the European Union and the Commission worked together seamlessly and rapidly </w:t>
      </w:r>
      <w:r>
        <w:rPr>
          <w:noProof/>
          <w:szCs w:val="20"/>
        </w:rPr>
        <w:t>to</w:t>
      </w:r>
      <w:r>
        <w:rPr>
          <w:noProof/>
        </w:rPr>
        <w:t xml:space="preserve"> adopt these measures in record time and they had entered into force by the end of April 2020. The highly innovative SURE programme came into force on 19</w:t>
      </w:r>
      <w:r>
        <w:rPr>
          <w:rFonts w:ascii="Calibri" w:hAnsi="Calibri" w:cs="Calibri"/>
          <w:noProof/>
        </w:rPr>
        <w:t> </w:t>
      </w:r>
      <w:r>
        <w:rPr>
          <w:noProof/>
        </w:rPr>
        <w:t>May 2020.</w:t>
      </w:r>
    </w:p>
    <w:p>
      <w:pPr>
        <w:pStyle w:val="amprboxORANGEdashedtext"/>
        <w:keepNext/>
        <w:pBdr>
          <w:left w:val="dashSmallGap" w:sz="12" w:space="4" w:color="F26A47"/>
        </w:pBdr>
        <w:jc w:val="center"/>
        <w:rPr>
          <w:b/>
          <w:noProof/>
          <w:color w:val="005D95"/>
        </w:rPr>
      </w:pPr>
      <w:r>
        <w:rPr>
          <w:b/>
          <w:noProof/>
          <w:color w:val="005D95"/>
        </w:rPr>
        <w:t>The Commission’s objectives for combating the COVID-19 crisis</w:t>
      </w:r>
    </w:p>
    <w:p>
      <w:pPr>
        <w:pStyle w:val="amprboxORANGEdashedtext"/>
        <w:pBdr>
          <w:left w:val="dashSmallGap" w:sz="12" w:space="4" w:color="F26A47"/>
        </w:pBdr>
        <w:rPr>
          <w:b/>
          <w:noProof/>
        </w:rPr>
      </w:pPr>
      <w:r>
        <w:rPr>
          <w:noProof/>
          <w:lang w:eastAsia="en-GB"/>
        </w:rPr>
        <w:drawing>
          <wp:inline distT="0" distB="0" distL="0" distR="0">
            <wp:extent cx="5760085" cy="26734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85" cy="2673497"/>
                    </a:xfrm>
                    <a:prstGeom prst="rect">
                      <a:avLst/>
                    </a:prstGeom>
                    <a:noFill/>
                  </pic:spPr>
                </pic:pic>
              </a:graphicData>
            </a:graphic>
          </wp:inline>
        </w:drawing>
      </w:r>
    </w:p>
    <w:p>
      <w:pPr>
        <w:pStyle w:val="amprBodyText"/>
        <w:rPr>
          <w:noProof/>
        </w:rPr>
      </w:pPr>
      <w:r>
        <w:rPr>
          <w:rStyle w:val="amprcharBoldBlue"/>
          <w:rFonts w:eastAsiaTheme="minorHAnsi"/>
          <w:noProof/>
        </w:rPr>
        <w:t>Financing these measures required the mobil</w:t>
      </w:r>
      <w:r>
        <w:rPr>
          <w:rStyle w:val="amprcharBoldBlue"/>
          <w:rFonts w:ascii="ZWAdobeF" w:eastAsiaTheme="minorHAnsi" w:hAnsi="ZWAdobeF" w:cs="ZWAdobeF"/>
          <w:b w:val="0"/>
          <w:noProof/>
          <w:color w:val="auto"/>
          <w:spacing w:val="0"/>
          <w:sz w:val="2"/>
          <w:szCs w:val="2"/>
        </w:rPr>
        <w:t>0T</w:t>
      </w:r>
      <w:r>
        <w:rPr>
          <w:rStyle w:val="amprcharBoldBlue"/>
          <w:rFonts w:eastAsiaTheme="minorHAnsi"/>
          <w:noProof/>
        </w:rPr>
        <w:t>isa</w:t>
      </w:r>
      <w:r>
        <w:rPr>
          <w:rStyle w:val="amprcharBoldBlue"/>
          <w:rFonts w:ascii="ZWAdobeF" w:eastAsiaTheme="minorHAnsi" w:hAnsi="ZWAdobeF" w:cs="ZWAdobeF"/>
          <w:b w:val="0"/>
          <w:noProof/>
          <w:color w:val="auto"/>
          <w:spacing w:val="0"/>
          <w:sz w:val="2"/>
          <w:szCs w:val="2"/>
        </w:rPr>
        <w:t>0T</w:t>
      </w:r>
      <w:r>
        <w:rPr>
          <w:rStyle w:val="amprcharBoldBlue"/>
          <w:rFonts w:eastAsiaTheme="minorHAnsi"/>
          <w:noProof/>
        </w:rPr>
        <w:t>tion of all means and flexibilities.</w:t>
      </w:r>
      <w:r>
        <w:rPr>
          <w:noProof/>
        </w:rPr>
        <w:t xml:space="preserve"> In total, the 2020 budget was increased by EUR</w:t>
      </w:r>
      <w:r>
        <w:rPr>
          <w:rFonts w:ascii="Calibri" w:hAnsi="Calibri" w:cs="Calibri"/>
          <w:noProof/>
        </w:rPr>
        <w:t> </w:t>
      </w:r>
      <w:r>
        <w:rPr>
          <w:noProof/>
        </w:rPr>
        <w:t>10.2</w:t>
      </w:r>
      <w:r>
        <w:rPr>
          <w:rFonts w:ascii="Calibri" w:hAnsi="Calibri" w:cs="Calibri"/>
          <w:noProof/>
        </w:rPr>
        <w:t> </w:t>
      </w:r>
      <w:r>
        <w:rPr>
          <w:noProof/>
        </w:rPr>
        <w:t>billion in payments, activating all remaining resources under the 2014-2020 multiannual financial framework and redirecting EUR</w:t>
      </w:r>
      <w:r>
        <w:rPr>
          <w:rFonts w:ascii="Calibri" w:hAnsi="Calibri" w:cs="Calibri"/>
          <w:noProof/>
        </w:rPr>
        <w:t> </w:t>
      </w:r>
      <w:r>
        <w:rPr>
          <w:noProof/>
        </w:rPr>
        <w:t>70</w:t>
      </w:r>
      <w:r>
        <w:rPr>
          <w:rFonts w:ascii="Calibri" w:hAnsi="Calibri" w:cs="Calibri"/>
          <w:noProof/>
        </w:rPr>
        <w:t> </w:t>
      </w:r>
      <w:r>
        <w:rPr>
          <w:noProof/>
        </w:rPr>
        <w:t>billion overall towards addressing the COVID-19 crisis. In particular, the Coronavirus Response Investment Initiatives made it easier for Member</w:t>
      </w:r>
      <w:r>
        <w:rPr>
          <w:rFonts w:cs="Calibri"/>
          <w:noProof/>
        </w:rPr>
        <w:t xml:space="preserve"> </w:t>
      </w:r>
      <w:r>
        <w:rPr>
          <w:noProof/>
        </w:rPr>
        <w:t xml:space="preserve">States to tap liquidity and redirect cohesion funding quickly, while the Emergency Support Instrument allowed the Commission to coordinate and assist procurement efforts necessary to combat the crisis. </w:t>
      </w:r>
    </w:p>
    <w:p>
      <w:pPr>
        <w:pStyle w:val="amprBodyText"/>
        <w:rPr>
          <w:noProof/>
        </w:rPr>
      </w:pPr>
      <w:r>
        <w:rPr>
          <w:rStyle w:val="amprcharBoldBlue"/>
          <w:rFonts w:eastAsiaTheme="minorHAnsi"/>
          <w:noProof/>
        </w:rPr>
        <w:t>Proactive budgetary management ensured the speedy and effective implementation of the 2020 budget.</w:t>
      </w:r>
      <w:r>
        <w:rPr>
          <w:noProof/>
        </w:rPr>
        <w:t xml:space="preserve"> Nine amending budgets were adopted as proposed by the Commission, more than in any other year in the 2014-2020 period and often in record time. Moreover, 28 budgetary authority transfers and hundreds of autonomous Commission transfers were made. As a result, the 2020 EU budget was spent almost entirely, in both commitments and payments</w:t>
      </w:r>
      <w:r>
        <w:rPr>
          <w:rFonts w:ascii="Calibri" w:hAnsi="Calibri" w:cs="Calibri"/>
          <w:noProof/>
        </w:rPr>
        <w:t> </w:t>
      </w:r>
      <w:r>
        <w:rPr>
          <w:noProof/>
        </w:rPr>
        <w:t>– the best outcome since 2014, and achieved despite the challenging environment.</w:t>
      </w:r>
    </w:p>
    <w:p>
      <w:pPr>
        <w:pStyle w:val="amprSubhead1"/>
        <w:rPr>
          <w:noProof/>
        </w:rPr>
      </w:pPr>
      <w:r>
        <w:rPr>
          <w:noProof/>
        </w:rPr>
        <w:t>Crisis fighting and paving the way for a safe vaccine</w:t>
      </w:r>
    </w:p>
    <w:p>
      <w:pPr>
        <w:pStyle w:val="amprBodyText"/>
        <w:rPr>
          <w:noProof/>
        </w:rPr>
      </w:pPr>
      <w:r>
        <w:rPr>
          <w:rStyle w:val="amprcharBoldBlue"/>
          <w:rFonts w:eastAsiaTheme="minorHAnsi"/>
          <w:noProof/>
        </w:rPr>
        <w:t>The early response through the EU budget focused on immediate d</w:t>
      </w:r>
      <w:r>
        <w:rPr>
          <w:rStyle w:val="amprcharBoldBlue"/>
          <w:rFonts w:ascii="ZWAdobeF" w:eastAsiaTheme="minorHAnsi" w:hAnsi="ZWAdobeF" w:cs="ZWAdobeF"/>
          <w:b w:val="0"/>
          <w:noProof/>
          <w:color w:val="auto"/>
          <w:spacing w:val="0"/>
          <w:sz w:val="2"/>
          <w:szCs w:val="2"/>
        </w:rPr>
        <w:t>0T</w:t>
      </w:r>
      <w:r>
        <w:rPr>
          <w:rStyle w:val="amprcharBoldBlue"/>
          <w:rFonts w:eastAsiaTheme="minorHAnsi"/>
          <w:noProof/>
        </w:rPr>
        <w:t>isa</w:t>
      </w:r>
      <w:r>
        <w:rPr>
          <w:rStyle w:val="amprcharBoldBlue"/>
          <w:rFonts w:ascii="ZWAdobeF" w:eastAsiaTheme="minorHAnsi" w:hAnsi="ZWAdobeF" w:cs="ZWAdobeF"/>
          <w:b w:val="0"/>
          <w:noProof/>
          <w:color w:val="auto"/>
          <w:spacing w:val="0"/>
          <w:sz w:val="2"/>
          <w:szCs w:val="2"/>
        </w:rPr>
        <w:t>0T</w:t>
      </w:r>
      <w:r>
        <w:rPr>
          <w:rStyle w:val="amprcharBoldBlue"/>
          <w:rFonts w:eastAsiaTheme="minorHAnsi"/>
          <w:noProof/>
        </w:rPr>
        <w:t>ster relief.</w:t>
      </w:r>
      <w:r>
        <w:rPr>
          <w:noProof/>
        </w:rPr>
        <w:t xml:space="preserve"> The EU provided support in particular for logistical needs, such as the repatriation of EU citizens, delivery of medical goods from abroad, and the distribution across EU borders of medical goods and training of medical staff in areas such as intensive care. </w:t>
      </w:r>
    </w:p>
    <w:p>
      <w:pPr>
        <w:pStyle w:val="amprboxORANGEdashedbulletlist"/>
        <w:spacing w:before="240"/>
        <w:rPr>
          <w:noProof/>
        </w:rPr>
      </w:pPr>
      <w:r>
        <w:rPr>
          <w:rStyle w:val="amprcharBoldBlue"/>
          <w:b w:val="0"/>
          <w:noProof/>
          <w:color w:val="000000" w:themeColor="text1"/>
          <w:spacing w:val="0"/>
        </w:rPr>
        <w:t>90</w:t>
      </w:r>
      <w:r>
        <w:rPr>
          <w:rStyle w:val="amprcharBoldBlue"/>
          <w:rFonts w:ascii="Calibri" w:hAnsi="Calibri" w:cs="Calibri"/>
          <w:b w:val="0"/>
          <w:noProof/>
          <w:color w:val="000000" w:themeColor="text1"/>
          <w:spacing w:val="0"/>
        </w:rPr>
        <w:t> </w:t>
      </w:r>
      <w:r>
        <w:rPr>
          <w:rStyle w:val="amprcharBoldBlue"/>
          <w:b w:val="0"/>
          <w:noProof/>
          <w:color w:val="000000" w:themeColor="text1"/>
          <w:spacing w:val="0"/>
        </w:rPr>
        <w:t xml:space="preserve">000 EU citizens </w:t>
      </w:r>
      <w:r>
        <w:rPr>
          <w:noProof/>
        </w:rPr>
        <w:t>received help in returning home from abroad;</w:t>
      </w:r>
    </w:p>
    <w:p>
      <w:pPr>
        <w:pStyle w:val="amprboxORANGEdashedbulletlist"/>
        <w:rPr>
          <w:noProof/>
        </w:rPr>
      </w:pPr>
      <w:r>
        <w:rPr>
          <w:rStyle w:val="amprcharBoldBlue"/>
          <w:b w:val="0"/>
          <w:noProof/>
          <w:color w:val="000000" w:themeColor="text1"/>
          <w:spacing w:val="0"/>
        </w:rPr>
        <w:t>1</w:t>
      </w:r>
      <w:r>
        <w:rPr>
          <w:rStyle w:val="amprcharBoldBlue"/>
          <w:rFonts w:ascii="Calibri" w:hAnsi="Calibri" w:cs="Calibri"/>
          <w:b w:val="0"/>
          <w:noProof/>
          <w:color w:val="000000" w:themeColor="text1"/>
          <w:spacing w:val="0"/>
        </w:rPr>
        <w:t> </w:t>
      </w:r>
      <w:r>
        <w:rPr>
          <w:rStyle w:val="amprcharBoldBlue"/>
          <w:b w:val="0"/>
          <w:noProof/>
          <w:color w:val="000000" w:themeColor="text1"/>
          <w:spacing w:val="0"/>
        </w:rPr>
        <w:t>500 cargo operations</w:t>
      </w:r>
      <w:r>
        <w:rPr>
          <w:noProof/>
        </w:rPr>
        <w:t xml:space="preserve"> by air, road, rail and sea were carried out, bringing essential medical supplies into the EU at a time when cargo transport availability was seriously limited; </w:t>
      </w:r>
    </w:p>
    <w:p>
      <w:pPr>
        <w:pStyle w:val="amprboxORANGEdashedbulletlist"/>
        <w:rPr>
          <w:noProof/>
        </w:rPr>
      </w:pPr>
      <w:r>
        <w:rPr>
          <w:rStyle w:val="amprcharBoldBlue"/>
          <w:b w:val="0"/>
          <w:noProof/>
          <w:color w:val="000000" w:themeColor="text1"/>
          <w:spacing w:val="0"/>
        </w:rPr>
        <w:t>15</w:t>
      </w:r>
      <w:r>
        <w:rPr>
          <w:rStyle w:val="amprcharBoldBlue"/>
          <w:rFonts w:ascii="Calibri" w:hAnsi="Calibri" w:cs="Calibri"/>
          <w:b w:val="0"/>
          <w:noProof/>
          <w:color w:val="000000" w:themeColor="text1"/>
          <w:spacing w:val="0"/>
        </w:rPr>
        <w:t> </w:t>
      </w:r>
      <w:r>
        <w:rPr>
          <w:rStyle w:val="amprcharBoldBlue"/>
          <w:b w:val="0"/>
          <w:noProof/>
          <w:color w:val="000000" w:themeColor="text1"/>
          <w:spacing w:val="0"/>
        </w:rPr>
        <w:t>000 medical professionals across 750 hospitals</w:t>
      </w:r>
      <w:r>
        <w:rPr>
          <w:noProof/>
        </w:rPr>
        <w:t xml:space="preserve"> received training in intensive care and 3</w:t>
      </w:r>
      <w:r>
        <w:rPr>
          <w:rFonts w:ascii="Calibri" w:hAnsi="Calibri" w:cs="Calibri"/>
          <w:noProof/>
        </w:rPr>
        <w:t> </w:t>
      </w:r>
      <w:r>
        <w:rPr>
          <w:noProof/>
        </w:rPr>
        <w:t>500 medical staff were trained in coronavirus testing techniques;</w:t>
      </w:r>
    </w:p>
    <w:p>
      <w:pPr>
        <w:pStyle w:val="amprboxORANGEdashedbulletlist"/>
        <w:spacing w:after="360"/>
        <w:rPr>
          <w:noProof/>
        </w:rPr>
      </w:pPr>
      <w:r>
        <w:rPr>
          <w:rStyle w:val="amprcharBoldBlue"/>
          <w:b w:val="0"/>
          <w:noProof/>
          <w:color w:val="000000" w:themeColor="text1"/>
          <w:spacing w:val="0"/>
        </w:rPr>
        <w:t>200 disinfection robots</w:t>
      </w:r>
      <w:r>
        <w:rPr>
          <w:noProof/>
        </w:rPr>
        <w:t xml:space="preserve"> that use ultraviolet light to disinfect patient rooms in hospitals in just 15</w:t>
      </w:r>
      <w:r>
        <w:rPr>
          <w:rFonts w:ascii="Calibri" w:hAnsi="Calibri" w:cs="Calibri"/>
          <w:noProof/>
        </w:rPr>
        <w:t> </w:t>
      </w:r>
      <w:r>
        <w:rPr>
          <w:noProof/>
        </w:rPr>
        <w:t>minutes are being sent to hospitals throughout the EU.</w:t>
      </w:r>
    </w:p>
    <w:p>
      <w:pPr>
        <w:pStyle w:val="amprBodyText"/>
        <w:rPr>
          <w:noProof/>
        </w:rPr>
      </w:pPr>
      <w:r>
        <w:rPr>
          <w:rStyle w:val="amprcharBoldBlue"/>
          <w:rFonts w:eastAsiaTheme="minorHAnsi"/>
          <w:noProof/>
        </w:rPr>
        <w:t>Securing a safe and effective vaccine was the cornerstone of the Commission’s strategy</w:t>
      </w:r>
      <w:r>
        <w:rPr>
          <w:noProof/>
        </w:rPr>
        <w:t xml:space="preserve"> to contain the health crisis and enable a strong economic recovery. </w:t>
      </w:r>
    </w:p>
    <w:p>
      <w:pPr>
        <w:pStyle w:val="amprLISTorangebullets-L1"/>
        <w:rPr>
          <w:rStyle w:val="amprcharBoldBlue"/>
          <w:rFonts w:eastAsiaTheme="minorHAnsi"/>
          <w:noProof/>
        </w:rPr>
      </w:pPr>
      <w:r>
        <w:rPr>
          <w:rStyle w:val="amprcharBoldBlue"/>
          <w:rFonts w:eastAsiaTheme="minorHAnsi"/>
          <w:noProof/>
        </w:rPr>
        <w:t>As early as 31</w:t>
      </w:r>
      <w:r>
        <w:rPr>
          <w:rStyle w:val="amprcharBoldBlue"/>
          <w:rFonts w:ascii="Calibri" w:eastAsiaTheme="minorHAnsi" w:hAnsi="Calibri" w:cs="Calibri"/>
          <w:noProof/>
        </w:rPr>
        <w:t> </w:t>
      </w:r>
      <w:r>
        <w:rPr>
          <w:rStyle w:val="amprcharBoldBlue"/>
          <w:rFonts w:eastAsiaTheme="minorHAnsi"/>
          <w:noProof/>
        </w:rPr>
        <w:t>January 2020, Horizon</w:t>
      </w:r>
      <w:r>
        <w:rPr>
          <w:rStyle w:val="amprcharBoldBlue"/>
          <w:rFonts w:ascii="Calibri" w:eastAsiaTheme="minorHAnsi" w:hAnsi="Calibri" w:cs="Calibri"/>
          <w:noProof/>
        </w:rPr>
        <w:t> </w:t>
      </w:r>
      <w:r>
        <w:rPr>
          <w:rStyle w:val="amprcharBoldBlue"/>
          <w:rFonts w:eastAsiaTheme="minorHAnsi"/>
          <w:noProof/>
        </w:rPr>
        <w:t xml:space="preserve">2020 published an emergency call to support research related to the new disease. </w:t>
      </w:r>
    </w:p>
    <w:p>
      <w:pPr>
        <w:pStyle w:val="amprLISTorangebullets-L1"/>
        <w:rPr>
          <w:noProof/>
        </w:rPr>
      </w:pPr>
      <w:r>
        <w:rPr>
          <w:rStyle w:val="amprcharBoldBlue"/>
          <w:rFonts w:eastAsiaTheme="minorHAnsi"/>
          <w:noProof/>
        </w:rPr>
        <w:t>By 18</w:t>
      </w:r>
      <w:r>
        <w:rPr>
          <w:rStyle w:val="amprcharBoldBlue"/>
          <w:rFonts w:ascii="Calibri" w:eastAsiaTheme="minorHAnsi" w:hAnsi="Calibri" w:cs="Calibri"/>
          <w:noProof/>
        </w:rPr>
        <w:t> </w:t>
      </w:r>
      <w:r>
        <w:rPr>
          <w:rStyle w:val="amprcharBoldBlue"/>
          <w:rFonts w:eastAsiaTheme="minorHAnsi"/>
          <w:noProof/>
        </w:rPr>
        <w:t>June, the Commission and the Member States had agreed that the Commission would procure vaccines on behalf of all Member States.</w:t>
      </w:r>
      <w:r>
        <w:rPr>
          <w:noProof/>
        </w:rPr>
        <w:t xml:space="preserve"> This first</w:t>
      </w:r>
      <w:r>
        <w:rPr>
          <w:noProof/>
        </w:rPr>
        <w:noBreakHyphen/>
        <w:t>of</w:t>
      </w:r>
      <w:r>
        <w:rPr>
          <w:noProof/>
        </w:rPr>
        <w:noBreakHyphen/>
        <w:t>a</w:t>
      </w:r>
      <w:r>
        <w:rPr>
          <w:noProof/>
        </w:rPr>
        <w:noBreakHyphen/>
        <w:t xml:space="preserve">kind agreement demonstrated the strength of solidarity among the Member States and their confidence in the agility of the EU budget and in the Commission as its manager. The coordinated approach ensured that Member States could share the inherent risk of investing in as-yet unproven vaccine development, giving access to a broad portfolio of potential vaccine technologies and companies. </w:t>
      </w:r>
    </w:p>
    <w:p>
      <w:pPr>
        <w:pStyle w:val="amprLISTorangebullets-L1"/>
        <w:spacing w:after="240"/>
        <w:rPr>
          <w:noProof/>
        </w:rPr>
      </w:pPr>
      <w:r>
        <w:rPr>
          <w:rStyle w:val="amprcharBoldBlue"/>
          <w:rFonts w:eastAsiaTheme="minorHAnsi"/>
          <w:noProof/>
        </w:rPr>
        <w:t>The Commission secured 2.6</w:t>
      </w:r>
      <w:r>
        <w:rPr>
          <w:rStyle w:val="amprcharBoldBlue"/>
          <w:rFonts w:ascii="Calibri" w:eastAsiaTheme="minorHAnsi" w:hAnsi="Calibri" w:cs="Calibri"/>
          <w:noProof/>
        </w:rPr>
        <w:t> </w:t>
      </w:r>
      <w:r>
        <w:rPr>
          <w:rStyle w:val="amprcharBoldBlue"/>
          <w:rFonts w:eastAsiaTheme="minorHAnsi"/>
          <w:noProof/>
        </w:rPr>
        <w:t>billion doses of COVID-19 vaccines for all Member States</w:t>
      </w:r>
      <w:r>
        <w:rPr>
          <w:rStyle w:val="amprcharBoldBlue"/>
          <w:rFonts w:ascii="Calibri" w:eastAsiaTheme="minorHAnsi" w:hAnsi="Calibri" w:cs="Calibri"/>
          <w:b w:val="0"/>
          <w:noProof/>
          <w:color w:val="auto"/>
        </w:rPr>
        <w:t> </w:t>
      </w:r>
      <w:r>
        <w:rPr>
          <w:rStyle w:val="amprcharBoldBlue"/>
          <w:rFonts w:eastAsiaTheme="minorHAnsi"/>
          <w:b w:val="0"/>
          <w:noProof/>
          <w:color w:val="auto"/>
        </w:rPr>
        <w:t>(</w:t>
      </w:r>
      <w:r>
        <w:rPr>
          <w:rStyle w:val="amprcharBoldBlue"/>
          <w:rFonts w:ascii="ZWAdobeF" w:eastAsiaTheme="minorHAnsi" w:hAnsi="ZWAdobeF" w:cs="ZWAdobeF"/>
          <w:b w:val="0"/>
          <w:noProof/>
          <w:color w:val="auto"/>
          <w:spacing w:val="0"/>
          <w:sz w:val="2"/>
          <w:szCs w:val="2"/>
        </w:rPr>
        <w:t>8F</w:t>
      </w:r>
      <w:r>
        <w:rPr>
          <w:rStyle w:val="amprcharBoldBlue"/>
          <w:rFonts w:eastAsiaTheme="minorHAnsi"/>
          <w:b w:val="0"/>
          <w:noProof/>
          <w:color w:val="auto"/>
          <w:vertAlign w:val="superscript"/>
        </w:rPr>
        <w:footnoteReference w:id="10"/>
      </w:r>
      <w:r>
        <w:rPr>
          <w:rStyle w:val="amprcharBoldBlue"/>
          <w:rFonts w:eastAsiaTheme="minorHAnsi"/>
          <w:b w:val="0"/>
          <w:noProof/>
          <w:color w:val="auto"/>
        </w:rPr>
        <w:t>)</w:t>
      </w:r>
      <w:r>
        <w:rPr>
          <w:rStyle w:val="amprcharBoldBlue"/>
          <w:rFonts w:eastAsiaTheme="minorHAnsi"/>
          <w:noProof/>
        </w:rPr>
        <w:t>, using EUR</w:t>
      </w:r>
      <w:r>
        <w:rPr>
          <w:rStyle w:val="amprcharBoldBlue"/>
          <w:rFonts w:ascii="Calibri" w:eastAsiaTheme="minorHAnsi" w:hAnsi="Calibri" w:cs="Calibri"/>
          <w:noProof/>
        </w:rPr>
        <w:t> </w:t>
      </w:r>
      <w:r>
        <w:rPr>
          <w:rStyle w:val="amprcharBoldBlue"/>
          <w:rFonts w:eastAsiaTheme="minorHAnsi"/>
          <w:noProof/>
        </w:rPr>
        <w:t>2.3</w:t>
      </w:r>
      <w:r>
        <w:rPr>
          <w:rStyle w:val="amprcharBoldBlue"/>
          <w:rFonts w:ascii="Calibri" w:eastAsiaTheme="minorHAnsi" w:hAnsi="Calibri" w:cs="Calibri"/>
          <w:noProof/>
        </w:rPr>
        <w:t> </w:t>
      </w:r>
      <w:r>
        <w:rPr>
          <w:rStyle w:val="amprcharBoldBlue"/>
          <w:rFonts w:eastAsiaTheme="minorHAnsi"/>
          <w:noProof/>
        </w:rPr>
        <w:t>billion from the Emergency Support Instrument.</w:t>
      </w:r>
      <w:r>
        <w:rPr>
          <w:noProof/>
        </w:rPr>
        <w:t xml:space="preserve"> As a result, the first EU citizens had already been vaccinated before the end of 2020, after the European Medicines Agency had confirmed the safety and effectiveness of the vaccine used. By the end of the year, Member</w:t>
      </w:r>
      <w:r>
        <w:rPr>
          <w:rFonts w:cs="Calibri"/>
          <w:noProof/>
        </w:rPr>
        <w:t xml:space="preserve"> </w:t>
      </w:r>
      <w:r>
        <w:rPr>
          <w:noProof/>
        </w:rPr>
        <w:t>States had made additional contributions of EUR</w:t>
      </w:r>
      <w:r>
        <w:rPr>
          <w:rFonts w:ascii="Calibri" w:hAnsi="Calibri" w:cs="Calibri"/>
          <w:noProof/>
        </w:rPr>
        <w:t> </w:t>
      </w:r>
      <w:r>
        <w:rPr>
          <w:noProof/>
        </w:rPr>
        <w:t>750</w:t>
      </w:r>
      <w:r>
        <w:rPr>
          <w:rFonts w:ascii="Calibri" w:hAnsi="Calibri" w:cs="Calibri"/>
          <w:noProof/>
        </w:rPr>
        <w:t> </w:t>
      </w:r>
      <w:r>
        <w:rPr>
          <w:noProof/>
        </w:rPr>
        <w:t xml:space="preserve">million in external assigned revenue available for the purchase of further vaccines. </w:t>
      </w:r>
    </w:p>
    <w:p>
      <w:pPr>
        <w:pStyle w:val="amprBodyText"/>
        <w:keepLines/>
        <w:rPr>
          <w:noProof/>
        </w:rPr>
      </w:pPr>
      <w:r>
        <w:rPr>
          <w:rStyle w:val="amprcharBoldBlue"/>
          <w:rFonts w:eastAsiaTheme="minorHAnsi"/>
          <w:noProof/>
        </w:rPr>
        <w:t>For the EU, solidarity does not end at its borders.</w:t>
      </w:r>
      <w:r>
        <w:rPr>
          <w:noProof/>
        </w:rPr>
        <w:t xml:space="preserve"> The Commission stood firm in its intention of making vaccines available globally. The</w:t>
      </w:r>
      <w:r>
        <w:rPr>
          <w:rFonts w:cs="Calibri"/>
          <w:noProof/>
        </w:rPr>
        <w:t xml:space="preserve"> </w:t>
      </w:r>
      <w:r>
        <w:rPr>
          <w:noProof/>
        </w:rPr>
        <w:t>EU took the lead in global efforts to fund a viable vaccine and make it available worldwide when the Commission organised a global pledging conference on 4</w:t>
      </w:r>
      <w:r>
        <w:rPr>
          <w:rFonts w:ascii="Calibri" w:hAnsi="Calibri" w:cs="Calibri"/>
          <w:noProof/>
        </w:rPr>
        <w:t> </w:t>
      </w:r>
      <w:r>
        <w:rPr>
          <w:noProof/>
        </w:rPr>
        <w:t>May 2020, collecting almost EUR</w:t>
      </w:r>
      <w:r>
        <w:rPr>
          <w:rFonts w:ascii="Calibri" w:hAnsi="Calibri" w:cs="Calibri"/>
          <w:noProof/>
        </w:rPr>
        <w:t> </w:t>
      </w:r>
      <w:r>
        <w:rPr>
          <w:noProof/>
        </w:rPr>
        <w:t>15.9 billion by the end of December 2020, including a contribution of EUR</w:t>
      </w:r>
      <w:r>
        <w:rPr>
          <w:rFonts w:ascii="Calibri" w:hAnsi="Calibri" w:cs="Calibri"/>
          <w:noProof/>
        </w:rPr>
        <w:t> </w:t>
      </w:r>
      <w:r>
        <w:rPr>
          <w:noProof/>
        </w:rPr>
        <w:t>1.4</w:t>
      </w:r>
      <w:r>
        <w:rPr>
          <w:rFonts w:ascii="Calibri" w:hAnsi="Calibri" w:cs="Calibri"/>
          <w:noProof/>
        </w:rPr>
        <w:t> </w:t>
      </w:r>
      <w:r>
        <w:rPr>
          <w:noProof/>
        </w:rPr>
        <w:t>billion from the EU budget as part of the wider Team Europe</w:t>
      </w:r>
      <w:r>
        <w:rPr>
          <w:rFonts w:ascii="Calibri" w:hAnsi="Calibri" w:cs="Calibri"/>
          <w:noProof/>
        </w:rPr>
        <w:t> </w:t>
      </w:r>
      <w:r>
        <w:rPr>
          <w:noProof/>
        </w:rPr>
        <w:t>(</w:t>
      </w:r>
      <w:r>
        <w:rPr>
          <w:rFonts w:ascii="ZWAdobeF" w:hAnsi="ZWAdobeF" w:cs="ZWAdobeF"/>
          <w:noProof/>
          <w:color w:val="auto"/>
          <w:sz w:val="2"/>
          <w:szCs w:val="2"/>
        </w:rPr>
        <w:t>9F</w:t>
      </w:r>
      <w:r>
        <w:rPr>
          <w:rStyle w:val="FootnoteReference"/>
          <w:noProof/>
        </w:rPr>
        <w:footnoteReference w:id="11"/>
      </w:r>
      <w:r>
        <w:rPr>
          <w:noProof/>
        </w:rPr>
        <w:t>) efforts. With over EUR</w:t>
      </w:r>
      <w:r>
        <w:rPr>
          <w:rFonts w:ascii="Calibri" w:hAnsi="Calibri" w:cs="Calibri"/>
          <w:noProof/>
        </w:rPr>
        <w:t> </w:t>
      </w:r>
      <w:r>
        <w:rPr>
          <w:noProof/>
        </w:rPr>
        <w:t>2.2</w:t>
      </w:r>
      <w:r>
        <w:rPr>
          <w:rFonts w:ascii="Calibri" w:hAnsi="Calibri" w:cs="Calibri"/>
          <w:noProof/>
        </w:rPr>
        <w:t> </w:t>
      </w:r>
      <w:r>
        <w:rPr>
          <w:noProof/>
        </w:rPr>
        <w:t>billion, Team</w:t>
      </w:r>
      <w:r>
        <w:rPr>
          <w:rFonts w:cs="Calibri"/>
          <w:noProof/>
        </w:rPr>
        <w:t xml:space="preserve"> </w:t>
      </w:r>
      <w:r>
        <w:rPr>
          <w:noProof/>
        </w:rPr>
        <w:t>Europe is one of the leading contributors to COVAX, a platform that is leading efforts to secure fair and equitable access to COVID-19 vaccines in low- and middle-income countries.</w:t>
      </w:r>
    </w:p>
    <w:p>
      <w:pPr>
        <w:pStyle w:val="amprSubhead1"/>
        <w:rPr>
          <w:noProof/>
        </w:rPr>
      </w:pPr>
      <w:r>
        <w:rPr>
          <w:noProof/>
        </w:rPr>
        <w:t>Economic and social relief</w:t>
      </w:r>
    </w:p>
    <w:p>
      <w:pPr>
        <w:pStyle w:val="amprBodyText"/>
        <w:rPr>
          <w:rStyle w:val="amprcharBoldBlue"/>
          <w:rFonts w:eastAsiaTheme="minorHAnsi"/>
          <w:noProof/>
        </w:rPr>
      </w:pPr>
      <w:r>
        <w:rPr>
          <w:rStyle w:val="amprcharBoldBlue"/>
          <w:rFonts w:eastAsiaTheme="minorHAnsi"/>
          <w:noProof/>
        </w:rPr>
        <w:t>The Commission’s swift and ambitious reaction ensured that every available euro addressed the most pressing needs, as follows.</w:t>
      </w:r>
    </w:p>
    <w:p>
      <w:pPr>
        <w:pStyle w:val="amprLISTorangebullets-L1"/>
        <w:rPr>
          <w:noProof/>
        </w:rPr>
      </w:pPr>
      <w:r>
        <w:rPr>
          <w:rStyle w:val="amprcharBoldBlue"/>
          <w:rFonts w:eastAsiaTheme="minorHAnsi"/>
          <w:noProof/>
        </w:rPr>
        <w:t>The Coronavirus Response Investment Initiatives gave Member States the flexibility to reallocate EUR</w:t>
      </w:r>
      <w:r>
        <w:rPr>
          <w:rStyle w:val="amprcharBoldBlue"/>
          <w:rFonts w:ascii="Calibri" w:eastAsiaTheme="minorHAnsi" w:hAnsi="Calibri" w:cs="Calibri"/>
          <w:noProof/>
        </w:rPr>
        <w:t> </w:t>
      </w:r>
      <w:r>
        <w:rPr>
          <w:rStyle w:val="amprcharBoldBlue"/>
          <w:rFonts w:eastAsiaTheme="minorHAnsi"/>
          <w:noProof/>
        </w:rPr>
        <w:t>23.3</w:t>
      </w:r>
      <w:r>
        <w:rPr>
          <w:rStyle w:val="amprcharBoldBlue"/>
          <w:rFonts w:ascii="Calibri" w:eastAsiaTheme="minorHAnsi" w:hAnsi="Calibri" w:cs="Calibri"/>
          <w:noProof/>
        </w:rPr>
        <w:t> </w:t>
      </w:r>
      <w:r>
        <w:rPr>
          <w:rStyle w:val="amprcharBoldBlue"/>
          <w:rFonts w:eastAsiaTheme="minorHAnsi"/>
          <w:noProof/>
        </w:rPr>
        <w:t xml:space="preserve">billion </w:t>
      </w:r>
      <w:r>
        <w:rPr>
          <w:rStyle w:val="amprcharBoldBlue"/>
          <w:rFonts w:eastAsiaTheme="minorHAnsi"/>
          <w:b w:val="0"/>
          <w:noProof/>
        </w:rPr>
        <w:t>(</w:t>
      </w:r>
      <w:r>
        <w:rPr>
          <w:rStyle w:val="FootnoteReference"/>
          <w:rFonts w:eastAsiaTheme="minorHAnsi"/>
          <w:b/>
          <w:noProof/>
          <w:color w:val="005D95" w:themeColor="accent4"/>
          <w:spacing w:val="1"/>
        </w:rPr>
        <w:footnoteReference w:id="12"/>
      </w:r>
      <w:r>
        <w:rPr>
          <w:rStyle w:val="amprcharBoldBlue"/>
          <w:rFonts w:eastAsiaTheme="minorHAnsi"/>
          <w:b w:val="0"/>
          <w:noProof/>
        </w:rPr>
        <w:t xml:space="preserve">) </w:t>
      </w:r>
      <w:r>
        <w:rPr>
          <w:rStyle w:val="amprcharBoldBlue"/>
          <w:rFonts w:eastAsiaTheme="minorHAnsi"/>
          <w:noProof/>
        </w:rPr>
        <w:t>to the most urgent needs</w:t>
      </w:r>
      <w:r>
        <w:rPr>
          <w:noProof/>
        </w:rPr>
        <w:t>, using all available money from the European Structural and Investment Funds. Through this measure, by June 2021, EUR</w:t>
      </w:r>
      <w:r>
        <w:rPr>
          <w:rFonts w:ascii="Calibri" w:hAnsi="Calibri" w:cs="Calibri"/>
          <w:noProof/>
        </w:rPr>
        <w:t> </w:t>
      </w:r>
      <w:r>
        <w:rPr>
          <w:noProof/>
        </w:rPr>
        <w:t>8.4</w:t>
      </w:r>
      <w:r>
        <w:rPr>
          <w:rFonts w:ascii="Calibri" w:hAnsi="Calibri" w:cs="Calibri"/>
          <w:noProof/>
        </w:rPr>
        <w:t> </w:t>
      </w:r>
      <w:r>
        <w:rPr>
          <w:noProof/>
        </w:rPr>
        <w:t xml:space="preserve">billion was reallocated to health-related measures, such as the </w:t>
      </w:r>
      <w:r>
        <w:rPr>
          <w:rStyle w:val="colour"/>
          <w:noProof/>
          <w:color w:val="252525"/>
        </w:rPr>
        <w:t>purchase of medical supplies, testing and hiring of additional health personnel. To contain the spread of the crisis and the damage caused, EUR</w:t>
      </w:r>
      <w:r>
        <w:rPr>
          <w:rStyle w:val="colour"/>
          <w:rFonts w:ascii="Calibri" w:hAnsi="Calibri" w:cs="Calibri"/>
          <w:noProof/>
          <w:color w:val="252525"/>
        </w:rPr>
        <w:t> </w:t>
      </w:r>
      <w:r>
        <w:rPr>
          <w:rStyle w:val="colour"/>
          <w:noProof/>
          <w:color w:val="252525"/>
        </w:rPr>
        <w:t>12.8</w:t>
      </w:r>
      <w:r>
        <w:rPr>
          <w:rStyle w:val="colour"/>
          <w:rFonts w:ascii="Calibri" w:hAnsi="Calibri" w:cs="Calibri"/>
          <w:noProof/>
          <w:color w:val="252525"/>
        </w:rPr>
        <w:t> </w:t>
      </w:r>
      <w:r>
        <w:rPr>
          <w:rStyle w:val="colour"/>
          <w:noProof/>
          <w:color w:val="252525"/>
        </w:rPr>
        <w:t xml:space="preserve">billion was made available in direct support for </w:t>
      </w:r>
      <w:r>
        <w:rPr>
          <w:noProof/>
        </w:rPr>
        <w:t>businesses and EUR</w:t>
      </w:r>
      <w:r>
        <w:rPr>
          <w:rFonts w:ascii="Calibri" w:hAnsi="Calibri" w:cs="Calibri"/>
          <w:noProof/>
        </w:rPr>
        <w:t> </w:t>
      </w:r>
      <w:r>
        <w:rPr>
          <w:noProof/>
        </w:rPr>
        <w:t>3.9</w:t>
      </w:r>
      <w:r>
        <w:rPr>
          <w:rFonts w:ascii="Calibri" w:hAnsi="Calibri" w:cs="Calibri"/>
          <w:noProof/>
        </w:rPr>
        <w:t> </w:t>
      </w:r>
      <w:r>
        <w:rPr>
          <w:noProof/>
        </w:rPr>
        <w:t>billion for people, including workers and vulnerable groups (</w:t>
      </w:r>
      <w:r>
        <w:rPr>
          <w:rStyle w:val="FootnoteReference"/>
          <w:noProof/>
        </w:rPr>
        <w:footnoteReference w:id="13"/>
      </w:r>
      <w:r>
        <w:rPr>
          <w:noProof/>
        </w:rPr>
        <w:t>).</w:t>
      </w:r>
    </w:p>
    <w:p>
      <w:pPr>
        <w:pStyle w:val="amprLISTorangebullets-L1"/>
        <w:rPr>
          <w:rFonts w:cstheme="minorHAnsi"/>
          <w:noProof/>
        </w:rPr>
      </w:pPr>
      <w:r>
        <w:rPr>
          <w:rStyle w:val="amprcharBoldBlue"/>
          <w:rFonts w:eastAsiaTheme="minorHAnsi"/>
          <w:noProof/>
        </w:rPr>
        <w:t>SURE provided financing to Member States at advantageous rates to alleviate the pressure on the economy and support employment.</w:t>
      </w:r>
      <w:r>
        <w:rPr>
          <w:noProof/>
        </w:rPr>
        <w:t xml:space="preserve"> The budget is up to EUR 100 billion and by the end of 2020, more than EUR</w:t>
      </w:r>
      <w:r>
        <w:rPr>
          <w:rFonts w:ascii="Calibri" w:hAnsi="Calibri" w:cs="Calibri"/>
          <w:noProof/>
        </w:rPr>
        <w:t> </w:t>
      </w:r>
      <w:r>
        <w:rPr>
          <w:noProof/>
        </w:rPr>
        <w:t>90</w:t>
      </w:r>
      <w:r>
        <w:rPr>
          <w:rFonts w:ascii="Calibri" w:hAnsi="Calibri" w:cs="Calibri"/>
          <w:noProof/>
        </w:rPr>
        <w:t> </w:t>
      </w:r>
      <w:r>
        <w:rPr>
          <w:noProof/>
        </w:rPr>
        <w:t>billion in loan support had been requested and allocated to Member States. EUR</w:t>
      </w:r>
      <w:r>
        <w:rPr>
          <w:rFonts w:ascii="Calibri" w:hAnsi="Calibri" w:cs="Calibri"/>
          <w:noProof/>
        </w:rPr>
        <w:t> </w:t>
      </w:r>
      <w:r>
        <w:rPr>
          <w:noProof/>
        </w:rPr>
        <w:t>40</w:t>
      </w:r>
      <w:r>
        <w:rPr>
          <w:rFonts w:ascii="Calibri" w:hAnsi="Calibri" w:cs="Calibri"/>
          <w:noProof/>
        </w:rPr>
        <w:t> </w:t>
      </w:r>
      <w:r>
        <w:rPr>
          <w:noProof/>
        </w:rPr>
        <w:t xml:space="preserve">billion had already been paid out, mostly supporting short-term employment schemes </w:t>
      </w:r>
      <w:r>
        <w:rPr>
          <w:rFonts w:cstheme="minorHAnsi"/>
          <w:noProof/>
        </w:rPr>
        <w:t>in beneficiary Member States. By early 2021, between 25 and 30</w:t>
      </w:r>
      <w:r>
        <w:rPr>
          <w:rFonts w:ascii="Calibri" w:hAnsi="Calibri" w:cs="Calibri"/>
          <w:noProof/>
        </w:rPr>
        <w:t> </w:t>
      </w:r>
      <w:r>
        <w:rPr>
          <w:rFonts w:cstheme="minorHAnsi"/>
          <w:noProof/>
        </w:rPr>
        <w:t>million employees had benefited from support under SURE – a significant portion of the job market in beneficiary Member States, which saved an estimated EUR 5.8 billion in interest payments.</w:t>
      </w:r>
    </w:p>
    <w:p>
      <w:pPr>
        <w:pStyle w:val="amprLISTorangebullets-L1"/>
        <w:spacing w:after="240"/>
        <w:rPr>
          <w:noProof/>
        </w:rPr>
      </w:pPr>
      <w:r>
        <w:rPr>
          <w:rStyle w:val="amprcharBoldBlue"/>
          <w:rFonts w:eastAsiaTheme="minorHAnsi"/>
          <w:noProof/>
        </w:rPr>
        <w:t>Through Team Europe, the EU adopted a broader outlook, providing support beyond its borders.</w:t>
      </w:r>
      <w:r>
        <w:rPr>
          <w:noProof/>
        </w:rPr>
        <w:t xml:space="preserve"> Team Europe secured financial support for partner countries amounting to more than EUR</w:t>
      </w:r>
      <w:r>
        <w:rPr>
          <w:rFonts w:ascii="Calibri" w:hAnsi="Calibri" w:cs="Calibri"/>
          <w:noProof/>
        </w:rPr>
        <w:t> </w:t>
      </w:r>
      <w:r>
        <w:rPr>
          <w:noProof/>
        </w:rPr>
        <w:t>40</w:t>
      </w:r>
      <w:r>
        <w:rPr>
          <w:rFonts w:ascii="Calibri" w:hAnsi="Calibri" w:cs="Calibri"/>
          <w:noProof/>
        </w:rPr>
        <w:t> </w:t>
      </w:r>
      <w:r>
        <w:rPr>
          <w:noProof/>
        </w:rPr>
        <w:t>billion in total, including EUR</w:t>
      </w:r>
      <w:r>
        <w:rPr>
          <w:rFonts w:ascii="Calibri" w:hAnsi="Calibri" w:cs="Calibri"/>
          <w:noProof/>
        </w:rPr>
        <w:t> </w:t>
      </w:r>
      <w:r>
        <w:rPr>
          <w:noProof/>
        </w:rPr>
        <w:t>15</w:t>
      </w:r>
      <w:r>
        <w:rPr>
          <w:rFonts w:ascii="Calibri" w:hAnsi="Calibri" w:cs="Calibri"/>
          <w:noProof/>
        </w:rPr>
        <w:t> </w:t>
      </w:r>
      <w:r>
        <w:rPr>
          <w:noProof/>
        </w:rPr>
        <w:t>billion from the EU</w:t>
      </w:r>
      <w:r>
        <w:rPr>
          <w:rFonts w:cs="Calibri"/>
          <w:noProof/>
        </w:rPr>
        <w:t xml:space="preserve"> </w:t>
      </w:r>
      <w:r>
        <w:rPr>
          <w:noProof/>
        </w:rPr>
        <w:t xml:space="preserve">budget. Team Europe’s focus is on addressing the immediate health crisis and humanitarian needs, strengthening partner countries’ health, water and sanitation systems and their research and preparedness capacities, along with mitigating the socioeconomic impact. </w:t>
      </w:r>
    </w:p>
    <w:p>
      <w:pPr>
        <w:pStyle w:val="amprBodyText"/>
        <w:rPr>
          <w:noProof/>
        </w:rPr>
      </w:pPr>
      <w:r>
        <w:rPr>
          <w:rStyle w:val="amprcharBoldBlue"/>
          <w:rFonts w:eastAsiaTheme="minorHAnsi"/>
          <w:noProof/>
        </w:rPr>
        <w:t>The EU crisis response turns a challenge into an opportunity.</w:t>
      </w:r>
      <w:r>
        <w:rPr>
          <w:noProof/>
        </w:rPr>
        <w:t xml:space="preserve"> In 2020, the EU not only used its 2020 budget effectively but also agreed its new long-term budget for 2021-2027, amounting to EUR</w:t>
      </w:r>
      <w:r>
        <w:rPr>
          <w:rFonts w:ascii="Calibri" w:hAnsi="Calibri" w:cs="Calibri"/>
          <w:noProof/>
        </w:rPr>
        <w:t> </w:t>
      </w:r>
      <w:r>
        <w:rPr>
          <w:noProof/>
        </w:rPr>
        <w:t>1</w:t>
      </w:r>
      <w:r>
        <w:rPr>
          <w:rFonts w:ascii="Calibri" w:hAnsi="Calibri" w:cs="Calibri"/>
          <w:noProof/>
        </w:rPr>
        <w:t> </w:t>
      </w:r>
      <w:r>
        <w:rPr>
          <w:noProof/>
        </w:rPr>
        <w:t>074</w:t>
      </w:r>
      <w:r>
        <w:rPr>
          <w:rFonts w:ascii="Calibri" w:hAnsi="Calibri" w:cs="Calibri"/>
          <w:noProof/>
        </w:rPr>
        <w:t> </w:t>
      </w:r>
      <w:r>
        <w:rPr>
          <w:noProof/>
        </w:rPr>
        <w:t xml:space="preserve">billion in 2018 prices, reinforced by the temporary recovery instrument, </w:t>
      </w:r>
      <w:r>
        <w:rPr>
          <w:rStyle w:val="amprcharBoldBlue"/>
          <w:rFonts w:eastAsiaTheme="minorHAnsi"/>
          <w:noProof/>
        </w:rPr>
        <w:t>NextGenerationEU</w:t>
      </w:r>
      <w:r>
        <w:rPr>
          <w:noProof/>
        </w:rPr>
        <w:t>, worth an additional EUR</w:t>
      </w:r>
      <w:r>
        <w:rPr>
          <w:rFonts w:ascii="Calibri" w:hAnsi="Calibri" w:cs="Calibri"/>
          <w:noProof/>
        </w:rPr>
        <w:t> </w:t>
      </w:r>
      <w:r>
        <w:rPr>
          <w:noProof/>
        </w:rPr>
        <w:t>750</w:t>
      </w:r>
      <w:r>
        <w:rPr>
          <w:rFonts w:ascii="Calibri" w:hAnsi="Calibri" w:cs="Calibri"/>
          <w:noProof/>
        </w:rPr>
        <w:t> </w:t>
      </w:r>
      <w:r>
        <w:rPr>
          <w:noProof/>
        </w:rPr>
        <w:t>billion in 2018 prices. This stimulus package of EUR</w:t>
      </w:r>
      <w:r>
        <w:rPr>
          <w:rFonts w:ascii="Calibri" w:hAnsi="Calibri" w:cs="Calibri"/>
          <w:noProof/>
        </w:rPr>
        <w:t> </w:t>
      </w:r>
      <w:r>
        <w:rPr>
          <w:noProof/>
        </w:rPr>
        <w:t>1.8</w:t>
      </w:r>
      <w:r>
        <w:rPr>
          <w:rFonts w:ascii="Calibri" w:hAnsi="Calibri" w:cs="Calibri"/>
          <w:noProof/>
        </w:rPr>
        <w:t> </w:t>
      </w:r>
      <w:r>
        <w:rPr>
          <w:noProof/>
        </w:rPr>
        <w:t>trillion, the largest ever financed by the EU</w:t>
      </w:r>
      <w:r>
        <w:rPr>
          <w:rFonts w:cs="Calibri"/>
          <w:noProof/>
        </w:rPr>
        <w:t xml:space="preserve"> </w:t>
      </w:r>
      <w:r>
        <w:rPr>
          <w:noProof/>
        </w:rPr>
        <w:t>budget, will provide the necessary scale and ambition to help repair the economic and social damage caused by the COVID</w:t>
      </w:r>
      <w:r>
        <w:rPr>
          <w:noProof/>
        </w:rPr>
        <w:noBreakHyphen/>
        <w:t>19 pandemic and lay the foundations for a greener, more digital and more resilient EU.</w:t>
      </w:r>
    </w:p>
    <w:p>
      <w:pPr>
        <w:pStyle w:val="ampranxTitle2"/>
        <w:rPr>
          <w:noProof/>
        </w:rPr>
      </w:pPr>
      <w:bookmarkStart w:id="16" w:name="_Toc72420544"/>
      <w:bookmarkStart w:id="17" w:name="_Toc72420562"/>
      <w:r>
        <w:rPr>
          <w:noProof/>
        </w:rPr>
        <w:t>A high-performing budget driving the EU’s priorities</w:t>
      </w:r>
      <w:bookmarkEnd w:id="16"/>
      <w:bookmarkEnd w:id="17"/>
    </w:p>
    <w:p>
      <w:pPr>
        <w:pStyle w:val="amprBodyText"/>
        <w:rPr>
          <w:noProof/>
        </w:rPr>
      </w:pPr>
      <w:r>
        <w:rPr>
          <w:rStyle w:val="amprcharBoldBlue"/>
          <w:rFonts w:eastAsiaTheme="minorHAnsi"/>
          <w:noProof/>
        </w:rPr>
        <w:t>While fighting the pandemic, the EU continued to deliver on its political priorities.</w:t>
      </w:r>
      <w:r>
        <w:rPr>
          <w:noProof/>
        </w:rPr>
        <w:t xml:space="preserve"> In 2020, the final year of the 2014-2020 multiannual financial framework, strong progress was made towards the programme objectives for the 2014-2020 period as a whole. Despite the delays in the launch of some programmes, progress is now accelerating across the board.</w:t>
      </w:r>
    </w:p>
    <w:p>
      <w:pPr>
        <w:pStyle w:val="amprBodyText"/>
        <w:keepNext/>
        <w:keepLines/>
        <w:spacing w:after="0"/>
        <w:rPr>
          <w:noProof/>
        </w:rPr>
      </w:pPr>
      <w:r>
        <w:rPr>
          <w:rStyle w:val="amprcharBoldBlue"/>
          <w:rFonts w:eastAsiaTheme="minorHAnsi"/>
          <w:noProof/>
        </w:rPr>
        <w:t>Progress with EU budget implementation is monitored through state-of-the-art control and performance frameworks.</w:t>
      </w:r>
      <w:r>
        <w:rPr>
          <w:noProof/>
        </w:rPr>
        <w:t xml:space="preserve"> The programme performance overview in Annex</w:t>
      </w:r>
      <w:r>
        <w:rPr>
          <w:rFonts w:ascii="Calibri" w:hAnsi="Calibri" w:cs="Calibri"/>
          <w:noProof/>
        </w:rPr>
        <w:t> </w:t>
      </w:r>
      <w:r>
        <w:rPr>
          <w:noProof/>
        </w:rPr>
        <w:t>3 provides detailed reporting on the progress made and on the steps that have been taken to overcome challenges in the implementation. The information available at the end of 2020 presented in the programme performance overview shows that overall, the large majority of programmes</w:t>
      </w:r>
      <w:r>
        <w:rPr>
          <w:rFonts w:ascii="Calibri" w:hAnsi="Calibri" w:cs="Calibri"/>
          <w:noProof/>
        </w:rPr>
        <w:t> </w:t>
      </w:r>
      <w:r>
        <w:rPr>
          <w:noProof/>
        </w:rPr>
        <w:t>– 40 out of 61</w:t>
      </w:r>
      <w:r>
        <w:rPr>
          <w:rFonts w:ascii="Calibri" w:hAnsi="Calibri" w:cs="Calibri"/>
          <w:noProof/>
        </w:rPr>
        <w:t> </w:t>
      </w:r>
      <w:r>
        <w:rPr>
          <w:noProof/>
        </w:rPr>
        <w:t>– are making very good progress towards achieving their objectives. These programmes correspond to 92% of the budget in terms of amounts in euro.</w:t>
      </w:r>
    </w:p>
    <w:p>
      <w:pPr>
        <w:pStyle w:val="amprBodyText"/>
        <w:rPr>
          <w:noProof/>
        </w:rPr>
      </w:pPr>
      <w:r>
        <w:rPr>
          <w:noProof/>
          <w:lang w:eastAsia="en-GB"/>
        </w:rPr>
        <w:drawing>
          <wp:inline distT="0" distB="0" distL="0" distR="0">
            <wp:extent cx="5755640" cy="1080000"/>
            <wp:effectExtent l="0" t="0" r="0" b="0"/>
            <wp:docPr id="52" name="Chart 5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amprCharttitle"/>
        <w:spacing w:before="0"/>
        <w:rPr>
          <w:noProof/>
        </w:rPr>
      </w:pPr>
      <w:r>
        <w:rPr>
          <w:noProof/>
        </w:rPr>
        <w:t>Percentage of programme indicators that are on track.</w:t>
      </w:r>
    </w:p>
    <w:p>
      <w:pPr>
        <w:pStyle w:val="amprSource-Table-Chart-Photo-Caption"/>
        <w:rPr>
          <w:noProof/>
        </w:rPr>
      </w:pPr>
      <w:r>
        <w:rPr>
          <w:i/>
          <w:noProof/>
        </w:rPr>
        <w:t>Source</w:t>
      </w:r>
      <w:r>
        <w:rPr>
          <w:noProof/>
        </w:rPr>
        <w:t>: European Commission.</w:t>
      </w:r>
    </w:p>
    <w:p>
      <w:pPr>
        <w:pStyle w:val="amprBodyText"/>
        <w:rPr>
          <w:noProof/>
        </w:rPr>
      </w:pPr>
    </w:p>
    <w:p>
      <w:pPr>
        <w:pStyle w:val="amprBodyText"/>
        <w:rPr>
          <w:noProof/>
        </w:rPr>
      </w:pPr>
      <w:r>
        <w:rPr>
          <w:rStyle w:val="amprcharBoldBlue"/>
          <w:rFonts w:eastAsiaTheme="minorHAnsi"/>
          <w:noProof/>
        </w:rPr>
        <w:t>The Commission ensures that all programmes deliver results until closure.</w:t>
      </w:r>
      <w:r>
        <w:rPr>
          <w:noProof/>
        </w:rPr>
        <w:t xml:space="preserve"> Major programmes such as the European Structural and Investment Funds and the Connecting Europe Facility will continue to be a source of financing for a number of years. Together, these programmes represent roughly 50% of the budget. And while the 2020 budget was spent in full, almost 28% of overall payments under the 2014-2020 framework are still outstanding. That means that these programmes will continue to deliver results over the next few years. The Commission will work with all involved in budget implementation to ensure that these programmes continue to make a strong contribution to EU priorities (more details are provided in Annex</w:t>
      </w:r>
      <w:r>
        <w:rPr>
          <w:rFonts w:ascii="Calibri" w:hAnsi="Calibri" w:cs="Calibri"/>
          <w:noProof/>
        </w:rPr>
        <w:t> </w:t>
      </w:r>
      <w:r>
        <w:rPr>
          <w:noProof/>
        </w:rPr>
        <w:t>2). A full assessment of the 2014-2020 programmes will only be possible after this period</w:t>
      </w:r>
      <w:r>
        <w:rPr>
          <w:rFonts w:ascii="Calibri" w:hAnsi="Calibri" w:cs="Calibri"/>
          <w:noProof/>
        </w:rPr>
        <w:t> </w:t>
      </w:r>
      <w:r>
        <w:rPr>
          <w:noProof/>
        </w:rPr>
        <w:t>– on the basis of final evaluations.</w:t>
      </w:r>
    </w:p>
    <w:p>
      <w:pPr>
        <w:pStyle w:val="ampranxTitle2"/>
        <w:rPr>
          <w:noProof/>
        </w:rPr>
      </w:pPr>
      <w:bookmarkStart w:id="18" w:name="_Toc72420545"/>
      <w:bookmarkStart w:id="19" w:name="_Toc72420563"/>
      <w:r>
        <w:rPr>
          <w:noProof/>
        </w:rPr>
        <w:t>Pursuing the EU’s cross-cutting political goals through the EU budget</w:t>
      </w:r>
      <w:bookmarkEnd w:id="18"/>
      <w:bookmarkEnd w:id="19"/>
    </w:p>
    <w:p>
      <w:pPr>
        <w:pStyle w:val="amprBodyText"/>
        <w:rPr>
          <w:noProof/>
        </w:rPr>
      </w:pPr>
      <w:r>
        <w:rPr>
          <w:rStyle w:val="amprcharBoldBlue"/>
          <w:rFonts w:eastAsiaTheme="minorHAnsi"/>
          <w:noProof/>
        </w:rPr>
        <w:t>The EU budget is much more than the sum of its parts.</w:t>
      </w:r>
      <w:r>
        <w:rPr>
          <w:noProof/>
        </w:rPr>
        <w:t xml:space="preserve"> Every spending programme is designed to tackle a particular set of challenges. However, the EU budget is at its most powerful when programmes work together to unlock synergies, catalyse private and public funding, and coherently promote the overarching political priorities which are central to the headline ambitions of the von der Leyen Commission</w:t>
      </w:r>
      <w:r>
        <w:rPr>
          <w:rFonts w:ascii="Calibri" w:hAnsi="Calibri" w:cs="Calibri"/>
          <w:noProof/>
        </w:rPr>
        <w:t> </w:t>
      </w:r>
      <w:r>
        <w:rPr>
          <w:noProof/>
        </w:rPr>
        <w:t>(</w:t>
      </w:r>
      <w:r>
        <w:rPr>
          <w:rFonts w:ascii="ZWAdobeF" w:hAnsi="ZWAdobeF" w:cs="ZWAdobeF"/>
          <w:noProof/>
          <w:color w:val="auto"/>
          <w:sz w:val="2"/>
          <w:szCs w:val="2"/>
        </w:rPr>
        <w:t>10F</w:t>
      </w:r>
      <w:r>
        <w:rPr>
          <w:rStyle w:val="FootnoteReference"/>
          <w:rFonts w:cstheme="minorHAnsi"/>
          <w:noProof/>
        </w:rPr>
        <w:footnoteReference w:id="14"/>
      </w:r>
      <w:r>
        <w:rPr>
          <w:noProof/>
        </w:rPr>
        <w:t>).</w:t>
      </w:r>
    </w:p>
    <w:p>
      <w:pPr>
        <w:pStyle w:val="amprBodyText"/>
        <w:rPr>
          <w:noProof/>
        </w:rPr>
      </w:pPr>
      <w:r>
        <w:rPr>
          <w:rStyle w:val="amprcharBoldBlue"/>
          <w:rFonts w:eastAsiaTheme="minorHAnsi"/>
          <w:noProof/>
        </w:rPr>
        <w:t>The EU’s goal to become climate neutral by 2050 as part of the European Green Deal</w:t>
      </w:r>
      <w:r>
        <w:rPr>
          <w:rStyle w:val="amprcharBoldBlue"/>
          <w:rFonts w:ascii="Calibri" w:eastAsiaTheme="minorHAnsi" w:hAnsi="Calibri" w:cs="Calibri"/>
          <w:noProof/>
        </w:rPr>
        <w:t> </w:t>
      </w:r>
      <w:r>
        <w:rPr>
          <w:rStyle w:val="amprcharBoldBlue"/>
          <w:rFonts w:eastAsiaTheme="minorHAnsi"/>
          <w:b w:val="0"/>
          <w:noProof/>
          <w:color w:val="auto"/>
        </w:rPr>
        <w:t>(</w:t>
      </w:r>
      <w:r>
        <w:rPr>
          <w:rStyle w:val="amprcharBoldBlue"/>
          <w:rFonts w:ascii="ZWAdobeF" w:eastAsiaTheme="minorHAnsi" w:hAnsi="ZWAdobeF" w:cs="ZWAdobeF"/>
          <w:b w:val="0"/>
          <w:noProof/>
          <w:color w:val="auto"/>
          <w:spacing w:val="0"/>
          <w:sz w:val="2"/>
          <w:szCs w:val="2"/>
        </w:rPr>
        <w:t>11F</w:t>
      </w:r>
      <w:r>
        <w:rPr>
          <w:rStyle w:val="amprcharBoldBlue"/>
          <w:rFonts w:eastAsiaTheme="minorHAnsi"/>
          <w:b w:val="0"/>
          <w:noProof/>
          <w:color w:val="auto"/>
          <w:vertAlign w:val="superscript"/>
        </w:rPr>
        <w:footnoteReference w:id="15"/>
      </w:r>
      <w:r>
        <w:rPr>
          <w:rStyle w:val="amprcharBoldBlue"/>
          <w:rFonts w:eastAsiaTheme="minorHAnsi"/>
          <w:b w:val="0"/>
          <w:noProof/>
          <w:color w:val="auto"/>
        </w:rPr>
        <w:t>)</w:t>
      </w:r>
      <w:r>
        <w:rPr>
          <w:rStyle w:val="amprcharBoldBlue"/>
          <w:rFonts w:eastAsiaTheme="minorHAnsi"/>
          <w:noProof/>
          <w:vertAlign w:val="superscript"/>
        </w:rPr>
        <w:t xml:space="preserve"> </w:t>
      </w:r>
      <w:r>
        <w:rPr>
          <w:rStyle w:val="amprcharBoldBlue"/>
          <w:rFonts w:eastAsiaTheme="minorHAnsi"/>
          <w:noProof/>
        </w:rPr>
        <w:t>is a prime example.</w:t>
      </w:r>
      <w:r>
        <w:rPr>
          <w:noProof/>
        </w:rPr>
        <w:t xml:space="preserve"> Hitting this target will require leveraging all available means, both legislative and financial, cutting across different policy areas and programmes, as follows. </w:t>
      </w:r>
    </w:p>
    <w:p>
      <w:pPr>
        <w:pStyle w:val="amprLISTorangebullets-L1"/>
        <w:keepNext/>
        <w:keepLines/>
        <w:rPr>
          <w:noProof/>
        </w:rPr>
      </w:pPr>
      <w:r>
        <w:rPr>
          <w:rStyle w:val="amprcharBoldBlue"/>
          <w:rFonts w:eastAsiaTheme="minorHAnsi"/>
          <w:noProof/>
        </w:rPr>
        <w:t>The EU spent 20.1% of its 2014-2020 budget, or EUR</w:t>
      </w:r>
      <w:r>
        <w:rPr>
          <w:rStyle w:val="amprcharBoldBlue"/>
          <w:rFonts w:ascii="Calibri" w:eastAsiaTheme="minorHAnsi" w:hAnsi="Calibri" w:cs="Calibri"/>
          <w:noProof/>
        </w:rPr>
        <w:t> </w:t>
      </w:r>
      <w:r>
        <w:rPr>
          <w:rStyle w:val="amprcharBoldBlue"/>
          <w:rFonts w:eastAsiaTheme="minorHAnsi"/>
          <w:noProof/>
        </w:rPr>
        <w:t>216</w:t>
      </w:r>
      <w:r>
        <w:rPr>
          <w:rStyle w:val="amprcharBoldBlue"/>
          <w:rFonts w:ascii="Calibri" w:eastAsiaTheme="minorHAnsi" w:hAnsi="Calibri" w:cs="Calibri"/>
          <w:noProof/>
        </w:rPr>
        <w:t> </w:t>
      </w:r>
      <w:r>
        <w:rPr>
          <w:rStyle w:val="amprcharBoldBlue"/>
          <w:rFonts w:eastAsiaTheme="minorHAnsi"/>
          <w:noProof/>
        </w:rPr>
        <w:t>billion, on combating climate change</w:t>
      </w:r>
      <w:r>
        <w:rPr>
          <w:noProof/>
        </w:rPr>
        <w:t>, delivering on its objective of investing at least 20% of the 2014-2020 budget in this area.</w:t>
      </w:r>
    </w:p>
    <w:p>
      <w:pPr>
        <w:pStyle w:val="amprLISTorangebullets-L1"/>
        <w:spacing w:after="0"/>
        <w:rPr>
          <w:noProof/>
        </w:rPr>
      </w:pPr>
      <w:r>
        <w:rPr>
          <w:rStyle w:val="amprcharBoldBlue"/>
          <w:rFonts w:eastAsiaTheme="minorHAnsi"/>
          <w:noProof/>
        </w:rPr>
        <w:t>The EU has spent 8% of its 2014-2020 budget, or EUR</w:t>
      </w:r>
      <w:r>
        <w:rPr>
          <w:rStyle w:val="amprcharBoldBlue"/>
          <w:rFonts w:ascii="Calibri" w:eastAsiaTheme="minorHAnsi" w:hAnsi="Calibri" w:cs="Calibri"/>
          <w:noProof/>
        </w:rPr>
        <w:t> </w:t>
      </w:r>
      <w:r>
        <w:rPr>
          <w:rStyle w:val="amprcharBoldBlue"/>
          <w:rFonts w:eastAsiaTheme="minorHAnsi"/>
          <w:noProof/>
        </w:rPr>
        <w:t>85</w:t>
      </w:r>
      <w:r>
        <w:rPr>
          <w:rStyle w:val="amprcharBoldBlue"/>
          <w:rFonts w:ascii="Calibri" w:eastAsiaTheme="minorHAnsi" w:hAnsi="Calibri" w:cs="Calibri"/>
          <w:noProof/>
        </w:rPr>
        <w:t> </w:t>
      </w:r>
      <w:r>
        <w:rPr>
          <w:rStyle w:val="amprcharBoldBlue"/>
          <w:rFonts w:eastAsiaTheme="minorHAnsi"/>
          <w:noProof/>
        </w:rPr>
        <w:t>billion, on initiatives supporting or protecting biodiversity.</w:t>
      </w:r>
      <w:r>
        <w:rPr>
          <w:rStyle w:val="amprcharBoldBlue"/>
          <w:rFonts w:eastAsiaTheme="minorHAnsi"/>
          <w:b w:val="0"/>
          <w:noProof/>
          <w:color w:val="auto"/>
        </w:rPr>
        <w:t xml:space="preserve"> </w:t>
      </w:r>
      <w:r>
        <w:rPr>
          <w:noProof/>
        </w:rPr>
        <w:t>This is well in line with the EU’s strong commitment to halting and reversing biodiversity enshrined in the European Green Deal. The EU biodiversity strategy</w:t>
      </w:r>
      <w:r>
        <w:rPr>
          <w:rFonts w:ascii="Calibri" w:hAnsi="Calibri" w:cs="Calibri"/>
          <w:noProof/>
        </w:rPr>
        <w:t> </w:t>
      </w:r>
      <w:r>
        <w:rPr>
          <w:noProof/>
        </w:rPr>
        <w:t>(</w:t>
      </w:r>
      <w:r>
        <w:rPr>
          <w:rFonts w:ascii="ZWAdobeF" w:hAnsi="ZWAdobeF" w:cs="ZWAdobeF"/>
          <w:noProof/>
          <w:color w:val="auto"/>
          <w:sz w:val="2"/>
          <w:szCs w:val="2"/>
        </w:rPr>
        <w:t>12F</w:t>
      </w:r>
      <w:r>
        <w:rPr>
          <w:rStyle w:val="FootnoteReference"/>
          <w:rFonts w:cstheme="minorHAnsi"/>
          <w:noProof/>
        </w:rPr>
        <w:footnoteReference w:id="16"/>
      </w:r>
      <w:r>
        <w:rPr>
          <w:noProof/>
        </w:rPr>
        <w:t xml:space="preserve">) outlines the scope of the major investments required, to which the EU budget can make a major contribution. </w:t>
      </w:r>
    </w:p>
    <w:p>
      <w:pPr>
        <w:pStyle w:val="ListParagraph"/>
        <w:pageBreakBefore/>
        <w:ind w:left="227"/>
        <w:jc w:val="both"/>
        <w:rPr>
          <w:rFonts w:ascii="EC Square Sans Pro" w:hAnsi="EC Square Sans Pro"/>
          <w:noProof/>
        </w:rPr>
      </w:pPr>
      <w:r>
        <w:rPr>
          <w:rFonts w:ascii="EC Square Sans Pro" w:hAnsi="EC Square Sans Pro"/>
          <w:noProof/>
          <w:lang w:eastAsia="en-GB"/>
        </w:rPr>
        <mc:AlternateContent>
          <mc:Choice Requires="wpg">
            <w:drawing>
              <wp:anchor distT="0" distB="0" distL="114300" distR="114300" simplePos="0" relativeHeight="251658240" behindDoc="0" locked="0" layoutInCell="1" allowOverlap="1">
                <wp:simplePos x="0" y="0"/>
                <wp:positionH relativeFrom="column">
                  <wp:posOffset>125095</wp:posOffset>
                </wp:positionH>
                <wp:positionV relativeFrom="paragraph">
                  <wp:posOffset>133922</wp:posOffset>
                </wp:positionV>
                <wp:extent cx="5487670" cy="2778760"/>
                <wp:effectExtent l="0" t="0" r="36830" b="2540"/>
                <wp:wrapNone/>
                <wp:docPr id="8" name="Group 8"/>
                <wp:cNvGraphicFramePr/>
                <a:graphic xmlns:a="http://schemas.openxmlformats.org/drawingml/2006/main">
                  <a:graphicData uri="http://schemas.microsoft.com/office/word/2010/wordprocessingGroup">
                    <wpg:wgp>
                      <wpg:cNvGrpSpPr/>
                      <wpg:grpSpPr>
                        <a:xfrm>
                          <a:off x="0" y="0"/>
                          <a:ext cx="5487670" cy="2778760"/>
                          <a:chOff x="0" y="0"/>
                          <a:chExt cx="5487362" cy="2778525"/>
                        </a:xfrm>
                      </wpg:grpSpPr>
                      <wpg:grpSp>
                        <wpg:cNvPr id="56" name="Group 56"/>
                        <wpg:cNvGrpSpPr/>
                        <wpg:grpSpPr>
                          <a:xfrm>
                            <a:off x="3389585" y="244366"/>
                            <a:ext cx="1874564" cy="899094"/>
                            <a:chOff x="3389585" y="244366"/>
                            <a:chExt cx="1874564" cy="899094"/>
                          </a:xfrm>
                        </wpg:grpSpPr>
                        <wps:wsp>
                          <wps:cNvPr id="95" name="Text Box 64"/>
                          <wps:cNvSpPr txBox="1"/>
                          <wps:spPr>
                            <a:xfrm>
                              <a:off x="3389585" y="244366"/>
                              <a:ext cx="1874564" cy="366391"/>
                            </a:xfrm>
                            <a:prstGeom prst="rect">
                              <a:avLst/>
                            </a:prstGeom>
                            <a:noFill/>
                            <a:ln w="6350">
                              <a:noFill/>
                            </a:ln>
                          </wps:spPr>
                          <wps:txbx>
                            <w:txbxContent>
                              <w:p>
                                <w:pPr>
                                  <w:spacing w:line="252" w:lineRule="auto"/>
                                  <w:jc w:val="right"/>
                                  <w:rPr>
                                    <w:rFonts w:ascii="EC Square Sans Pro" w:hAnsi="EC Square Sans Pro"/>
                                    <w:color w:val="8EABE1"/>
                                    <w:sz w:val="16"/>
                                    <w:szCs w:val="16"/>
                                  </w:rPr>
                                </w:pPr>
                                <w:r>
                                  <w:rPr>
                                    <w:rFonts w:ascii="EC Square Sans Pro" w:eastAsia="Calibri" w:hAnsi="EC Square Sans Pro"/>
                                    <w:color w:val="8EABE1"/>
                                    <w:sz w:val="16"/>
                                    <w:szCs w:val="16"/>
                                  </w:rPr>
                                  <w:t>European Neighbourhood Instrument</w:t>
                                </w:r>
                                <w:r>
                                  <w:rPr>
                                    <w:rFonts w:ascii="EC Square Sans Pro" w:eastAsia="Calibri" w:hAnsi="EC Square Sans Pro"/>
                                    <w:color w:val="8EABE1"/>
                                    <w:sz w:val="16"/>
                                    <w:szCs w:val="16"/>
                                  </w:rPr>
                                  <w:br/>
                                </w:r>
                                <w:r>
                                  <w:rPr>
                                    <w:rFonts w:ascii="EC Square Sans Pro" w:eastAsia="Calibri" w:hAnsi="EC Square Sans Pro"/>
                                    <w:b/>
                                    <w:bCs/>
                                    <w:color w:val="8EABE1"/>
                                    <w:sz w:val="16"/>
                                    <w:szCs w:val="16"/>
                                  </w:rPr>
                                  <w:t>EUR</w:t>
                                </w:r>
                                <w:r>
                                  <w:rPr>
                                    <w:rFonts w:eastAsia="Calibri"/>
                                    <w:b/>
                                    <w:bCs/>
                                    <w:color w:val="8EABE1"/>
                                    <w:sz w:val="16"/>
                                    <w:szCs w:val="16"/>
                                  </w:rPr>
                                  <w:t> </w:t>
                                </w:r>
                                <w:r>
                                  <w:rPr>
                                    <w:rFonts w:ascii="EC Square Sans Pro" w:eastAsia="Calibri" w:hAnsi="EC Square Sans Pro"/>
                                    <w:b/>
                                    <w:bCs/>
                                    <w:color w:val="8EABE1"/>
                                    <w:sz w:val="16"/>
                                    <w:szCs w:val="16"/>
                                  </w:rPr>
                                  <w:t>2</w:t>
                                </w:r>
                                <w:r>
                                  <w:rPr>
                                    <w:rFonts w:eastAsia="Calibri"/>
                                    <w:b/>
                                    <w:bCs/>
                                    <w:color w:val="8EABE1"/>
                                    <w:sz w:val="16"/>
                                    <w:szCs w:val="16"/>
                                  </w:rPr>
                                  <w:t> </w:t>
                                </w:r>
                                <w:r>
                                  <w:rPr>
                                    <w:rFonts w:ascii="EC Square Sans Pro" w:eastAsia="Calibri" w:hAnsi="EC Square Sans Pro"/>
                                    <w:b/>
                                    <w:bCs/>
                                    <w:color w:val="8EABE1"/>
                                    <w:sz w:val="16"/>
                                    <w:szCs w:val="16"/>
                                  </w:rPr>
                                  <w:t>082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6" name="Elbow Connector 96"/>
                          <wps:cNvCnPr/>
                          <wps:spPr>
                            <a:xfrm rot="16200000" flipV="1">
                              <a:off x="4834900" y="726468"/>
                              <a:ext cx="783161" cy="50824"/>
                            </a:xfrm>
                            <a:prstGeom prst="bentConnector3">
                              <a:avLst>
                                <a:gd name="adj1" fmla="val 100276"/>
                              </a:avLst>
                            </a:prstGeom>
                            <a:noFill/>
                            <a:ln w="12700" cap="flat" cmpd="sng" algn="ctr">
                              <a:solidFill>
                                <a:srgbClr val="8EABE1"/>
                              </a:solidFill>
                              <a:prstDash val="solid"/>
                            </a:ln>
                            <a:effectLst/>
                          </wps:spPr>
                          <wps:bodyPr/>
                        </wps:wsp>
                      </wpg:grpSp>
                      <wpg:grpSp>
                        <wpg:cNvPr id="57" name="Group 57"/>
                        <wpg:cNvGrpSpPr/>
                        <wpg:grpSpPr>
                          <a:xfrm>
                            <a:off x="3815254" y="1206064"/>
                            <a:ext cx="1381933" cy="1012039"/>
                            <a:chOff x="3815254" y="1206063"/>
                            <a:chExt cx="1383259" cy="1013138"/>
                          </a:xfrm>
                        </wpg:grpSpPr>
                        <wps:wsp>
                          <wps:cNvPr id="93" name="Text Box 64"/>
                          <wps:cNvSpPr txBox="1"/>
                          <wps:spPr>
                            <a:xfrm>
                              <a:off x="3815254" y="1744412"/>
                              <a:ext cx="1370012" cy="474789"/>
                            </a:xfrm>
                            <a:prstGeom prst="rect">
                              <a:avLst/>
                            </a:prstGeom>
                            <a:noFill/>
                            <a:ln w="6350">
                              <a:noFill/>
                            </a:ln>
                          </wps:spPr>
                          <wps:txbx>
                            <w:txbxContent>
                              <w:p>
                                <w:pPr>
                                  <w:spacing w:line="252" w:lineRule="auto"/>
                                  <w:jc w:val="right"/>
                                  <w:rPr>
                                    <w:rFonts w:ascii="EC Square Sans Pro" w:hAnsi="EC Square Sans Pro"/>
                                    <w:color w:val="006A30"/>
                                    <w:sz w:val="16"/>
                                    <w:szCs w:val="16"/>
                                  </w:rPr>
                                </w:pPr>
                                <w:r>
                                  <w:rPr>
                                    <w:rFonts w:ascii="EC Square Sans Pro" w:eastAsia="Calibri" w:hAnsi="EC Square Sans Pro"/>
                                    <w:color w:val="006A30"/>
                                    <w:sz w:val="16"/>
                                    <w:szCs w:val="16"/>
                                    <w:lang w:val="en-US"/>
                                  </w:rPr>
                                  <w:t>Instrument for</w:t>
                                </w:r>
                                <w:r>
                                  <w:rPr>
                                    <w:rFonts w:ascii="EC Square Sans Pro" w:eastAsia="Calibri" w:hAnsi="EC Square Sans Pro"/>
                                    <w:color w:val="006A30"/>
                                    <w:sz w:val="16"/>
                                    <w:szCs w:val="16"/>
                                    <w:lang w:val="en-US"/>
                                  </w:rPr>
                                  <w:br/>
                                  <w:t xml:space="preserve"> Pre-accession Assistance</w:t>
                                </w:r>
                                <w:r>
                                  <w:rPr>
                                    <w:rFonts w:ascii="EC Square Sans Pro" w:eastAsia="Calibri" w:hAnsi="EC Square Sans Pro"/>
                                    <w:color w:val="006A30"/>
                                    <w:sz w:val="16"/>
                                    <w:szCs w:val="16"/>
                                    <w:lang w:val="en-US"/>
                                  </w:rPr>
                                  <w:br/>
                                </w:r>
                                <w:r>
                                  <w:rPr>
                                    <w:rFonts w:ascii="EC Square Sans Pro" w:eastAsia="Calibri" w:hAnsi="EC Square Sans Pro"/>
                                    <w:b/>
                                    <w:bCs/>
                                    <w:color w:val="006A30"/>
                                    <w:sz w:val="16"/>
                                    <w:szCs w:val="16"/>
                                    <w:lang w:val="en-US"/>
                                  </w:rPr>
                                  <w:t>EUR</w:t>
                                </w:r>
                                <w:r>
                                  <w:rPr>
                                    <w:rFonts w:eastAsia="Calibri"/>
                                    <w:b/>
                                    <w:bCs/>
                                    <w:color w:val="006A30"/>
                                    <w:sz w:val="16"/>
                                    <w:szCs w:val="16"/>
                                    <w:lang w:val="en-US"/>
                                  </w:rPr>
                                  <w:t> </w:t>
                                </w:r>
                                <w:r>
                                  <w:rPr>
                                    <w:rFonts w:ascii="EC Square Sans Pro" w:eastAsia="Calibri" w:hAnsi="EC Square Sans Pro"/>
                                    <w:b/>
                                    <w:bCs/>
                                    <w:color w:val="006A30"/>
                                    <w:sz w:val="16"/>
                                    <w:szCs w:val="16"/>
                                    <w:lang w:val="en-US"/>
                                  </w:rPr>
                                  <w:t>1</w:t>
                                </w:r>
                                <w:r>
                                  <w:rPr>
                                    <w:rFonts w:eastAsia="Calibri"/>
                                    <w:b/>
                                    <w:bCs/>
                                    <w:color w:val="006A30"/>
                                    <w:sz w:val="16"/>
                                    <w:szCs w:val="16"/>
                                    <w:lang w:val="en-US"/>
                                  </w:rPr>
                                  <w:t> </w:t>
                                </w:r>
                                <w:r>
                                  <w:rPr>
                                    <w:rFonts w:ascii="EC Square Sans Pro" w:eastAsia="Calibri" w:hAnsi="EC Square Sans Pro"/>
                                    <w:b/>
                                    <w:bCs/>
                                    <w:color w:val="006A30"/>
                                    <w:sz w:val="16"/>
                                    <w:szCs w:val="16"/>
                                    <w:lang w:val="en-US"/>
                                  </w:rPr>
                                  <w:t>606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 name="Elbow Connector 94"/>
                          <wps:cNvCnPr/>
                          <wps:spPr>
                            <a:xfrm rot="5400000">
                              <a:off x="4778870" y="1585297"/>
                              <a:ext cx="798877" cy="40409"/>
                            </a:xfrm>
                            <a:prstGeom prst="bentConnector3">
                              <a:avLst>
                                <a:gd name="adj1" fmla="val 99390"/>
                              </a:avLst>
                            </a:prstGeom>
                            <a:noFill/>
                            <a:ln w="12700" cap="flat" cmpd="sng" algn="ctr">
                              <a:solidFill>
                                <a:srgbClr val="006A30"/>
                              </a:solidFill>
                              <a:prstDash val="solid"/>
                            </a:ln>
                            <a:effectLst/>
                          </wps:spPr>
                          <wps:bodyPr/>
                        </wps:wsp>
                      </wpg:grpSp>
                      <wpg:grpSp>
                        <wpg:cNvPr id="58" name="Group 58"/>
                        <wpg:cNvGrpSpPr/>
                        <wpg:grpSpPr>
                          <a:xfrm>
                            <a:off x="0" y="0"/>
                            <a:ext cx="5487362" cy="2778525"/>
                            <a:chOff x="0" y="0"/>
                            <a:chExt cx="5487362" cy="2778525"/>
                          </a:xfrm>
                        </wpg:grpSpPr>
                        <wpg:grpSp>
                          <wpg:cNvPr id="60" name="Group 60"/>
                          <wpg:cNvGrpSpPr/>
                          <wpg:grpSpPr>
                            <a:xfrm>
                              <a:off x="15764" y="1284890"/>
                              <a:ext cx="874986" cy="607936"/>
                              <a:chOff x="15764" y="1284890"/>
                              <a:chExt cx="874986" cy="607936"/>
                            </a:xfrm>
                          </wpg:grpSpPr>
                          <wps:wsp>
                            <wps:cNvPr id="91" name="Text Box 64"/>
                            <wps:cNvSpPr txBox="1"/>
                            <wps:spPr>
                              <a:xfrm>
                                <a:off x="23647" y="1387366"/>
                                <a:ext cx="867103" cy="505460"/>
                              </a:xfrm>
                              <a:prstGeom prst="rect">
                                <a:avLst/>
                              </a:prstGeom>
                              <a:noFill/>
                              <a:ln w="6350">
                                <a:noFill/>
                              </a:ln>
                            </wps:spPr>
                            <wps:txbx>
                              <w:txbxContent>
                                <w:p>
                                  <w:pPr>
                                    <w:pStyle w:val="NormalWeb"/>
                                    <w:spacing w:after="160" w:line="252" w:lineRule="auto"/>
                                    <w:rPr>
                                      <w:rFonts w:ascii="EC Square Sans Pro" w:hAnsi="EC Square Sans Pro"/>
                                      <w:color w:val="F26A47"/>
                                      <w:sz w:val="16"/>
                                      <w:szCs w:val="16"/>
                                    </w:rPr>
                                  </w:pPr>
                                  <w:r>
                                    <w:rPr>
                                      <w:rFonts w:ascii="EC Square Sans Pro" w:eastAsia="Calibri" w:hAnsi="EC Square Sans Pro"/>
                                      <w:color w:val="F26A47"/>
                                      <w:sz w:val="16"/>
                                      <w:szCs w:val="16"/>
                                      <w:lang w:val="en-US"/>
                                    </w:rPr>
                                    <w:t>Horizon 2020</w:t>
                                  </w:r>
                                  <w:r>
                                    <w:rPr>
                                      <w:rFonts w:ascii="EC Square Sans Pro" w:eastAsia="Calibri" w:hAnsi="EC Square Sans Pro"/>
                                      <w:color w:val="F26A47"/>
                                      <w:sz w:val="16"/>
                                      <w:szCs w:val="16"/>
                                      <w:lang w:val="en-US"/>
                                    </w:rPr>
                                    <w:br/>
                                  </w:r>
                                  <w:r>
                                    <w:rPr>
                                      <w:rFonts w:ascii="EC Square Sans Pro" w:eastAsia="Calibri" w:hAnsi="EC Square Sans Pro"/>
                                      <w:b/>
                                      <w:bCs/>
                                      <w:color w:val="F26A47"/>
                                      <w:sz w:val="16"/>
                                      <w:szCs w:val="16"/>
                                      <w:lang w:val="en-US"/>
                                    </w:rPr>
                                    <w:t>EUR</w:t>
                                  </w:r>
                                  <w:r>
                                    <w:rPr>
                                      <w:rFonts w:ascii="Calibri" w:eastAsia="Calibri" w:hAnsi="Calibri" w:cs="Calibri"/>
                                      <w:b/>
                                      <w:bCs/>
                                      <w:color w:val="F26A47"/>
                                      <w:sz w:val="16"/>
                                      <w:szCs w:val="16"/>
                                      <w:lang w:val="en-US"/>
                                    </w:rPr>
                                    <w:t> </w:t>
                                  </w:r>
                                  <w:r>
                                    <w:rPr>
                                      <w:rFonts w:ascii="EC Square Sans Pro" w:eastAsia="Calibri" w:hAnsi="EC Square Sans Pro"/>
                                      <w:b/>
                                      <w:bCs/>
                                      <w:color w:val="F26A47"/>
                                      <w:sz w:val="16"/>
                                      <w:szCs w:val="16"/>
                                      <w:lang w:val="en-US"/>
                                    </w:rPr>
                                    <w:t>20</w:t>
                                  </w:r>
                                  <w:r>
                                    <w:rPr>
                                      <w:rFonts w:ascii="Calibri" w:eastAsia="Calibri" w:hAnsi="Calibri" w:cs="Calibri"/>
                                      <w:b/>
                                      <w:bCs/>
                                      <w:color w:val="F26A47"/>
                                      <w:sz w:val="16"/>
                                      <w:szCs w:val="16"/>
                                      <w:lang w:val="en-US"/>
                                    </w:rPr>
                                    <w:t> </w:t>
                                  </w:r>
                                  <w:r>
                                    <w:rPr>
                                      <w:rFonts w:ascii="EC Square Sans Pro" w:eastAsia="Calibri" w:hAnsi="EC Square Sans Pro"/>
                                      <w:b/>
                                      <w:bCs/>
                                      <w:color w:val="F26A47"/>
                                      <w:sz w:val="16"/>
                                      <w:szCs w:val="16"/>
                                      <w:lang w:val="en-US"/>
                                    </w:rPr>
                                    <w:t>300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Elbow Connector 92"/>
                            <wps:cNvCnPr/>
                            <wps:spPr>
                              <a:xfrm>
                                <a:off x="15764" y="1284890"/>
                                <a:ext cx="63233" cy="205461"/>
                              </a:xfrm>
                              <a:prstGeom prst="bentConnector3">
                                <a:avLst>
                                  <a:gd name="adj1" fmla="val 4436"/>
                                </a:avLst>
                              </a:prstGeom>
                              <a:noFill/>
                              <a:ln w="12700" cap="flat" cmpd="sng" algn="ctr">
                                <a:solidFill>
                                  <a:srgbClr val="F26A47"/>
                                </a:solidFill>
                                <a:prstDash val="solid"/>
                              </a:ln>
                              <a:effectLst/>
                            </wps:spPr>
                            <wps:bodyPr/>
                          </wps:wsp>
                        </wpg:grpSp>
                        <wpg:grpSp>
                          <wpg:cNvPr id="61" name="Group 61"/>
                          <wpg:cNvGrpSpPr/>
                          <wpg:grpSpPr>
                            <a:xfrm>
                              <a:off x="0" y="536028"/>
                              <a:ext cx="1024560" cy="551946"/>
                              <a:chOff x="0" y="536028"/>
                              <a:chExt cx="1024560" cy="551946"/>
                            </a:xfrm>
                          </wpg:grpSpPr>
                          <wps:wsp>
                            <wps:cNvPr id="89" name="Text Box 64"/>
                            <wps:cNvSpPr txBox="1"/>
                            <wps:spPr>
                              <a:xfrm>
                                <a:off x="0" y="536028"/>
                                <a:ext cx="1016328" cy="457068"/>
                              </a:xfrm>
                              <a:prstGeom prst="rect">
                                <a:avLst/>
                              </a:prstGeom>
                              <a:noFill/>
                              <a:ln w="6350">
                                <a:noFill/>
                              </a:ln>
                            </wps:spPr>
                            <wps:txbx>
                              <w:txbxContent>
                                <w:p>
                                  <w:pPr>
                                    <w:spacing w:line="252" w:lineRule="auto"/>
                                    <w:jc w:val="right"/>
                                    <w:rPr>
                                      <w:rFonts w:ascii="EC Square Sans Pro" w:hAnsi="EC Square Sans Pro"/>
                                      <w:color w:val="FFC000"/>
                                      <w:sz w:val="16"/>
                                      <w:szCs w:val="16"/>
                                    </w:rPr>
                                  </w:pPr>
                                  <w:r>
                                    <w:rPr>
                                      <w:rFonts w:ascii="EC Square Sans Pro" w:eastAsia="Calibri" w:hAnsi="EC Square Sans Pro"/>
                                      <w:color w:val="FFC000"/>
                                      <w:sz w:val="16"/>
                                      <w:szCs w:val="16"/>
                                      <w:lang w:val="en-US"/>
                                    </w:rPr>
                                    <w:t xml:space="preserve">Connecting Europe </w:t>
                                  </w:r>
                                  <w:r>
                                    <w:rPr>
                                      <w:rFonts w:ascii="EC Square Sans Pro" w:eastAsia="Calibri" w:hAnsi="EC Square Sans Pro"/>
                                      <w:color w:val="FFC000"/>
                                      <w:sz w:val="16"/>
                                      <w:szCs w:val="16"/>
                                      <w:lang w:val="en-US"/>
                                    </w:rPr>
                                    <w:br/>
                                    <w:t xml:space="preserve">Facility </w:t>
                                  </w:r>
                                  <w:r>
                                    <w:rPr>
                                      <w:rFonts w:ascii="EC Square Sans Pro" w:eastAsia="Calibri" w:hAnsi="EC Square Sans Pro"/>
                                      <w:color w:val="FFC000"/>
                                      <w:sz w:val="16"/>
                                      <w:szCs w:val="16"/>
                                      <w:lang w:val="en-US"/>
                                    </w:rPr>
                                    <w:br/>
                                  </w:r>
                                  <w:r>
                                    <w:rPr>
                                      <w:rFonts w:ascii="EC Square Sans Pro" w:eastAsia="Calibri" w:hAnsi="EC Square Sans Pro"/>
                                      <w:b/>
                                      <w:bCs/>
                                      <w:color w:val="FFC000"/>
                                      <w:sz w:val="16"/>
                                      <w:szCs w:val="16"/>
                                      <w:lang w:val="en-US"/>
                                    </w:rPr>
                                    <w:t>EUR</w:t>
                                  </w:r>
                                  <w:r>
                                    <w:rPr>
                                      <w:rFonts w:eastAsia="Calibri"/>
                                      <w:b/>
                                      <w:bCs/>
                                      <w:color w:val="FFC000"/>
                                      <w:sz w:val="16"/>
                                      <w:szCs w:val="16"/>
                                      <w:lang w:val="en-US"/>
                                    </w:rPr>
                                    <w:t> </w:t>
                                  </w:r>
                                  <w:r>
                                    <w:rPr>
                                      <w:rFonts w:ascii="EC Square Sans Pro" w:eastAsia="Calibri" w:hAnsi="EC Square Sans Pro"/>
                                      <w:b/>
                                      <w:bCs/>
                                      <w:color w:val="FFC000"/>
                                      <w:sz w:val="16"/>
                                      <w:szCs w:val="16"/>
                                      <w:lang w:val="en-US"/>
                                    </w:rPr>
                                    <w:t>21</w:t>
                                  </w:r>
                                  <w:r>
                                    <w:rPr>
                                      <w:rFonts w:eastAsia="Calibri"/>
                                      <w:b/>
                                      <w:bCs/>
                                      <w:color w:val="FFC000"/>
                                      <w:sz w:val="16"/>
                                      <w:szCs w:val="16"/>
                                      <w:lang w:val="en-US"/>
                                    </w:rPr>
                                    <w:t> </w:t>
                                  </w:r>
                                  <w:r>
                                    <w:rPr>
                                      <w:rFonts w:ascii="EC Square Sans Pro" w:eastAsia="Calibri" w:hAnsi="EC Square Sans Pro"/>
                                      <w:b/>
                                      <w:bCs/>
                                      <w:color w:val="FFC000"/>
                                      <w:sz w:val="16"/>
                                      <w:szCs w:val="16"/>
                                      <w:lang w:val="en-US"/>
                                    </w:rPr>
                                    <w:t>082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Elbow Connector 90"/>
                            <wps:cNvCnPr/>
                            <wps:spPr>
                              <a:xfrm rot="10800000">
                                <a:off x="961695" y="882869"/>
                                <a:ext cx="62865" cy="205105"/>
                              </a:xfrm>
                              <a:prstGeom prst="bentConnector3">
                                <a:avLst>
                                  <a:gd name="adj1" fmla="val 4436"/>
                                </a:avLst>
                              </a:prstGeom>
                              <a:noFill/>
                              <a:ln w="12700" cap="flat" cmpd="sng" algn="ctr">
                                <a:solidFill>
                                  <a:srgbClr val="FFC000"/>
                                </a:solidFill>
                                <a:prstDash val="solid"/>
                              </a:ln>
                              <a:effectLst/>
                            </wps:spPr>
                            <wps:bodyPr/>
                          </wps:wsp>
                        </wpg:grpSp>
                        <wpg:grpSp>
                          <wpg:cNvPr id="62" name="Group 62"/>
                          <wpg:cNvGrpSpPr/>
                          <wpg:grpSpPr>
                            <a:xfrm>
                              <a:off x="1079937" y="1269125"/>
                              <a:ext cx="1117227" cy="740979"/>
                              <a:chOff x="1079937" y="1269125"/>
                              <a:chExt cx="1117227" cy="740979"/>
                            </a:xfrm>
                          </wpg:grpSpPr>
                          <wps:wsp>
                            <wps:cNvPr id="87" name="Text Box 64"/>
                            <wps:cNvSpPr txBox="1"/>
                            <wps:spPr>
                              <a:xfrm>
                                <a:off x="1087819" y="1371600"/>
                                <a:ext cx="1109345" cy="638504"/>
                              </a:xfrm>
                              <a:prstGeom prst="rect">
                                <a:avLst/>
                              </a:prstGeom>
                              <a:noFill/>
                              <a:ln w="6350">
                                <a:noFill/>
                              </a:ln>
                            </wps:spPr>
                            <wps:txbx>
                              <w:txbxContent>
                                <w:p>
                                  <w:pPr>
                                    <w:spacing w:line="252" w:lineRule="auto"/>
                                    <w:rPr>
                                      <w:rFonts w:ascii="EC Square Sans Pro" w:hAnsi="EC Square Sans Pro"/>
                                      <w:color w:val="00B050"/>
                                      <w:sz w:val="16"/>
                                      <w:szCs w:val="16"/>
                                      <w:lang w:val="en-US"/>
                                    </w:rPr>
                                  </w:pPr>
                                  <w:r>
                                    <w:rPr>
                                      <w:rFonts w:ascii="EC Square Sans Pro" w:eastAsia="Calibri" w:hAnsi="EC Square Sans Pro"/>
                                      <w:color w:val="00B050"/>
                                      <w:sz w:val="16"/>
                                      <w:szCs w:val="16"/>
                                      <w:lang w:val="en-US"/>
                                    </w:rPr>
                                    <w:t xml:space="preserve">European Regional Development Fund </w:t>
                                  </w:r>
                                  <w:r>
                                    <w:rPr>
                                      <w:rFonts w:ascii="EC Square Sans Pro" w:eastAsia="Calibri" w:hAnsi="EC Square Sans Pro"/>
                                      <w:color w:val="00B050"/>
                                      <w:sz w:val="16"/>
                                      <w:szCs w:val="16"/>
                                      <w:lang w:val="en-US"/>
                                    </w:rPr>
                                    <w:br/>
                                  </w:r>
                                  <w:r>
                                    <w:rPr>
                                      <w:rFonts w:ascii="EC Square Sans Pro" w:eastAsia="Calibri" w:hAnsi="EC Square Sans Pro"/>
                                      <w:b/>
                                      <w:bCs/>
                                      <w:color w:val="00B050"/>
                                      <w:sz w:val="16"/>
                                      <w:szCs w:val="16"/>
                                      <w:lang w:val="en-US"/>
                                    </w:rPr>
                                    <w:t>EUR</w:t>
                                  </w:r>
                                  <w:r>
                                    <w:rPr>
                                      <w:rFonts w:eastAsia="Calibri"/>
                                      <w:b/>
                                      <w:bCs/>
                                      <w:color w:val="00B050"/>
                                      <w:sz w:val="16"/>
                                      <w:szCs w:val="16"/>
                                      <w:lang w:val="en-US"/>
                                    </w:rPr>
                                    <w:t> </w:t>
                                  </w:r>
                                  <w:r>
                                    <w:rPr>
                                      <w:rFonts w:ascii="EC Square Sans Pro" w:eastAsia="Calibri" w:hAnsi="EC Square Sans Pro"/>
                                      <w:b/>
                                      <w:bCs/>
                                      <w:color w:val="00B050"/>
                                      <w:sz w:val="16"/>
                                      <w:szCs w:val="16"/>
                                      <w:lang w:val="en-US"/>
                                    </w:rPr>
                                    <w:t>34</w:t>
                                  </w:r>
                                  <w:r>
                                    <w:rPr>
                                      <w:rFonts w:eastAsia="Calibri"/>
                                      <w:b/>
                                      <w:bCs/>
                                      <w:color w:val="00B050"/>
                                      <w:sz w:val="16"/>
                                      <w:szCs w:val="16"/>
                                      <w:lang w:val="en-US"/>
                                    </w:rPr>
                                    <w:t> </w:t>
                                  </w:r>
                                  <w:r>
                                    <w:rPr>
                                      <w:rFonts w:ascii="EC Square Sans Pro" w:eastAsia="Calibri" w:hAnsi="EC Square Sans Pro"/>
                                      <w:b/>
                                      <w:bCs/>
                                      <w:color w:val="00B050"/>
                                      <w:sz w:val="16"/>
                                      <w:szCs w:val="16"/>
                                      <w:lang w:val="en-US"/>
                                    </w:rPr>
                                    <w:t>142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Elbow Connector 88"/>
                            <wps:cNvCnPr/>
                            <wps:spPr>
                              <a:xfrm>
                                <a:off x="1079937" y="1269125"/>
                                <a:ext cx="62865" cy="205105"/>
                              </a:xfrm>
                              <a:prstGeom prst="bentConnector3">
                                <a:avLst>
                                  <a:gd name="adj1" fmla="val 4436"/>
                                </a:avLst>
                              </a:prstGeom>
                              <a:noFill/>
                              <a:ln w="12700" cap="flat" cmpd="sng" algn="ctr">
                                <a:solidFill>
                                  <a:srgbClr val="00B050"/>
                                </a:solidFill>
                                <a:prstDash val="solid"/>
                              </a:ln>
                              <a:effectLst/>
                            </wps:spPr>
                            <wps:bodyPr/>
                          </wps:wsp>
                        </wpg:grpSp>
                        <wpg:grpSp>
                          <wpg:cNvPr id="63" name="Group 63"/>
                          <wpg:cNvGrpSpPr/>
                          <wpg:grpSpPr>
                            <a:xfrm>
                              <a:off x="1474075" y="654269"/>
                              <a:ext cx="827690" cy="505896"/>
                              <a:chOff x="1474075" y="654269"/>
                              <a:chExt cx="827690" cy="505896"/>
                            </a:xfrm>
                          </wpg:grpSpPr>
                          <wps:wsp>
                            <wps:cNvPr id="85" name="Text Box 64"/>
                            <wps:cNvSpPr txBox="1"/>
                            <wps:spPr>
                              <a:xfrm>
                                <a:off x="1474075" y="654269"/>
                                <a:ext cx="827690" cy="505896"/>
                              </a:xfrm>
                              <a:prstGeom prst="rect">
                                <a:avLst/>
                              </a:prstGeom>
                              <a:noFill/>
                              <a:ln w="6350">
                                <a:noFill/>
                              </a:ln>
                            </wps:spPr>
                            <wps:txbx>
                              <w:txbxContent>
                                <w:p>
                                  <w:pPr>
                                    <w:spacing w:line="252" w:lineRule="auto"/>
                                    <w:jc w:val="right"/>
                                    <w:rPr>
                                      <w:rFonts w:ascii="EC Square Sans Pro" w:hAnsi="EC Square Sans Pro"/>
                                      <w:color w:val="005D95"/>
                                      <w:sz w:val="16"/>
                                      <w:szCs w:val="16"/>
                                    </w:rPr>
                                  </w:pPr>
                                  <w:r>
                                    <w:rPr>
                                      <w:rFonts w:ascii="EC Square Sans Pro" w:eastAsia="Calibri" w:hAnsi="EC Square Sans Pro"/>
                                      <w:color w:val="005D95"/>
                                      <w:sz w:val="16"/>
                                      <w:szCs w:val="16"/>
                                      <w:lang w:val="en-US"/>
                                    </w:rPr>
                                    <w:t>Cohesion Fund</w:t>
                                  </w:r>
                                  <w:r>
                                    <w:rPr>
                                      <w:rFonts w:ascii="EC Square Sans Pro" w:eastAsia="Calibri" w:hAnsi="EC Square Sans Pro"/>
                                      <w:color w:val="005D95"/>
                                      <w:sz w:val="16"/>
                                      <w:szCs w:val="16"/>
                                      <w:lang w:val="en-US"/>
                                    </w:rPr>
                                    <w:br/>
                                  </w:r>
                                  <w:r>
                                    <w:rPr>
                                      <w:rFonts w:ascii="EC Square Sans Pro" w:eastAsia="Calibri" w:hAnsi="EC Square Sans Pro"/>
                                      <w:b/>
                                      <w:bCs/>
                                      <w:color w:val="005D95"/>
                                      <w:sz w:val="16"/>
                                      <w:szCs w:val="16"/>
                                      <w:lang w:val="en-US"/>
                                    </w:rPr>
                                    <w:t>EUR</w:t>
                                  </w:r>
                                  <w:r>
                                    <w:rPr>
                                      <w:rFonts w:eastAsia="Calibri"/>
                                      <w:b/>
                                      <w:bCs/>
                                      <w:color w:val="005D95"/>
                                      <w:sz w:val="16"/>
                                      <w:szCs w:val="16"/>
                                      <w:lang w:val="en-US"/>
                                    </w:rPr>
                                    <w:t> </w:t>
                                  </w:r>
                                  <w:r>
                                    <w:rPr>
                                      <w:rFonts w:ascii="EC Square Sans Pro" w:eastAsia="Calibri" w:hAnsi="EC Square Sans Pro"/>
                                      <w:b/>
                                      <w:bCs/>
                                      <w:color w:val="005D95"/>
                                      <w:sz w:val="16"/>
                                      <w:szCs w:val="16"/>
                                      <w:lang w:val="en-US"/>
                                    </w:rPr>
                                    <w:t>16</w:t>
                                  </w:r>
                                  <w:r>
                                    <w:rPr>
                                      <w:rFonts w:eastAsia="Calibri"/>
                                      <w:b/>
                                      <w:bCs/>
                                      <w:color w:val="005D95"/>
                                      <w:sz w:val="16"/>
                                      <w:szCs w:val="16"/>
                                      <w:lang w:val="en-US"/>
                                    </w:rPr>
                                    <w:t> </w:t>
                                  </w:r>
                                  <w:r>
                                    <w:rPr>
                                      <w:rFonts w:ascii="EC Square Sans Pro" w:eastAsia="Calibri" w:hAnsi="EC Square Sans Pro"/>
                                      <w:b/>
                                      <w:bCs/>
                                      <w:color w:val="005D95"/>
                                      <w:sz w:val="16"/>
                                      <w:szCs w:val="16"/>
                                      <w:lang w:val="en-US"/>
                                    </w:rPr>
                                    <w:t>733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Elbow Connector 86"/>
                            <wps:cNvCnPr/>
                            <wps:spPr>
                              <a:xfrm rot="10800000">
                                <a:off x="2238702" y="882869"/>
                                <a:ext cx="62865" cy="205105"/>
                              </a:xfrm>
                              <a:prstGeom prst="bentConnector3">
                                <a:avLst>
                                  <a:gd name="adj1" fmla="val 4436"/>
                                </a:avLst>
                              </a:prstGeom>
                              <a:noFill/>
                              <a:ln w="12700" cap="flat" cmpd="sng" algn="ctr">
                                <a:solidFill>
                                  <a:srgbClr val="005D95"/>
                                </a:solidFill>
                                <a:prstDash val="solid"/>
                              </a:ln>
                              <a:effectLst/>
                            </wps:spPr>
                            <wps:bodyPr/>
                          </wps:wsp>
                        </wpg:grpSp>
                        <wpg:grpSp>
                          <wpg:cNvPr id="64" name="Group 64"/>
                          <wpg:cNvGrpSpPr/>
                          <wpg:grpSpPr>
                            <a:xfrm>
                              <a:off x="2372709" y="1284890"/>
                              <a:ext cx="1095703" cy="607861"/>
                              <a:chOff x="2372709" y="1284890"/>
                              <a:chExt cx="1095703" cy="607861"/>
                            </a:xfrm>
                          </wpg:grpSpPr>
                          <wps:wsp>
                            <wps:cNvPr id="83" name="Text Box 64"/>
                            <wps:cNvSpPr txBox="1"/>
                            <wps:spPr>
                              <a:xfrm>
                                <a:off x="2380583" y="1387291"/>
                                <a:ext cx="1087829" cy="505460"/>
                              </a:xfrm>
                              <a:prstGeom prst="rect">
                                <a:avLst/>
                              </a:prstGeom>
                              <a:noFill/>
                              <a:ln w="6350">
                                <a:noFill/>
                              </a:ln>
                            </wps:spPr>
                            <wps:txbx>
                              <w:txbxContent>
                                <w:p>
                                  <w:pPr>
                                    <w:pStyle w:val="NormalWeb"/>
                                    <w:spacing w:after="160" w:line="252" w:lineRule="auto"/>
                                    <w:rPr>
                                      <w:rFonts w:ascii="EC Square Sans Pro" w:hAnsi="EC Square Sans Pro"/>
                                      <w:color w:val="C00000"/>
                                      <w:sz w:val="16"/>
                                      <w:szCs w:val="16"/>
                                    </w:rPr>
                                  </w:pPr>
                                  <w:r>
                                    <w:rPr>
                                      <w:rFonts w:ascii="EC Square Sans Pro" w:eastAsia="Calibri" w:hAnsi="EC Square Sans Pro"/>
                                      <w:color w:val="C00000"/>
                                      <w:sz w:val="16"/>
                                      <w:szCs w:val="16"/>
                                      <w:lang w:val="en-US"/>
                                    </w:rPr>
                                    <w:t>European Social Fund</w:t>
                                  </w:r>
                                  <w:r>
                                    <w:rPr>
                                      <w:rFonts w:ascii="EC Square Sans Pro" w:eastAsia="Calibri" w:hAnsi="EC Square Sans Pro"/>
                                      <w:color w:val="C00000"/>
                                      <w:sz w:val="16"/>
                                      <w:szCs w:val="16"/>
                                      <w:lang w:val="en-US"/>
                                    </w:rPr>
                                    <w:br/>
                                  </w:r>
                                  <w:r>
                                    <w:rPr>
                                      <w:rFonts w:ascii="EC Square Sans Pro" w:eastAsia="Calibri" w:hAnsi="EC Square Sans Pro"/>
                                      <w:b/>
                                      <w:bCs/>
                                      <w:color w:val="C00000"/>
                                      <w:sz w:val="16"/>
                                      <w:szCs w:val="16"/>
                                      <w:lang w:val="en-US"/>
                                    </w:rPr>
                                    <w:t>EUR</w:t>
                                  </w:r>
                                  <w:r>
                                    <w:rPr>
                                      <w:rFonts w:ascii="Calibri" w:eastAsia="Calibri" w:hAnsi="Calibri" w:cs="Calibri"/>
                                      <w:b/>
                                      <w:bCs/>
                                      <w:color w:val="C00000"/>
                                      <w:sz w:val="16"/>
                                      <w:szCs w:val="16"/>
                                      <w:lang w:val="en-US"/>
                                    </w:rPr>
                                    <w:t> </w:t>
                                  </w:r>
                                  <w:r>
                                    <w:rPr>
                                      <w:rFonts w:ascii="EC Square Sans Pro" w:eastAsia="Calibri" w:hAnsi="EC Square Sans Pro"/>
                                      <w:b/>
                                      <w:bCs/>
                                      <w:color w:val="C00000"/>
                                      <w:sz w:val="16"/>
                                      <w:szCs w:val="16"/>
                                      <w:lang w:val="en-US"/>
                                    </w:rPr>
                                    <w:t>5</w:t>
                                  </w:r>
                                  <w:r>
                                    <w:rPr>
                                      <w:rFonts w:ascii="Calibri" w:eastAsia="Calibri" w:hAnsi="Calibri" w:cs="Calibri"/>
                                      <w:b/>
                                      <w:bCs/>
                                      <w:color w:val="C00000"/>
                                      <w:sz w:val="16"/>
                                      <w:szCs w:val="16"/>
                                      <w:lang w:val="en-US"/>
                                    </w:rPr>
                                    <w:t> </w:t>
                                  </w:r>
                                  <w:r>
                                    <w:rPr>
                                      <w:rFonts w:ascii="EC Square Sans Pro" w:eastAsia="Calibri" w:hAnsi="EC Square Sans Pro"/>
                                      <w:b/>
                                      <w:bCs/>
                                      <w:color w:val="C00000"/>
                                      <w:sz w:val="16"/>
                                      <w:szCs w:val="16"/>
                                      <w:lang w:val="en-US"/>
                                    </w:rPr>
                                    <w:t>477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Elbow Connector 84"/>
                            <wps:cNvCnPr/>
                            <wps:spPr>
                              <a:xfrm>
                                <a:off x="2372709" y="1284890"/>
                                <a:ext cx="63233" cy="205461"/>
                              </a:xfrm>
                              <a:prstGeom prst="bentConnector3">
                                <a:avLst>
                                  <a:gd name="adj1" fmla="val 4436"/>
                                </a:avLst>
                              </a:prstGeom>
                              <a:noFill/>
                              <a:ln w="12700" cap="flat" cmpd="sng" algn="ctr">
                                <a:solidFill>
                                  <a:srgbClr val="C00000"/>
                                </a:solidFill>
                                <a:prstDash val="solid"/>
                              </a:ln>
                              <a:effectLst/>
                            </wps:spPr>
                            <wps:bodyPr/>
                          </wps:wsp>
                        </wpg:grpSp>
                        <wpg:grpSp>
                          <wpg:cNvPr id="65" name="Group 65"/>
                          <wpg:cNvGrpSpPr/>
                          <wpg:grpSpPr>
                            <a:xfrm>
                              <a:off x="2435771" y="543911"/>
                              <a:ext cx="1174181" cy="544061"/>
                              <a:chOff x="2435771" y="543911"/>
                              <a:chExt cx="1174181" cy="544061"/>
                            </a:xfrm>
                          </wpg:grpSpPr>
                          <wps:wsp>
                            <wps:cNvPr id="81" name="Text Box 64"/>
                            <wps:cNvSpPr txBox="1"/>
                            <wps:spPr>
                              <a:xfrm>
                                <a:off x="2435771" y="543911"/>
                                <a:ext cx="1174094" cy="496482"/>
                              </a:xfrm>
                              <a:prstGeom prst="rect">
                                <a:avLst/>
                              </a:prstGeom>
                              <a:noFill/>
                              <a:ln w="6350">
                                <a:noFill/>
                              </a:ln>
                            </wps:spPr>
                            <wps:txbx>
                              <w:txbxContent>
                                <w:p>
                                  <w:pPr>
                                    <w:spacing w:line="252" w:lineRule="auto"/>
                                    <w:jc w:val="right"/>
                                    <w:rPr>
                                      <w:rFonts w:ascii="EC Square Sans Pro" w:hAnsi="EC Square Sans Pro"/>
                                      <w:color w:val="584FA1"/>
                                      <w:sz w:val="16"/>
                                      <w:szCs w:val="16"/>
                                      <w:lang w:val="en-US"/>
                                    </w:rPr>
                                  </w:pPr>
                                  <w:r>
                                    <w:rPr>
                                      <w:rFonts w:ascii="EC Square Sans Pro" w:eastAsia="Calibri" w:hAnsi="EC Square Sans Pro"/>
                                      <w:color w:val="584FA1"/>
                                      <w:sz w:val="16"/>
                                      <w:szCs w:val="16"/>
                                      <w:lang w:val="en-US"/>
                                    </w:rPr>
                                    <w:t>European Agricultural Guarantee Fund</w:t>
                                  </w:r>
                                  <w:r>
                                    <w:rPr>
                                      <w:rFonts w:ascii="EC Square Sans Pro" w:eastAsia="Calibri" w:hAnsi="EC Square Sans Pro"/>
                                      <w:color w:val="584FA1"/>
                                      <w:sz w:val="16"/>
                                      <w:szCs w:val="16"/>
                                      <w:lang w:val="en-US"/>
                                    </w:rPr>
                                    <w:br/>
                                  </w:r>
                                  <w:r>
                                    <w:rPr>
                                      <w:rFonts w:ascii="EC Square Sans Pro" w:eastAsia="Calibri" w:hAnsi="EC Square Sans Pro"/>
                                      <w:b/>
                                      <w:bCs/>
                                      <w:color w:val="584FA1"/>
                                      <w:sz w:val="16"/>
                                      <w:szCs w:val="16"/>
                                      <w:lang w:val="en-US"/>
                                    </w:rPr>
                                    <w:t>EUR</w:t>
                                  </w:r>
                                  <w:r>
                                    <w:rPr>
                                      <w:rFonts w:eastAsia="Calibri"/>
                                      <w:b/>
                                      <w:bCs/>
                                      <w:color w:val="584FA1"/>
                                      <w:sz w:val="16"/>
                                      <w:szCs w:val="16"/>
                                      <w:lang w:val="en-US"/>
                                    </w:rPr>
                                    <w:t> </w:t>
                                  </w:r>
                                  <w:r>
                                    <w:rPr>
                                      <w:rFonts w:ascii="EC Square Sans Pro" w:eastAsia="Calibri" w:hAnsi="EC Square Sans Pro"/>
                                      <w:b/>
                                      <w:bCs/>
                                      <w:color w:val="584FA1"/>
                                      <w:sz w:val="16"/>
                                      <w:szCs w:val="16"/>
                                      <w:lang w:val="en-US"/>
                                    </w:rPr>
                                    <w:t>45</w:t>
                                  </w:r>
                                  <w:r>
                                    <w:rPr>
                                      <w:rFonts w:eastAsia="Calibri"/>
                                      <w:b/>
                                      <w:bCs/>
                                      <w:color w:val="584FA1"/>
                                      <w:sz w:val="16"/>
                                      <w:szCs w:val="16"/>
                                      <w:lang w:val="en-US"/>
                                    </w:rPr>
                                    <w:t> </w:t>
                                  </w:r>
                                  <w:r>
                                    <w:rPr>
                                      <w:rFonts w:ascii="EC Square Sans Pro" w:eastAsia="Calibri" w:hAnsi="EC Square Sans Pro"/>
                                      <w:b/>
                                      <w:bCs/>
                                      <w:color w:val="584FA1"/>
                                      <w:sz w:val="16"/>
                                      <w:szCs w:val="16"/>
                                      <w:lang w:val="en-US"/>
                                    </w:rPr>
                                    <w:t>505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Elbow Connector 82"/>
                            <wps:cNvCnPr/>
                            <wps:spPr>
                              <a:xfrm rot="10800000">
                                <a:off x="3547087" y="882867"/>
                                <a:ext cx="62865" cy="205105"/>
                              </a:xfrm>
                              <a:prstGeom prst="bentConnector3">
                                <a:avLst>
                                  <a:gd name="adj1" fmla="val 4436"/>
                                </a:avLst>
                              </a:prstGeom>
                              <a:noFill/>
                              <a:ln w="12700" cap="flat" cmpd="sng" algn="ctr">
                                <a:solidFill>
                                  <a:srgbClr val="584FA1"/>
                                </a:solidFill>
                                <a:prstDash val="solid"/>
                              </a:ln>
                              <a:effectLst/>
                            </wps:spPr>
                            <wps:bodyPr/>
                          </wps:wsp>
                        </wpg:grpSp>
                        <wpg:grpSp>
                          <wpg:cNvPr id="66" name="Group 66"/>
                          <wpg:cNvGrpSpPr/>
                          <wpg:grpSpPr>
                            <a:xfrm>
                              <a:off x="3697012" y="1284890"/>
                              <a:ext cx="1404320" cy="607791"/>
                              <a:chOff x="3697012" y="1284890"/>
                              <a:chExt cx="1404320" cy="607791"/>
                            </a:xfrm>
                          </wpg:grpSpPr>
                          <wps:wsp>
                            <wps:cNvPr id="79" name="Text Box 64"/>
                            <wps:cNvSpPr txBox="1"/>
                            <wps:spPr>
                              <a:xfrm>
                                <a:off x="3704879" y="1387221"/>
                                <a:ext cx="1396453" cy="505460"/>
                              </a:xfrm>
                              <a:prstGeom prst="rect">
                                <a:avLst/>
                              </a:prstGeom>
                              <a:noFill/>
                              <a:ln w="6350">
                                <a:noFill/>
                              </a:ln>
                            </wps:spPr>
                            <wps:txbx>
                              <w:txbxContent>
                                <w:p>
                                  <w:pPr>
                                    <w:pStyle w:val="NormalWeb"/>
                                    <w:spacing w:after="160" w:line="252" w:lineRule="auto"/>
                                    <w:jc w:val="left"/>
                                    <w:rPr>
                                      <w:rFonts w:ascii="EC Square Sans Pro" w:hAnsi="EC Square Sans Pro"/>
                                      <w:color w:val="203F79"/>
                                      <w:sz w:val="16"/>
                                      <w:szCs w:val="16"/>
                                    </w:rPr>
                                  </w:pPr>
                                  <w:r>
                                    <w:rPr>
                                      <w:rFonts w:ascii="EC Square Sans Pro" w:eastAsia="Calibri" w:hAnsi="EC Square Sans Pro"/>
                                      <w:color w:val="203F79"/>
                                      <w:sz w:val="16"/>
                                      <w:szCs w:val="16"/>
                                      <w:lang w:val="en-US"/>
                                    </w:rPr>
                                    <w:t>European Agricultural Fund for Rural Development</w:t>
                                  </w:r>
                                  <w:r>
                                    <w:rPr>
                                      <w:rFonts w:ascii="EC Square Sans Pro" w:eastAsia="Calibri" w:hAnsi="EC Square Sans Pro"/>
                                      <w:color w:val="203F79"/>
                                      <w:sz w:val="16"/>
                                      <w:szCs w:val="16"/>
                                      <w:lang w:val="en-US"/>
                                    </w:rPr>
                                    <w:br/>
                                  </w:r>
                                  <w:r>
                                    <w:rPr>
                                      <w:rFonts w:ascii="EC Square Sans Pro" w:eastAsia="Calibri" w:hAnsi="EC Square Sans Pro"/>
                                      <w:b/>
                                      <w:bCs/>
                                      <w:color w:val="203F79"/>
                                      <w:sz w:val="16"/>
                                      <w:szCs w:val="16"/>
                                      <w:lang w:val="en-US"/>
                                    </w:rPr>
                                    <w:t>EUR</w:t>
                                  </w:r>
                                  <w:r>
                                    <w:rPr>
                                      <w:rFonts w:ascii="Calibri" w:eastAsia="Calibri" w:hAnsi="Calibri" w:cs="Calibri"/>
                                      <w:b/>
                                      <w:bCs/>
                                      <w:color w:val="203F79"/>
                                      <w:sz w:val="16"/>
                                      <w:szCs w:val="16"/>
                                      <w:lang w:val="en-US"/>
                                    </w:rPr>
                                    <w:t> </w:t>
                                  </w:r>
                                  <w:r>
                                    <w:rPr>
                                      <w:rFonts w:ascii="EC Square Sans Pro" w:eastAsia="Calibri" w:hAnsi="EC Square Sans Pro"/>
                                      <w:b/>
                                      <w:bCs/>
                                      <w:color w:val="203F79"/>
                                      <w:sz w:val="16"/>
                                      <w:szCs w:val="16"/>
                                      <w:lang w:val="en-US"/>
                                    </w:rPr>
                                    <w:t>57</w:t>
                                  </w:r>
                                  <w:r>
                                    <w:rPr>
                                      <w:rFonts w:ascii="Calibri" w:eastAsia="Calibri" w:hAnsi="Calibri" w:cs="Calibri"/>
                                      <w:b/>
                                      <w:bCs/>
                                      <w:color w:val="203F79"/>
                                      <w:sz w:val="16"/>
                                      <w:szCs w:val="16"/>
                                      <w:lang w:val="en-US"/>
                                    </w:rPr>
                                    <w:t> </w:t>
                                  </w:r>
                                  <w:r>
                                    <w:rPr>
                                      <w:rFonts w:ascii="EC Square Sans Pro" w:eastAsia="Calibri" w:hAnsi="EC Square Sans Pro"/>
                                      <w:b/>
                                      <w:bCs/>
                                      <w:color w:val="203F79"/>
                                      <w:sz w:val="16"/>
                                      <w:szCs w:val="16"/>
                                      <w:lang w:val="en-US"/>
                                    </w:rPr>
                                    <w:t>694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Elbow Connector 80"/>
                            <wps:cNvCnPr/>
                            <wps:spPr>
                              <a:xfrm>
                                <a:off x="3697012" y="1284890"/>
                                <a:ext cx="63233" cy="205461"/>
                              </a:xfrm>
                              <a:prstGeom prst="bentConnector3">
                                <a:avLst>
                                  <a:gd name="adj1" fmla="val 4436"/>
                                </a:avLst>
                              </a:prstGeom>
                              <a:noFill/>
                              <a:ln w="12700" cap="flat" cmpd="sng" algn="ctr">
                                <a:solidFill>
                                  <a:srgbClr val="203F79"/>
                                </a:solidFill>
                                <a:prstDash val="solid"/>
                              </a:ln>
                              <a:effectLst/>
                            </wps:spPr>
                            <wps:bodyPr/>
                          </wps:wsp>
                        </wpg:grpSp>
                        <wpg:grpSp>
                          <wpg:cNvPr id="67" name="Group 67"/>
                          <wpg:cNvGrpSpPr/>
                          <wpg:grpSpPr>
                            <a:xfrm>
                              <a:off x="3610302" y="528145"/>
                              <a:ext cx="1547528" cy="615818"/>
                              <a:chOff x="3610302" y="528145"/>
                              <a:chExt cx="1547528" cy="615818"/>
                            </a:xfrm>
                          </wpg:grpSpPr>
                          <wps:wsp>
                            <wps:cNvPr id="77" name="Text Box 64"/>
                            <wps:cNvSpPr txBox="1"/>
                            <wps:spPr>
                              <a:xfrm>
                                <a:off x="3610302" y="528145"/>
                                <a:ext cx="1543579" cy="615818"/>
                              </a:xfrm>
                              <a:prstGeom prst="rect">
                                <a:avLst/>
                              </a:prstGeom>
                              <a:noFill/>
                              <a:ln w="6350">
                                <a:noFill/>
                              </a:ln>
                            </wps:spPr>
                            <wps:txbx>
                              <w:txbxContent>
                                <w:p>
                                  <w:pPr>
                                    <w:spacing w:line="252" w:lineRule="auto"/>
                                    <w:jc w:val="right"/>
                                    <w:rPr>
                                      <w:rFonts w:ascii="EC Square Sans Pro" w:hAnsi="EC Square Sans Pro"/>
                                      <w:color w:val="997300"/>
                                      <w:sz w:val="16"/>
                                      <w:szCs w:val="16"/>
                                      <w:lang w:val="en-US"/>
                                    </w:rPr>
                                  </w:pPr>
                                  <w:r>
                                    <w:rPr>
                                      <w:rFonts w:ascii="EC Square Sans Pro" w:eastAsia="Calibri" w:hAnsi="EC Square Sans Pro"/>
                                      <w:color w:val="997300"/>
                                      <w:sz w:val="16"/>
                                      <w:szCs w:val="16"/>
                                      <w:lang w:val="en-US"/>
                                    </w:rPr>
                                    <w:t>Programme for the environment and climate action</w:t>
                                  </w:r>
                                  <w:r>
                                    <w:rPr>
                                      <w:rFonts w:ascii="EC Square Sans Pro" w:eastAsia="Calibri" w:hAnsi="EC Square Sans Pro"/>
                                      <w:color w:val="997300"/>
                                      <w:sz w:val="16"/>
                                      <w:szCs w:val="16"/>
                                      <w:lang w:val="en-US"/>
                                    </w:rPr>
                                    <w:br/>
                                  </w:r>
                                  <w:r>
                                    <w:rPr>
                                      <w:rFonts w:ascii="EC Square Sans Pro" w:eastAsia="Calibri" w:hAnsi="EC Square Sans Pro"/>
                                      <w:b/>
                                      <w:bCs/>
                                      <w:color w:val="997300"/>
                                      <w:sz w:val="16"/>
                                      <w:szCs w:val="16"/>
                                      <w:lang w:val="en-US"/>
                                    </w:rPr>
                                    <w:t>EUR</w:t>
                                  </w:r>
                                  <w:r>
                                    <w:rPr>
                                      <w:rFonts w:eastAsia="Calibri"/>
                                      <w:b/>
                                      <w:bCs/>
                                      <w:color w:val="997300"/>
                                      <w:sz w:val="16"/>
                                      <w:szCs w:val="16"/>
                                      <w:lang w:val="en-US"/>
                                    </w:rPr>
                                    <w:t> </w:t>
                                  </w:r>
                                  <w:r>
                                    <w:rPr>
                                      <w:rFonts w:ascii="EC Square Sans Pro" w:eastAsia="Calibri" w:hAnsi="EC Square Sans Pro"/>
                                      <w:b/>
                                      <w:bCs/>
                                      <w:color w:val="997300"/>
                                      <w:sz w:val="16"/>
                                      <w:szCs w:val="16"/>
                                      <w:lang w:val="en-US"/>
                                    </w:rPr>
                                    <w:t>1</w:t>
                                  </w:r>
                                  <w:r>
                                    <w:rPr>
                                      <w:rFonts w:eastAsia="Calibri"/>
                                      <w:b/>
                                      <w:bCs/>
                                      <w:color w:val="997300"/>
                                      <w:sz w:val="16"/>
                                      <w:szCs w:val="16"/>
                                      <w:lang w:val="en-US"/>
                                    </w:rPr>
                                    <w:t> </w:t>
                                  </w:r>
                                  <w:r>
                                    <w:rPr>
                                      <w:rFonts w:ascii="EC Square Sans Pro" w:eastAsia="Calibri" w:hAnsi="EC Square Sans Pro"/>
                                      <w:b/>
                                      <w:bCs/>
                                      <w:color w:val="997300"/>
                                      <w:sz w:val="16"/>
                                      <w:szCs w:val="16"/>
                                      <w:lang w:val="en-US"/>
                                    </w:rPr>
                                    <w:t>616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 name="Elbow Connector 78"/>
                            <wps:cNvCnPr/>
                            <wps:spPr>
                              <a:xfrm rot="10800000">
                                <a:off x="5094965" y="882869"/>
                                <a:ext cx="62865" cy="205105"/>
                              </a:xfrm>
                              <a:prstGeom prst="bentConnector3">
                                <a:avLst>
                                  <a:gd name="adj1" fmla="val 4436"/>
                                </a:avLst>
                              </a:prstGeom>
                              <a:noFill/>
                              <a:ln w="12700" cap="flat" cmpd="sng" algn="ctr">
                                <a:solidFill>
                                  <a:srgbClr val="997300"/>
                                </a:solidFill>
                                <a:prstDash val="solid"/>
                              </a:ln>
                              <a:effectLst/>
                            </wps:spPr>
                            <wps:bodyPr/>
                          </wps:wsp>
                        </wpg:grpSp>
                        <wpg:grpSp>
                          <wpg:cNvPr id="68" name="Group 68"/>
                          <wpg:cNvGrpSpPr/>
                          <wpg:grpSpPr>
                            <a:xfrm>
                              <a:off x="3279226" y="1245477"/>
                              <a:ext cx="2105660" cy="1280796"/>
                              <a:chOff x="3279226" y="1245476"/>
                              <a:chExt cx="2106725" cy="1282936"/>
                            </a:xfrm>
                          </wpg:grpSpPr>
                          <wps:wsp>
                            <wps:cNvPr id="75" name="Text Box 64"/>
                            <wps:cNvSpPr txBox="1"/>
                            <wps:spPr>
                              <a:xfrm>
                                <a:off x="3279226" y="2140461"/>
                                <a:ext cx="2056359" cy="387951"/>
                              </a:xfrm>
                              <a:prstGeom prst="rect">
                                <a:avLst/>
                              </a:prstGeom>
                              <a:noFill/>
                              <a:ln w="6350">
                                <a:noFill/>
                              </a:ln>
                            </wps:spPr>
                            <wps:txbx>
                              <w:txbxContent>
                                <w:p>
                                  <w:pPr>
                                    <w:spacing w:line="252" w:lineRule="auto"/>
                                    <w:jc w:val="right"/>
                                    <w:rPr>
                                      <w:rFonts w:ascii="EC Square Sans Pro" w:hAnsi="EC Square Sans Pro"/>
                                      <w:color w:val="730000"/>
                                      <w:sz w:val="16"/>
                                      <w:szCs w:val="16"/>
                                    </w:rPr>
                                  </w:pPr>
                                  <w:r>
                                    <w:rPr>
                                      <w:rFonts w:ascii="EC Square Sans Pro" w:eastAsia="Calibri" w:hAnsi="EC Square Sans Pro"/>
                                      <w:color w:val="730000"/>
                                      <w:sz w:val="16"/>
                                      <w:szCs w:val="16"/>
                                      <w:lang w:val="en-US"/>
                                    </w:rPr>
                                    <w:t>Development Cooperation Instrument</w:t>
                                  </w:r>
                                  <w:r>
                                    <w:rPr>
                                      <w:rFonts w:ascii="EC Square Sans Pro" w:eastAsia="Calibri" w:hAnsi="EC Square Sans Pro"/>
                                      <w:color w:val="730000"/>
                                      <w:sz w:val="16"/>
                                      <w:szCs w:val="16"/>
                                      <w:lang w:val="en-US"/>
                                    </w:rPr>
                                    <w:br/>
                                  </w:r>
                                  <w:r>
                                    <w:rPr>
                                      <w:rFonts w:ascii="EC Square Sans Pro" w:eastAsia="Calibri" w:hAnsi="EC Square Sans Pro"/>
                                      <w:b/>
                                      <w:bCs/>
                                      <w:color w:val="730000"/>
                                      <w:sz w:val="16"/>
                                      <w:szCs w:val="16"/>
                                      <w:lang w:val="en-US"/>
                                    </w:rPr>
                                    <w:t>EUR</w:t>
                                  </w:r>
                                  <w:r>
                                    <w:rPr>
                                      <w:rFonts w:eastAsia="Calibri"/>
                                      <w:b/>
                                      <w:bCs/>
                                      <w:color w:val="730000"/>
                                      <w:sz w:val="16"/>
                                      <w:szCs w:val="16"/>
                                      <w:lang w:val="en-US"/>
                                    </w:rPr>
                                    <w:t> </w:t>
                                  </w:r>
                                  <w:r>
                                    <w:rPr>
                                      <w:rFonts w:ascii="EC Square Sans Pro" w:eastAsia="Calibri" w:hAnsi="EC Square Sans Pro"/>
                                      <w:b/>
                                      <w:bCs/>
                                      <w:color w:val="730000"/>
                                      <w:sz w:val="16"/>
                                      <w:szCs w:val="16"/>
                                      <w:lang w:val="en-US"/>
                                    </w:rPr>
                                    <w:t>5</w:t>
                                  </w:r>
                                  <w:r>
                                    <w:rPr>
                                      <w:rFonts w:eastAsia="Calibri"/>
                                      <w:b/>
                                      <w:bCs/>
                                      <w:color w:val="730000"/>
                                      <w:sz w:val="16"/>
                                      <w:szCs w:val="16"/>
                                      <w:lang w:val="en-US"/>
                                    </w:rPr>
                                    <w:t> </w:t>
                                  </w:r>
                                  <w:r>
                                    <w:rPr>
                                      <w:rFonts w:ascii="EC Square Sans Pro" w:eastAsia="Calibri" w:hAnsi="EC Square Sans Pro"/>
                                      <w:b/>
                                      <w:bCs/>
                                      <w:color w:val="730000"/>
                                      <w:sz w:val="16"/>
                                      <w:szCs w:val="16"/>
                                      <w:lang w:val="en-US"/>
                                    </w:rPr>
                                    <w:t>230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 name="Elbow Connector 76"/>
                            <wps:cNvCnPr/>
                            <wps:spPr>
                              <a:xfrm rot="5400000">
                                <a:off x="4854828" y="1717897"/>
                                <a:ext cx="1003543" cy="58702"/>
                              </a:xfrm>
                              <a:prstGeom prst="bentConnector3">
                                <a:avLst>
                                  <a:gd name="adj1" fmla="val 100356"/>
                                </a:avLst>
                              </a:prstGeom>
                              <a:noFill/>
                              <a:ln w="12700" cap="flat" cmpd="sng" algn="ctr">
                                <a:solidFill>
                                  <a:srgbClr val="730000"/>
                                </a:solidFill>
                                <a:prstDash val="solid"/>
                              </a:ln>
                              <a:effectLst/>
                            </wps:spPr>
                            <wps:bodyPr/>
                          </wps:wsp>
                        </wpg:grpSp>
                        <wpg:grpSp>
                          <wpg:cNvPr id="69" name="Group 69"/>
                          <wpg:cNvGrpSpPr/>
                          <wpg:grpSpPr>
                            <a:xfrm>
                              <a:off x="3547240" y="0"/>
                              <a:ext cx="1874564" cy="1039936"/>
                              <a:chOff x="3547240" y="0"/>
                              <a:chExt cx="1874564" cy="1039936"/>
                            </a:xfrm>
                          </wpg:grpSpPr>
                          <wps:wsp>
                            <wps:cNvPr id="73" name="Text Box 64"/>
                            <wps:cNvSpPr txBox="1"/>
                            <wps:spPr>
                              <a:xfrm>
                                <a:off x="3547240" y="0"/>
                                <a:ext cx="1874564" cy="366391"/>
                              </a:xfrm>
                              <a:prstGeom prst="rect">
                                <a:avLst/>
                              </a:prstGeom>
                              <a:noFill/>
                              <a:ln w="6350">
                                <a:noFill/>
                              </a:ln>
                            </wps:spPr>
                            <wps:txbx>
                              <w:txbxContent>
                                <w:p>
                                  <w:pPr>
                                    <w:spacing w:line="252" w:lineRule="auto"/>
                                    <w:jc w:val="right"/>
                                    <w:rPr>
                                      <w:rFonts w:ascii="EC Square Sans Pro" w:hAnsi="EC Square Sans Pro"/>
                                      <w:color w:val="352F61"/>
                                      <w:sz w:val="16"/>
                                      <w:szCs w:val="16"/>
                                    </w:rPr>
                                  </w:pPr>
                                  <w:r>
                                    <w:rPr>
                                      <w:rFonts w:ascii="EC Square Sans Pro" w:eastAsia="Calibri" w:hAnsi="EC Square Sans Pro"/>
                                      <w:color w:val="352F61"/>
                                      <w:sz w:val="16"/>
                                      <w:szCs w:val="16"/>
                                      <w:lang w:val="en-US"/>
                                    </w:rPr>
                                    <w:t>Humanitarian aid</w:t>
                                  </w:r>
                                  <w:r>
                                    <w:rPr>
                                      <w:rFonts w:ascii="EC Square Sans Pro" w:eastAsia="Calibri" w:hAnsi="EC Square Sans Pro"/>
                                      <w:color w:val="352F61"/>
                                      <w:sz w:val="16"/>
                                      <w:szCs w:val="16"/>
                                      <w:lang w:val="en-US"/>
                                    </w:rPr>
                                    <w:br/>
                                  </w:r>
                                  <w:r>
                                    <w:rPr>
                                      <w:rFonts w:ascii="EC Square Sans Pro" w:eastAsia="Calibri" w:hAnsi="EC Square Sans Pro"/>
                                      <w:b/>
                                      <w:bCs/>
                                      <w:color w:val="352F61"/>
                                      <w:sz w:val="16"/>
                                      <w:szCs w:val="16"/>
                                      <w:lang w:val="en-US"/>
                                    </w:rPr>
                                    <w:t>EUR</w:t>
                                  </w:r>
                                  <w:r>
                                    <w:rPr>
                                      <w:rFonts w:eastAsia="Calibri"/>
                                      <w:b/>
                                      <w:bCs/>
                                      <w:color w:val="352F61"/>
                                      <w:sz w:val="16"/>
                                      <w:szCs w:val="16"/>
                                      <w:lang w:val="en-US"/>
                                    </w:rPr>
                                    <w:t> </w:t>
                                  </w:r>
                                  <w:r>
                                    <w:rPr>
                                      <w:rFonts w:ascii="EC Square Sans Pro" w:eastAsia="Calibri" w:hAnsi="EC Square Sans Pro"/>
                                      <w:b/>
                                      <w:bCs/>
                                      <w:color w:val="352F61"/>
                                      <w:sz w:val="16"/>
                                      <w:szCs w:val="16"/>
                                      <w:lang w:val="en-US"/>
                                    </w:rPr>
                                    <w:t>1</w:t>
                                  </w:r>
                                  <w:r>
                                    <w:rPr>
                                      <w:rFonts w:eastAsia="Calibri"/>
                                      <w:b/>
                                      <w:bCs/>
                                      <w:color w:val="352F61"/>
                                      <w:sz w:val="16"/>
                                      <w:szCs w:val="16"/>
                                      <w:lang w:val="en-US"/>
                                    </w:rPr>
                                    <w:t> </w:t>
                                  </w:r>
                                  <w:r>
                                    <w:rPr>
                                      <w:rFonts w:ascii="EC Square Sans Pro" w:eastAsia="Calibri" w:hAnsi="EC Square Sans Pro"/>
                                      <w:b/>
                                      <w:bCs/>
                                      <w:color w:val="352F61"/>
                                      <w:sz w:val="16"/>
                                      <w:szCs w:val="16"/>
                                      <w:lang w:val="en-US"/>
                                    </w:rPr>
                                    <w:t>060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Elbow Connector 74"/>
                            <wps:cNvCnPr/>
                            <wps:spPr>
                              <a:xfrm rot="16200000" flipV="1">
                                <a:off x="4921936" y="552383"/>
                                <a:ext cx="924314" cy="50792"/>
                              </a:xfrm>
                              <a:prstGeom prst="bentConnector3">
                                <a:avLst>
                                  <a:gd name="adj1" fmla="val 100312"/>
                                </a:avLst>
                              </a:prstGeom>
                              <a:noFill/>
                              <a:ln w="12700" cap="flat" cmpd="sng" algn="ctr">
                                <a:solidFill>
                                  <a:srgbClr val="352F61"/>
                                </a:solidFill>
                                <a:prstDash val="solid"/>
                              </a:ln>
                              <a:effectLst/>
                            </wps:spPr>
                            <wps:bodyPr/>
                          </wps:wsp>
                        </wpg:grpSp>
                        <wpg:grpSp>
                          <wpg:cNvPr id="70" name="Group 70"/>
                          <wpg:cNvGrpSpPr/>
                          <wpg:grpSpPr>
                            <a:xfrm>
                              <a:off x="3381702" y="1269127"/>
                              <a:ext cx="2105660" cy="1509398"/>
                              <a:chOff x="3381702" y="1269125"/>
                              <a:chExt cx="2106725" cy="1511919"/>
                            </a:xfrm>
                          </wpg:grpSpPr>
                          <wps:wsp>
                            <wps:cNvPr id="71" name="Text Box 64"/>
                            <wps:cNvSpPr txBox="1"/>
                            <wps:spPr>
                              <a:xfrm>
                                <a:off x="3381702" y="2393093"/>
                                <a:ext cx="2056359" cy="387951"/>
                              </a:xfrm>
                              <a:prstGeom prst="rect">
                                <a:avLst/>
                              </a:prstGeom>
                              <a:noFill/>
                              <a:ln w="6350">
                                <a:noFill/>
                              </a:ln>
                            </wps:spPr>
                            <wps:txbx>
                              <w:txbxContent>
                                <w:p>
                                  <w:pPr>
                                    <w:spacing w:line="252" w:lineRule="auto"/>
                                    <w:jc w:val="right"/>
                                    <w:rPr>
                                      <w:rFonts w:ascii="EC Square Sans Pro" w:hAnsi="EC Square Sans Pro"/>
                                      <w:color w:val="F5886C"/>
                                      <w:sz w:val="16"/>
                                      <w:szCs w:val="16"/>
                                    </w:rPr>
                                  </w:pPr>
                                  <w:r>
                                    <w:rPr>
                                      <w:rFonts w:ascii="EC Square Sans Pro" w:eastAsia="Calibri" w:hAnsi="EC Square Sans Pro"/>
                                      <w:color w:val="F5886C"/>
                                      <w:sz w:val="16"/>
                                      <w:szCs w:val="16"/>
                                      <w:lang w:val="en-US"/>
                                    </w:rPr>
                                    <w:t>Other</w:t>
                                  </w:r>
                                  <w:r>
                                    <w:rPr>
                                      <w:rFonts w:ascii="EC Square Sans Pro" w:eastAsia="Calibri" w:hAnsi="EC Square Sans Pro"/>
                                      <w:color w:val="F5886C"/>
                                      <w:sz w:val="16"/>
                                      <w:szCs w:val="16"/>
                                      <w:lang w:val="en-US"/>
                                    </w:rPr>
                                    <w:br/>
                                  </w:r>
                                  <w:r>
                                    <w:rPr>
                                      <w:rFonts w:ascii="EC Square Sans Pro" w:eastAsia="Calibri" w:hAnsi="EC Square Sans Pro"/>
                                      <w:b/>
                                      <w:bCs/>
                                      <w:color w:val="F5886C"/>
                                      <w:sz w:val="16"/>
                                      <w:szCs w:val="16"/>
                                      <w:lang w:val="en-US"/>
                                    </w:rPr>
                                    <w:t>EUR</w:t>
                                  </w:r>
                                  <w:r>
                                    <w:rPr>
                                      <w:rFonts w:eastAsia="Calibri"/>
                                      <w:b/>
                                      <w:bCs/>
                                      <w:color w:val="F5886C"/>
                                      <w:sz w:val="16"/>
                                      <w:szCs w:val="16"/>
                                      <w:lang w:val="en-US"/>
                                    </w:rPr>
                                    <w:t> </w:t>
                                  </w:r>
                                  <w:r>
                                    <w:rPr>
                                      <w:rFonts w:ascii="EC Square Sans Pro" w:eastAsia="Calibri" w:hAnsi="EC Square Sans Pro"/>
                                      <w:b/>
                                      <w:bCs/>
                                      <w:color w:val="F5886C"/>
                                      <w:sz w:val="16"/>
                                      <w:szCs w:val="16"/>
                                      <w:lang w:val="en-US"/>
                                    </w:rPr>
                                    <w:t>3</w:t>
                                  </w:r>
                                  <w:r>
                                    <w:rPr>
                                      <w:rFonts w:eastAsia="Calibri"/>
                                      <w:b/>
                                      <w:bCs/>
                                      <w:color w:val="F5886C"/>
                                      <w:sz w:val="16"/>
                                      <w:szCs w:val="16"/>
                                      <w:lang w:val="en-US"/>
                                    </w:rPr>
                                    <w:t> </w:t>
                                  </w:r>
                                  <w:r>
                                    <w:rPr>
                                      <w:rFonts w:ascii="EC Square Sans Pro" w:eastAsia="Calibri" w:hAnsi="EC Square Sans Pro"/>
                                      <w:b/>
                                      <w:bCs/>
                                      <w:color w:val="F5886C"/>
                                      <w:sz w:val="16"/>
                                      <w:szCs w:val="16"/>
                                      <w:lang w:val="en-US"/>
                                    </w:rPr>
                                    <w:t>572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Elbow Connector 72"/>
                            <wps:cNvCnPr/>
                            <wps:spPr>
                              <a:xfrm rot="5400000">
                                <a:off x="4842813" y="1856037"/>
                                <a:ext cx="1232525" cy="58702"/>
                              </a:xfrm>
                              <a:prstGeom prst="bentConnector3">
                                <a:avLst>
                                  <a:gd name="adj1" fmla="val 100610"/>
                                </a:avLst>
                              </a:prstGeom>
                              <a:noFill/>
                              <a:ln w="12700" cap="flat" cmpd="sng" algn="ctr">
                                <a:solidFill>
                                  <a:srgbClr val="F5886C"/>
                                </a:solidFill>
                                <a:prstDash val="solid"/>
                              </a:ln>
                              <a:effectLst/>
                            </wps:spPr>
                            <wps:bodyPr/>
                          </wps:wsp>
                        </wpg:grpSp>
                      </wpg:grpSp>
                    </wpg:wgp>
                  </a:graphicData>
                </a:graphic>
                <wp14:sizeRelH relativeFrom="margin">
                  <wp14:pctWidth>0</wp14:pctWidth>
                </wp14:sizeRelH>
                <wp14:sizeRelV relativeFrom="page">
                  <wp14:pctHeight>0</wp14:pctHeight>
                </wp14:sizeRelV>
              </wp:anchor>
            </w:drawing>
          </mc:Choice>
          <mc:Fallback>
            <w:pict>
              <v:group id="Group 8" o:spid="_x0000_s1026" style="position:absolute;left:0;text-align:left;margin-left:9.85pt;margin-top:10.55pt;width:432.1pt;height:218.8pt;z-index:251658240;mso-width-relative:margin" coordsize="54873,2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">
                <v:group id="Group 56" o:spid="_x0000_s1027" style="position:absolute;left:33895;top:2443;width:18746;height:8991" coordorigin="33895,2443" coordsize="18745,8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202" coordsize="21600,21600" o:spt="202" path="m,l,21600r21600,l21600,xe">
                    <v:stroke joinstyle="miter"/>
                    <v:path gradientshapeok="t" o:connecttype="rect"/>
                  </v:shapetype>
                  <v:shape id="Text Box 64" o:spid="_x0000_s1028" type="#_x0000_t202" style="position:absolute;left:33895;top:2443;width:18746;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pPr>
                            <w:spacing w:line="252" w:lineRule="auto"/>
                            <w:jc w:val="right"/>
                            <w:rPr>
                              <w:rFonts w:ascii="EC Square Sans Pro" w:hAnsi="EC Square Sans Pro"/>
                              <w:color w:val="8EABE1"/>
                              <w:sz w:val="16"/>
                              <w:szCs w:val="16"/>
                            </w:rPr>
                          </w:pPr>
                          <w:r>
                            <w:rPr>
                              <w:rFonts w:ascii="EC Square Sans Pro" w:eastAsia="Calibri" w:hAnsi="EC Square Sans Pro"/>
                              <w:color w:val="8EABE1"/>
                              <w:sz w:val="16"/>
                              <w:szCs w:val="16"/>
                            </w:rPr>
                            <w:t>European Neighbourhood Instrument</w:t>
                          </w:r>
                          <w:r>
                            <w:rPr>
                              <w:rFonts w:ascii="EC Square Sans Pro" w:eastAsia="Calibri" w:hAnsi="EC Square Sans Pro"/>
                              <w:color w:val="8EABE1"/>
                              <w:sz w:val="16"/>
                              <w:szCs w:val="16"/>
                            </w:rPr>
                            <w:br/>
                          </w:r>
                          <w:r>
                            <w:rPr>
                              <w:rFonts w:ascii="EC Square Sans Pro" w:eastAsia="Calibri" w:hAnsi="EC Square Sans Pro"/>
                              <w:b/>
                              <w:bCs/>
                              <w:color w:val="8EABE1"/>
                              <w:sz w:val="16"/>
                              <w:szCs w:val="16"/>
                            </w:rPr>
                            <w:t>EUR</w:t>
                          </w:r>
                          <w:r>
                            <w:rPr>
                              <w:rFonts w:eastAsia="Calibri"/>
                              <w:b/>
                              <w:bCs/>
                              <w:color w:val="8EABE1"/>
                              <w:sz w:val="16"/>
                              <w:szCs w:val="16"/>
                            </w:rPr>
                            <w:t> </w:t>
                          </w:r>
                          <w:r>
                            <w:rPr>
                              <w:rFonts w:ascii="EC Square Sans Pro" w:eastAsia="Calibri" w:hAnsi="EC Square Sans Pro"/>
                              <w:b/>
                              <w:bCs/>
                              <w:color w:val="8EABE1"/>
                              <w:sz w:val="16"/>
                              <w:szCs w:val="16"/>
                            </w:rPr>
                            <w:t>2</w:t>
                          </w:r>
                          <w:r>
                            <w:rPr>
                              <w:rFonts w:eastAsia="Calibri"/>
                              <w:b/>
                              <w:bCs/>
                              <w:color w:val="8EABE1"/>
                              <w:sz w:val="16"/>
                              <w:szCs w:val="16"/>
                            </w:rPr>
                            <w:t> </w:t>
                          </w:r>
                          <w:r>
                            <w:rPr>
                              <w:rFonts w:ascii="EC Square Sans Pro" w:eastAsia="Calibri" w:hAnsi="EC Square Sans Pro"/>
                              <w:b/>
                              <w:bCs/>
                              <w:color w:val="8EABE1"/>
                              <w:sz w:val="16"/>
                              <w:szCs w:val="16"/>
                            </w:rPr>
                            <w:t>082</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6" o:spid="_x0000_s1029" type="#_x0000_t34" style="position:absolute;left:48348;top:7264;width:7832;height:508;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DxbcQAAADbAAAADwAAAGRycy9kb3ducmV2LnhtbESPwWrDMBBE74X+g9hCL6WRm0NInMgh&#10;BFLaQw5NDLlurbVlYq2MpNrO31eFQo7DzLxhNtvJdmIgH1rHCt5mGQjiyumWGwXl+fC6BBEissbO&#10;MSm4UYBt8fiwwVy7kb9oOMVGJAiHHBWYGPtcylAZshhmridOXu28xZikb6T2OCa47eQ8yxbSYstp&#10;wWBPe0PV9fRjFaCPn2Xgi37ZBZ739ftx+r4dlXp+mnZrEJGmeA//tz+0gtUC/r6kH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PFtxAAAANsAAAAPAAAAAAAAAAAA&#10;AAAAAKECAABkcnMvZG93bnJldi54bWxQSwUGAAAAAAQABAD5AAAAkgMAAAAA&#10;" adj="21660" strokecolor="#8eabe1" strokeweight="1pt"/>
                </v:group>
                <v:group id="Group 57" o:spid="_x0000_s1030" style="position:absolute;left:38152;top:12060;width:13819;height:10121" coordorigin="38152,12060" coordsize="13832,1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64" o:spid="_x0000_s1031" type="#_x0000_t202" style="position:absolute;left:38152;top:17444;width:13700;height:4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pPr>
                            <w:spacing w:line="252" w:lineRule="auto"/>
                            <w:jc w:val="right"/>
                            <w:rPr>
                              <w:rFonts w:ascii="EC Square Sans Pro" w:hAnsi="EC Square Sans Pro"/>
                              <w:color w:val="006A30"/>
                              <w:sz w:val="16"/>
                              <w:szCs w:val="16"/>
                            </w:rPr>
                          </w:pPr>
                          <w:r>
                            <w:rPr>
                              <w:rFonts w:ascii="EC Square Sans Pro" w:eastAsia="Calibri" w:hAnsi="EC Square Sans Pro"/>
                              <w:color w:val="006A30"/>
                              <w:sz w:val="16"/>
                              <w:szCs w:val="16"/>
                              <w:lang w:val="en-US"/>
                            </w:rPr>
                            <w:t>Instrument for</w:t>
                          </w:r>
                          <w:r>
                            <w:rPr>
                              <w:rFonts w:ascii="EC Square Sans Pro" w:eastAsia="Calibri" w:hAnsi="EC Square Sans Pro"/>
                              <w:color w:val="006A30"/>
                              <w:sz w:val="16"/>
                              <w:szCs w:val="16"/>
                              <w:lang w:val="en-US"/>
                            </w:rPr>
                            <w:br/>
                            <w:t xml:space="preserve"> Pre-accession Assistance</w:t>
                          </w:r>
                          <w:r>
                            <w:rPr>
                              <w:rFonts w:ascii="EC Square Sans Pro" w:eastAsia="Calibri" w:hAnsi="EC Square Sans Pro"/>
                              <w:color w:val="006A30"/>
                              <w:sz w:val="16"/>
                              <w:szCs w:val="16"/>
                              <w:lang w:val="en-US"/>
                            </w:rPr>
                            <w:br/>
                          </w:r>
                          <w:r>
                            <w:rPr>
                              <w:rFonts w:ascii="EC Square Sans Pro" w:eastAsia="Calibri" w:hAnsi="EC Square Sans Pro"/>
                              <w:b/>
                              <w:bCs/>
                              <w:color w:val="006A30"/>
                              <w:sz w:val="16"/>
                              <w:szCs w:val="16"/>
                              <w:lang w:val="en-US"/>
                            </w:rPr>
                            <w:t>EUR</w:t>
                          </w:r>
                          <w:r>
                            <w:rPr>
                              <w:rFonts w:eastAsia="Calibri"/>
                              <w:b/>
                              <w:bCs/>
                              <w:color w:val="006A30"/>
                              <w:sz w:val="16"/>
                              <w:szCs w:val="16"/>
                              <w:lang w:val="en-US"/>
                            </w:rPr>
                            <w:t> </w:t>
                          </w:r>
                          <w:r>
                            <w:rPr>
                              <w:rFonts w:ascii="EC Square Sans Pro" w:eastAsia="Calibri" w:hAnsi="EC Square Sans Pro"/>
                              <w:b/>
                              <w:bCs/>
                              <w:color w:val="006A30"/>
                              <w:sz w:val="16"/>
                              <w:szCs w:val="16"/>
                              <w:lang w:val="en-US"/>
                            </w:rPr>
                            <w:t>1</w:t>
                          </w:r>
                          <w:r>
                            <w:rPr>
                              <w:rFonts w:eastAsia="Calibri"/>
                              <w:b/>
                              <w:bCs/>
                              <w:color w:val="006A30"/>
                              <w:sz w:val="16"/>
                              <w:szCs w:val="16"/>
                              <w:lang w:val="en-US"/>
                            </w:rPr>
                            <w:t> </w:t>
                          </w:r>
                          <w:r>
                            <w:rPr>
                              <w:rFonts w:ascii="EC Square Sans Pro" w:eastAsia="Calibri" w:hAnsi="EC Square Sans Pro"/>
                              <w:b/>
                              <w:bCs/>
                              <w:color w:val="006A30"/>
                              <w:sz w:val="16"/>
                              <w:szCs w:val="16"/>
                              <w:lang w:val="en-US"/>
                            </w:rPr>
                            <w:t>606</w:t>
                          </w:r>
                        </w:p>
                      </w:txbxContent>
                    </v:textbox>
                  </v:shape>
                  <v:shape id="Elbow Connector 94" o:spid="_x0000_s1032" type="#_x0000_t34" style="position:absolute;left:47788;top:15853;width:7989;height:40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PycMAAADbAAAADwAAAGRycy9kb3ducmV2LnhtbESPQWvCQBSE70L/w/IKvemmoViNboIU&#10;CqU9GfXg7bH7TILZtyG7jcm/7wpCj8PMfMNsi9G2YqDeN44VvC4SEMTamYYrBcfD53wFwgdkg61j&#10;UjCRhyJ/mm0xM+7GexrKUIkIYZ+hgjqELpPS65os+oXriKN3cb3FEGVfSdPjLcJtK9MkWUqLDceF&#10;Gjv6qElfy1+r4DykO52Ggzyf8H1qq5/ye6UnpV6ex90GRKAx/Icf7S+jYP0G9y/xB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3T8nDAAAA2wAAAA8AAAAAAAAAAAAA&#10;AAAAoQIAAGRycy9kb3ducmV2LnhtbFBLBQYAAAAABAAEAPkAAACRAwAAAAA=&#10;" adj="21468" strokecolor="#006a30" strokeweight="1pt"/>
                </v:group>
                <v:group id="Group 58" o:spid="_x0000_s1033" style="position:absolute;width:54873;height:27785" coordsize="54873,27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60" o:spid="_x0000_s1034" style="position:absolute;left:157;top:12848;width:8750;height:6080" coordorigin="157,12848" coordsize="8749,6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64" o:spid="_x0000_s1035" type="#_x0000_t202" style="position:absolute;left:236;top:13873;width:8671;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pPr>
                              <w:pStyle w:val="NormalWeb"/>
                              <w:spacing w:after="160" w:line="252" w:lineRule="auto"/>
                              <w:rPr>
                                <w:rFonts w:ascii="EC Square Sans Pro" w:hAnsi="EC Square Sans Pro"/>
                                <w:color w:val="F26A47"/>
                                <w:sz w:val="16"/>
                                <w:szCs w:val="16"/>
                              </w:rPr>
                            </w:pPr>
                            <w:r>
                              <w:rPr>
                                <w:rFonts w:ascii="EC Square Sans Pro" w:eastAsia="Calibri" w:hAnsi="EC Square Sans Pro"/>
                                <w:color w:val="F26A47"/>
                                <w:sz w:val="16"/>
                                <w:szCs w:val="16"/>
                                <w:lang w:val="en-US"/>
                              </w:rPr>
                              <w:t>Horizon 2020</w:t>
                            </w:r>
                            <w:r>
                              <w:rPr>
                                <w:rFonts w:ascii="EC Square Sans Pro" w:eastAsia="Calibri" w:hAnsi="EC Square Sans Pro"/>
                                <w:color w:val="F26A47"/>
                                <w:sz w:val="16"/>
                                <w:szCs w:val="16"/>
                                <w:lang w:val="en-US"/>
                              </w:rPr>
                              <w:br/>
                            </w:r>
                            <w:r>
                              <w:rPr>
                                <w:rFonts w:ascii="EC Square Sans Pro" w:eastAsia="Calibri" w:hAnsi="EC Square Sans Pro"/>
                                <w:b/>
                                <w:bCs/>
                                <w:color w:val="F26A47"/>
                                <w:sz w:val="16"/>
                                <w:szCs w:val="16"/>
                                <w:lang w:val="en-US"/>
                              </w:rPr>
                              <w:t>EUR</w:t>
                            </w:r>
                            <w:r>
                              <w:rPr>
                                <w:rFonts w:ascii="Calibri" w:eastAsia="Calibri" w:hAnsi="Calibri" w:cs="Calibri"/>
                                <w:b/>
                                <w:bCs/>
                                <w:color w:val="F26A47"/>
                                <w:sz w:val="16"/>
                                <w:szCs w:val="16"/>
                                <w:lang w:val="en-US"/>
                              </w:rPr>
                              <w:t> </w:t>
                            </w:r>
                            <w:r>
                              <w:rPr>
                                <w:rFonts w:ascii="EC Square Sans Pro" w:eastAsia="Calibri" w:hAnsi="EC Square Sans Pro"/>
                                <w:b/>
                                <w:bCs/>
                                <w:color w:val="F26A47"/>
                                <w:sz w:val="16"/>
                                <w:szCs w:val="16"/>
                                <w:lang w:val="en-US"/>
                              </w:rPr>
                              <w:t>20</w:t>
                            </w:r>
                            <w:r>
                              <w:rPr>
                                <w:rFonts w:ascii="Calibri" w:eastAsia="Calibri" w:hAnsi="Calibri" w:cs="Calibri"/>
                                <w:b/>
                                <w:bCs/>
                                <w:color w:val="F26A47"/>
                                <w:sz w:val="16"/>
                                <w:szCs w:val="16"/>
                                <w:lang w:val="en-US"/>
                              </w:rPr>
                              <w:t> </w:t>
                            </w:r>
                            <w:r>
                              <w:rPr>
                                <w:rFonts w:ascii="EC Square Sans Pro" w:eastAsia="Calibri" w:hAnsi="EC Square Sans Pro"/>
                                <w:b/>
                                <w:bCs/>
                                <w:color w:val="F26A47"/>
                                <w:sz w:val="16"/>
                                <w:szCs w:val="16"/>
                                <w:lang w:val="en-US"/>
                              </w:rPr>
                              <w:t>300</w:t>
                            </w:r>
                          </w:p>
                        </w:txbxContent>
                      </v:textbox>
                    </v:shape>
                    <v:shape id="Elbow Connector 92" o:spid="_x0000_s1036" type="#_x0000_t34" style="position:absolute;left:157;top:12848;width:632;height:20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W97cUAAADbAAAADwAAAGRycy9kb3ducmV2LnhtbESP0UrDQBRE3wX/YblC3+ymgUabdltE&#10;UetDU5r2Ay7Z2ySYvRt31yb+fVcQfBxm5gyz2oymExdyvrWsYDZNQBBXVrdcKzgdX+8fQfiArLGz&#10;TAp+yMNmfXuzwlzbgQ90KUMtIoR9jgqaEPpcSl81ZNBPbU8cvbN1BkOUrpba4RDhppNpkmTSYMtx&#10;ocGenhuqPstvo6B82Rfzh2JXuKxczAb3ln2k719KTe7GpyWIQGP4D/+1t1rBIoXfL/EH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W97cUAAADbAAAADwAAAAAAAAAA&#10;AAAAAAChAgAAZHJzL2Rvd25yZXYueG1sUEsFBgAAAAAEAAQA+QAAAJMDAAAAAA==&#10;" adj="958" strokecolor="#f26a47" strokeweight="1pt"/>
                  </v:group>
                  <v:group id="Group 61" o:spid="_x0000_s1037" style="position:absolute;top:5360;width:10245;height:5519" coordorigin=",5360" coordsize="10245,5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64" o:spid="_x0000_s1038" type="#_x0000_t202" style="position:absolute;top:5360;width:10163;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pPr>
                              <w:spacing w:line="252" w:lineRule="auto"/>
                              <w:jc w:val="right"/>
                              <w:rPr>
                                <w:rFonts w:ascii="EC Square Sans Pro" w:hAnsi="EC Square Sans Pro"/>
                                <w:color w:val="FFC000"/>
                                <w:sz w:val="16"/>
                                <w:szCs w:val="16"/>
                              </w:rPr>
                            </w:pPr>
                            <w:r>
                              <w:rPr>
                                <w:rFonts w:ascii="EC Square Sans Pro" w:eastAsia="Calibri" w:hAnsi="EC Square Sans Pro"/>
                                <w:color w:val="FFC000"/>
                                <w:sz w:val="16"/>
                                <w:szCs w:val="16"/>
                                <w:lang w:val="en-US"/>
                              </w:rPr>
                              <w:t xml:space="preserve">Connecting Europe </w:t>
                            </w:r>
                            <w:r>
                              <w:rPr>
                                <w:rFonts w:ascii="EC Square Sans Pro" w:eastAsia="Calibri" w:hAnsi="EC Square Sans Pro"/>
                                <w:color w:val="FFC000"/>
                                <w:sz w:val="16"/>
                                <w:szCs w:val="16"/>
                                <w:lang w:val="en-US"/>
                              </w:rPr>
                              <w:br/>
                              <w:t xml:space="preserve">Facility </w:t>
                            </w:r>
                            <w:r>
                              <w:rPr>
                                <w:rFonts w:ascii="EC Square Sans Pro" w:eastAsia="Calibri" w:hAnsi="EC Square Sans Pro"/>
                                <w:color w:val="FFC000"/>
                                <w:sz w:val="16"/>
                                <w:szCs w:val="16"/>
                                <w:lang w:val="en-US"/>
                              </w:rPr>
                              <w:br/>
                            </w:r>
                            <w:r>
                              <w:rPr>
                                <w:rFonts w:ascii="EC Square Sans Pro" w:eastAsia="Calibri" w:hAnsi="EC Square Sans Pro"/>
                                <w:b/>
                                <w:bCs/>
                                <w:color w:val="FFC000"/>
                                <w:sz w:val="16"/>
                                <w:szCs w:val="16"/>
                                <w:lang w:val="en-US"/>
                              </w:rPr>
                              <w:t>EUR</w:t>
                            </w:r>
                            <w:r>
                              <w:rPr>
                                <w:rFonts w:eastAsia="Calibri"/>
                                <w:b/>
                                <w:bCs/>
                                <w:color w:val="FFC000"/>
                                <w:sz w:val="16"/>
                                <w:szCs w:val="16"/>
                                <w:lang w:val="en-US"/>
                              </w:rPr>
                              <w:t> </w:t>
                            </w:r>
                            <w:r>
                              <w:rPr>
                                <w:rFonts w:ascii="EC Square Sans Pro" w:eastAsia="Calibri" w:hAnsi="EC Square Sans Pro"/>
                                <w:b/>
                                <w:bCs/>
                                <w:color w:val="FFC000"/>
                                <w:sz w:val="16"/>
                                <w:szCs w:val="16"/>
                                <w:lang w:val="en-US"/>
                              </w:rPr>
                              <w:t>21</w:t>
                            </w:r>
                            <w:r>
                              <w:rPr>
                                <w:rFonts w:eastAsia="Calibri"/>
                                <w:b/>
                                <w:bCs/>
                                <w:color w:val="FFC000"/>
                                <w:sz w:val="16"/>
                                <w:szCs w:val="16"/>
                                <w:lang w:val="en-US"/>
                              </w:rPr>
                              <w:t> </w:t>
                            </w:r>
                            <w:r>
                              <w:rPr>
                                <w:rFonts w:ascii="EC Square Sans Pro" w:eastAsia="Calibri" w:hAnsi="EC Square Sans Pro"/>
                                <w:b/>
                                <w:bCs/>
                                <w:color w:val="FFC000"/>
                                <w:sz w:val="16"/>
                                <w:szCs w:val="16"/>
                                <w:lang w:val="en-US"/>
                              </w:rPr>
                              <w:t>082</w:t>
                            </w:r>
                          </w:p>
                        </w:txbxContent>
                      </v:textbox>
                    </v:shape>
                    <v:shape id="Elbow Connector 90" o:spid="_x0000_s1039" type="#_x0000_t34" style="position:absolute;left:9616;top:8828;width:629;height:205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1WNMIAAADbAAAADwAAAGRycy9kb3ducmV2LnhtbERPz2vCMBS+D/wfwhO8DE3nYGg1igwc&#10;gw2G1Yu3R/Nsq8lLl2Rt/e+Xw2DHj+/3ejtYIzryoXGs4GmWgSAunW64UnA67qcLECEiazSOScGd&#10;Amw3o4c15tr1fKCuiJVIIRxyVFDH2OZShrImi2HmWuLEXZy3GBP0ldQe+xRujZxn2Yu02HBqqLGl&#10;15rKW/FjFeC9N2+d/nren48mfPvi8/rxGJSajIfdCkSkIf6L/9zvWsEyrU9f0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1WNMIAAADbAAAADwAAAAAAAAAAAAAA&#10;AAChAgAAZHJzL2Rvd25yZXYueG1sUEsFBgAAAAAEAAQA+QAAAJADAAAAAA==&#10;" adj="958" strokecolor="#ffc000" strokeweight="1pt"/>
                  </v:group>
                  <v:group id="Group 62" o:spid="_x0000_s1040" style="position:absolute;left:10799;top:12691;width:11172;height:7410" coordorigin="10799,12691" coordsize="11172,7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64" o:spid="_x0000_s1041" type="#_x0000_t202" style="position:absolute;left:10878;top:13716;width:11093;height:6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pPr>
                              <w:spacing w:line="252" w:lineRule="auto"/>
                              <w:rPr>
                                <w:rFonts w:ascii="EC Square Sans Pro" w:hAnsi="EC Square Sans Pro"/>
                                <w:color w:val="00B050"/>
                                <w:sz w:val="16"/>
                                <w:szCs w:val="16"/>
                                <w:lang w:val="en-US"/>
                              </w:rPr>
                            </w:pPr>
                            <w:r>
                              <w:rPr>
                                <w:rFonts w:ascii="EC Square Sans Pro" w:eastAsia="Calibri" w:hAnsi="EC Square Sans Pro"/>
                                <w:color w:val="00B050"/>
                                <w:sz w:val="16"/>
                                <w:szCs w:val="16"/>
                                <w:lang w:val="en-US"/>
                              </w:rPr>
                              <w:t xml:space="preserve">European Regional Development Fund </w:t>
                            </w:r>
                            <w:r>
                              <w:rPr>
                                <w:rFonts w:ascii="EC Square Sans Pro" w:eastAsia="Calibri" w:hAnsi="EC Square Sans Pro"/>
                                <w:color w:val="00B050"/>
                                <w:sz w:val="16"/>
                                <w:szCs w:val="16"/>
                                <w:lang w:val="en-US"/>
                              </w:rPr>
                              <w:br/>
                            </w:r>
                            <w:r>
                              <w:rPr>
                                <w:rFonts w:ascii="EC Square Sans Pro" w:eastAsia="Calibri" w:hAnsi="EC Square Sans Pro"/>
                                <w:b/>
                                <w:bCs/>
                                <w:color w:val="00B050"/>
                                <w:sz w:val="16"/>
                                <w:szCs w:val="16"/>
                                <w:lang w:val="en-US"/>
                              </w:rPr>
                              <w:t>EUR</w:t>
                            </w:r>
                            <w:r>
                              <w:rPr>
                                <w:rFonts w:eastAsia="Calibri"/>
                                <w:b/>
                                <w:bCs/>
                                <w:color w:val="00B050"/>
                                <w:sz w:val="16"/>
                                <w:szCs w:val="16"/>
                                <w:lang w:val="en-US"/>
                              </w:rPr>
                              <w:t> </w:t>
                            </w:r>
                            <w:r>
                              <w:rPr>
                                <w:rFonts w:ascii="EC Square Sans Pro" w:eastAsia="Calibri" w:hAnsi="EC Square Sans Pro"/>
                                <w:b/>
                                <w:bCs/>
                                <w:color w:val="00B050"/>
                                <w:sz w:val="16"/>
                                <w:szCs w:val="16"/>
                                <w:lang w:val="en-US"/>
                              </w:rPr>
                              <w:t>34</w:t>
                            </w:r>
                            <w:r>
                              <w:rPr>
                                <w:rFonts w:eastAsia="Calibri"/>
                                <w:b/>
                                <w:bCs/>
                                <w:color w:val="00B050"/>
                                <w:sz w:val="16"/>
                                <w:szCs w:val="16"/>
                                <w:lang w:val="en-US"/>
                              </w:rPr>
                              <w:t> </w:t>
                            </w:r>
                            <w:r>
                              <w:rPr>
                                <w:rFonts w:ascii="EC Square Sans Pro" w:eastAsia="Calibri" w:hAnsi="EC Square Sans Pro"/>
                                <w:b/>
                                <w:bCs/>
                                <w:color w:val="00B050"/>
                                <w:sz w:val="16"/>
                                <w:szCs w:val="16"/>
                                <w:lang w:val="en-US"/>
                              </w:rPr>
                              <w:t>142</w:t>
                            </w:r>
                          </w:p>
                        </w:txbxContent>
                      </v:textbox>
                    </v:shape>
                    <v:shape id="Elbow Connector 88" o:spid="_x0000_s1042" type="#_x0000_t34" style="position:absolute;left:10799;top:12691;width:629;height:205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TVcIAAADbAAAADwAAAGRycy9kb3ducmV2LnhtbERPy2rCQBTdC/7DcIXuzEQpJUZHKYJQ&#10;Cl00Tez2NnNNYjN3Qmaax993FoUuD+d9OE2mFQP1rrGsYBPFIIhLqxuuFOQfl3UCwnlkja1lUjCT&#10;g9NxuThgqu3I7zRkvhIhhF2KCmrvu1RKV9Zk0EW2Iw7czfYGfYB9JXWPYwg3rdzG8ZM02HBoqLGj&#10;c03ld/ZjFOyw+nosxtdxfrv6PPks5vl+a5R6WE3PexCeJv8v/nO/aAVJGBu+hB8gj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MTVcIAAADbAAAADwAAAAAAAAAAAAAA&#10;AAChAgAAZHJzL2Rvd25yZXYueG1sUEsFBgAAAAAEAAQA+QAAAJADAAAAAA==&#10;" adj="958" strokecolor="#00b050" strokeweight="1pt"/>
                  </v:group>
                  <v:group id="Group 63" o:spid="_x0000_s1043" style="position:absolute;left:14740;top:6542;width:8277;height:5059" coordorigin="14740,6542" coordsize="8276,5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4" o:spid="_x0000_s1044" type="#_x0000_t202" style="position:absolute;left:14740;top:6542;width:8277;height:5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pPr>
                              <w:spacing w:line="252" w:lineRule="auto"/>
                              <w:jc w:val="right"/>
                              <w:rPr>
                                <w:rFonts w:ascii="EC Square Sans Pro" w:hAnsi="EC Square Sans Pro"/>
                                <w:color w:val="005D95"/>
                                <w:sz w:val="16"/>
                                <w:szCs w:val="16"/>
                              </w:rPr>
                            </w:pPr>
                            <w:r>
                              <w:rPr>
                                <w:rFonts w:ascii="EC Square Sans Pro" w:eastAsia="Calibri" w:hAnsi="EC Square Sans Pro"/>
                                <w:color w:val="005D95"/>
                                <w:sz w:val="16"/>
                                <w:szCs w:val="16"/>
                                <w:lang w:val="en-US"/>
                              </w:rPr>
                              <w:t>Cohesion Fund</w:t>
                            </w:r>
                            <w:r>
                              <w:rPr>
                                <w:rFonts w:ascii="EC Square Sans Pro" w:eastAsia="Calibri" w:hAnsi="EC Square Sans Pro"/>
                                <w:color w:val="005D95"/>
                                <w:sz w:val="16"/>
                                <w:szCs w:val="16"/>
                                <w:lang w:val="en-US"/>
                              </w:rPr>
                              <w:br/>
                            </w:r>
                            <w:r>
                              <w:rPr>
                                <w:rFonts w:ascii="EC Square Sans Pro" w:eastAsia="Calibri" w:hAnsi="EC Square Sans Pro"/>
                                <w:b/>
                                <w:bCs/>
                                <w:color w:val="005D95"/>
                                <w:sz w:val="16"/>
                                <w:szCs w:val="16"/>
                                <w:lang w:val="en-US"/>
                              </w:rPr>
                              <w:t>EUR</w:t>
                            </w:r>
                            <w:r>
                              <w:rPr>
                                <w:rFonts w:eastAsia="Calibri"/>
                                <w:b/>
                                <w:bCs/>
                                <w:color w:val="005D95"/>
                                <w:sz w:val="16"/>
                                <w:szCs w:val="16"/>
                                <w:lang w:val="en-US"/>
                              </w:rPr>
                              <w:t> </w:t>
                            </w:r>
                            <w:r>
                              <w:rPr>
                                <w:rFonts w:ascii="EC Square Sans Pro" w:eastAsia="Calibri" w:hAnsi="EC Square Sans Pro"/>
                                <w:b/>
                                <w:bCs/>
                                <w:color w:val="005D95"/>
                                <w:sz w:val="16"/>
                                <w:szCs w:val="16"/>
                                <w:lang w:val="en-US"/>
                              </w:rPr>
                              <w:t>16</w:t>
                            </w:r>
                            <w:r>
                              <w:rPr>
                                <w:rFonts w:eastAsia="Calibri"/>
                                <w:b/>
                                <w:bCs/>
                                <w:color w:val="005D95"/>
                                <w:sz w:val="16"/>
                                <w:szCs w:val="16"/>
                                <w:lang w:val="en-US"/>
                              </w:rPr>
                              <w:t> </w:t>
                            </w:r>
                            <w:r>
                              <w:rPr>
                                <w:rFonts w:ascii="EC Square Sans Pro" w:eastAsia="Calibri" w:hAnsi="EC Square Sans Pro"/>
                                <w:b/>
                                <w:bCs/>
                                <w:color w:val="005D95"/>
                                <w:sz w:val="16"/>
                                <w:szCs w:val="16"/>
                                <w:lang w:val="en-US"/>
                              </w:rPr>
                              <w:t>733</w:t>
                            </w:r>
                          </w:p>
                        </w:txbxContent>
                      </v:textbox>
                    </v:shape>
                    <v:shape id="Elbow Connector 86" o:spid="_x0000_s1045" type="#_x0000_t34" style="position:absolute;left:22387;top:8828;width:628;height:205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Xi+sUAAADbAAAADwAAAGRycy9kb3ducmV2LnhtbESPT2vCQBTE74LfYXlCb7rRtirRjUhr&#10;ofQg+Ae8PrLPbDT7Ns1uNP323ULB4zAzv2GWq85W4kaNLx0rGI8SEMS50yUXCo6Hj+EchA/IGivH&#10;pOCHPKyyfm+JqXZ33tFtHwoRIexTVGBCqFMpfW7Ioh+5mjh6Z9dYDFE2hdQN3iPcVnKSJFNpseS4&#10;YLCmN0P5dd9aBTwz283zd9d+JeXp/bLxry/jUCv1NOjWCxCBuvAI/7c/tYL5FP6+xB8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Xi+sUAAADbAAAADwAAAAAAAAAA&#10;AAAAAAChAgAAZHJzL2Rvd25yZXYueG1sUEsFBgAAAAAEAAQA+QAAAJMDAAAAAA==&#10;" adj="958" strokecolor="#005d95" strokeweight="1pt"/>
                  </v:group>
                  <v:group id="Group 64" o:spid="_x0000_s1046" style="position:absolute;left:23727;top:12848;width:10957;height:6079" coordorigin="23727,12848" coordsize="10957,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64" o:spid="_x0000_s1047" type="#_x0000_t202" style="position:absolute;left:23805;top:13872;width:10879;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pPr>
                              <w:pStyle w:val="NormalWeb"/>
                              <w:spacing w:after="160" w:line="252" w:lineRule="auto"/>
                              <w:rPr>
                                <w:rFonts w:ascii="EC Square Sans Pro" w:hAnsi="EC Square Sans Pro"/>
                                <w:color w:val="C00000"/>
                                <w:sz w:val="16"/>
                                <w:szCs w:val="16"/>
                              </w:rPr>
                            </w:pPr>
                            <w:r>
                              <w:rPr>
                                <w:rFonts w:ascii="EC Square Sans Pro" w:eastAsia="Calibri" w:hAnsi="EC Square Sans Pro"/>
                                <w:color w:val="C00000"/>
                                <w:sz w:val="16"/>
                                <w:szCs w:val="16"/>
                                <w:lang w:val="en-US"/>
                              </w:rPr>
                              <w:t>European Social Fund</w:t>
                            </w:r>
                            <w:r>
                              <w:rPr>
                                <w:rFonts w:ascii="EC Square Sans Pro" w:eastAsia="Calibri" w:hAnsi="EC Square Sans Pro"/>
                                <w:color w:val="C00000"/>
                                <w:sz w:val="16"/>
                                <w:szCs w:val="16"/>
                                <w:lang w:val="en-US"/>
                              </w:rPr>
                              <w:br/>
                            </w:r>
                            <w:r>
                              <w:rPr>
                                <w:rFonts w:ascii="EC Square Sans Pro" w:eastAsia="Calibri" w:hAnsi="EC Square Sans Pro"/>
                                <w:b/>
                                <w:bCs/>
                                <w:color w:val="C00000"/>
                                <w:sz w:val="16"/>
                                <w:szCs w:val="16"/>
                                <w:lang w:val="en-US"/>
                              </w:rPr>
                              <w:t>EUR</w:t>
                            </w:r>
                            <w:r>
                              <w:rPr>
                                <w:rFonts w:ascii="Calibri" w:eastAsia="Calibri" w:hAnsi="Calibri" w:cs="Calibri"/>
                                <w:b/>
                                <w:bCs/>
                                <w:color w:val="C00000"/>
                                <w:sz w:val="16"/>
                                <w:szCs w:val="16"/>
                                <w:lang w:val="en-US"/>
                              </w:rPr>
                              <w:t> </w:t>
                            </w:r>
                            <w:r>
                              <w:rPr>
                                <w:rFonts w:ascii="EC Square Sans Pro" w:eastAsia="Calibri" w:hAnsi="EC Square Sans Pro"/>
                                <w:b/>
                                <w:bCs/>
                                <w:color w:val="C00000"/>
                                <w:sz w:val="16"/>
                                <w:szCs w:val="16"/>
                                <w:lang w:val="en-US"/>
                              </w:rPr>
                              <w:t>5</w:t>
                            </w:r>
                            <w:r>
                              <w:rPr>
                                <w:rFonts w:ascii="Calibri" w:eastAsia="Calibri" w:hAnsi="Calibri" w:cs="Calibri"/>
                                <w:b/>
                                <w:bCs/>
                                <w:color w:val="C00000"/>
                                <w:sz w:val="16"/>
                                <w:szCs w:val="16"/>
                                <w:lang w:val="en-US"/>
                              </w:rPr>
                              <w:t> </w:t>
                            </w:r>
                            <w:r>
                              <w:rPr>
                                <w:rFonts w:ascii="EC Square Sans Pro" w:eastAsia="Calibri" w:hAnsi="EC Square Sans Pro"/>
                                <w:b/>
                                <w:bCs/>
                                <w:color w:val="C00000"/>
                                <w:sz w:val="16"/>
                                <w:szCs w:val="16"/>
                                <w:lang w:val="en-US"/>
                              </w:rPr>
                              <w:t>477</w:t>
                            </w:r>
                          </w:p>
                        </w:txbxContent>
                      </v:textbox>
                    </v:shape>
                    <v:shape id="Elbow Connector 84" o:spid="_x0000_s1048" type="#_x0000_t34" style="position:absolute;left:23727;top:12848;width:632;height:20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NFMUAAADbAAAADwAAAGRycy9kb3ducmV2LnhtbESPT2sCMRTE74LfITyhF6lZi4qsRlkE&#10;SwteatuDt8fmdf9087Js4m767Y1Q8DjMzG+Y7T6YRvTUucqygvksAUGcW11xoeDr8/i8BuE8ssbG&#10;Min4Iwf73Xi0xVTbgT+oP/tCRAi7FBWU3replC4vyaCb2ZY4ej+2M+ij7AqpOxwi3DTyJUlW0mDF&#10;caHElg4l5b/nq1HQvy4vq1CdsvA+TOWSs7rOvmulniYh24DwFPwj/N9+0wrWC7h/iT9A7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qNFMUAAADbAAAADwAAAAAAAAAA&#10;AAAAAAChAgAAZHJzL2Rvd25yZXYueG1sUEsFBgAAAAAEAAQA+QAAAJMDAAAAAA==&#10;" adj="958" strokecolor="#c00000" strokeweight="1pt"/>
                  </v:group>
                  <v:group id="Group 65" o:spid="_x0000_s1049" style="position:absolute;left:24357;top:5439;width:11742;height:5440" coordorigin="24357,5439" coordsize="11741,5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64" o:spid="_x0000_s1050" type="#_x0000_t202" style="position:absolute;left:24357;top:5439;width:11741;height:4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pPr>
                              <w:spacing w:line="252" w:lineRule="auto"/>
                              <w:jc w:val="right"/>
                              <w:rPr>
                                <w:rFonts w:ascii="EC Square Sans Pro" w:hAnsi="EC Square Sans Pro"/>
                                <w:color w:val="584FA1"/>
                                <w:sz w:val="16"/>
                                <w:szCs w:val="16"/>
                                <w:lang w:val="en-US"/>
                              </w:rPr>
                            </w:pPr>
                            <w:r>
                              <w:rPr>
                                <w:rFonts w:ascii="EC Square Sans Pro" w:eastAsia="Calibri" w:hAnsi="EC Square Sans Pro"/>
                                <w:color w:val="584FA1"/>
                                <w:sz w:val="16"/>
                                <w:szCs w:val="16"/>
                                <w:lang w:val="en-US"/>
                              </w:rPr>
                              <w:t>European Agricultural Guarantee Fund</w:t>
                            </w:r>
                            <w:r>
                              <w:rPr>
                                <w:rFonts w:ascii="EC Square Sans Pro" w:eastAsia="Calibri" w:hAnsi="EC Square Sans Pro"/>
                                <w:color w:val="584FA1"/>
                                <w:sz w:val="16"/>
                                <w:szCs w:val="16"/>
                                <w:lang w:val="en-US"/>
                              </w:rPr>
                              <w:br/>
                            </w:r>
                            <w:r>
                              <w:rPr>
                                <w:rFonts w:ascii="EC Square Sans Pro" w:eastAsia="Calibri" w:hAnsi="EC Square Sans Pro"/>
                                <w:b/>
                                <w:bCs/>
                                <w:color w:val="584FA1"/>
                                <w:sz w:val="16"/>
                                <w:szCs w:val="16"/>
                                <w:lang w:val="en-US"/>
                              </w:rPr>
                              <w:t>EUR</w:t>
                            </w:r>
                            <w:r>
                              <w:rPr>
                                <w:rFonts w:eastAsia="Calibri"/>
                                <w:b/>
                                <w:bCs/>
                                <w:color w:val="584FA1"/>
                                <w:sz w:val="16"/>
                                <w:szCs w:val="16"/>
                                <w:lang w:val="en-US"/>
                              </w:rPr>
                              <w:t> </w:t>
                            </w:r>
                            <w:r>
                              <w:rPr>
                                <w:rFonts w:ascii="EC Square Sans Pro" w:eastAsia="Calibri" w:hAnsi="EC Square Sans Pro"/>
                                <w:b/>
                                <w:bCs/>
                                <w:color w:val="584FA1"/>
                                <w:sz w:val="16"/>
                                <w:szCs w:val="16"/>
                                <w:lang w:val="en-US"/>
                              </w:rPr>
                              <w:t>45</w:t>
                            </w:r>
                            <w:r>
                              <w:rPr>
                                <w:rFonts w:eastAsia="Calibri"/>
                                <w:b/>
                                <w:bCs/>
                                <w:color w:val="584FA1"/>
                                <w:sz w:val="16"/>
                                <w:szCs w:val="16"/>
                                <w:lang w:val="en-US"/>
                              </w:rPr>
                              <w:t> </w:t>
                            </w:r>
                            <w:r>
                              <w:rPr>
                                <w:rFonts w:ascii="EC Square Sans Pro" w:eastAsia="Calibri" w:hAnsi="EC Square Sans Pro"/>
                                <w:b/>
                                <w:bCs/>
                                <w:color w:val="584FA1"/>
                                <w:sz w:val="16"/>
                                <w:szCs w:val="16"/>
                                <w:lang w:val="en-US"/>
                              </w:rPr>
                              <w:t>505</w:t>
                            </w:r>
                          </w:p>
                        </w:txbxContent>
                      </v:textbox>
                    </v:shape>
                    <v:shape id="Elbow Connector 82" o:spid="_x0000_s1051" type="#_x0000_t34" style="position:absolute;left:35470;top:8828;width:629;height:205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PticUAAADbAAAADwAAAGRycy9kb3ducmV2LnhtbESP3WrCQBSE7wu+w3IEb4putFRizEZa&#10;RSoIgj8PcMgek7TZsyG7JunbdwuFXg4z8w2TbgZTi45aV1lWMJ9FIIhzqysuFNyu+2kMwnlkjbVl&#10;UvBNDjbZ6CnFRNuez9RdfCEChF2CCkrvm0RKl5dk0M1sQxy8u20N+iDbQuoW+wA3tVxE0VIarDgs&#10;lNjQtqT86/IwCopj92xf++WL3Z4+3pt4vlsd6k+lJuPhbQ3C0+D/w3/tg1YQ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PticUAAADbAAAADwAAAAAAAAAA&#10;AAAAAAChAgAAZHJzL2Rvd25yZXYueG1sUEsFBgAAAAAEAAQA+QAAAJMDAAAAAA==&#10;" adj="958" strokecolor="#584fa1" strokeweight="1pt"/>
                  </v:group>
                  <v:group id="Group 66" o:spid="_x0000_s1052" style="position:absolute;left:36970;top:12848;width:14043;height:6078" coordorigin="36970,12848" coordsize="14043,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64" o:spid="_x0000_s1053" type="#_x0000_t202" style="position:absolute;left:37048;top:13872;width:13965;height: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pPr>
                              <w:pStyle w:val="NormalWeb"/>
                              <w:spacing w:after="160" w:line="252" w:lineRule="auto"/>
                              <w:jc w:val="left"/>
                              <w:rPr>
                                <w:rFonts w:ascii="EC Square Sans Pro" w:hAnsi="EC Square Sans Pro"/>
                                <w:color w:val="203F79"/>
                                <w:sz w:val="16"/>
                                <w:szCs w:val="16"/>
                              </w:rPr>
                            </w:pPr>
                            <w:r>
                              <w:rPr>
                                <w:rFonts w:ascii="EC Square Sans Pro" w:eastAsia="Calibri" w:hAnsi="EC Square Sans Pro"/>
                                <w:color w:val="203F79"/>
                                <w:sz w:val="16"/>
                                <w:szCs w:val="16"/>
                                <w:lang w:val="en-US"/>
                              </w:rPr>
                              <w:t>European Agricultural Fund for Rural Development</w:t>
                            </w:r>
                            <w:r>
                              <w:rPr>
                                <w:rFonts w:ascii="EC Square Sans Pro" w:eastAsia="Calibri" w:hAnsi="EC Square Sans Pro"/>
                                <w:color w:val="203F79"/>
                                <w:sz w:val="16"/>
                                <w:szCs w:val="16"/>
                                <w:lang w:val="en-US"/>
                              </w:rPr>
                              <w:br/>
                            </w:r>
                            <w:r>
                              <w:rPr>
                                <w:rFonts w:ascii="EC Square Sans Pro" w:eastAsia="Calibri" w:hAnsi="EC Square Sans Pro"/>
                                <w:b/>
                                <w:bCs/>
                                <w:color w:val="203F79"/>
                                <w:sz w:val="16"/>
                                <w:szCs w:val="16"/>
                                <w:lang w:val="en-US"/>
                              </w:rPr>
                              <w:t>EUR</w:t>
                            </w:r>
                            <w:r>
                              <w:rPr>
                                <w:rFonts w:ascii="Calibri" w:eastAsia="Calibri" w:hAnsi="Calibri" w:cs="Calibri"/>
                                <w:b/>
                                <w:bCs/>
                                <w:color w:val="203F79"/>
                                <w:sz w:val="16"/>
                                <w:szCs w:val="16"/>
                                <w:lang w:val="en-US"/>
                              </w:rPr>
                              <w:t> </w:t>
                            </w:r>
                            <w:r>
                              <w:rPr>
                                <w:rFonts w:ascii="EC Square Sans Pro" w:eastAsia="Calibri" w:hAnsi="EC Square Sans Pro"/>
                                <w:b/>
                                <w:bCs/>
                                <w:color w:val="203F79"/>
                                <w:sz w:val="16"/>
                                <w:szCs w:val="16"/>
                                <w:lang w:val="en-US"/>
                              </w:rPr>
                              <w:t>57</w:t>
                            </w:r>
                            <w:r>
                              <w:rPr>
                                <w:rFonts w:ascii="Calibri" w:eastAsia="Calibri" w:hAnsi="Calibri" w:cs="Calibri"/>
                                <w:b/>
                                <w:bCs/>
                                <w:color w:val="203F79"/>
                                <w:sz w:val="16"/>
                                <w:szCs w:val="16"/>
                                <w:lang w:val="en-US"/>
                              </w:rPr>
                              <w:t> </w:t>
                            </w:r>
                            <w:r>
                              <w:rPr>
                                <w:rFonts w:ascii="EC Square Sans Pro" w:eastAsia="Calibri" w:hAnsi="EC Square Sans Pro"/>
                                <w:b/>
                                <w:bCs/>
                                <w:color w:val="203F79"/>
                                <w:sz w:val="16"/>
                                <w:szCs w:val="16"/>
                                <w:lang w:val="en-US"/>
                              </w:rPr>
                              <w:t>694</w:t>
                            </w:r>
                          </w:p>
                        </w:txbxContent>
                      </v:textbox>
                    </v:shape>
                    <v:shape id="Elbow Connector 80" o:spid="_x0000_s1054" type="#_x0000_t34" style="position:absolute;left:36970;top:12848;width:632;height:20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ScMAAADbAAAADwAAAGRycy9kb3ducmV2LnhtbERPy2rCQBTdF/oPwy10U5pJC5EQHaUU&#10;FAUrmDbQ5SVzTUIzd0Jm8vDvnUXB5eG8V5vZtGKk3jWWFbxFMQji0uqGKwU/39vXFITzyBpby6Tg&#10;Sg4268eHFWbaTnymMfeVCCHsMlRQe99lUrqyJoMush1x4C62N+gD7Cupe5xCuGnlexwvpMGGQ0ON&#10;HX3WVP7lg1GQFKftVOWLl+PuyyZFOoy/ByOVen6aP5YgPM3+Lv5377WCNKwPX8IP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6/0nDAAAA2wAAAA8AAAAAAAAAAAAA&#10;AAAAoQIAAGRycy9kb3ducmV2LnhtbFBLBQYAAAAABAAEAPkAAACRAwAAAAA=&#10;" adj="958" strokecolor="#203f79" strokeweight="1pt"/>
                  </v:group>
                  <v:group id="Group 67" o:spid="_x0000_s1055" style="position:absolute;left:36103;top:5281;width:15475;height:6158" coordorigin="36103,5281" coordsize="15475,6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64" o:spid="_x0000_s1056" type="#_x0000_t202" style="position:absolute;left:36103;top:5281;width:15435;height:6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pPr>
                              <w:spacing w:line="252" w:lineRule="auto"/>
                              <w:jc w:val="right"/>
                              <w:rPr>
                                <w:rFonts w:ascii="EC Square Sans Pro" w:hAnsi="EC Square Sans Pro"/>
                                <w:color w:val="997300"/>
                                <w:sz w:val="16"/>
                                <w:szCs w:val="16"/>
                                <w:lang w:val="en-US"/>
                              </w:rPr>
                            </w:pPr>
                            <w:r>
                              <w:rPr>
                                <w:rFonts w:ascii="EC Square Sans Pro" w:eastAsia="Calibri" w:hAnsi="EC Square Sans Pro"/>
                                <w:color w:val="997300"/>
                                <w:sz w:val="16"/>
                                <w:szCs w:val="16"/>
                                <w:lang w:val="en-US"/>
                              </w:rPr>
                              <w:t>Programme for the environment and climate action</w:t>
                            </w:r>
                            <w:r>
                              <w:rPr>
                                <w:rFonts w:ascii="EC Square Sans Pro" w:eastAsia="Calibri" w:hAnsi="EC Square Sans Pro"/>
                                <w:color w:val="997300"/>
                                <w:sz w:val="16"/>
                                <w:szCs w:val="16"/>
                                <w:lang w:val="en-US"/>
                              </w:rPr>
                              <w:br/>
                            </w:r>
                            <w:r>
                              <w:rPr>
                                <w:rFonts w:ascii="EC Square Sans Pro" w:eastAsia="Calibri" w:hAnsi="EC Square Sans Pro"/>
                                <w:b/>
                                <w:bCs/>
                                <w:color w:val="997300"/>
                                <w:sz w:val="16"/>
                                <w:szCs w:val="16"/>
                                <w:lang w:val="en-US"/>
                              </w:rPr>
                              <w:t>EUR</w:t>
                            </w:r>
                            <w:r>
                              <w:rPr>
                                <w:rFonts w:eastAsia="Calibri"/>
                                <w:b/>
                                <w:bCs/>
                                <w:color w:val="997300"/>
                                <w:sz w:val="16"/>
                                <w:szCs w:val="16"/>
                                <w:lang w:val="en-US"/>
                              </w:rPr>
                              <w:t> </w:t>
                            </w:r>
                            <w:r>
                              <w:rPr>
                                <w:rFonts w:ascii="EC Square Sans Pro" w:eastAsia="Calibri" w:hAnsi="EC Square Sans Pro"/>
                                <w:b/>
                                <w:bCs/>
                                <w:color w:val="997300"/>
                                <w:sz w:val="16"/>
                                <w:szCs w:val="16"/>
                                <w:lang w:val="en-US"/>
                              </w:rPr>
                              <w:t>1</w:t>
                            </w:r>
                            <w:r>
                              <w:rPr>
                                <w:rFonts w:eastAsia="Calibri"/>
                                <w:b/>
                                <w:bCs/>
                                <w:color w:val="997300"/>
                                <w:sz w:val="16"/>
                                <w:szCs w:val="16"/>
                                <w:lang w:val="en-US"/>
                              </w:rPr>
                              <w:t> </w:t>
                            </w:r>
                            <w:r>
                              <w:rPr>
                                <w:rFonts w:ascii="EC Square Sans Pro" w:eastAsia="Calibri" w:hAnsi="EC Square Sans Pro"/>
                                <w:b/>
                                <w:bCs/>
                                <w:color w:val="997300"/>
                                <w:sz w:val="16"/>
                                <w:szCs w:val="16"/>
                                <w:lang w:val="en-US"/>
                              </w:rPr>
                              <w:t>616</w:t>
                            </w:r>
                          </w:p>
                        </w:txbxContent>
                      </v:textbox>
                    </v:shape>
                    <v:shape id="Elbow Connector 78" o:spid="_x0000_s1057" type="#_x0000_t34" style="position:absolute;left:50949;top:8828;width:629;height:205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IbEcMAAADbAAAADwAAAGRycy9kb3ducmV2LnhtbERPz2vCMBS+C/sfwhvsIjZ1uCmdUWQg&#10;DA+CbhS8PZq3tpi81CZru/715jDY8eP7vd4O1oiOWl87VjBPUhDEhdM1lwq+PvezFQgfkDUax6Tg&#10;lzxsNw+TNWba9Xyi7hxKEUPYZ6igCqHJpPRFRRZ94hriyH271mKIsC2lbrGP4dbI5zR9lRZrjg0V&#10;NvReUXE9/1gFZr/A8ZJfczJzGvXL9HAcTzelnh6H3RuIQEP4F/+5P7SCZRwbv8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iGxHDAAAA2wAAAA8AAAAAAAAAAAAA&#10;AAAAoQIAAGRycy9kb3ducmV2LnhtbFBLBQYAAAAABAAEAPkAAACRAwAAAAA=&#10;" adj="958" strokecolor="#997300" strokeweight="1pt"/>
                  </v:group>
                  <v:group id="Group 68" o:spid="_x0000_s1058" style="position:absolute;left:32792;top:12454;width:21056;height:12808" coordorigin="32792,12454" coordsize="21067,1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64" o:spid="_x0000_s1059" type="#_x0000_t202" style="position:absolute;left:32792;top:21404;width:20563;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pPr>
                              <w:spacing w:line="252" w:lineRule="auto"/>
                              <w:jc w:val="right"/>
                              <w:rPr>
                                <w:rFonts w:ascii="EC Square Sans Pro" w:hAnsi="EC Square Sans Pro"/>
                                <w:color w:val="730000"/>
                                <w:sz w:val="16"/>
                                <w:szCs w:val="16"/>
                              </w:rPr>
                            </w:pPr>
                            <w:r>
                              <w:rPr>
                                <w:rFonts w:ascii="EC Square Sans Pro" w:eastAsia="Calibri" w:hAnsi="EC Square Sans Pro"/>
                                <w:color w:val="730000"/>
                                <w:sz w:val="16"/>
                                <w:szCs w:val="16"/>
                                <w:lang w:val="en-US"/>
                              </w:rPr>
                              <w:t>Development Cooperation Instrument</w:t>
                            </w:r>
                            <w:r>
                              <w:rPr>
                                <w:rFonts w:ascii="EC Square Sans Pro" w:eastAsia="Calibri" w:hAnsi="EC Square Sans Pro"/>
                                <w:color w:val="730000"/>
                                <w:sz w:val="16"/>
                                <w:szCs w:val="16"/>
                                <w:lang w:val="en-US"/>
                              </w:rPr>
                              <w:br/>
                            </w:r>
                            <w:r>
                              <w:rPr>
                                <w:rFonts w:ascii="EC Square Sans Pro" w:eastAsia="Calibri" w:hAnsi="EC Square Sans Pro"/>
                                <w:b/>
                                <w:bCs/>
                                <w:color w:val="730000"/>
                                <w:sz w:val="16"/>
                                <w:szCs w:val="16"/>
                                <w:lang w:val="en-US"/>
                              </w:rPr>
                              <w:t>EUR</w:t>
                            </w:r>
                            <w:r>
                              <w:rPr>
                                <w:rFonts w:eastAsia="Calibri"/>
                                <w:b/>
                                <w:bCs/>
                                <w:color w:val="730000"/>
                                <w:sz w:val="16"/>
                                <w:szCs w:val="16"/>
                                <w:lang w:val="en-US"/>
                              </w:rPr>
                              <w:t> </w:t>
                            </w:r>
                            <w:r>
                              <w:rPr>
                                <w:rFonts w:ascii="EC Square Sans Pro" w:eastAsia="Calibri" w:hAnsi="EC Square Sans Pro"/>
                                <w:b/>
                                <w:bCs/>
                                <w:color w:val="730000"/>
                                <w:sz w:val="16"/>
                                <w:szCs w:val="16"/>
                                <w:lang w:val="en-US"/>
                              </w:rPr>
                              <w:t>5</w:t>
                            </w:r>
                            <w:r>
                              <w:rPr>
                                <w:rFonts w:eastAsia="Calibri"/>
                                <w:b/>
                                <w:bCs/>
                                <w:color w:val="730000"/>
                                <w:sz w:val="16"/>
                                <w:szCs w:val="16"/>
                                <w:lang w:val="en-US"/>
                              </w:rPr>
                              <w:t> </w:t>
                            </w:r>
                            <w:r>
                              <w:rPr>
                                <w:rFonts w:ascii="EC Square Sans Pro" w:eastAsia="Calibri" w:hAnsi="EC Square Sans Pro"/>
                                <w:b/>
                                <w:bCs/>
                                <w:color w:val="730000"/>
                                <w:sz w:val="16"/>
                                <w:szCs w:val="16"/>
                                <w:lang w:val="en-US"/>
                              </w:rPr>
                              <w:t>230</w:t>
                            </w:r>
                          </w:p>
                        </w:txbxContent>
                      </v:textbox>
                    </v:shape>
                    <v:shape id="Elbow Connector 76" o:spid="_x0000_s1060" type="#_x0000_t34" style="position:absolute;left:48548;top:17178;width:10036;height:58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j5sMAAADbAAAADwAAAGRycy9kb3ducmV2LnhtbESP3WrCQBSE7wu+w3IK3tVNG4gSXUUE&#10;qSC0aPsAh+wxWcyeDdk1Pz59VxB6OczMN8xqM9hadNR641jB+ywBQVw4bbhU8Puzf1uA8AFZY+2Y&#10;FIzkYbOevKww167nE3XnUIoIYZ+jgiqEJpfSFxVZ9DPXEEfv4lqLIcq2lLrFPsJtLT+SJJMWDceF&#10;ChvaVVRczzer4PtYfy4cf93u6Wk+jGFvujQxSk1fh+0SRKAh/Ief7YNWMM/g8SX+A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z4+bDAAAA2wAAAA8AAAAAAAAAAAAA&#10;AAAAoQIAAGRycy9kb3ducmV2LnhtbFBLBQYAAAAABAAEAPkAAACRAwAAAAA=&#10;" adj="21677" strokecolor="#730000" strokeweight="1pt"/>
                  </v:group>
                  <v:group id="Group 69" o:spid="_x0000_s1061" style="position:absolute;left:35472;width:18746;height:10399" coordorigin="35472" coordsize="18745,10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64" o:spid="_x0000_s1062" type="#_x0000_t202" style="position:absolute;left:35472;width:18746;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pPr>
                              <w:spacing w:line="252" w:lineRule="auto"/>
                              <w:jc w:val="right"/>
                              <w:rPr>
                                <w:rFonts w:ascii="EC Square Sans Pro" w:hAnsi="EC Square Sans Pro"/>
                                <w:color w:val="352F61"/>
                                <w:sz w:val="16"/>
                                <w:szCs w:val="16"/>
                              </w:rPr>
                            </w:pPr>
                            <w:r>
                              <w:rPr>
                                <w:rFonts w:ascii="EC Square Sans Pro" w:eastAsia="Calibri" w:hAnsi="EC Square Sans Pro"/>
                                <w:color w:val="352F61"/>
                                <w:sz w:val="16"/>
                                <w:szCs w:val="16"/>
                                <w:lang w:val="en-US"/>
                              </w:rPr>
                              <w:t>Humanitarian aid</w:t>
                            </w:r>
                            <w:r>
                              <w:rPr>
                                <w:rFonts w:ascii="EC Square Sans Pro" w:eastAsia="Calibri" w:hAnsi="EC Square Sans Pro"/>
                                <w:color w:val="352F61"/>
                                <w:sz w:val="16"/>
                                <w:szCs w:val="16"/>
                                <w:lang w:val="en-US"/>
                              </w:rPr>
                              <w:br/>
                            </w:r>
                            <w:r>
                              <w:rPr>
                                <w:rFonts w:ascii="EC Square Sans Pro" w:eastAsia="Calibri" w:hAnsi="EC Square Sans Pro"/>
                                <w:b/>
                                <w:bCs/>
                                <w:color w:val="352F61"/>
                                <w:sz w:val="16"/>
                                <w:szCs w:val="16"/>
                                <w:lang w:val="en-US"/>
                              </w:rPr>
                              <w:t>EUR</w:t>
                            </w:r>
                            <w:r>
                              <w:rPr>
                                <w:rFonts w:eastAsia="Calibri"/>
                                <w:b/>
                                <w:bCs/>
                                <w:color w:val="352F61"/>
                                <w:sz w:val="16"/>
                                <w:szCs w:val="16"/>
                                <w:lang w:val="en-US"/>
                              </w:rPr>
                              <w:t> </w:t>
                            </w:r>
                            <w:r>
                              <w:rPr>
                                <w:rFonts w:ascii="EC Square Sans Pro" w:eastAsia="Calibri" w:hAnsi="EC Square Sans Pro"/>
                                <w:b/>
                                <w:bCs/>
                                <w:color w:val="352F61"/>
                                <w:sz w:val="16"/>
                                <w:szCs w:val="16"/>
                                <w:lang w:val="en-US"/>
                              </w:rPr>
                              <w:t>1</w:t>
                            </w:r>
                            <w:r>
                              <w:rPr>
                                <w:rFonts w:eastAsia="Calibri"/>
                                <w:b/>
                                <w:bCs/>
                                <w:color w:val="352F61"/>
                                <w:sz w:val="16"/>
                                <w:szCs w:val="16"/>
                                <w:lang w:val="en-US"/>
                              </w:rPr>
                              <w:t> </w:t>
                            </w:r>
                            <w:r>
                              <w:rPr>
                                <w:rFonts w:ascii="EC Square Sans Pro" w:eastAsia="Calibri" w:hAnsi="EC Square Sans Pro"/>
                                <w:b/>
                                <w:bCs/>
                                <w:color w:val="352F61"/>
                                <w:sz w:val="16"/>
                                <w:szCs w:val="16"/>
                                <w:lang w:val="en-US"/>
                              </w:rPr>
                              <w:t>060</w:t>
                            </w:r>
                          </w:p>
                        </w:txbxContent>
                      </v:textbox>
                    </v:shape>
                    <v:shape id="Elbow Connector 74" o:spid="_x0000_s1063" type="#_x0000_t34" style="position:absolute;left:49218;top:5524;width:9243;height:508;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xD7cMAAADbAAAADwAAAGRycy9kb3ducmV2LnhtbESPX2vCMBTF3wf7DuEOfJvpROeoRhmj&#10;gvjgWFd8vjbXNqy5qU209dubwWCPh/Pnx1muB9uIK3XeOFbwMk5AEJdOG64UFN+b5zcQPiBrbByT&#10;ght5WK8eH5aYatfzF13zUIk4wj5FBXUIbSqlL2uy6MeuJY7eyXUWQ5RdJXWHfRy3jZwkyau0aDgS&#10;amzpo6byJ7/YyN25Q2GysjhT/5nN95mZ5cdcqdHT8L4AEWgI/+G/9lYrmE/h9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cQ+3DAAAA2wAAAA8AAAAAAAAAAAAA&#10;AAAAoQIAAGRycy9kb3ducmV2LnhtbFBLBQYAAAAABAAEAPkAAACRAwAAAAA=&#10;" adj="21667" strokecolor="#352f61" strokeweight="1pt"/>
                  </v:group>
                  <v:group id="Group 70" o:spid="_x0000_s1064" style="position:absolute;left:33817;top:12691;width:21056;height:15094" coordorigin="33817,12691" coordsize="21067,15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64" o:spid="_x0000_s1065" type="#_x0000_t202" style="position:absolute;left:33817;top:23930;width:20563;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pPr>
                              <w:spacing w:line="252" w:lineRule="auto"/>
                              <w:jc w:val="right"/>
                              <w:rPr>
                                <w:rFonts w:ascii="EC Square Sans Pro" w:hAnsi="EC Square Sans Pro"/>
                                <w:color w:val="F5886C"/>
                                <w:sz w:val="16"/>
                                <w:szCs w:val="16"/>
                              </w:rPr>
                            </w:pPr>
                            <w:r>
                              <w:rPr>
                                <w:rFonts w:ascii="EC Square Sans Pro" w:eastAsia="Calibri" w:hAnsi="EC Square Sans Pro"/>
                                <w:color w:val="F5886C"/>
                                <w:sz w:val="16"/>
                                <w:szCs w:val="16"/>
                                <w:lang w:val="en-US"/>
                              </w:rPr>
                              <w:t>Other</w:t>
                            </w:r>
                            <w:r>
                              <w:rPr>
                                <w:rFonts w:ascii="EC Square Sans Pro" w:eastAsia="Calibri" w:hAnsi="EC Square Sans Pro"/>
                                <w:color w:val="F5886C"/>
                                <w:sz w:val="16"/>
                                <w:szCs w:val="16"/>
                                <w:lang w:val="en-US"/>
                              </w:rPr>
                              <w:br/>
                            </w:r>
                            <w:r>
                              <w:rPr>
                                <w:rFonts w:ascii="EC Square Sans Pro" w:eastAsia="Calibri" w:hAnsi="EC Square Sans Pro"/>
                                <w:b/>
                                <w:bCs/>
                                <w:color w:val="F5886C"/>
                                <w:sz w:val="16"/>
                                <w:szCs w:val="16"/>
                                <w:lang w:val="en-US"/>
                              </w:rPr>
                              <w:t>EUR</w:t>
                            </w:r>
                            <w:r>
                              <w:rPr>
                                <w:rFonts w:eastAsia="Calibri"/>
                                <w:b/>
                                <w:bCs/>
                                <w:color w:val="F5886C"/>
                                <w:sz w:val="16"/>
                                <w:szCs w:val="16"/>
                                <w:lang w:val="en-US"/>
                              </w:rPr>
                              <w:t> </w:t>
                            </w:r>
                            <w:r>
                              <w:rPr>
                                <w:rFonts w:ascii="EC Square Sans Pro" w:eastAsia="Calibri" w:hAnsi="EC Square Sans Pro"/>
                                <w:b/>
                                <w:bCs/>
                                <w:color w:val="F5886C"/>
                                <w:sz w:val="16"/>
                                <w:szCs w:val="16"/>
                                <w:lang w:val="en-US"/>
                              </w:rPr>
                              <w:t>3</w:t>
                            </w:r>
                            <w:r>
                              <w:rPr>
                                <w:rFonts w:eastAsia="Calibri"/>
                                <w:b/>
                                <w:bCs/>
                                <w:color w:val="F5886C"/>
                                <w:sz w:val="16"/>
                                <w:szCs w:val="16"/>
                                <w:lang w:val="en-US"/>
                              </w:rPr>
                              <w:t> </w:t>
                            </w:r>
                            <w:r>
                              <w:rPr>
                                <w:rFonts w:ascii="EC Square Sans Pro" w:eastAsia="Calibri" w:hAnsi="EC Square Sans Pro"/>
                                <w:b/>
                                <w:bCs/>
                                <w:color w:val="F5886C"/>
                                <w:sz w:val="16"/>
                                <w:szCs w:val="16"/>
                                <w:lang w:val="en-US"/>
                              </w:rPr>
                              <w:t>572</w:t>
                            </w:r>
                          </w:p>
                        </w:txbxContent>
                      </v:textbox>
                    </v:shape>
                    <v:shape id="Elbow Connector 72" o:spid="_x0000_s1066" type="#_x0000_t34" style="position:absolute;left:48428;top:18560;width:12325;height:58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7usMQAAADbAAAADwAAAGRycy9kb3ducmV2LnhtbESPQWvCQBSE70L/w/IKvelGC7WkriJC&#10;0/bgQesPeM0+k2D2bdjdJht/vSsUehxm5htmtYmmFT0531hWMJ9lIIhLqxuuFJy+36evIHxA1tha&#10;JgUjedisHyYrzLUd+ED9MVQiQdjnqKAOocul9GVNBv3MdsTJO1tnMCTpKqkdDgluWrnIshdpsOG0&#10;UGNHu5rKy/HXKPgq+Lotmv3H7jRS9KX7ic9zp9TTY9y+gQgUw3/4r/2pFSwXcP+Sf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u6wxAAAANsAAAAPAAAAAAAAAAAA&#10;AAAAAKECAABkcnMvZG93bnJldi54bWxQSwUGAAAAAAQABAD5AAAAkgMAAAAA&#10;" adj="21732" strokecolor="#f5886c" strokeweight="1pt"/>
                  </v:group>
                </v:group>
              </v:group>
            </w:pict>
          </mc:Fallback>
        </mc:AlternateContent>
      </w:r>
    </w:p>
    <w:p>
      <w:pPr>
        <w:spacing w:after="0"/>
        <w:ind w:left="360"/>
        <w:rPr>
          <w:rFonts w:ascii="EC Square Sans Pro" w:eastAsia="EC Square Sans Pro" w:hAnsi="EC Square Sans Pro"/>
          <w:noProof/>
          <w:sz w:val="20"/>
          <w:lang w:val="en-US"/>
        </w:rPr>
      </w:pPr>
    </w:p>
    <w:p>
      <w:pPr>
        <w:spacing w:after="0"/>
        <w:ind w:left="360"/>
        <w:rPr>
          <w:rFonts w:ascii="EC Square Sans Pro" w:eastAsia="EC Square Sans Pro" w:hAnsi="EC Square Sans Pro"/>
          <w:noProof/>
          <w:sz w:val="20"/>
          <w:lang w:val="en-US"/>
        </w:rPr>
      </w:pPr>
    </w:p>
    <w:p>
      <w:pPr>
        <w:spacing w:after="0"/>
        <w:ind w:left="360"/>
        <w:rPr>
          <w:rFonts w:ascii="EC Square Sans Pro" w:eastAsia="EC Square Sans Pro" w:hAnsi="EC Square Sans Pro"/>
          <w:noProof/>
          <w:sz w:val="20"/>
          <w:lang w:val="en-US"/>
        </w:rPr>
      </w:pPr>
    </w:p>
    <w:p>
      <w:pPr>
        <w:spacing w:after="0"/>
        <w:ind w:left="360"/>
        <w:rPr>
          <w:rFonts w:ascii="EC Square Sans Pro" w:eastAsia="EC Square Sans Pro" w:hAnsi="EC Square Sans Pro"/>
          <w:noProof/>
          <w:sz w:val="20"/>
          <w:lang w:val="en-US"/>
        </w:rPr>
      </w:pPr>
    </w:p>
    <w:p>
      <w:pPr>
        <w:spacing w:after="0"/>
        <w:ind w:left="360"/>
        <w:rPr>
          <w:rFonts w:ascii="EC Square Sans Pro" w:eastAsia="EC Square Sans Pro" w:hAnsi="EC Square Sans Pro"/>
          <w:noProof/>
          <w:sz w:val="20"/>
          <w:lang w:val="en-US"/>
        </w:rPr>
      </w:pPr>
      <w:r>
        <w:rPr>
          <w:rFonts w:ascii="EC Square Sans Pro" w:hAnsi="EC Square Sans Pro"/>
          <w:noProof/>
          <w:lang w:eastAsia="en-GB"/>
        </w:rPr>
        <w:drawing>
          <wp:anchor distT="0" distB="0" distL="114300" distR="114300" simplePos="0" relativeHeight="251658241" behindDoc="1" locked="0" layoutInCell="1" allowOverlap="1">
            <wp:simplePos x="0" y="0"/>
            <wp:positionH relativeFrom="column">
              <wp:posOffset>5715</wp:posOffset>
            </wp:positionH>
            <wp:positionV relativeFrom="paragraph">
              <wp:posOffset>9776</wp:posOffset>
            </wp:positionV>
            <wp:extent cx="5758180" cy="718185"/>
            <wp:effectExtent l="0" t="0" r="0" b="5715"/>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pPr>
        <w:spacing w:after="0"/>
        <w:ind w:left="360"/>
        <w:rPr>
          <w:rFonts w:ascii="EC Square Sans Pro" w:eastAsia="EC Square Sans Pro" w:hAnsi="EC Square Sans Pro"/>
          <w:noProof/>
          <w:sz w:val="20"/>
          <w:lang w:val="en-US"/>
        </w:rPr>
      </w:pPr>
    </w:p>
    <w:p>
      <w:pPr>
        <w:spacing w:after="0"/>
        <w:ind w:left="360"/>
        <w:rPr>
          <w:rFonts w:ascii="EC Square Sans Pro" w:eastAsia="EC Square Sans Pro" w:hAnsi="EC Square Sans Pro"/>
          <w:noProof/>
          <w:sz w:val="20"/>
          <w:lang w:val="en-US"/>
        </w:rPr>
      </w:pPr>
    </w:p>
    <w:p>
      <w:pPr>
        <w:pStyle w:val="BodyText"/>
        <w:ind w:left="360"/>
        <w:rPr>
          <w:rFonts w:ascii="EC Square Sans Pro" w:hAnsi="EC Square Sans Pro"/>
          <w:noProof/>
          <w:lang w:eastAsia="zh-CN"/>
        </w:rPr>
      </w:pPr>
    </w:p>
    <w:p>
      <w:pPr>
        <w:pStyle w:val="BodyText"/>
        <w:ind w:left="360"/>
        <w:rPr>
          <w:rFonts w:ascii="EC Square Sans Pro" w:hAnsi="EC Square Sans Pro"/>
          <w:noProof/>
          <w:lang w:eastAsia="zh-CN"/>
        </w:rPr>
      </w:pPr>
    </w:p>
    <w:p>
      <w:pPr>
        <w:pStyle w:val="Source-Table-Chart-PhotoCaption"/>
        <w:spacing w:before="120"/>
        <w:ind w:left="360"/>
        <w:rPr>
          <w:i/>
          <w:noProof/>
        </w:rPr>
      </w:pPr>
    </w:p>
    <w:p>
      <w:pPr>
        <w:pStyle w:val="amprCharttitle"/>
        <w:rPr>
          <w:noProof/>
        </w:rPr>
      </w:pPr>
      <w:r>
        <w:rPr>
          <w:noProof/>
        </w:rPr>
        <w:t>Climate contribution in 2014 to 2020, in million EUR.</w:t>
      </w:r>
    </w:p>
    <w:p>
      <w:pPr>
        <w:pStyle w:val="amprSource-Table-Chart-Photo-Caption"/>
        <w:rPr>
          <w:noProof/>
        </w:rPr>
      </w:pPr>
      <w:r>
        <w:rPr>
          <w:i/>
          <w:noProof/>
        </w:rPr>
        <w:t>Source</w:t>
      </w:r>
      <w:r>
        <w:rPr>
          <w:noProof/>
        </w:rPr>
        <w:t>: European Commission.</w:t>
      </w:r>
    </w:p>
    <w:p>
      <w:pPr>
        <w:ind w:left="360"/>
        <w:rPr>
          <w:rFonts w:ascii="EC Square Sans Pro" w:hAnsi="EC Square Sans Pro"/>
          <w:noProof/>
        </w:rPr>
      </w:pPr>
    </w:p>
    <w:p>
      <w:pPr>
        <w:jc w:val="both"/>
        <w:rPr>
          <w:rFonts w:ascii="EC Square Sans Pro" w:hAnsi="EC Square Sans Pro"/>
          <w:noProof/>
        </w:rPr>
      </w:pPr>
    </w:p>
    <w:p>
      <w:pPr>
        <w:pStyle w:val="amprLISTorangebullets-L1"/>
        <w:spacing w:before="240" w:after="240"/>
        <w:rPr>
          <w:noProof/>
        </w:rPr>
      </w:pPr>
      <w:r>
        <w:rPr>
          <w:rStyle w:val="amprcharBoldBlue"/>
          <w:rFonts w:eastAsiaTheme="minorHAnsi"/>
          <w:noProof/>
        </w:rPr>
        <w:t>The EU budget has supported major investments in energy generation and usage</w:t>
      </w:r>
      <w:r>
        <w:rPr>
          <w:rStyle w:val="amprcharBoldBlue"/>
          <w:rFonts w:ascii="Calibri" w:eastAsiaTheme="minorHAnsi" w:hAnsi="Calibri" w:cs="Calibri"/>
          <w:b w:val="0"/>
          <w:noProof/>
          <w:color w:val="auto"/>
        </w:rPr>
        <w:t> </w:t>
      </w:r>
      <w:r>
        <w:rPr>
          <w:rStyle w:val="amprcharBoldBlue"/>
          <w:rFonts w:eastAsiaTheme="minorHAnsi" w:cs="Calibri"/>
          <w:b w:val="0"/>
          <w:noProof/>
          <w:color w:val="auto"/>
        </w:rPr>
        <w:t>–</w:t>
      </w:r>
      <w:r>
        <w:rPr>
          <w:noProof/>
        </w:rPr>
        <w:t xml:space="preserve"> both key factors for the transition to a more sustainable economy. In particular, through cohesion funds, it has financed more than 2</w:t>
      </w:r>
      <w:r>
        <w:rPr>
          <w:rFonts w:ascii="Calibri" w:hAnsi="Calibri" w:cs="Calibri"/>
          <w:noProof/>
        </w:rPr>
        <w:t> </w:t>
      </w:r>
      <w:r>
        <w:rPr>
          <w:noProof/>
        </w:rPr>
        <w:t>000</w:t>
      </w:r>
      <w:r>
        <w:rPr>
          <w:rFonts w:ascii="Calibri" w:hAnsi="Calibri" w:cs="Calibri"/>
          <w:noProof/>
        </w:rPr>
        <w:t> </w:t>
      </w:r>
      <w:r>
        <w:rPr>
          <w:noProof/>
        </w:rPr>
        <w:t>megawatts of new renewable energy installation, along with energy efficiency measures leading to energy savings of 1</w:t>
      </w:r>
      <w:r>
        <w:rPr>
          <w:rFonts w:ascii="Calibri" w:hAnsi="Calibri" w:cs="Calibri"/>
          <w:noProof/>
        </w:rPr>
        <w:t> </w:t>
      </w:r>
      <w:r>
        <w:rPr>
          <w:noProof/>
        </w:rPr>
        <w:t>200</w:t>
      </w:r>
      <w:r>
        <w:rPr>
          <w:rFonts w:ascii="Calibri" w:hAnsi="Calibri" w:cs="Calibri"/>
          <w:noProof/>
        </w:rPr>
        <w:t> </w:t>
      </w:r>
      <w:r>
        <w:rPr>
          <w:noProof/>
        </w:rPr>
        <w:t>gigawatt</w:t>
      </w:r>
      <w:r>
        <w:rPr>
          <w:rFonts w:ascii="Calibri" w:hAnsi="Calibri" w:cs="Calibri"/>
          <w:noProof/>
        </w:rPr>
        <w:t> </w:t>
      </w:r>
      <w:r>
        <w:rPr>
          <w:noProof/>
        </w:rPr>
        <w:t xml:space="preserve">hours per year. The EU budget also funds the experimental fusion project ITER, which could provide access to a potentially limitless source of clean energy. </w:t>
      </w:r>
    </w:p>
    <w:p>
      <w:pPr>
        <w:pStyle w:val="amprBodyText"/>
        <w:rPr>
          <w:noProof/>
        </w:rPr>
      </w:pPr>
      <w:r>
        <w:rPr>
          <w:rStyle w:val="amprcharBoldBlue"/>
          <w:rFonts w:eastAsiaTheme="minorHAnsi"/>
          <w:noProof/>
        </w:rPr>
        <w:t>Investing in the future requires not only a green but also a digital transition.</w:t>
      </w:r>
      <w:r>
        <w:rPr>
          <w:noProof/>
        </w:rPr>
        <w:t xml:space="preserve"> The COVID</w:t>
      </w:r>
      <w:r>
        <w:rPr>
          <w:noProof/>
        </w:rPr>
        <w:noBreakHyphen/>
        <w:t>19 crisis has further accelerated the trend towards digitalisation. More important than ever in times of lockdown, the EU budget has supported investments in high-speed internet connections through, for example, the cohesion funds and the European Fund for Strategic Investments, connecting almost 25</w:t>
      </w:r>
      <w:r>
        <w:rPr>
          <w:rFonts w:ascii="Calibri" w:hAnsi="Calibri" w:cs="Calibri"/>
          <w:noProof/>
        </w:rPr>
        <w:t> </w:t>
      </w:r>
      <w:r>
        <w:rPr>
          <w:noProof/>
        </w:rPr>
        <w:t>million households to the internet through those two programmes. Digitalisation is also a key driver of innovation. To strengthen the EU’s industrial base, the EU budget is financing key projects such as satellite</w:t>
      </w:r>
      <w:r>
        <w:rPr>
          <w:noProof/>
        </w:rPr>
        <w:noBreakHyphen/>
        <w:t>based services (such as Galileo’s space-based location service or the innovative climate change service provided by Copernicus) or artificial intelligence (funded by Horizon 2020).</w:t>
      </w:r>
    </w:p>
    <w:p>
      <w:pPr>
        <w:pStyle w:val="amprBodyText"/>
        <w:rPr>
          <w:noProof/>
        </w:rPr>
      </w:pPr>
      <w:r>
        <w:rPr>
          <w:rStyle w:val="amprcharBoldBlue"/>
          <w:rFonts w:eastAsiaTheme="minorHAnsi"/>
          <w:noProof/>
        </w:rPr>
        <w:t>Excellence in research and innovation contributes to an economy that works for people.</w:t>
      </w:r>
      <w:r>
        <w:rPr>
          <w:rStyle w:val="amprcharBoldBlue"/>
          <w:rFonts w:eastAsiaTheme="minorHAnsi"/>
          <w:b w:val="0"/>
          <w:noProof/>
          <w:color w:val="auto"/>
        </w:rPr>
        <w:t xml:space="preserve"> </w:t>
      </w:r>
      <w:r>
        <w:rPr>
          <w:noProof/>
        </w:rPr>
        <w:t>Horizon 2020 is part of this EU success story. The 2020 Nobel Prize in Chemistry was awarded to Horizon 2020 alumna Dr Emmanuelle Charpentier together with Jennifer A. Doudna for the development of a method for genome editing. Dr Charpentier is the 10th Horizon 2020-funded researcher to be honoured with a Nobel Prize to date.</w:t>
      </w:r>
    </w:p>
    <w:p>
      <w:pPr>
        <w:pStyle w:val="amprBodyText"/>
        <w:rPr>
          <w:noProof/>
        </w:rPr>
      </w:pPr>
      <w:r>
        <w:rPr>
          <w:rStyle w:val="amprcharBoldBlue"/>
          <w:rFonts w:eastAsiaTheme="minorHAnsi"/>
          <w:noProof/>
        </w:rPr>
        <w:t>The EU budget helps to foster EU values, both in the EU and more widely.</w:t>
      </w:r>
      <w:r>
        <w:rPr>
          <w:rStyle w:val="amprcharBoldBlue"/>
          <w:rFonts w:eastAsiaTheme="minorHAnsi"/>
          <w:b w:val="0"/>
          <w:noProof/>
          <w:color w:val="auto"/>
        </w:rPr>
        <w:t xml:space="preserve"> </w:t>
      </w:r>
      <w:r>
        <w:rPr>
          <w:noProof/>
        </w:rPr>
        <w:t>For Erasmus+, 2020 was a year of formidable challenges caused by the COVID-19 pandemic, which resulted in almost 30% fewer people going abroad. Nonetheless, Erasmus+ still provided almost 700</w:t>
      </w:r>
      <w:r>
        <w:rPr>
          <w:rFonts w:ascii="Calibri" w:hAnsi="Calibri" w:cs="Calibri"/>
          <w:noProof/>
        </w:rPr>
        <w:t> </w:t>
      </w:r>
      <w:r>
        <w:rPr>
          <w:noProof/>
        </w:rPr>
        <w:t xml:space="preserve">000 people with the opportunity to experience life differently, in higher education, in vocational training and through various other exchange possibilities. </w:t>
      </w:r>
    </w:p>
    <w:p>
      <w:pPr>
        <w:pStyle w:val="amprBodyText"/>
        <w:keepNext/>
        <w:keepLines/>
        <w:rPr>
          <w:noProof/>
        </w:rPr>
      </w:pPr>
      <w:r>
        <w:rPr>
          <w:rStyle w:val="amprcharBoldBlue"/>
          <w:rFonts w:eastAsiaTheme="minorHAnsi"/>
          <w:noProof/>
        </w:rPr>
        <w:t>More broadly, the EU is committed to the United Nations sustainable development goals.</w:t>
      </w:r>
      <w:r>
        <w:rPr>
          <w:noProof/>
        </w:rPr>
        <w:t xml:space="preserve"> They are already widely and deeply integrated into the EU budget. In 2020, 46 EU spending programmes, or 75% of the total, contributed to at least one of the 17 sustainable development goals. Those 46 programmes represented 96% of the entire EU budget.</w:t>
      </w:r>
    </w:p>
    <w:p>
      <w:pPr>
        <w:pStyle w:val="ampranxTitle2"/>
        <w:rPr>
          <w:noProof/>
        </w:rPr>
      </w:pPr>
      <w:bookmarkStart w:id="20" w:name="_Toc72420546"/>
      <w:bookmarkStart w:id="21" w:name="_Toc72420564"/>
      <w:r>
        <w:rPr>
          <w:noProof/>
        </w:rPr>
        <w:t>A strengthened commitment to performance</w:t>
      </w:r>
      <w:bookmarkEnd w:id="20"/>
      <w:bookmarkEnd w:id="21"/>
    </w:p>
    <w:p>
      <w:pPr>
        <w:pStyle w:val="amprBodyText"/>
        <w:rPr>
          <w:noProof/>
        </w:rPr>
      </w:pPr>
      <w:r>
        <w:rPr>
          <w:rStyle w:val="amprcharBoldBlue"/>
          <w:rFonts w:eastAsiaTheme="minorHAnsi"/>
          <w:noProof/>
        </w:rPr>
        <w:t>The Commission is aware of the responsibility that comes with the increased budget.</w:t>
      </w:r>
      <w:r>
        <w:rPr>
          <w:rStyle w:val="amprcharBoldBlue"/>
          <w:rFonts w:eastAsiaTheme="minorHAnsi"/>
          <w:b w:val="0"/>
          <w:noProof/>
          <w:color w:val="auto"/>
        </w:rPr>
        <w:t xml:space="preserve"> </w:t>
      </w:r>
      <w:r>
        <w:rPr>
          <w:noProof/>
        </w:rPr>
        <w:t xml:space="preserve">The multiannual financial framework plays a critical role in supporting the economic recovery and transformation. The Commission expects and welcomes the associated increase in scrutiny by stakeholders of the effectiveness of EU spending. This effectiveness is at the heart of the work that the Commission has already done to build a robust performance framework for the EU budget. Such a framework is key in order to monitor budgetary implementation, to steer the budget towards its objectives, to respond rapidly and effectively to unforeseen events and to generate data and information showcasing how the EU budget provides concrete value to EU citizens. </w:t>
      </w:r>
    </w:p>
    <w:p>
      <w:pPr>
        <w:pStyle w:val="amprBodyText"/>
        <w:rPr>
          <w:noProof/>
        </w:rPr>
      </w:pPr>
      <w:r>
        <w:rPr>
          <w:rStyle w:val="amprcharBoldBlue"/>
          <w:rFonts w:eastAsiaTheme="minorHAnsi"/>
          <w:noProof/>
        </w:rPr>
        <w:t>The Commission has adopted a communication on the performance framework</w:t>
      </w:r>
      <w:r>
        <w:rPr>
          <w:rFonts w:cstheme="minorHAnsi"/>
          <w:noProof/>
        </w:rPr>
        <w:t xml:space="preserve"> of the EU budget</w:t>
      </w:r>
      <w:r>
        <w:rPr>
          <w:rFonts w:ascii="Calibri" w:hAnsi="Calibri" w:cs="Calibri"/>
          <w:noProof/>
        </w:rPr>
        <w:t> </w:t>
      </w:r>
      <w:r>
        <w:rPr>
          <w:rFonts w:cstheme="minorHAnsi"/>
          <w:noProof/>
        </w:rPr>
        <w:t>(</w:t>
      </w:r>
      <w:r>
        <w:rPr>
          <w:rFonts w:ascii="ZWAdobeF" w:hAnsi="ZWAdobeF" w:cs="ZWAdobeF"/>
          <w:noProof/>
          <w:color w:val="auto"/>
          <w:sz w:val="2"/>
          <w:szCs w:val="2"/>
        </w:rPr>
        <w:t>13F</w:t>
      </w:r>
      <w:r>
        <w:rPr>
          <w:rStyle w:val="FootnoteReference"/>
          <w:rFonts w:cstheme="minorHAnsi"/>
          <w:noProof/>
        </w:rPr>
        <w:footnoteReference w:id="17"/>
      </w:r>
      <w:r>
        <w:rPr>
          <w:rFonts w:cstheme="minorHAnsi"/>
          <w:noProof/>
        </w:rPr>
        <w:t xml:space="preserve">). The communication </w:t>
      </w:r>
      <w:r>
        <w:rPr>
          <w:noProof/>
        </w:rPr>
        <w:t>explains the framework’s guiding principles, describes recent improvements and outlines plans for its further development during the implementation of the 2021-2027 multiannual financial framework and beyond.</w:t>
      </w:r>
    </w:p>
    <w:p>
      <w:pPr>
        <w:pStyle w:val="ampranxTitle2"/>
        <w:spacing w:before="600" w:after="320"/>
        <w:rPr>
          <w:noProof/>
        </w:rPr>
      </w:pPr>
      <w:bookmarkStart w:id="22" w:name="_Toc72420547"/>
      <w:bookmarkStart w:id="23" w:name="_Toc72420565"/>
      <w:r>
        <w:rPr>
          <w:noProof/>
        </w:rPr>
        <w:t>EU funds are well managed and protected in the context of a crisis</w:t>
      </w:r>
      <w:bookmarkEnd w:id="22"/>
      <w:bookmarkEnd w:id="23"/>
    </w:p>
    <w:p>
      <w:pPr>
        <w:pStyle w:val="amprBodyText"/>
        <w:rPr>
          <w:noProof/>
        </w:rPr>
      </w:pPr>
      <w:r>
        <w:rPr>
          <w:rStyle w:val="amprcharBoldBlue"/>
          <w:noProof/>
        </w:rPr>
        <w:t>The Commission attaches great importance to the sound financial management of EU taxpayers’ money.</w:t>
      </w:r>
      <w:r>
        <w:rPr>
          <w:rStyle w:val="amprcharBoldBlue"/>
          <w:b w:val="0"/>
          <w:noProof/>
          <w:color w:val="auto"/>
        </w:rPr>
        <w:t xml:space="preserve"> </w:t>
      </w:r>
      <w:r>
        <w:rPr>
          <w:noProof/>
        </w:rPr>
        <w:t xml:space="preserve">It is fully committed to ensuring the highest standards of management. </w:t>
      </w:r>
    </w:p>
    <w:p>
      <w:pPr>
        <w:pStyle w:val="amprBodyText"/>
        <w:rPr>
          <w:noProof/>
        </w:rPr>
      </w:pPr>
      <w:r>
        <w:rPr>
          <w:rStyle w:val="amprcharBoldBlue"/>
          <w:noProof/>
        </w:rPr>
        <w:t>Even under unprecedented and challenging conditions, the solid chain of assurance and accountability worked.</w:t>
      </w:r>
      <w:r>
        <w:rPr>
          <w:noProof/>
        </w:rPr>
        <w:t xml:space="preserve"> Under the governance system used by the Commission, the College of Commissioners delegates the day-to-day operational management to the 51 Directors-General and Heads of Service. This safeguards a clear division of responsibilities, well-defined management responsibilities and solid reporting (see details in Annex</w:t>
      </w:r>
      <w:r>
        <w:rPr>
          <w:rFonts w:ascii="Calibri" w:hAnsi="Calibri" w:cs="Calibri"/>
          <w:noProof/>
        </w:rPr>
        <w:t> </w:t>
      </w:r>
      <w:r>
        <w:rPr>
          <w:noProof/>
        </w:rPr>
        <w:t>2, Section</w:t>
      </w:r>
      <w:r>
        <w:rPr>
          <w:rFonts w:ascii="Calibri" w:hAnsi="Calibri" w:cs="Calibri"/>
          <w:noProof/>
        </w:rPr>
        <w:t> </w:t>
      </w:r>
      <w:r>
        <w:rPr>
          <w:noProof/>
        </w:rPr>
        <w:t>2.1.3).</w:t>
      </w:r>
    </w:p>
    <w:p>
      <w:pPr>
        <w:pStyle w:val="amprBodyText"/>
        <w:rPr>
          <w:noProof/>
        </w:rPr>
      </w:pPr>
      <w:r>
        <w:rPr>
          <w:rStyle w:val="amprcharBoldBlue"/>
          <w:noProof/>
        </w:rPr>
        <w:t>Strong organ</w:t>
      </w:r>
      <w:r>
        <w:rPr>
          <w:rStyle w:val="amprcharBoldBlue"/>
          <w:rFonts w:ascii="ZWAdobeF" w:hAnsi="ZWAdobeF" w:cs="ZWAdobeF"/>
          <w:b w:val="0"/>
          <w:noProof/>
          <w:color w:val="auto"/>
          <w:spacing w:val="0"/>
          <w:sz w:val="2"/>
          <w:szCs w:val="2"/>
        </w:rPr>
        <w:t>0T</w:t>
      </w:r>
      <w:r>
        <w:rPr>
          <w:rStyle w:val="amprcharBoldBlue"/>
          <w:noProof/>
        </w:rPr>
        <w:t>isa</w:t>
      </w:r>
      <w:r>
        <w:rPr>
          <w:rStyle w:val="amprcharBoldBlue"/>
          <w:rFonts w:ascii="ZWAdobeF" w:hAnsi="ZWAdobeF" w:cs="ZWAdobeF"/>
          <w:b w:val="0"/>
          <w:noProof/>
          <w:color w:val="auto"/>
          <w:spacing w:val="0"/>
          <w:sz w:val="2"/>
          <w:szCs w:val="2"/>
        </w:rPr>
        <w:t>0T</w:t>
      </w:r>
      <w:r>
        <w:rPr>
          <w:rStyle w:val="amprcharBoldBlue"/>
          <w:noProof/>
        </w:rPr>
        <w:t>tion allowed for a swift and efficient reaction</w:t>
      </w:r>
      <w:r>
        <w:rPr>
          <w:rStyle w:val="amprcharBoldBlue"/>
          <w:rFonts w:ascii="Calibri" w:hAnsi="Calibri" w:cs="Calibri"/>
          <w:noProof/>
        </w:rPr>
        <w:t> </w:t>
      </w:r>
      <w:r>
        <w:rPr>
          <w:rStyle w:val="amprcharBoldBlue"/>
          <w:noProof/>
        </w:rPr>
        <w:t>– despite the circumstances of the COVID-19 pandemic.</w:t>
      </w:r>
      <w:r>
        <w:rPr>
          <w:noProof/>
          <w:color w:val="auto"/>
        </w:rPr>
        <w:t xml:space="preserve"> </w:t>
      </w:r>
      <w:r>
        <w:rPr>
          <w:noProof/>
        </w:rPr>
        <w:t>Thanks to good crisis preparedness, the Commission remained fully operational, with almost 30</w:t>
      </w:r>
      <w:r>
        <w:rPr>
          <w:rFonts w:ascii="Calibri" w:hAnsi="Calibri" w:cs="Calibri"/>
          <w:noProof/>
        </w:rPr>
        <w:t> </w:t>
      </w:r>
      <w:r>
        <w:rPr>
          <w:noProof/>
        </w:rPr>
        <w:t xml:space="preserve">000 people switching to teleworking within a few days. This allowed the Commission to play a leading role in all aspects of the crisis response, from public health to the economic recovery plan. </w:t>
      </w:r>
    </w:p>
    <w:p>
      <w:pPr>
        <w:pStyle w:val="amprBodyText"/>
        <w:rPr>
          <w:noProof/>
        </w:rPr>
      </w:pPr>
      <w:r>
        <w:rPr>
          <w:rStyle w:val="amprcharBoldBlue"/>
          <w:noProof/>
        </w:rPr>
        <w:t>An early risk assessment</w:t>
      </w:r>
      <w:r>
        <w:rPr>
          <w:rStyle w:val="amprcharBoldBlue"/>
          <w:noProof/>
          <w:color w:val="005D95"/>
        </w:rPr>
        <w:t xml:space="preserve"> </w:t>
      </w:r>
      <w:r>
        <w:rPr>
          <w:rStyle w:val="amprcharBoldBlue"/>
          <w:noProof/>
        </w:rPr>
        <w:t>ensured</w:t>
      </w:r>
      <w:r>
        <w:rPr>
          <w:rStyle w:val="amprcharBoldBlue"/>
          <w:noProof/>
          <w:color w:val="0070C0"/>
        </w:rPr>
        <w:t xml:space="preserve"> </w:t>
      </w:r>
      <w:r>
        <w:rPr>
          <w:rStyle w:val="amprcharBoldBlue"/>
          <w:noProof/>
        </w:rPr>
        <w:t>the checks for the effective and efficient use of the EU budget.</w:t>
      </w:r>
      <w:r>
        <w:rPr>
          <w:rStyle w:val="amprcharBoldBlue"/>
          <w:b w:val="0"/>
          <w:noProof/>
          <w:color w:val="auto"/>
        </w:rPr>
        <w:t xml:space="preserve"> </w:t>
      </w:r>
      <w:r>
        <w:rPr>
          <w:noProof/>
        </w:rPr>
        <w:t>Before summer 2020, the Commission analysed the risks arising from the COVID-19 pandemic and made sure that appropriate mitigating measures were in place. For instance, on-the-spot audits were replaced by desk reviews and remote audits, which proved to be effective. During the year, all services monitored these risks closely and in real time, with support and oversight from the Commission’s corporate governance bodies (Annex</w:t>
      </w:r>
      <w:r>
        <w:rPr>
          <w:rFonts w:ascii="Calibri" w:hAnsi="Calibri" w:cs="Calibri"/>
          <w:noProof/>
        </w:rPr>
        <w:t> </w:t>
      </w:r>
      <w:r>
        <w:rPr>
          <w:noProof/>
        </w:rPr>
        <w:t>2, Section</w:t>
      </w:r>
      <w:r>
        <w:rPr>
          <w:rFonts w:ascii="Calibri" w:hAnsi="Calibri" w:cs="Calibri"/>
          <w:noProof/>
        </w:rPr>
        <w:t> </w:t>
      </w:r>
      <w:r>
        <w:rPr>
          <w:noProof/>
        </w:rPr>
        <w:t>2.1.2).</w:t>
      </w:r>
    </w:p>
    <w:p>
      <w:pPr>
        <w:pStyle w:val="amprBodyText"/>
        <w:rPr>
          <w:noProof/>
        </w:rPr>
      </w:pPr>
      <w:r>
        <w:rPr>
          <w:rStyle w:val="amprcharBoldBlue"/>
          <w:noProof/>
        </w:rPr>
        <w:t>The Commission helped beneficiaries and Member States to implement the budget under the difficult circumstances.</w:t>
      </w:r>
      <w:r>
        <w:rPr>
          <w:noProof/>
        </w:rPr>
        <w:t xml:space="preserve"> It extended the deadlines for the implementation of projects or recoveries and supported Member States by providing some flexibility in the way they implement and control EU funds, without reducing the level of assurance. The European Anti-fraud Office issued targeted guidance to the services to help them identify and address new emerging threats from fraudsters abusing the opportunities provided the COVID-19 pandemic.</w:t>
      </w:r>
    </w:p>
    <w:p>
      <w:pPr>
        <w:pStyle w:val="amprBodyText"/>
        <w:rPr>
          <w:noProof/>
        </w:rPr>
      </w:pPr>
      <w:r>
        <w:rPr>
          <w:rStyle w:val="amprcharBoldBlue"/>
          <w:noProof/>
        </w:rPr>
        <w:t>The measures allowed for the effective implementation of the budget</w:t>
      </w:r>
      <w:r>
        <w:rPr>
          <w:rStyle w:val="NoSpacingChar"/>
          <w:rFonts w:eastAsia="EC Square Sans Pro"/>
          <w:noProof/>
        </w:rPr>
        <w:t xml:space="preserve"> despite </w:t>
      </w:r>
      <w:r>
        <w:rPr>
          <w:noProof/>
        </w:rPr>
        <w:t>the difficult situation created by COVID-19. As a result of the abovementioned initiatives, the level of assurance was maintained, and the time needed to pay beneficiaries remained similar to previous years. Moreover, the level of implementation of the budget increased to 99% (compared to 98% in 2019).</w:t>
      </w:r>
    </w:p>
    <w:p>
      <w:pPr>
        <w:pStyle w:val="ampranxTitle2"/>
        <w:spacing w:before="600" w:after="320"/>
        <w:rPr>
          <w:noProof/>
        </w:rPr>
      </w:pPr>
      <w:bookmarkStart w:id="24" w:name="_Toc72420548"/>
      <w:bookmarkStart w:id="25" w:name="_Toc72420566"/>
      <w:r>
        <w:rPr>
          <w:noProof/>
        </w:rPr>
        <w:t>Robust corporate internal control framework</w:t>
      </w:r>
      <w:bookmarkEnd w:id="24"/>
      <w:bookmarkEnd w:id="25"/>
      <w:r>
        <w:rPr>
          <w:noProof/>
        </w:rPr>
        <w:t xml:space="preserve"> </w:t>
      </w:r>
    </w:p>
    <w:p>
      <w:pPr>
        <w:pStyle w:val="amprBodyText"/>
        <w:rPr>
          <w:noProof/>
          <w:color w:val="auto"/>
        </w:rPr>
      </w:pPr>
      <w:r>
        <w:rPr>
          <w:rStyle w:val="amprcharBoldBlue"/>
          <w:noProof/>
        </w:rPr>
        <w:t>The Commission’s control framework withstood the test.</w:t>
      </w:r>
      <w:r>
        <w:rPr>
          <w:rStyle w:val="amprcharBoldBlue"/>
          <w:b w:val="0"/>
          <w:noProof/>
          <w:color w:val="auto"/>
        </w:rPr>
        <w:t xml:space="preserve"> </w:t>
      </w:r>
      <w:r>
        <w:rPr>
          <w:noProof/>
        </w:rPr>
        <w:t>The Commission relies on its multiannual control strategies to prevent, detect and correct errors and weaknesses. These strategies are also risk differentiated, i.e. adjusted to the different management modes, actors involved, policy areas and/or funding arrangements and their respective associated risks. This differentiation of the control strategies is necessary to ensure that the controls remain cost-effective, i.e. that they strike the right balance between a low level of errors (effectiveness), fast payments (efficiency) and reasonable costs (economy).</w:t>
      </w:r>
      <w:r>
        <w:rPr>
          <w:noProof/>
          <w:color w:val="auto"/>
        </w:rPr>
        <w:t xml:space="preserve"> </w:t>
      </w:r>
    </w:p>
    <w:p>
      <w:pPr>
        <w:pStyle w:val="amprBodyText"/>
        <w:keepNext/>
        <w:keepLines/>
        <w:spacing w:after="200"/>
        <w:rPr>
          <w:noProof/>
        </w:rPr>
      </w:pPr>
      <w:r>
        <w:rPr>
          <w:rStyle w:val="amprcharBoldBlue"/>
          <w:noProof/>
        </w:rPr>
        <w:t>Hundreds of thousands of payments were checked and system audits performed.</w:t>
      </w:r>
      <w:r>
        <w:rPr>
          <w:rFonts w:eastAsia="Times New Roman"/>
          <w:noProof/>
          <w:color w:val="auto"/>
          <w:lang w:eastAsia="fr-BE"/>
        </w:rPr>
        <w:t xml:space="preserve"> </w:t>
      </w:r>
      <w:r>
        <w:rPr>
          <w:noProof/>
        </w:rPr>
        <w:t xml:space="preserve">The Commission builds its assurance from the bottom up and at a detailed level. This means that hundreds of thousands of payments are checked every year by the Commission and the Member States, who share the management of 70% of the funds with the Commission.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tc>
          <w:tcPr>
            <w:tcW w:w="9287" w:type="dxa"/>
          </w:tcPr>
          <w:tbl>
            <w:tblPr>
              <w:tblStyle w:val="GridTable1Light-Accent11"/>
              <w:tblpPr w:leftFromText="180" w:rightFromText="180" w:vertAnchor="page" w:horzAnchor="margin" w:tblpY="1"/>
              <w:tblOverlap w:val="never"/>
              <w:tblW w:w="0" w:type="auto"/>
              <w:tblLook w:val="04A0" w:firstRow="1" w:lastRow="0" w:firstColumn="1" w:lastColumn="0" w:noHBand="0" w:noVBand="1"/>
            </w:tblPr>
            <w:tblGrid>
              <w:gridCol w:w="4536"/>
              <w:gridCol w:w="4535"/>
            </w:tblGrid>
            <w:tr>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71" w:type="dxa"/>
                  <w:gridSpan w:val="2"/>
                  <w:tcBorders>
                    <w:top w:val="nil"/>
                    <w:left w:val="nil"/>
                    <w:bottom w:val="single" w:sz="4" w:space="0" w:color="B8CCE4"/>
                    <w:right w:val="nil"/>
                  </w:tcBorders>
                  <w:shd w:val="clear" w:color="auto" w:fill="auto"/>
                  <w:vAlign w:val="center"/>
                  <w:hideMark/>
                </w:tcPr>
                <w:p>
                  <w:pPr>
                    <w:spacing w:before="240"/>
                    <w:jc w:val="center"/>
                    <w:rPr>
                      <w:rFonts w:ascii="EC Square Sans Pro" w:hAnsi="EC Square Sans Pro"/>
                      <w:noProof/>
                      <w:color w:val="002060"/>
                      <w:spacing w:val="1"/>
                    </w:rPr>
                  </w:pPr>
                  <w:r>
                    <w:rPr>
                      <w:rFonts w:ascii="EC Square Sans Pro" w:hAnsi="EC Square Sans Pro"/>
                      <w:noProof/>
                      <w:color w:val="005D95"/>
                      <w:spacing w:val="1"/>
                      <w:bdr w:val="none" w:sz="0" w:space="0" w:color="auto" w:frame="1"/>
                    </w:rPr>
                    <w:t>Hundreds of</w:t>
                  </w:r>
                  <w:r>
                    <w:rPr>
                      <w:rFonts w:ascii="EC Square Sans Pro" w:hAnsi="EC Square Sans Pro"/>
                      <w:noProof/>
                      <w:color w:val="005D95"/>
                    </w:rPr>
                    <w:t xml:space="preserve"> </w:t>
                  </w:r>
                  <w:r>
                    <w:rPr>
                      <w:rFonts w:ascii="EC Square Sans Pro" w:hAnsi="EC Square Sans Pro"/>
                      <w:noProof/>
                      <w:color w:val="005D95"/>
                      <w:spacing w:val="1"/>
                      <w:bdr w:val="none" w:sz="0" w:space="0" w:color="auto" w:frame="1"/>
                    </w:rPr>
                    <w:t>thousands of payments are checked</w:t>
                  </w:r>
                  <w:r>
                    <w:rPr>
                      <w:rFonts w:ascii="EC Square Sans Pro" w:hAnsi="EC Square Sans Pro"/>
                      <w:noProof/>
                      <w:color w:val="005D95"/>
                    </w:rPr>
                    <w:t xml:space="preserve"> </w:t>
                  </w:r>
                  <w:r>
                    <w:rPr>
                      <w:rFonts w:ascii="EC Square Sans Pro" w:hAnsi="EC Square Sans Pro"/>
                      <w:noProof/>
                      <w:color w:val="005D95"/>
                      <w:spacing w:val="1"/>
                      <w:bdr w:val="none" w:sz="0" w:space="0" w:color="auto" w:frame="1"/>
                    </w:rPr>
                    <w:t>every year</w:t>
                  </w:r>
                </w:p>
              </w:tc>
            </w:tr>
            <w:tr>
              <w:trPr>
                <w:trHeight w:val="560"/>
              </w:trPr>
              <w:tc>
                <w:tcPr>
                  <w:cnfStyle w:val="001000000000" w:firstRow="0" w:lastRow="0" w:firstColumn="1" w:lastColumn="0" w:oddVBand="0" w:evenVBand="0" w:oddHBand="0" w:evenHBand="0" w:firstRowFirstColumn="0" w:firstRowLastColumn="0" w:lastRowFirstColumn="0" w:lastRowLastColumn="0"/>
                  <w:tcW w:w="4536" w:type="dxa"/>
                  <w:tcBorders>
                    <w:left w:val="nil"/>
                    <w:bottom w:val="single" w:sz="4" w:space="0" w:color="FFFFFF" w:themeColor="background1"/>
                    <w:right w:val="nil"/>
                  </w:tcBorders>
                  <w:shd w:val="clear" w:color="auto" w:fill="B1B541"/>
                  <w:vAlign w:val="center"/>
                  <w:hideMark/>
                </w:tcPr>
                <w:p>
                  <w:pPr>
                    <w:jc w:val="center"/>
                    <w:rPr>
                      <w:rFonts w:ascii="EC Square Sans Pro" w:hAnsi="EC Square Sans Pro"/>
                      <w:noProof/>
                      <w:color w:val="FFFFFF"/>
                      <w:sz w:val="20"/>
                      <w:lang w:eastAsia="zh-CN"/>
                    </w:rPr>
                  </w:pPr>
                  <w:r>
                    <w:rPr>
                      <w:rFonts w:ascii="EC Square Sans Pro" w:hAnsi="EC Square Sans Pro"/>
                      <w:noProof/>
                      <w:color w:val="FFFFFF"/>
                      <w:lang w:eastAsia="zh-CN"/>
                    </w:rPr>
                    <w:t xml:space="preserve">In agriculture:   </w:t>
                  </w:r>
                  <w:r>
                    <w:rPr>
                      <w:rFonts w:ascii="EC Square Sans Pro" w:hAnsi="EC Square Sans Pro"/>
                      <w:noProof/>
                      <w:color w:val="FFFFFF"/>
                      <w:sz w:val="20"/>
                      <w:lang w:eastAsia="en-GB"/>
                    </w:rPr>
                    <w:drawing>
                      <wp:inline distT="0" distB="0" distL="0" distR="0">
                        <wp:extent cx="189230" cy="262255"/>
                        <wp:effectExtent l="0" t="0" r="127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230" cy="262255"/>
                                </a:xfrm>
                                <a:prstGeom prst="rect">
                                  <a:avLst/>
                                </a:prstGeom>
                                <a:noFill/>
                              </pic:spPr>
                            </pic:pic>
                          </a:graphicData>
                        </a:graphic>
                      </wp:inline>
                    </w:drawing>
                  </w:r>
                </w:p>
              </w:tc>
              <w:tc>
                <w:tcPr>
                  <w:tcW w:w="4535" w:type="dxa"/>
                  <w:tcBorders>
                    <w:left w:val="nil"/>
                    <w:bottom w:val="single" w:sz="4" w:space="0" w:color="FFFFFF" w:themeColor="background1"/>
                    <w:right w:val="nil"/>
                  </w:tcBorders>
                  <w:shd w:val="clear" w:color="auto" w:fill="00B050"/>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EC Square Sans Pro" w:hAnsi="EC Square Sans Pro"/>
                      <w:b/>
                      <w:noProof/>
                      <w:color w:val="FFFFFF"/>
                      <w:sz w:val="20"/>
                      <w:lang w:eastAsia="zh-CN"/>
                    </w:rPr>
                  </w:pPr>
                  <w:r>
                    <w:rPr>
                      <w:rFonts w:ascii="EC Square Sans Pro" w:hAnsi="EC Square Sans Pro"/>
                      <w:b/>
                      <w:noProof/>
                      <w:color w:val="FFFFFF"/>
                      <w:lang w:eastAsia="zh-CN"/>
                    </w:rPr>
                    <w:t>In cohesion:</w:t>
                  </w:r>
                  <w:r>
                    <w:rPr>
                      <w:rFonts w:ascii="EC Square Sans Pro" w:hAnsi="EC Square Sans Pro"/>
                      <w:b/>
                      <w:noProof/>
                      <w:color w:val="FFFFFF"/>
                      <w:lang w:eastAsia="en-GB"/>
                    </w:rPr>
                    <w:t xml:space="preserve">   </w:t>
                  </w:r>
                  <w:r>
                    <w:rPr>
                      <w:rFonts w:ascii="EC Square Sans Pro" w:hAnsi="EC Square Sans Pro"/>
                      <w:b/>
                      <w:noProof/>
                      <w:color w:val="FFFFFF"/>
                      <w:sz w:val="20"/>
                      <w:lang w:eastAsia="en-GB"/>
                    </w:rPr>
                    <w:drawing>
                      <wp:inline distT="0" distB="0" distL="0" distR="0">
                        <wp:extent cx="237441" cy="23744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257" cy="243257"/>
                                </a:xfrm>
                                <a:prstGeom prst="rect">
                                  <a:avLst/>
                                </a:prstGeom>
                                <a:noFill/>
                              </pic:spPr>
                            </pic:pic>
                          </a:graphicData>
                        </a:graphic>
                      </wp:inline>
                    </w:drawing>
                  </w:r>
                </w:p>
              </w:tc>
            </w:tr>
            <w:tr>
              <w:trPr>
                <w:trHeight w:val="804"/>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FFFFFF" w:themeColor="background1"/>
                    <w:left w:val="nil"/>
                    <w:bottom w:val="single" w:sz="4" w:space="0" w:color="FFFFFF" w:themeColor="background1"/>
                    <w:right w:val="single" w:sz="4" w:space="0" w:color="FFFFFF" w:themeColor="background1"/>
                  </w:tcBorders>
                  <w:shd w:val="clear" w:color="auto" w:fill="EAEBC7"/>
                  <w:vAlign w:val="center"/>
                  <w:hideMark/>
                </w:tcPr>
                <w:p>
                  <w:pPr>
                    <w:jc w:val="center"/>
                    <w:rPr>
                      <w:rFonts w:ascii="EC Square Sans Pro" w:hAnsi="EC Square Sans Pro"/>
                      <w:b w:val="0"/>
                      <w:noProof/>
                      <w:sz w:val="20"/>
                    </w:rPr>
                  </w:pPr>
                  <w:r>
                    <w:rPr>
                      <w:rFonts w:ascii="EC Square Sans Pro" w:hAnsi="EC Square Sans Pro"/>
                      <w:noProof/>
                      <w:sz w:val="20"/>
                    </w:rPr>
                    <w:t>more than 900</w:t>
                  </w:r>
                  <w:r>
                    <w:rPr>
                      <w:noProof/>
                      <w:sz w:val="20"/>
                    </w:rPr>
                    <w:t> </w:t>
                  </w:r>
                  <w:r>
                    <w:rPr>
                      <w:rFonts w:ascii="EC Square Sans Pro" w:hAnsi="EC Square Sans Pro"/>
                      <w:noProof/>
                      <w:sz w:val="20"/>
                    </w:rPr>
                    <w:t>000 on-the-spot checks were carried out by the Member States</w:t>
                  </w:r>
                </w:p>
              </w:tc>
              <w:tc>
                <w:tcPr>
                  <w:tcW w:w="4535" w:type="dxa"/>
                  <w:tcBorders>
                    <w:top w:val="single" w:sz="4" w:space="0" w:color="FFFFFF" w:themeColor="background1"/>
                    <w:left w:val="single" w:sz="4" w:space="0" w:color="FFFFFF" w:themeColor="background1"/>
                    <w:bottom w:val="single" w:sz="4" w:space="0" w:color="FFFFFF" w:themeColor="background1"/>
                    <w:right w:val="nil"/>
                  </w:tcBorders>
                  <w:shd w:val="clear" w:color="auto" w:fill="DDFFEC"/>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EC Square Sans Pro" w:hAnsi="EC Square Sans Pro"/>
                      <w:noProof/>
                      <w:color w:val="000000" w:themeColor="text1"/>
                      <w:sz w:val="20"/>
                      <w:szCs w:val="20"/>
                      <w:lang w:eastAsia="zh-CN"/>
                    </w:rPr>
                  </w:pPr>
                  <w:r>
                    <w:rPr>
                      <w:rFonts w:ascii="EC Square Sans Pro" w:hAnsi="EC Square Sans Pro"/>
                      <w:noProof/>
                      <w:color w:val="000000"/>
                      <w:sz w:val="20"/>
                      <w:lang w:eastAsia="zh-CN"/>
                    </w:rPr>
                    <w:t xml:space="preserve">Assurance packages for </w:t>
                  </w:r>
                  <w:r>
                    <w:rPr>
                      <w:rFonts w:ascii="EC Square Sans Pro" w:hAnsi="EC Square Sans Pro"/>
                      <w:b/>
                      <w:noProof/>
                      <w:color w:val="000000"/>
                      <w:sz w:val="20"/>
                      <w:lang w:eastAsia="zh-CN"/>
                    </w:rPr>
                    <w:t xml:space="preserve">508 </w:t>
                  </w:r>
                  <w:r>
                    <w:rPr>
                      <w:rFonts w:ascii="EC Square Sans Pro" w:hAnsi="EC Square Sans Pro"/>
                      <w:noProof/>
                      <w:color w:val="000000"/>
                      <w:sz w:val="20"/>
                      <w:lang w:eastAsia="zh-CN"/>
                    </w:rPr>
                    <w:t>programmes were reviewed</w:t>
                  </w:r>
                </w:p>
              </w:tc>
            </w:tr>
            <w:tr>
              <w:trPr>
                <w:trHeight w:val="798"/>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FFFFFF" w:themeColor="background1"/>
                    <w:left w:val="nil"/>
                    <w:bottom w:val="nil"/>
                    <w:right w:val="single" w:sz="4" w:space="0" w:color="FFFFFF" w:themeColor="background1"/>
                  </w:tcBorders>
                  <w:shd w:val="clear" w:color="auto" w:fill="EAEBC7"/>
                  <w:vAlign w:val="center"/>
                  <w:hideMark/>
                </w:tcPr>
                <w:p>
                  <w:pPr>
                    <w:jc w:val="center"/>
                    <w:rPr>
                      <w:rFonts w:ascii="EC Square Sans Pro" w:hAnsi="EC Square Sans Pro"/>
                      <w:b w:val="0"/>
                      <w:noProof/>
                      <w:color w:val="000000" w:themeColor="text1"/>
                      <w:sz w:val="20"/>
                      <w:lang w:eastAsia="zh-CN"/>
                    </w:rPr>
                  </w:pPr>
                  <w:r>
                    <w:rPr>
                      <w:rFonts w:ascii="EC Square Sans Pro" w:hAnsi="EC Square Sans Pro"/>
                      <w:noProof/>
                      <w:color w:val="000000"/>
                      <w:sz w:val="20"/>
                      <w:lang w:eastAsia="zh-CN"/>
                    </w:rPr>
                    <w:t xml:space="preserve">68 audits were carried out by the Commission </w:t>
                  </w:r>
                </w:p>
              </w:tc>
              <w:tc>
                <w:tcPr>
                  <w:tcW w:w="4535" w:type="dxa"/>
                  <w:tcBorders>
                    <w:top w:val="single" w:sz="4" w:space="0" w:color="FFFFFF" w:themeColor="background1"/>
                    <w:left w:val="single" w:sz="4" w:space="0" w:color="FFFFFF" w:themeColor="background1"/>
                    <w:bottom w:val="nil"/>
                    <w:right w:val="nil"/>
                  </w:tcBorders>
                  <w:shd w:val="clear" w:color="auto" w:fill="DDFFEC"/>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EC Square Sans Pro" w:hAnsi="EC Square Sans Pro"/>
                      <w:noProof/>
                      <w:color w:val="000000" w:themeColor="text1"/>
                      <w:sz w:val="20"/>
                      <w:szCs w:val="20"/>
                      <w:lang w:eastAsia="zh-CN"/>
                    </w:rPr>
                  </w:pPr>
                  <w:r>
                    <w:rPr>
                      <w:rFonts w:ascii="EC Square Sans Pro" w:hAnsi="EC Square Sans Pro"/>
                      <w:b/>
                      <w:noProof/>
                      <w:color w:val="000000"/>
                      <w:sz w:val="20"/>
                      <w:lang w:eastAsia="zh-CN"/>
                    </w:rPr>
                    <w:t>89</w:t>
                  </w:r>
                  <w:r>
                    <w:rPr>
                      <w:rFonts w:ascii="EC Square Sans Pro" w:hAnsi="EC Square Sans Pro"/>
                      <w:noProof/>
                      <w:color w:val="000000"/>
                      <w:sz w:val="20"/>
                      <w:lang w:eastAsia="zh-CN"/>
                    </w:rPr>
                    <w:t xml:space="preserve"> audits were carried out by the Commission</w:t>
                  </w:r>
                </w:p>
              </w:tc>
            </w:tr>
          </w:tbl>
          <w:p>
            <w:pPr>
              <w:pStyle w:val="amprBodyText"/>
              <w:spacing w:after="240"/>
              <w:rPr>
                <w:noProof/>
              </w:rPr>
            </w:pPr>
          </w:p>
        </w:tc>
      </w:tr>
    </w:tbl>
    <w:p>
      <w:pPr>
        <w:pStyle w:val="amprBodyText"/>
        <w:spacing w:before="120" w:after="0"/>
        <w:rPr>
          <w:b/>
          <w:noProof/>
          <w:sz w:val="16"/>
          <w:szCs w:val="16"/>
        </w:rPr>
      </w:pPr>
      <w:r>
        <w:rPr>
          <w:b/>
          <w:noProof/>
          <w:sz w:val="16"/>
          <w:szCs w:val="16"/>
        </w:rPr>
        <w:t>Number of checks and audits by the European Commission in 2020, in agriculture and cohesion.</w:t>
      </w:r>
    </w:p>
    <w:p>
      <w:pPr>
        <w:pStyle w:val="amprSource-Table-Chart-Photo-Caption"/>
        <w:rPr>
          <w:noProof/>
        </w:rPr>
      </w:pPr>
      <w:r>
        <w:rPr>
          <w:i/>
          <w:noProof/>
          <w:lang w:eastAsia="zh-CN"/>
        </w:rPr>
        <w:t>Source:</w:t>
      </w:r>
      <w:r>
        <w:rPr>
          <w:noProof/>
          <w:lang w:eastAsia="zh-CN"/>
        </w:rPr>
        <w:t xml:space="preserve"> European, Commission annual activity reports.</w:t>
      </w:r>
    </w:p>
    <w:p>
      <w:pPr>
        <w:pStyle w:val="amprBodyText"/>
        <w:rPr>
          <w:noProof/>
        </w:rPr>
      </w:pPr>
    </w:p>
    <w:p>
      <w:pPr>
        <w:pStyle w:val="amprBodyText"/>
        <w:spacing w:before="240"/>
        <w:rPr>
          <w:rFonts w:eastAsia="Times New Roman"/>
          <w:noProof/>
          <w:color w:val="auto"/>
          <w:szCs w:val="20"/>
          <w:lang w:eastAsia="fr-BE"/>
        </w:rPr>
      </w:pPr>
      <w:r>
        <w:rPr>
          <w:rStyle w:val="amprcharBoldBlue"/>
          <w:noProof/>
        </w:rPr>
        <w:t>The root causes of errors are identified and addressed.</w:t>
      </w:r>
      <w:r>
        <w:rPr>
          <w:noProof/>
          <w:color w:val="005D95"/>
        </w:rPr>
        <w:t xml:space="preserve"> </w:t>
      </w:r>
      <w:r>
        <w:rPr>
          <w:noProof/>
        </w:rPr>
        <w:t>The detailed level of information allows the Commission, as the manager of the EU funds, to find system weaknesses, to identify their root causes (e.g. complexity of rules) and to take targeted corrective actions. It also enhances preventive actions and ensures that any lessons learned are factored into the design of future financial programmes.</w:t>
      </w:r>
      <w:r>
        <w:rPr>
          <w:rFonts w:eastAsia="Times New Roman"/>
          <w:noProof/>
          <w:color w:val="auto"/>
          <w:szCs w:val="20"/>
          <w:lang w:eastAsia="fr-BE"/>
        </w:rPr>
        <w:t xml:space="preserve"> </w:t>
      </w:r>
    </w:p>
    <w:p>
      <w:pPr>
        <w:pStyle w:val="amprBodyText"/>
        <w:rPr>
          <w:noProof/>
        </w:rPr>
      </w:pPr>
      <w:r>
        <w:rPr>
          <w:rStyle w:val="amprcharBoldBlue"/>
          <w:noProof/>
        </w:rPr>
        <w:t>Preventive and corrective actions are implemented.</w:t>
      </w:r>
      <w:r>
        <w:rPr>
          <w:noProof/>
        </w:rPr>
        <w:t xml:space="preserve"> As a result of its controls, the Commission applies financial corrections and recoveries. In 2020, the controls carried out before the payments along with other preventive measures have allowed EUR</w:t>
      </w:r>
      <w:r>
        <w:rPr>
          <w:rFonts w:ascii="Calibri" w:hAnsi="Calibri" w:cs="Calibri"/>
          <w:noProof/>
        </w:rPr>
        <w:t> </w:t>
      </w:r>
      <w:r>
        <w:rPr>
          <w:noProof/>
        </w:rPr>
        <w:t>301</w:t>
      </w:r>
      <w:r>
        <w:rPr>
          <w:rFonts w:ascii="Calibri" w:hAnsi="Calibri" w:cs="Calibri"/>
          <w:noProof/>
        </w:rPr>
        <w:t> </w:t>
      </w:r>
      <w:r>
        <w:rPr>
          <w:noProof/>
        </w:rPr>
        <w:t>million to be saved. For the controls carried out after the payments, the corrections and recoveries applied amounted to EUR</w:t>
      </w:r>
      <w:r>
        <w:rPr>
          <w:rFonts w:ascii="Calibri" w:hAnsi="Calibri" w:cs="Calibri"/>
          <w:noProof/>
        </w:rPr>
        <w:t> </w:t>
      </w:r>
      <w:r>
        <w:rPr>
          <w:noProof/>
        </w:rPr>
        <w:t>596</w:t>
      </w:r>
      <w:r>
        <w:rPr>
          <w:rFonts w:ascii="Calibri" w:hAnsi="Calibri" w:cs="Calibri"/>
          <w:noProof/>
        </w:rPr>
        <w:t> </w:t>
      </w:r>
      <w:r>
        <w:rPr>
          <w:noProof/>
        </w:rPr>
        <w:t>million and EUR</w:t>
      </w:r>
      <w:r>
        <w:rPr>
          <w:rFonts w:ascii="Calibri" w:hAnsi="Calibri" w:cs="Calibri"/>
          <w:noProof/>
        </w:rPr>
        <w:t> </w:t>
      </w:r>
      <w:r>
        <w:rPr>
          <w:noProof/>
        </w:rPr>
        <w:t>5.2</w:t>
      </w:r>
      <w:r>
        <w:rPr>
          <w:rFonts w:ascii="Calibri" w:hAnsi="Calibri" w:cs="Calibri"/>
          <w:noProof/>
        </w:rPr>
        <w:t> </w:t>
      </w:r>
      <w:r>
        <w:rPr>
          <w:noProof/>
        </w:rPr>
        <w:t xml:space="preserve">billion cumulatively since 2017. </w:t>
      </w:r>
    </w:p>
    <w:p>
      <w:pPr>
        <w:pStyle w:val="amprBodyText"/>
        <w:rPr>
          <w:noProof/>
        </w:rPr>
      </w:pPr>
      <w:r>
        <w:rPr>
          <w:rStyle w:val="amprcharBoldBlue"/>
          <w:noProof/>
        </w:rPr>
        <w:t>Overall, the level of risk at payment is below the materiality threshold of 2%.</w:t>
      </w:r>
      <w:r>
        <w:rPr>
          <w:noProof/>
        </w:rPr>
        <w:t xml:space="preserve"> The Commission estimates that, after its preventive controls, the remaining level of error</w:t>
      </w:r>
      <w:r>
        <w:rPr>
          <w:rFonts w:ascii="Calibri" w:hAnsi="Calibri" w:cs="Calibri"/>
          <w:noProof/>
        </w:rPr>
        <w:t> </w:t>
      </w:r>
      <w:r>
        <w:rPr>
          <w:noProof/>
        </w:rPr>
        <w:t>– i.e. its risk at the time of payment</w:t>
      </w:r>
      <w:r>
        <w:rPr>
          <w:rFonts w:ascii="Calibri" w:hAnsi="Calibri" w:cs="Calibri"/>
          <w:noProof/>
        </w:rPr>
        <w:t> </w:t>
      </w:r>
      <w:r>
        <w:rPr>
          <w:noProof/>
        </w:rPr>
        <w:t>– is 1.9%, representing a decrease compared to 2019. Given the multiannual character of the funding programmes, the Commission deploys substantial efforts to perform controls after the payments and to continue to make corrections until the closure of the programmes. These efforts are reflected in the estimated risk at the closure of the programmes. This corresponds to the risk at payment minus the Commission’s forecast future corrections, which are estimated at 1% in 2020 (see Annex</w:t>
      </w:r>
      <w:r>
        <w:rPr>
          <w:rFonts w:ascii="Calibri" w:hAnsi="Calibri" w:cs="Calibri"/>
          <w:noProof/>
        </w:rPr>
        <w:t> </w:t>
      </w:r>
      <w:r>
        <w:rPr>
          <w:noProof/>
        </w:rPr>
        <w:t>2, Section</w:t>
      </w:r>
      <w:r>
        <w:rPr>
          <w:rFonts w:ascii="Calibri" w:hAnsi="Calibri" w:cs="Calibri"/>
          <w:noProof/>
        </w:rPr>
        <w:t> </w:t>
      </w:r>
      <w:r>
        <w:rPr>
          <w:noProof/>
        </w:rPr>
        <w:t xml:space="preserve">2.2.2). </w:t>
      </w:r>
    </w:p>
    <w:p>
      <w:pPr>
        <w:pStyle w:val="amprboxORANGEdashedtext"/>
        <w:spacing w:before="320" w:after="280"/>
        <w:rPr>
          <w:noProof/>
        </w:rPr>
      </w:pPr>
      <w:r>
        <w:rPr>
          <w:noProof/>
        </w:rPr>
        <w:t>The Commission’s future corrections forecast is based on the historical average level of corrections. This average is adjusted to take out elements that are no longer relevant for the future, in order to make the best and most conservative estimate.</w:t>
      </w:r>
    </w:p>
    <w:p>
      <w:pPr>
        <w:pStyle w:val="amprBodyText"/>
        <w:rPr>
          <w:noProof/>
        </w:rPr>
      </w:pPr>
      <w:r>
        <w:rPr>
          <w:noProof/>
        </w:rPr>
        <w:t>For 2020, the risk at closure is estimated at 0.9%. As this is below the threshold of 2%</w:t>
      </w:r>
      <w:r>
        <w:rPr>
          <w:rFonts w:ascii="Calibri" w:hAnsi="Calibri" w:cs="Calibri"/>
          <w:noProof/>
        </w:rPr>
        <w:t> </w:t>
      </w:r>
      <w:r>
        <w:rPr>
          <w:noProof/>
        </w:rPr>
        <w:t>– also used by the Court of Auditors</w:t>
      </w:r>
      <w:r>
        <w:rPr>
          <w:rFonts w:ascii="Calibri" w:hAnsi="Calibri" w:cs="Calibri"/>
          <w:noProof/>
        </w:rPr>
        <w:t> </w:t>
      </w:r>
      <w:r>
        <w:rPr>
          <w:noProof/>
        </w:rPr>
        <w:t>– the Commission considers that the budget as a whole is effectively protected. This is confirmed by the internal auditor’s opinion</w:t>
      </w:r>
      <w:r>
        <w:rPr>
          <w:rFonts w:ascii="Calibri" w:hAnsi="Calibri" w:cs="Calibri"/>
          <w:noProof/>
        </w:rPr>
        <w:t> </w:t>
      </w:r>
      <w:r>
        <w:rPr>
          <w:noProof/>
        </w:rPr>
        <w:t>(</w:t>
      </w:r>
      <w:r>
        <w:rPr>
          <w:rFonts w:ascii="ZWAdobeF" w:hAnsi="ZWAdobeF" w:cs="ZWAdobeF"/>
          <w:noProof/>
          <w:color w:val="auto"/>
          <w:sz w:val="2"/>
          <w:szCs w:val="2"/>
        </w:rPr>
        <w:t>14F</w:t>
      </w:r>
      <w:r>
        <w:rPr>
          <w:rStyle w:val="FootnoteReference"/>
          <w:noProof/>
        </w:rPr>
        <w:footnoteReference w:id="18"/>
      </w:r>
      <w:r>
        <w:rPr>
          <w:noProof/>
        </w:rPr>
        <w:t>).</w:t>
      </w:r>
    </w:p>
    <w:p>
      <w:pPr>
        <w:pStyle w:val="amprBodyText"/>
        <w:jc w:val="center"/>
        <w:rPr>
          <w:noProof/>
        </w:rPr>
      </w:pPr>
      <w:r>
        <w:rPr>
          <w:noProof/>
          <w:lang w:eastAsia="en-GB"/>
        </w:rPr>
        <w:drawing>
          <wp:inline distT="0" distB="0" distL="0" distR="0">
            <wp:extent cx="3441290" cy="33718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6363" cy="3396417"/>
                    </a:xfrm>
                    <a:prstGeom prst="rect">
                      <a:avLst/>
                    </a:prstGeom>
                    <a:noFill/>
                  </pic:spPr>
                </pic:pic>
              </a:graphicData>
            </a:graphic>
          </wp:inline>
        </w:drawing>
      </w:r>
    </w:p>
    <w:p>
      <w:pPr>
        <w:pStyle w:val="amprSource-Table-Chart-Photo-Caption"/>
        <w:rPr>
          <w:b/>
          <w:noProof/>
        </w:rPr>
      </w:pPr>
      <w:r>
        <w:rPr>
          <w:b/>
          <w:noProof/>
        </w:rPr>
        <w:t>Risks at payment and closure for the European Commission for 2014-2020.</w:t>
      </w:r>
    </w:p>
    <w:p>
      <w:pPr>
        <w:pStyle w:val="amprSource-Table-Chart-Photo-Caption"/>
        <w:spacing w:after="240"/>
        <w:rPr>
          <w:noProof/>
        </w:rPr>
      </w:pPr>
      <w:r>
        <w:rPr>
          <w:i/>
          <w:noProof/>
        </w:rPr>
        <w:t>Source:</w:t>
      </w:r>
      <w:r>
        <w:rPr>
          <w:noProof/>
        </w:rPr>
        <w:t xml:space="preserve"> European Commission, 2014-2020 annual management and performance reports for the EU budget.</w:t>
      </w:r>
    </w:p>
    <w:p>
      <w:pPr>
        <w:pStyle w:val="amprBodyText"/>
        <w:rPr>
          <w:noProof/>
        </w:rPr>
      </w:pPr>
      <w:r>
        <w:rPr>
          <w:b/>
          <w:noProof/>
          <w:sz w:val="18"/>
          <w:lang w:eastAsia="en-GB"/>
        </w:rPr>
        <w:drawing>
          <wp:anchor distT="0" distB="0" distL="114300" distR="114300" simplePos="0" relativeHeight="251658242" behindDoc="0" locked="0" layoutInCell="1" allowOverlap="1">
            <wp:simplePos x="0" y="0"/>
            <wp:positionH relativeFrom="column">
              <wp:posOffset>-7620</wp:posOffset>
            </wp:positionH>
            <wp:positionV relativeFrom="paragraph">
              <wp:posOffset>1454748</wp:posOffset>
            </wp:positionV>
            <wp:extent cx="6107430" cy="3173095"/>
            <wp:effectExtent l="0" t="0" r="762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sks(grey).jpg"/>
                    <pic:cNvPicPr/>
                  </pic:nvPicPr>
                  <pic:blipFill rotWithShape="1">
                    <a:blip r:embed="rId49" cstate="print">
                      <a:extLst>
                        <a:ext uri="{28A0092B-C50C-407E-A947-70E740481C1C}">
                          <a14:useLocalDpi xmlns:a14="http://schemas.microsoft.com/office/drawing/2010/main" val="0"/>
                        </a:ext>
                      </a:extLst>
                    </a:blip>
                    <a:srcRect b="4315"/>
                    <a:stretch/>
                  </pic:blipFill>
                  <pic:spPr bwMode="auto">
                    <a:xfrm>
                      <a:off x="0" y="0"/>
                      <a:ext cx="6107430" cy="317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amprcharBoldBlue"/>
          <w:noProof/>
        </w:rPr>
        <w:t>The Commission identifies which programmes are higher risk, allowing it to focus its action where it matters most.</w:t>
      </w:r>
      <w:r>
        <w:rPr>
          <w:noProof/>
        </w:rPr>
        <w:t xml:space="preserve"> Thanks to its in-depth empirical approach, the Commission has robust evidence that demonstrates the differentiated situation for the funds managed. Based on the risk at payment, the Commission can precisely divide the annual expenditure into lower risk at payment (where the risk is below 1.9%), medium risk at payment (between 1.9% and 2.5%) and higher risk at payment (above 2.5%) (see Annex</w:t>
      </w:r>
      <w:r>
        <w:rPr>
          <w:rFonts w:ascii="Calibri" w:hAnsi="Calibri" w:cs="Calibri"/>
          <w:noProof/>
        </w:rPr>
        <w:t> </w:t>
      </w:r>
      <w:r>
        <w:rPr>
          <w:noProof/>
        </w:rPr>
        <w:t>2, Section</w:t>
      </w:r>
      <w:r>
        <w:rPr>
          <w:rFonts w:ascii="Calibri" w:hAnsi="Calibri" w:cs="Calibri"/>
          <w:noProof/>
        </w:rPr>
        <w:t> </w:t>
      </w:r>
      <w:r>
        <w:rPr>
          <w:noProof/>
        </w:rPr>
        <w:t>2.2.3). For natural resources and cohesion, this analysis is also done at the level of individual paying agencies and operational programmes in the Member States. This allows the Commission to focus its efforts appropriately, to provide its support efficiently and to address specific weaknesses even for policies which, taken globally, are low risk, such as the common agricultural policy.</w:t>
      </w:r>
    </w:p>
    <w:p>
      <w:pPr>
        <w:pStyle w:val="amprBodyText"/>
        <w:spacing w:after="0"/>
        <w:rPr>
          <w:b/>
          <w:noProof/>
          <w:sz w:val="18"/>
        </w:rPr>
      </w:pPr>
      <w:r>
        <w:rPr>
          <w:b/>
          <w:noProof/>
          <w:sz w:val="16"/>
        </w:rPr>
        <w:t>The Commission’s categorisation of expenditure into higher-, medium- and lower-risk segments, as percentages of the total amount of relevant expenditure for 2020.</w:t>
      </w:r>
    </w:p>
    <w:p>
      <w:pPr>
        <w:pStyle w:val="amprSource-Table-Chart-Photo-Caption"/>
        <w:rPr>
          <w:noProof/>
        </w:rPr>
      </w:pPr>
      <w:r>
        <w:rPr>
          <w:i/>
          <w:noProof/>
        </w:rPr>
        <w:t>Source:</w:t>
      </w:r>
      <w:r>
        <w:rPr>
          <w:noProof/>
        </w:rPr>
        <w:t xml:space="preserve"> European Commission, annual activity reports.</w:t>
      </w:r>
    </w:p>
    <w:p>
      <w:pPr>
        <w:pStyle w:val="amprBodyText"/>
        <w:spacing w:before="240"/>
        <w:rPr>
          <w:noProof/>
        </w:rPr>
      </w:pPr>
      <w:r>
        <w:rPr>
          <w:noProof/>
        </w:rPr>
        <w:t>I</w:t>
      </w:r>
      <w:r>
        <w:rPr>
          <w:noProof/>
          <w:color w:val="auto"/>
        </w:rPr>
        <w:t>n</w:t>
      </w:r>
      <w:r>
        <w:rPr>
          <w:noProof/>
        </w:rPr>
        <w:t xml:space="preserve"> particular, the following involve</w:t>
      </w:r>
      <w:r>
        <w:rPr>
          <w:rStyle w:val="amprcharBoldBlue"/>
          <w:b w:val="0"/>
          <w:noProof/>
          <w:color w:val="auto"/>
        </w:rPr>
        <w:t xml:space="preserve"> </w:t>
      </w:r>
      <w:r>
        <w:rPr>
          <w:rStyle w:val="amprcharBoldBlue"/>
          <w:noProof/>
        </w:rPr>
        <w:t>higher-risk</w:t>
      </w:r>
      <w:r>
        <w:rPr>
          <w:noProof/>
        </w:rPr>
        <w:t xml:space="preserve"> expenditure: some operational programmes for cohesion policy funds that show serious deficiencies and/or have error rates above 2.5%; the grants for the research programme Horizon</w:t>
      </w:r>
      <w:r>
        <w:rPr>
          <w:rFonts w:cs="Calibri"/>
          <w:noProof/>
        </w:rPr>
        <w:t xml:space="preserve"> </w:t>
      </w:r>
      <w:r>
        <w:rPr>
          <w:noProof/>
        </w:rPr>
        <w:t>2020; the paying agencies for the agriculture-related direct payments and market measures and rural development that have error rates above 2.5%; and other complex grants</w:t>
      </w:r>
      <w:r>
        <w:rPr>
          <w:rFonts w:ascii="Calibri" w:hAnsi="Calibri" w:cs="Calibri"/>
          <w:noProof/>
        </w:rPr>
        <w:t> </w:t>
      </w:r>
      <w:r>
        <w:rPr>
          <w:noProof/>
        </w:rPr>
        <w:t>(</w:t>
      </w:r>
      <w:r>
        <w:rPr>
          <w:rFonts w:ascii="ZWAdobeF" w:hAnsi="ZWAdobeF" w:cs="ZWAdobeF"/>
          <w:noProof/>
          <w:color w:val="auto"/>
          <w:sz w:val="2"/>
          <w:szCs w:val="2"/>
        </w:rPr>
        <w:t>15F</w:t>
      </w:r>
      <w:r>
        <w:rPr>
          <w:rStyle w:val="FootnoteReference"/>
          <w:noProof/>
        </w:rPr>
        <w:footnoteReference w:id="19"/>
      </w:r>
      <w:r>
        <w:rPr>
          <w:noProof/>
        </w:rPr>
        <w:t>). Where the level of risk remains high, this is reported transparently through the issuance of reservations</w:t>
      </w:r>
      <w:r>
        <w:rPr>
          <w:rFonts w:ascii="Calibri" w:hAnsi="Calibri" w:cs="Calibri"/>
          <w:noProof/>
        </w:rPr>
        <w:t> </w:t>
      </w:r>
      <w:r>
        <w:rPr>
          <w:noProof/>
        </w:rPr>
        <w:t>(</w:t>
      </w:r>
      <w:r>
        <w:rPr>
          <w:rFonts w:ascii="ZWAdobeF" w:hAnsi="ZWAdobeF" w:cs="ZWAdobeF"/>
          <w:noProof/>
          <w:color w:val="auto"/>
          <w:sz w:val="2"/>
          <w:szCs w:val="2"/>
        </w:rPr>
        <w:t>16F</w:t>
      </w:r>
      <w:r>
        <w:rPr>
          <w:rStyle w:val="FootnoteReference"/>
          <w:noProof/>
        </w:rPr>
        <w:footnoteReference w:id="20"/>
      </w:r>
      <w:r>
        <w:rPr>
          <w:noProof/>
        </w:rPr>
        <w:t>). For 2020, there are 19 reservations with a total financial impact of EUR</w:t>
      </w:r>
      <w:r>
        <w:rPr>
          <w:rFonts w:ascii="Calibri" w:hAnsi="Calibri" w:cs="Calibri"/>
          <w:noProof/>
        </w:rPr>
        <w:t> </w:t>
      </w:r>
      <w:r>
        <w:rPr>
          <w:noProof/>
        </w:rPr>
        <w:t>1</w:t>
      </w:r>
      <w:r>
        <w:rPr>
          <w:rFonts w:ascii="Calibri" w:hAnsi="Calibri" w:cs="Calibri"/>
          <w:noProof/>
        </w:rPr>
        <w:t> </w:t>
      </w:r>
      <w:r>
        <w:rPr>
          <w:rFonts w:cs="Calibri"/>
          <w:noProof/>
        </w:rPr>
        <w:t>219</w:t>
      </w:r>
      <w:r>
        <w:rPr>
          <w:rFonts w:ascii="Calibri" w:hAnsi="Calibri" w:cs="Calibri"/>
          <w:noProof/>
        </w:rPr>
        <w:t> </w:t>
      </w:r>
      <w:r>
        <w:rPr>
          <w:noProof/>
        </w:rPr>
        <w:t>million, which is less than 1% of the total expenditure. They correspond to the expenditure identified as high risk.</w:t>
      </w:r>
    </w:p>
    <w:p>
      <w:pPr>
        <w:pStyle w:val="amprBodyText"/>
        <w:rPr>
          <w:noProof/>
        </w:rPr>
      </w:pPr>
      <w:r>
        <w:rPr>
          <w:noProof/>
        </w:rPr>
        <w:t xml:space="preserve">In addition to applying financial corrections and recoveries, </w:t>
      </w:r>
      <w:r>
        <w:rPr>
          <w:rStyle w:val="amprcharBoldBlue"/>
          <w:noProof/>
        </w:rPr>
        <w:t>the Commission is taking action to address weaknesses leading to medium and higher risks.</w:t>
      </w:r>
      <w:r>
        <w:rPr>
          <w:noProof/>
          <w:color w:val="0070C0"/>
        </w:rPr>
        <w:t xml:space="preserve"> </w:t>
      </w:r>
      <w:r>
        <w:rPr>
          <w:noProof/>
        </w:rPr>
        <w:t>This includes targeted remedial actions, such as raising awareness of applicable EU rules among beneficiaries and implementing partners that are more error prone. It also means better use of controls and audit results to adjust the control strategies and focus them on expenditure, increasing the capacity of national authorities that have deficiencies in their management and control systems along with applying the lessons learned to the future programmes.</w:t>
      </w:r>
    </w:p>
    <w:p>
      <w:pPr>
        <w:pStyle w:val="ampranxTitle2"/>
        <w:rPr>
          <w:noProof/>
        </w:rPr>
      </w:pPr>
      <w:bookmarkStart w:id="26" w:name="_Toc72420549"/>
      <w:bookmarkStart w:id="27" w:name="_Toc72420567"/>
      <w:r>
        <w:rPr>
          <w:noProof/>
        </w:rPr>
        <w:t>Further developments: outlook for 2021 and beyond</w:t>
      </w:r>
      <w:bookmarkEnd w:id="26"/>
      <w:bookmarkEnd w:id="27"/>
      <w:r>
        <w:rPr>
          <w:noProof/>
        </w:rPr>
        <w:t xml:space="preserve"> </w:t>
      </w:r>
    </w:p>
    <w:p>
      <w:pPr>
        <w:pStyle w:val="amprBodyText"/>
        <w:rPr>
          <w:noProof/>
        </w:rPr>
      </w:pPr>
      <w:r>
        <w:rPr>
          <w:rStyle w:val="amprcharBoldBlue"/>
          <w:noProof/>
        </w:rPr>
        <w:t>The Commission is committed to continuing to improve its management and control systems.</w:t>
      </w:r>
      <w:r>
        <w:rPr>
          <w:noProof/>
        </w:rPr>
        <w:t xml:space="preserve"> For 2021, the Commission will pursue its efforts</w:t>
      </w:r>
      <w:r>
        <w:rPr>
          <w:noProof/>
          <w:color w:val="auto"/>
        </w:rPr>
        <w:t xml:space="preserve"> </w:t>
      </w:r>
      <w:r>
        <w:rPr>
          <w:noProof/>
        </w:rPr>
        <w:t xml:space="preserve">to address the weaknesses leading to the issuance of reservations and to higher levels of risk, especially for cohesion funds and the research programme for the 2014-2020 period. As the pandemic is still ongoing, the related risks and mitigating measures remain under constant monitoring and this will continue for as long as the crisis lasts. </w:t>
      </w:r>
    </w:p>
    <w:p>
      <w:pPr>
        <w:pStyle w:val="amprBodyText"/>
        <w:rPr>
          <w:noProof/>
        </w:rPr>
      </w:pPr>
      <w:r>
        <w:rPr>
          <w:rStyle w:val="amprcharBoldBlue"/>
          <w:noProof/>
        </w:rPr>
        <w:t>The new multiannual financial framework for 2021-2027 takes into account lessons learned.</w:t>
      </w:r>
      <w:r>
        <w:rPr>
          <w:rStyle w:val="amprcharBoldBlue"/>
          <w:b w:val="0"/>
          <w:noProof/>
          <w:color w:val="auto"/>
        </w:rPr>
        <w:t xml:space="preserve"> </w:t>
      </w:r>
      <w:r>
        <w:rPr>
          <w:noProof/>
        </w:rPr>
        <w:t xml:space="preserve">The new programmes will benefit from </w:t>
      </w:r>
      <w:r>
        <w:rPr>
          <w:rStyle w:val="amprcharBoldBlue"/>
          <w:noProof/>
        </w:rPr>
        <w:t>many simplification measures</w:t>
      </w:r>
      <w:r>
        <w:rPr>
          <w:noProof/>
        </w:rPr>
        <w:t xml:space="preserve"> that were introduced following the lessons learned from previous programmes (in 2014-2020 and 2007-2013). </w:t>
      </w:r>
    </w:p>
    <w:p>
      <w:pPr>
        <w:pStyle w:val="amprBodyText"/>
        <w:rPr>
          <w:noProof/>
        </w:rPr>
      </w:pPr>
      <w:r>
        <w:rPr>
          <w:rStyle w:val="amprcharBoldBlue"/>
          <w:noProof/>
        </w:rPr>
        <w:t>New elements for the protection of EU funds will be rolled out in</w:t>
      </w:r>
      <w:r>
        <w:rPr>
          <w:noProof/>
        </w:rPr>
        <w:t xml:space="preserve"> </w:t>
      </w:r>
      <w:r>
        <w:rPr>
          <w:rStyle w:val="amprcharBoldBlue"/>
          <w:noProof/>
        </w:rPr>
        <w:t xml:space="preserve">2021 </w:t>
      </w:r>
      <w:r>
        <w:rPr>
          <w:noProof/>
        </w:rPr>
        <w:t>(see Annex</w:t>
      </w:r>
      <w:r>
        <w:rPr>
          <w:rFonts w:ascii="Calibri" w:hAnsi="Calibri" w:cs="Calibri"/>
          <w:noProof/>
        </w:rPr>
        <w:t> </w:t>
      </w:r>
      <w:r>
        <w:rPr>
          <w:noProof/>
        </w:rPr>
        <w:t>2, Section</w:t>
      </w:r>
      <w:r>
        <w:rPr>
          <w:rFonts w:ascii="Calibri" w:hAnsi="Calibri" w:cs="Calibri"/>
          <w:noProof/>
        </w:rPr>
        <w:t> </w:t>
      </w:r>
      <w:r>
        <w:rPr>
          <w:noProof/>
        </w:rPr>
        <w:t>2.4), such as the following.</w:t>
      </w:r>
    </w:p>
    <w:p>
      <w:pPr>
        <w:pStyle w:val="amprLISTorangebullets-L1"/>
        <w:rPr>
          <w:noProof/>
        </w:rPr>
      </w:pPr>
      <w:r>
        <w:rPr>
          <w:noProof/>
        </w:rPr>
        <w:t xml:space="preserve">The new guidance on the </w:t>
      </w:r>
      <w:r>
        <w:rPr>
          <w:b/>
          <w:noProof/>
          <w:color w:val="005D95"/>
          <w:spacing w:val="1"/>
        </w:rPr>
        <w:t>avoidance of conflicts of interest</w:t>
      </w:r>
      <w:r>
        <w:rPr>
          <w:rFonts w:ascii="Calibri" w:hAnsi="Calibri" w:cs="Calibri"/>
          <w:noProof/>
          <w:color w:val="auto"/>
          <w:spacing w:val="1"/>
        </w:rPr>
        <w:t> </w:t>
      </w:r>
      <w:r>
        <w:rPr>
          <w:noProof/>
          <w:color w:val="auto"/>
        </w:rPr>
        <w:t>(</w:t>
      </w:r>
      <w:r>
        <w:rPr>
          <w:rFonts w:ascii="ZWAdobeF" w:hAnsi="ZWAdobeF" w:cs="ZWAdobeF"/>
          <w:noProof/>
          <w:color w:val="auto"/>
          <w:sz w:val="2"/>
          <w:szCs w:val="2"/>
        </w:rPr>
        <w:t>17F</w:t>
      </w:r>
      <w:r>
        <w:rPr>
          <w:noProof/>
          <w:vertAlign w:val="superscript"/>
        </w:rPr>
        <w:footnoteReference w:id="21"/>
      </w:r>
      <w:r>
        <w:rPr>
          <w:noProof/>
          <w:color w:val="auto"/>
        </w:rPr>
        <w:t>)</w:t>
      </w:r>
      <w:r>
        <w:rPr>
          <w:noProof/>
          <w:color w:val="auto"/>
          <w:spacing w:val="1"/>
        </w:rPr>
        <w:t xml:space="preserve"> </w:t>
      </w:r>
      <w:r>
        <w:rPr>
          <w:noProof/>
        </w:rPr>
        <w:t xml:space="preserve">to help managers of EU funds avoid conflicts of interest and to maintain a uniform interpretation and application of the rules among all stakeholders, along with the implementation of the regulation on a general </w:t>
      </w:r>
      <w:r>
        <w:rPr>
          <w:b/>
          <w:noProof/>
          <w:color w:val="005D95"/>
          <w:spacing w:val="1"/>
        </w:rPr>
        <w:t>regime of conditionality</w:t>
      </w:r>
      <w:r>
        <w:rPr>
          <w:noProof/>
        </w:rPr>
        <w:t xml:space="preserve"> for the protection of the EU budget</w:t>
      </w:r>
      <w:r>
        <w:rPr>
          <w:rFonts w:ascii="Calibri" w:hAnsi="Calibri" w:cs="Calibri"/>
          <w:noProof/>
          <w:color w:val="auto"/>
          <w:spacing w:val="1"/>
        </w:rPr>
        <w:t> </w:t>
      </w:r>
      <w:r>
        <w:rPr>
          <w:noProof/>
          <w:color w:val="auto"/>
          <w:spacing w:val="1"/>
        </w:rPr>
        <w:t>(</w:t>
      </w:r>
      <w:r>
        <w:rPr>
          <w:rFonts w:ascii="ZWAdobeF" w:hAnsi="ZWAdobeF" w:cs="ZWAdobeF"/>
          <w:noProof/>
          <w:color w:val="auto"/>
          <w:sz w:val="2"/>
          <w:szCs w:val="2"/>
        </w:rPr>
        <w:t>18F</w:t>
      </w:r>
      <w:r>
        <w:rPr>
          <w:noProof/>
          <w:spacing w:val="1"/>
          <w:vertAlign w:val="superscript"/>
        </w:rPr>
        <w:footnoteReference w:id="22"/>
      </w:r>
      <w:r>
        <w:rPr>
          <w:noProof/>
          <w:color w:val="auto"/>
          <w:spacing w:val="1"/>
        </w:rPr>
        <w:t xml:space="preserve">) </w:t>
      </w:r>
      <w:r>
        <w:rPr>
          <w:noProof/>
        </w:rPr>
        <w:t xml:space="preserve">whereby, for the first time, the EU has a specific tool to protect its budget from breaches of the </w:t>
      </w:r>
      <w:r>
        <w:rPr>
          <w:b/>
          <w:noProof/>
          <w:color w:val="005D95"/>
          <w:spacing w:val="1"/>
        </w:rPr>
        <w:t>principles of the rule of law</w:t>
      </w:r>
      <w:r>
        <w:rPr>
          <w:noProof/>
        </w:rPr>
        <w:t>.</w:t>
      </w:r>
    </w:p>
    <w:p>
      <w:pPr>
        <w:pStyle w:val="amprLISTorangebullets-L1"/>
        <w:rPr>
          <w:noProof/>
        </w:rPr>
      </w:pPr>
      <w:r>
        <w:rPr>
          <w:noProof/>
        </w:rPr>
        <w:t xml:space="preserve">The single </w:t>
      </w:r>
      <w:r>
        <w:rPr>
          <w:b/>
          <w:noProof/>
          <w:color w:val="005D95"/>
          <w:spacing w:val="1"/>
        </w:rPr>
        <w:t>data-mining tool</w:t>
      </w:r>
      <w:r>
        <w:rPr>
          <w:noProof/>
        </w:rPr>
        <w:t xml:space="preserve"> the Commission makes available to Member States,</w:t>
      </w:r>
      <w:r>
        <w:rPr>
          <w:noProof/>
          <w:color w:val="auto"/>
          <w:spacing w:val="1"/>
        </w:rPr>
        <w:t xml:space="preserve"> </w:t>
      </w:r>
      <w:r>
        <w:rPr>
          <w:noProof/>
        </w:rPr>
        <w:t>for control and audit purposes under the European Structural and Investment funds will be extended to the common agricultural policy and the Recovery and Resilience Facility. This tool will allow for the identification of irregularities and fraud across all funds.</w:t>
      </w:r>
    </w:p>
    <w:p>
      <w:pPr>
        <w:pStyle w:val="amprLISTorangebullets-L1"/>
        <w:spacing w:after="240"/>
        <w:rPr>
          <w:noProof/>
        </w:rPr>
      </w:pPr>
      <w:r>
        <w:rPr>
          <w:noProof/>
        </w:rPr>
        <w:t xml:space="preserve">Enhanced procedures for the </w:t>
      </w:r>
      <w:r>
        <w:rPr>
          <w:b/>
          <w:noProof/>
          <w:color w:val="005D95"/>
          <w:spacing w:val="1"/>
        </w:rPr>
        <w:t>assessment of implementing partners’ control systems</w:t>
      </w:r>
      <w:r>
        <w:rPr>
          <w:noProof/>
        </w:rPr>
        <w:t>, prior to entrusting them with EU funds, to obtain the certainty that they offer the same level of assurance as the Commission’s own control systems.</w:t>
      </w:r>
    </w:p>
    <w:p>
      <w:pPr>
        <w:pStyle w:val="amprBodyText"/>
        <w:rPr>
          <w:noProof/>
        </w:rPr>
      </w:pPr>
      <w:r>
        <w:rPr>
          <w:rStyle w:val="amprcharBoldBlue"/>
          <w:noProof/>
        </w:rPr>
        <w:t>In 2021, the Commission will make the first disbursements under the Recovery and Resilience Facility.</w:t>
      </w:r>
      <w:r>
        <w:rPr>
          <w:noProof/>
          <w:color w:val="auto"/>
        </w:rPr>
        <w:t xml:space="preserve"> </w:t>
      </w:r>
      <w:r>
        <w:rPr>
          <w:noProof/>
        </w:rPr>
        <w:t>In 2020, the Commission took unprecedented measures to set up the facility in record time. This included putting in place a dedicated governance structure and the relevant internal processes and control strategies. These are tailored to the fact that disbursements to Member States are based on the fulfilment of predefined milestones and targets. Payments will therefore not be subject to controls on the costs actually incurred by the Member State. Unlike in shared management, the Member States are the beneficiaries of the EU funds, which, once paid, become fungible in the national budgets. Member States bear the responsibility for ensuring that the facility is implemented in compliance with EU and national rules and with the principles of sound financial management.</w:t>
      </w:r>
    </w:p>
    <w:p>
      <w:pPr>
        <w:pStyle w:val="amprBodyText"/>
        <w:rPr>
          <w:noProof/>
        </w:rPr>
      </w:pPr>
      <w:r>
        <w:rPr>
          <w:rStyle w:val="amprcharBoldBlue"/>
          <w:noProof/>
        </w:rPr>
        <w:t>The Commission will complement the Member States’ controls.</w:t>
      </w:r>
      <w:r>
        <w:rPr>
          <w:noProof/>
        </w:rPr>
        <w:t xml:space="preserve"> In order to build its assurance, the Commission will rely on the Member States’ controls and supplement them with its own controls as necessary. These will be applied at three stages: during the assessment of the Member States’ recovery and resilience plans; during the assessment of the Member States’ payment requests; and after disbursements. In addition to controls on the fulfilment of milestones and targets, the Commission may perform risk-based controls to verify the absence of serious irregularities (i.e. fraud, corruption or conflicts of interest) or serious breaches of obligations. If necessary, the Commission will recover proportionate amounts, if Member States themselves have failed to do so, or require early repayment of the loans.</w:t>
      </w:r>
    </w:p>
    <w:p>
      <w:pPr>
        <w:pStyle w:val="ampranxTitle2"/>
        <w:rPr>
          <w:noProof/>
        </w:rPr>
      </w:pPr>
      <w:bookmarkStart w:id="28" w:name="_Toc72420550"/>
      <w:bookmarkStart w:id="29" w:name="_Toc72420568"/>
      <w:r>
        <w:rPr>
          <w:noProof/>
        </w:rPr>
        <w:t>Conclusion</w:t>
      </w:r>
      <w:bookmarkEnd w:id="28"/>
      <w:bookmarkEnd w:id="29"/>
    </w:p>
    <w:p>
      <w:pPr>
        <w:pStyle w:val="amprBodyText"/>
        <w:rPr>
          <w:noProof/>
        </w:rPr>
      </w:pPr>
      <w:r>
        <w:rPr>
          <w:rStyle w:val="amprcharBoldBlue"/>
          <w:noProof/>
        </w:rPr>
        <w:t>The Commission ensures that the EU budget serves citizens.</w:t>
      </w:r>
      <w:r>
        <w:rPr>
          <w:noProof/>
        </w:rPr>
        <w:t xml:space="preserve"> Thanks to the strong tools in place and to proactive management of the EU budget, the Commission has been able to deliver on its policy objectives and respond to the crisis. The Commission has provided its beneficiaries, implementing partners and the Member States with the necessary degree of flexibility, while ensuring sound financial management and maintaining an appropriate level of assurance on the management of the EU budget.</w:t>
      </w:r>
    </w:p>
    <w:p>
      <w:pPr>
        <w:pStyle w:val="amprBodyText"/>
        <w:rPr>
          <w:noProof/>
        </w:rPr>
        <w:sectPr>
          <w:headerReference w:type="even" r:id="rId50"/>
          <w:headerReference w:type="default" r:id="rId51"/>
          <w:footerReference w:type="even" r:id="rId52"/>
          <w:footerReference w:type="default" r:id="rId53"/>
          <w:headerReference w:type="first" r:id="rId54"/>
          <w:footerReference w:type="first" r:id="rId55"/>
          <w:type w:val="continuous"/>
          <w:pgSz w:w="11907" w:h="16839" w:code="9"/>
          <w:pgMar w:top="1417" w:right="1417" w:bottom="1134" w:left="1417" w:header="635" w:footer="635" w:gutter="0"/>
          <w:cols w:space="720"/>
          <w:docGrid w:linePitch="360"/>
        </w:sectPr>
      </w:pPr>
    </w:p>
    <w:p>
      <w:pPr>
        <w:pStyle w:val="amprBodyText"/>
        <w:rPr>
          <w:noProof/>
        </w:rPr>
        <w:sectPr>
          <w:headerReference w:type="even" r:id="rId56"/>
          <w:headerReference w:type="default" r:id="rId57"/>
          <w:footerReference w:type="even" r:id="rId58"/>
          <w:footerReference w:type="default" r:id="rId59"/>
          <w:headerReference w:type="first" r:id="rId60"/>
          <w:footerReference w:type="first" r:id="rId61"/>
          <w:pgSz w:w="11907" w:h="16839" w:code="9"/>
          <w:pgMar w:top="1417" w:right="1417" w:bottom="1134" w:left="1417" w:header="635" w:footer="635" w:gutter="0"/>
          <w:cols w:space="720"/>
          <w:docGrid w:linePitch="360"/>
        </w:sectPr>
      </w:pPr>
    </w:p>
    <w:p>
      <w:pPr>
        <w:pStyle w:val="amprBodyText"/>
        <w:rPr>
          <w:noProof/>
        </w:rPr>
        <w:sectPr>
          <w:headerReference w:type="even" r:id="rId62"/>
          <w:headerReference w:type="default" r:id="rId63"/>
          <w:footerReference w:type="even" r:id="rId64"/>
          <w:footerReference w:type="default" r:id="rId65"/>
          <w:headerReference w:type="first" r:id="rId66"/>
          <w:footerReference w:type="first" r:id="rId67"/>
          <w:pgSz w:w="11907" w:h="16839" w:code="9"/>
          <w:pgMar w:top="1417" w:right="1417" w:bottom="1134" w:left="1417" w:header="635" w:footer="635" w:gutter="0"/>
          <w:cols w:space="720"/>
          <w:docGrid w:linePitch="360"/>
        </w:sectPr>
      </w:pPr>
    </w:p>
    <w:p>
      <w:pPr>
        <w:pStyle w:val="amprBodyText"/>
        <w:rPr>
          <w:noProof/>
        </w:rPr>
      </w:pPr>
    </w:p>
    <w:sectPr>
      <w:headerReference w:type="even" r:id="rId68"/>
      <w:headerReference w:type="default" r:id="rId69"/>
      <w:footerReference w:type="even" r:id="rId70"/>
      <w:footerReference w:type="default" r:id="rId71"/>
      <w:headerReference w:type="first" r:id="rId72"/>
      <w:footerReference w:type="first" r:id="rId73"/>
      <w:pgSz w:w="11907" w:h="16839" w:code="9"/>
      <w:pgMar w:top="1417" w:right="1417" w:bottom="1134" w:left="1417" w:header="635" w:footer="635"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FD376A1" w16cex:dateUtc="2021-04-30T08:23:36.185Z"/>
</w16cex:commentsExtensible>
</file>

<file path=word/commentsIds.xml><?xml version="1.0" encoding="utf-8"?>
<w16cid:commentsIds xmlns:mc="http://schemas.openxmlformats.org/markup-compatibility/2006" xmlns:w16cid="http://schemas.microsoft.com/office/word/2016/wordml/cid" mc:Ignorable="w16cid">
  <w16cid:commentId w16cid:paraId="3E13247C" w16cid:durableId="7FD376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EC Square Sans Cond Pro Medium">
    <w:panose1 w:val="020B0606000000020004"/>
    <w:charset w:val="00"/>
    <w:family w:val="swiss"/>
    <w:pitch w:val="variable"/>
    <w:sig w:usb0="A00002BF" w:usb1="500000DB" w:usb2="00000000" w:usb3="00000000" w:csb0="0000019F" w:csb1="00000000"/>
  </w:font>
  <w:font w:name="EC Square Sans Pro Light">
    <w:panose1 w:val="020B0506000000020004"/>
    <w:charset w:val="00"/>
    <w:family w:val="swiss"/>
    <w:pitch w:val="variable"/>
    <w:sig w:usb0="A00002BF" w:usb1="5000E0FB" w:usb2="00000000" w:usb3="00000000" w:csb0="0000019F" w:csb1="00000000"/>
  </w:font>
  <w:font w:name="Consolas">
    <w:panose1 w:val="020B0609020204030204"/>
    <w:charset w:val="00"/>
    <w:family w:val="modern"/>
    <w:pitch w:val="fixed"/>
    <w:sig w:usb0="E10002FF" w:usb1="4000FCFF" w:usb2="00000009"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ZWAdobeF">
    <w:altName w:val="Times New Roman"/>
    <w:charset w:val="00"/>
    <w:family w:val="auto"/>
    <w:pitch w:val="variable"/>
    <w:sig w:usb0="20002A85"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rPr>
        <w:noProof/>
      </w:rPr>
      <w:t>3</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r>
      <w:fldChar w:fldCharType="begin"/>
    </w:r>
    <w:r>
      <w:instrText xml:space="preserve"> PAGE   \* MERGEFORMAT </w:instrText>
    </w:r>
    <w:r>
      <w:fldChar w:fldCharType="separate"/>
    </w:r>
    <w:r>
      <w:rPr>
        <w:noProof/>
      </w:rPr>
      <w:t>12</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rPr>
        <w:noProof/>
      </w:rPr>
      <w:t>10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pPr>
      <w:r>
        <w:t>(</w:t>
      </w:r>
      <w:r>
        <w:rPr>
          <w:rStyle w:val="FootnoteReference"/>
        </w:rPr>
        <w:footnoteRef/>
      </w:r>
      <w:r>
        <w:t>)</w:t>
      </w:r>
      <w:r>
        <w:tab/>
        <w:t>The annual discharge procedure is the procedure through which the European Parliament and the Council give their final approval on the budget implementation for a specific year and hold the Commission politically accountable for the implementation of the EU budget (</w:t>
      </w:r>
      <w:hyperlink r:id="rId1" w:history="1">
        <w:r>
          <w:rPr>
            <w:rStyle w:val="Hyperlink"/>
          </w:rPr>
          <w:t>https://ec.europa.eu/info/about-european-commission/eu-budget/how-it-works/annual-lifecycle/assessment/parliaments-approval_en</w:t>
        </w:r>
      </w:hyperlink>
      <w:r>
        <w:t>).</w:t>
      </w:r>
    </w:p>
  </w:footnote>
  <w:footnote w:id="3">
    <w:p>
      <w:pPr>
        <w:pStyle w:val="FootnoteText"/>
      </w:pPr>
      <w:r>
        <w:t>(</w:t>
      </w:r>
      <w:r>
        <w:rPr>
          <w:rStyle w:val="FootnoteReference"/>
        </w:rPr>
        <w:footnoteRef/>
      </w:r>
      <w:r>
        <w:t>)</w:t>
      </w:r>
      <w:r>
        <w:tab/>
        <w:t xml:space="preserve">Article 318 of the Treaty on the Functioning of the EU. </w:t>
      </w:r>
    </w:p>
  </w:footnote>
  <w:footnote w:id="4">
    <w:p>
      <w:pPr>
        <w:pStyle w:val="FootnoteText"/>
      </w:pPr>
      <w:r>
        <w:t>(</w:t>
      </w:r>
      <w:r>
        <w:rPr>
          <w:rStyle w:val="FootnoteReference"/>
        </w:rPr>
        <w:footnoteRef/>
      </w:r>
      <w:r>
        <w:t>)</w:t>
      </w:r>
      <w:r>
        <w:tab/>
        <w:t>Articles 247(1)(b) and 247(1)(e)  of the financial regulation.</w:t>
      </w:r>
    </w:p>
  </w:footnote>
  <w:footnote w:id="5">
    <w:p>
      <w:pPr>
        <w:pStyle w:val="FootnoteText"/>
      </w:pPr>
      <w:r>
        <w:t>(</w:t>
      </w:r>
      <w:r>
        <w:rPr>
          <w:rStyle w:val="FootnoteReference"/>
        </w:rPr>
        <w:footnoteRef/>
      </w:r>
      <w:r>
        <w:t>)</w:t>
      </w:r>
      <w:r>
        <w:tab/>
        <w:t>Article 247 of the financial regulation.</w:t>
      </w:r>
    </w:p>
  </w:footnote>
  <w:footnote w:id="6">
    <w:p>
      <w:pPr>
        <w:pStyle w:val="FootnoteText"/>
      </w:pPr>
      <w:r>
        <w:t>(</w:t>
      </w:r>
      <w:r>
        <w:rPr>
          <w:rStyle w:val="FootnoteReference"/>
        </w:rPr>
        <w:footnoteRef/>
      </w:r>
      <w:r>
        <w:t>)</w:t>
      </w:r>
      <w:r>
        <w:tab/>
        <w:t>Article 246 of the financial regulation.</w:t>
      </w:r>
    </w:p>
  </w:footnote>
  <w:footnote w:id="7">
    <w:p>
      <w:pPr>
        <w:pStyle w:val="FootnoteText"/>
      </w:pPr>
      <w:r>
        <w:t>(</w:t>
      </w:r>
      <w:r>
        <w:rPr>
          <w:rStyle w:val="FootnoteReference"/>
        </w:rPr>
        <w:footnoteRef/>
      </w:r>
      <w:r>
        <w:t>)</w:t>
      </w:r>
      <w:r>
        <w:tab/>
        <w:t>Article 247(1)(c) of the financial regulation.</w:t>
      </w:r>
    </w:p>
  </w:footnote>
  <w:footnote w:id="8">
    <w:p>
      <w:pPr>
        <w:pStyle w:val="FootnoteText"/>
      </w:pPr>
      <w:r>
        <w:t>(</w:t>
      </w:r>
      <w:r>
        <w:rPr>
          <w:rStyle w:val="FootnoteReference"/>
        </w:rPr>
        <w:footnoteRef/>
      </w:r>
      <w:r>
        <w:t>)</w:t>
      </w:r>
      <w:r>
        <w:tab/>
        <w:t>Article 118(8) of the financial regulation.</w:t>
      </w:r>
    </w:p>
  </w:footnote>
  <w:footnote w:id="9">
    <w:p>
      <w:pPr>
        <w:pStyle w:val="FootnoteText"/>
      </w:pPr>
      <w:r>
        <w:t>(</w:t>
      </w:r>
      <w:r>
        <w:rPr>
          <w:rStyle w:val="FootnoteReference"/>
        </w:rPr>
        <w:footnoteRef/>
      </w:r>
      <w:r>
        <w:t>)</w:t>
      </w:r>
      <w:r>
        <w:tab/>
        <w:t>Article 261(3) of the financial regulation.</w:t>
      </w:r>
    </w:p>
  </w:footnote>
  <w:footnote w:id="10">
    <w:p>
      <w:pPr>
        <w:pStyle w:val="FootnoteText"/>
      </w:pPr>
      <w:r>
        <w:t>(</w:t>
      </w:r>
      <w:r>
        <w:rPr>
          <w:rStyle w:val="FootnoteReference"/>
        </w:rPr>
        <w:footnoteRef/>
      </w:r>
      <w:r>
        <w:t>)</w:t>
      </w:r>
      <w:r>
        <w:tab/>
        <w:t>Through the agreement of advance purchase agreements with the potential manufacturers (AstraZeneca, BioNTech/Pfizer, CureVac, Johnson and Johnson, Moderna and Sanofi/GlaxoSmithKline). 2 billion doses had been agreed before year-end 2020. A further 0.6 billion doses were agreed in the first half of 2021. The Commission agreed also the optional acquisition of 1.8 billion doses.</w:t>
      </w:r>
    </w:p>
  </w:footnote>
  <w:footnote w:id="11">
    <w:p>
      <w:pPr>
        <w:pStyle w:val="FootnoteText"/>
      </w:pPr>
      <w:r>
        <w:t>(</w:t>
      </w:r>
      <w:r>
        <w:rPr>
          <w:rStyle w:val="FootnoteReference"/>
        </w:rPr>
        <w:footnoteRef/>
      </w:r>
      <w:r>
        <w:t>)</w:t>
      </w:r>
      <w:r>
        <w:tab/>
        <w:t>Team Europe is a package launched by the EU in April 2020 to support partner countries in the fight against the COVID-19 pandemic and its consequences. Its overall financial allocation amounts to almost EUR</w:t>
      </w:r>
      <w:r>
        <w:rPr>
          <w:rFonts w:ascii="Calibri" w:hAnsi="Calibri" w:cs="Calibri"/>
        </w:rPr>
        <w:t> </w:t>
      </w:r>
      <w:r>
        <w:t>38.5</w:t>
      </w:r>
      <w:r>
        <w:rPr>
          <w:rFonts w:ascii="Calibri" w:hAnsi="Calibri" w:cs="Calibri"/>
        </w:rPr>
        <w:t> </w:t>
      </w:r>
      <w:r>
        <w:t>billion, and combines resources from the EU, its Member States, and financial institutions, in particular the European Investment Bank and the European Bank for Reconstruction and Development.</w:t>
      </w:r>
    </w:p>
  </w:footnote>
  <w:footnote w:id="12">
    <w:p>
      <w:pPr>
        <w:pStyle w:val="FootnoteText"/>
      </w:pPr>
      <w:r>
        <w:t>(</w:t>
      </w:r>
      <w:r>
        <w:rPr>
          <w:rStyle w:val="FootnoteReference"/>
        </w:rPr>
        <w:footnoteRef/>
      </w:r>
      <w:r>
        <w:t>)</w:t>
      </w:r>
      <w:r>
        <w:tab/>
        <w:t>Cumulative reprogramming since the creation of the initiatives until June 2021.</w:t>
      </w:r>
    </w:p>
  </w:footnote>
  <w:footnote w:id="13">
    <w:p>
      <w:pPr>
        <w:pStyle w:val="FootnoteText"/>
      </w:pPr>
      <w:r>
        <w:t>(</w:t>
      </w:r>
      <w:r>
        <w:rPr>
          <w:rStyle w:val="FootnoteReference"/>
        </w:rPr>
        <w:footnoteRef/>
      </w:r>
      <w:r>
        <w:t>)</w:t>
      </w:r>
      <w:r>
        <w:tab/>
        <w:t>Overall support for people of EUR 3.9 billion includes EUR 2.1 billion of direct support to citizens as allocations reflected under the EUR 7.4 billion health and under the EUR 12.8 billion enterprise reprogramming. It is therefore not double counted in the total of EUR 23.3 billion.</w:t>
      </w:r>
    </w:p>
  </w:footnote>
  <w:footnote w:id="14">
    <w:p>
      <w:pPr>
        <w:pStyle w:val="FootnoteText"/>
      </w:pPr>
      <w:r>
        <w:t>(</w:t>
      </w:r>
      <w:r>
        <w:rPr>
          <w:rStyle w:val="FootnoteReference"/>
        </w:rPr>
        <w:footnoteRef/>
      </w:r>
      <w:r>
        <w:t>)</w:t>
      </w:r>
      <w:r>
        <w:tab/>
        <w:t xml:space="preserve">See </w:t>
      </w:r>
      <w:hyperlink r:id="rId2" w:history="1">
        <w:r>
          <w:rPr>
            <w:rStyle w:val="Hyperlink"/>
          </w:rPr>
          <w:t>https://ec.europa.eu/info/files/political-guidelines-new-commission_en</w:t>
        </w:r>
      </w:hyperlink>
    </w:p>
  </w:footnote>
  <w:footnote w:id="15">
    <w:p>
      <w:pPr>
        <w:pStyle w:val="FootnoteText"/>
      </w:pPr>
      <w:r>
        <w:t>(</w:t>
      </w:r>
      <w:r>
        <w:rPr>
          <w:rStyle w:val="FootnoteReference"/>
        </w:rPr>
        <w:footnoteRef/>
      </w:r>
      <w:r>
        <w:t>)</w:t>
      </w:r>
      <w:r>
        <w:tab/>
        <w:t xml:space="preserve">See </w:t>
      </w:r>
      <w:hyperlink r:id="rId3" w:history="1">
        <w:r>
          <w:rPr>
            <w:rStyle w:val="Hyperlink"/>
          </w:rPr>
          <w:t>https://ec.europa.eu/info/strategy/priorities-2019-2024/european-green-deal_en</w:t>
        </w:r>
      </w:hyperlink>
      <w:r>
        <w:t xml:space="preserve"> </w:t>
      </w:r>
    </w:p>
  </w:footnote>
  <w:footnote w:id="16">
    <w:p>
      <w:pPr>
        <w:pStyle w:val="FootnoteText"/>
      </w:pPr>
      <w:r>
        <w:t>(</w:t>
      </w:r>
      <w:r>
        <w:rPr>
          <w:rStyle w:val="FootnoteReference"/>
        </w:rPr>
        <w:footnoteRef/>
      </w:r>
      <w:r>
        <w:t>)</w:t>
      </w:r>
      <w:r>
        <w:tab/>
        <w:t xml:space="preserve">For Biodiversity strategy for 2030, see </w:t>
      </w:r>
      <w:hyperlink r:id="rId4" w:history="1">
        <w:r>
          <w:rPr>
            <w:rStyle w:val="Hyperlink"/>
          </w:rPr>
          <w:t>https://ec.europa.eu/environment/strategy/</w:t>
        </w:r>
        <w:r>
          <w:rPr>
            <w:rStyle w:val="Hyperlink"/>
          </w:rPr>
          <w:br/>
          <w:t>biodiversity-strategy-2030_en</w:t>
        </w:r>
      </w:hyperlink>
      <w:r>
        <w:t xml:space="preserve"> </w:t>
      </w:r>
    </w:p>
  </w:footnote>
  <w:footnote w:id="17">
    <w:p>
      <w:pPr>
        <w:autoSpaceDE w:val="0"/>
        <w:autoSpaceDN w:val="0"/>
        <w:spacing w:after="0" w:line="240" w:lineRule="auto"/>
        <w:rPr>
          <w:lang w:val="en-IE"/>
        </w:rPr>
      </w:pPr>
      <w:r>
        <w:rPr>
          <w:lang w:val="en-US"/>
        </w:rPr>
        <w:t>(</w:t>
      </w:r>
      <w:r>
        <w:rPr>
          <w:rStyle w:val="FootnoteReference"/>
        </w:rPr>
        <w:footnoteRef/>
      </w:r>
      <w:r>
        <w:rPr>
          <w:lang w:val="en-US"/>
        </w:rPr>
        <w:t>)</w:t>
      </w:r>
      <w:r>
        <w:rPr>
          <w:lang w:val="en-US"/>
        </w:rPr>
        <w:tab/>
      </w:r>
      <w:r>
        <w:rPr>
          <w:rFonts w:ascii="EC Square Sans Pro" w:eastAsia="EC Square Sans Pro" w:hAnsi="EC Square Sans Pro" w:cs="Times New Roman"/>
          <w:color w:val="000000" w:themeColor="text1"/>
          <w:sz w:val="20"/>
          <w:szCs w:val="20"/>
          <w:lang w:eastAsia="zh-CN"/>
        </w:rPr>
        <w:t>Communication from the Commission to the European Parliament and the Council on the performance framework of the EU budget under the 2021-2027 MFF</w:t>
      </w:r>
      <w:r>
        <w:t xml:space="preserve">, </w:t>
      </w:r>
      <w:r>
        <w:rPr>
          <w:rFonts w:ascii="EC Square Sans Pro" w:eastAsia="EC Square Sans Pro" w:hAnsi="EC Square Sans Pro" w:cs="Times New Roman"/>
          <w:color w:val="000000" w:themeColor="text1"/>
          <w:sz w:val="20"/>
          <w:szCs w:val="20"/>
          <w:lang w:eastAsia="zh-CN"/>
        </w:rPr>
        <w:t>COM(2021) 366, 8 June 2021.</w:t>
      </w:r>
    </w:p>
  </w:footnote>
  <w:footnote w:id="18">
    <w:p>
      <w:pPr>
        <w:pStyle w:val="FootnoteText"/>
      </w:pPr>
      <w:r>
        <w:t>(</w:t>
      </w:r>
      <w:r>
        <w:rPr>
          <w:rStyle w:val="FootnoteReference"/>
        </w:rPr>
        <w:footnoteRef/>
      </w:r>
      <w:r>
        <w:t>)</w:t>
      </w:r>
      <w:r>
        <w:tab/>
        <w:t>See Annex 2, Section</w:t>
      </w:r>
      <w:r>
        <w:rPr>
          <w:rFonts w:ascii="Calibri" w:hAnsi="Calibri" w:cs="Calibri"/>
        </w:rPr>
        <w:t> </w:t>
      </w:r>
      <w:r>
        <w:t>2.3.2, ‘Work of the Internal Audit Service and overall opinion’.</w:t>
      </w:r>
    </w:p>
  </w:footnote>
  <w:footnote w:id="19">
    <w:p>
      <w:pPr>
        <w:pStyle w:val="FootnoteText"/>
      </w:pPr>
      <w:r>
        <w:t>(</w:t>
      </w:r>
      <w:r>
        <w:rPr>
          <w:rStyle w:val="FootnoteReference"/>
        </w:rPr>
        <w:footnoteRef/>
      </w:r>
      <w:r>
        <w:t>)</w:t>
      </w:r>
      <w:r>
        <w:tab/>
        <w:t>See details in Annex</w:t>
      </w:r>
      <w:r>
        <w:rPr>
          <w:rFonts w:ascii="Calibri" w:hAnsi="Calibri" w:cs="Calibri"/>
        </w:rPr>
        <w:t> </w:t>
      </w:r>
      <w:r>
        <w:t>6.</w:t>
      </w:r>
    </w:p>
  </w:footnote>
  <w:footnote w:id="20">
    <w:p>
      <w:pPr>
        <w:pStyle w:val="FootnoteText"/>
      </w:pPr>
      <w:r>
        <w:t>(</w:t>
      </w:r>
      <w:r>
        <w:rPr>
          <w:rStyle w:val="FootnoteReference"/>
        </w:rPr>
        <w:footnoteRef/>
      </w:r>
      <w:r>
        <w:t>)</w:t>
      </w:r>
      <w:r>
        <w:tab/>
        <w:t>In the annual activity reports for each Commission department and the annual management and performance report for the Commission as a whole.</w:t>
      </w:r>
    </w:p>
  </w:footnote>
  <w:footnote w:id="21">
    <w:p>
      <w:pPr>
        <w:pStyle w:val="FootnoteText"/>
      </w:pPr>
      <w:r>
        <w:t>(</w:t>
      </w:r>
      <w:r>
        <w:rPr>
          <w:rStyle w:val="FootnoteReference"/>
        </w:rPr>
        <w:footnoteRef/>
      </w:r>
      <w:r>
        <w:t>)</w:t>
      </w:r>
      <w:r>
        <w:tab/>
        <w:t>Commission Notice</w:t>
      </w:r>
      <w:r>
        <w:rPr>
          <w:rFonts w:ascii="Calibri" w:hAnsi="Calibri"/>
        </w:rPr>
        <w:t> </w:t>
      </w:r>
      <w:r>
        <w:t>– Guidance on the avoidance and management of conflicts of interest under the financial regulation (C/2021/2119) (OJ C</w:t>
      </w:r>
      <w:r>
        <w:rPr>
          <w:rFonts w:ascii="Calibri" w:hAnsi="Calibri"/>
        </w:rPr>
        <w:t> </w:t>
      </w:r>
      <w:r>
        <w:t>121, 9.4.2021, p.</w:t>
      </w:r>
      <w:r>
        <w:rPr>
          <w:rFonts w:ascii="Calibri" w:hAnsi="Calibri"/>
        </w:rPr>
        <w:t> </w:t>
      </w:r>
      <w:r>
        <w:t>1).</w:t>
      </w:r>
    </w:p>
  </w:footnote>
  <w:footnote w:id="22">
    <w:p>
      <w:pPr>
        <w:pStyle w:val="FootnoteText"/>
      </w:pPr>
      <w:r>
        <w:t>(</w:t>
      </w:r>
      <w:r>
        <w:rPr>
          <w:rStyle w:val="FootnoteReference"/>
        </w:rPr>
        <w:footnoteRef/>
      </w:r>
      <w:r>
        <w:t>)</w:t>
      </w:r>
      <w:r>
        <w:tab/>
        <w:t>Regulation (EU, Euratom) 2020/2092 of the European Parliament and of the Council of 16</w:t>
      </w:r>
      <w:r>
        <w:rPr>
          <w:rFonts w:ascii="Calibri" w:hAnsi="Calibri" w:cs="Calibri"/>
        </w:rPr>
        <w:t> </w:t>
      </w:r>
      <w:r>
        <w:t>December 2020 on a general regime of conditionality for the protection of the Union budget (OJ L</w:t>
      </w:r>
      <w:r>
        <w:rPr>
          <w:rFonts w:ascii="Calibri" w:hAnsi="Calibri" w:cs="Calibri"/>
        </w:rPr>
        <w:t> </w:t>
      </w:r>
      <w:r>
        <w:t>433I, 22.12.2020, p.</w:t>
      </w:r>
      <w:r>
        <w:rPr>
          <w:rFonts w:ascii="Calibri" w:hAnsi="Calibri" w:cs="Calibri"/>
        </w:rPr>
        <w:t> </w:t>
      </w:r>
      <w:r>
        <w:t>1) (</w:t>
      </w:r>
      <w:hyperlink r:id="rId5" w:history="1">
        <w:r>
          <w:rPr>
            <w:rStyle w:val="Hyperlink"/>
          </w:rPr>
          <w:t>https://eur-lex.europa.eu/legal-content/EN/ALL/?uri=CELEX%3A32020R2092</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noProof/>
        <w:lang w:eastAsia="en-GB"/>
      </w:rPr>
      <mc:AlternateContent>
        <mc:Choice Requires="wps">
          <w:drawing>
            <wp:anchor distT="0" distB="0" distL="114300" distR="114300" simplePos="0" relativeHeight="251658249" behindDoc="1" locked="1" layoutInCell="1" allowOverlap="1">
              <wp:simplePos x="0" y="0"/>
              <wp:positionH relativeFrom="page">
                <wp:align>left</wp:align>
              </wp:positionH>
              <wp:positionV relativeFrom="page">
                <wp:posOffset>-1905</wp:posOffset>
              </wp:positionV>
              <wp:extent cx="7621200" cy="212400"/>
              <wp:effectExtent l="0" t="0" r="0" b="0"/>
              <wp:wrapNone/>
              <wp:docPr id="19" name="Rectangle 1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C67868" id="Rectangle 19" o:spid="_x0000_s1026" style="position:absolute;margin-left:0;margin-top:-.15pt;width:600.1pt;height:16.7pt;z-index:-25165823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" fillcolor="#bfbfbf [2412]" stroked="f" strokeweight="1pt">
              <w10:wrap anchorx="page" anchory="page"/>
              <w10:anchorlock/>
            </v:rect>
          </w:pict>
        </mc:Fallback>
      </mc:AlternateContent>
    </w:r>
    <w:r>
      <w:rPr>
        <w:noProof/>
        <w:lang w:eastAsia="en-GB"/>
      </w:rPr>
      <mc:AlternateContent>
        <mc:Choice Requires="wps">
          <w:drawing>
            <wp:anchor distT="0" distB="0" distL="114300" distR="114300" simplePos="0" relativeHeight="251658245"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 name="Rectangle 2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E03E74C" id="Rectangle 20" o:spid="_x0000_s1026" style="position:absolute;margin-left:-3.7pt;margin-top:-116.05pt;width:8.85pt;height:37.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P0nlvmYAgAAhgUAAA4AAAAAAAAAAAAAAAAALgIAAGRycy9lMm9E&#10;b2MueG1sUEsBAi0AFAAGAAgAAAAhAJlcyLrfAAAACwEAAA8AAAAAAAAAAAAAAAAA8gQAAGRycy9k&#10;b3ducmV2LnhtbFBLBQYAAAAABAAEAPMAAAD+BQAAAAA=&#10;" fillcolor="#3fb296" stroked="f" strokeweight="1pt"/>
          </w:pict>
        </mc:Fallback>
      </mc:AlternateContent>
    </w:r>
    <w:r>
      <w:rPr>
        <w:noProof/>
        <w:lang w:eastAsia="en-GB"/>
      </w:rPr>
      <mc:AlternateContent>
        <mc:Choice Requires="wps">
          <w:drawing>
            <wp:anchor distT="0" distB="0" distL="114300" distR="114300" simplePos="0" relativeHeight="2516582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 name="Rectangle 2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F497802" id="Rectangle 21" o:spid="_x0000_s1026" style="position:absolute;margin-left:-3.7pt;margin-top:-116.05pt;width:8.85pt;height:37.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af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IJO9p+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pPr>
    <w:r>
      <w:rPr>
        <w:noProof/>
        <w:lang w:eastAsia="en-GB"/>
      </w:rPr>
      <mc:AlternateContent>
        <mc:Choice Requires="wps">
          <w:drawing>
            <wp:anchor distT="0" distB="0" distL="114300" distR="114300" simplePos="0" relativeHeight="251658243" behindDoc="1" locked="1" layoutInCell="1" allowOverlap="1">
              <wp:simplePos x="0" y="0"/>
              <wp:positionH relativeFrom="page">
                <wp:align>left</wp:align>
              </wp:positionH>
              <wp:positionV relativeFrom="page">
                <wp:align>top</wp:align>
              </wp:positionV>
              <wp:extent cx="7621200" cy="212400"/>
              <wp:effectExtent l="0" t="0" r="0" b="0"/>
              <wp:wrapNone/>
              <wp:docPr id="228" name="Rectangle 22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A6AB9A" id="Rectangle 228" o:spid="_x0000_s1026" style="position:absolute;margin-left:0;margin-top:0;width:600.1pt;height:16.7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" fillcolor="#bfbfbf [2412]" stroked="f" strokeweight="1pt">
              <w10:wrap anchorx="page" anchory="page"/>
              <w10:anchorlock/>
            </v:rect>
          </w:pict>
        </mc:Fallback>
      </mc:AlternateContent>
    </w:r>
    <w:r>
      <w:t>Annual Management and Performance Report for the EU Budget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t>Financial year 2020</w:t>
    </w:r>
    <w:r>
      <w:rPr>
        <w:noProof/>
        <w:lang w:eastAsia="en-GB"/>
      </w:rPr>
      <mc:AlternateContent>
        <mc:Choice Requires="wps">
          <w:drawing>
            <wp:anchor distT="0" distB="0" distL="114300" distR="114300" simplePos="0" relativeHeight="251658242" behindDoc="1" locked="1" layoutInCell="1" allowOverlap="1">
              <wp:simplePos x="0" y="0"/>
              <wp:positionH relativeFrom="page">
                <wp:align>left</wp:align>
              </wp:positionH>
              <wp:positionV relativeFrom="page">
                <wp:posOffset>-1905</wp:posOffset>
              </wp:positionV>
              <wp:extent cx="7621200" cy="212400"/>
              <wp:effectExtent l="0" t="0" r="0" b="0"/>
              <wp:wrapNone/>
              <wp:docPr id="4" name="Rectangle 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41FB2F0" id="Rectangle 4" o:spid="_x0000_s1026" style="position:absolute;margin-left:0;margin-top:-.15pt;width:600.1pt;height:16.7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" fillcolor="#bfbfbf [2412]" stroked="f" strokeweight="1pt">
              <w10:wrap anchorx="page" anchory="page"/>
              <w10:anchorlock/>
            </v:rect>
          </w:pict>
        </mc:Fallback>
      </mc:AlternateContent>
    </w:r>
    <w:r>
      <w:rPr>
        <w:noProof/>
        <w:lang w:eastAsia="en-GB"/>
      </w:rPr>
      <mc:AlternateContent>
        <mc:Choice Requires="wps">
          <w:drawing>
            <wp:anchor distT="0" distB="0" distL="114300" distR="114300" simplePos="0" relativeHeight="251658241"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 name="Rectangle 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5A8754" id="Rectangle 7" o:spid="_x0000_s1026" style="position:absolute;margin-left:-3.7pt;margin-top:-116.05pt;width:8.85pt;height:3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j2lwIAAIQ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hfL49pcCAACEBQAADgAAAAAAAAAAAAAAAAAuAgAAZHJzL2Uyb0Rv&#10;Yy54bWxQSwECLQAUAAYACAAAACEAmVzIut8AAAALAQAADwAAAAAAAAAAAAAAAADxBAAAZHJzL2Rv&#10;d25yZXYueG1sUEsFBgAAAAAEAAQA8wAAAP0FAAAAAA==&#10;" fillcolor="#3fb296" stroked="f" strokeweight="1pt"/>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9" name="Rectangle 5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AC9D11E" id="Rectangle 59" o:spid="_x0000_s1026" style="position:absolute;margin-left:-3.7pt;margin-top:-116.05pt;width:8.85pt;height:3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A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t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GclkDW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eastAsia="en-GB"/>
      </w:rPr>
      <w:drawing>
        <wp:anchor distT="0" distB="0" distL="114300" distR="114300" simplePos="0" relativeHeight="251658250" behindDoc="1" locked="1" layoutInCell="1" allowOverlap="1">
          <wp:simplePos x="901337" y="404949"/>
          <wp:positionH relativeFrom="page">
            <wp:align>left</wp:align>
          </wp:positionH>
          <wp:positionV relativeFrom="page">
            <wp:align>top</wp:align>
          </wp:positionV>
          <wp:extent cx="7560000" cy="1069560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1656 AMPR - Volume I - Cover4.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eastAsia="en-GB"/>
      </w:rPr>
      <w:drawing>
        <wp:anchor distT="0" distB="0" distL="114300" distR="114300" simplePos="0" relativeHeight="251658251" behindDoc="1" locked="1" layoutInCell="1" allowOverlap="1">
          <wp:simplePos x="901337" y="404949"/>
          <wp:positionH relativeFrom="page">
            <wp:align>left</wp:align>
          </wp:positionH>
          <wp:positionV relativeFrom="page">
            <wp:align>top</wp:align>
          </wp:positionV>
          <wp:extent cx="7560000" cy="1069560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1656 AMPR - Volume I - 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eastAsia="en-GB"/>
      </w:rPr>
      <w:drawing>
        <wp:anchor distT="0" distB="0" distL="114300" distR="114300" simplePos="0" relativeHeight="251658246" behindDoc="1" locked="1" layoutInCell="1" allowOverlap="1">
          <wp:simplePos x="0" y="0"/>
          <wp:positionH relativeFrom="page">
            <wp:posOffset>635</wp:posOffset>
          </wp:positionH>
          <wp:positionV relativeFrom="page">
            <wp:posOffset>-9525</wp:posOffset>
          </wp:positionV>
          <wp:extent cx="7559675" cy="10691495"/>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1.1656 AMPR - Volume I - Cov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noProof/>
        <w:lang w:eastAsia="en-GB"/>
      </w:rPr>
      <w:drawing>
        <wp:anchor distT="0" distB="0" distL="114300" distR="114300" simplePos="0" relativeHeight="251658247" behindDoc="1" locked="1" layoutInCell="1" allowOverlap="1">
          <wp:simplePos x="901337" y="404949"/>
          <wp:positionH relativeFrom="page">
            <wp:align>left</wp:align>
          </wp:positionH>
          <wp:positionV relativeFrom="page">
            <wp:align>top</wp:align>
          </wp:positionV>
          <wp:extent cx="7560000" cy="106956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1656 AMPR - Volume I - Cover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jc w:val="center"/>
    </w:pPr>
    <w:r>
      <w:rPr>
        <w:noProof/>
        <w:lang w:eastAsia="en-GB"/>
      </w:rPr>
      <w:drawing>
        <wp:anchor distT="0" distB="0" distL="114300" distR="114300" simplePos="0" relativeHeight="251658248" behindDoc="1" locked="1" layoutInCell="1" allowOverlap="1">
          <wp:simplePos x="901337" y="404949"/>
          <wp:positionH relativeFrom="page">
            <wp:align>left</wp:align>
          </wp:positionH>
          <wp:positionV relativeFrom="page">
            <wp:align>top</wp:align>
          </wp:positionV>
          <wp:extent cx="7560000" cy="106956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1656 AMPR - Volume I - Cover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B858C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DE24EE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1AC23EC"/>
    <w:lvl w:ilvl="0">
      <w:start w:val="1"/>
      <w:numFmt w:val="decimal"/>
      <w:pStyle w:val="ListNumber3"/>
      <w:lvlText w:val="%1."/>
      <w:lvlJc w:val="left"/>
      <w:pPr>
        <w:tabs>
          <w:tab w:val="num" w:pos="926"/>
        </w:tabs>
        <w:ind w:left="926" w:hanging="360"/>
      </w:pPr>
    </w:lvl>
  </w:abstractNum>
  <w:abstractNum w:abstractNumId="3">
    <w:nsid w:val="FFFFFF7F"/>
    <w:multiLevelType w:val="singleLevel"/>
    <w:tmpl w:val="96E69728"/>
    <w:lvl w:ilvl="0">
      <w:start w:val="1"/>
      <w:numFmt w:val="decimal"/>
      <w:pStyle w:val="ListNumber2"/>
      <w:lvlText w:val="%1."/>
      <w:lvlJc w:val="left"/>
      <w:pPr>
        <w:tabs>
          <w:tab w:val="num" w:pos="643"/>
        </w:tabs>
        <w:ind w:left="643" w:hanging="360"/>
      </w:pPr>
    </w:lvl>
  </w:abstractNum>
  <w:abstractNum w:abstractNumId="4">
    <w:nsid w:val="FFFFFF80"/>
    <w:multiLevelType w:val="singleLevel"/>
    <w:tmpl w:val="B1D02C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A38CAE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902E84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05AA5A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72CCE92"/>
    <w:lvl w:ilvl="0">
      <w:start w:val="1"/>
      <w:numFmt w:val="decimal"/>
      <w:pStyle w:val="ListNumber"/>
      <w:lvlText w:val="%1."/>
      <w:lvlJc w:val="left"/>
      <w:pPr>
        <w:tabs>
          <w:tab w:val="num" w:pos="360"/>
        </w:tabs>
        <w:ind w:left="360" w:hanging="360"/>
      </w:pPr>
    </w:lvl>
  </w:abstractNum>
  <w:abstractNum w:abstractNumId="9">
    <w:nsid w:val="FFFFFF89"/>
    <w:multiLevelType w:val="singleLevel"/>
    <w:tmpl w:val="D906530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561F29"/>
    <w:multiLevelType w:val="hybridMultilevel"/>
    <w:tmpl w:val="36BC4C4E"/>
    <w:lvl w:ilvl="0" w:tplc="F61AF8B6">
      <w:start w:val="1"/>
      <w:numFmt w:val="bullet"/>
      <w:lvlText w:val=""/>
      <w:lvlJc w:val="left"/>
      <w:pPr>
        <w:ind w:left="720" w:hanging="360"/>
      </w:pPr>
      <w:rPr>
        <w:rFonts w:ascii="Symbol" w:hAnsi="Symbol" w:hint="default"/>
        <w:color w:val="F26A47"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008928D5"/>
    <w:multiLevelType w:val="multilevel"/>
    <w:tmpl w:val="42C63B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D7272D5"/>
    <w:multiLevelType w:val="hybridMultilevel"/>
    <w:tmpl w:val="290881FA"/>
    <w:lvl w:ilvl="0" w:tplc="F61AF8B6">
      <w:start w:val="1"/>
      <w:numFmt w:val="bullet"/>
      <w:lvlText w:val=""/>
      <w:lvlJc w:val="left"/>
      <w:pPr>
        <w:ind w:left="720" w:hanging="360"/>
      </w:pPr>
      <w:rPr>
        <w:rFonts w:ascii="Symbol" w:hAnsi="Symbol" w:hint="default"/>
        <w:color w:val="F26A47"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6BD079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C47181D"/>
    <w:multiLevelType w:val="multilevel"/>
    <w:tmpl w:val="2A9AD0EE"/>
    <w:styleLink w:val="amprLISTblackbullets"/>
    <w:lvl w:ilvl="0">
      <w:start w:val="1"/>
      <w:numFmt w:val="bullet"/>
      <w:pStyle w:val="amprLISTblackbullets-L1"/>
      <w:lvlText w:val=""/>
      <w:lvlJc w:val="left"/>
      <w:pPr>
        <w:ind w:left="714" w:hanging="357"/>
      </w:pPr>
      <w:rPr>
        <w:rFonts w:ascii="Symbol" w:hAnsi="Symbol" w:hint="default"/>
      </w:rPr>
    </w:lvl>
    <w:lvl w:ilvl="1">
      <w:start w:val="1"/>
      <w:numFmt w:val="bullet"/>
      <w:pStyle w:val="amprLISTblackbullets-L2"/>
      <w:lvlText w:val="—"/>
      <w:lvlJc w:val="left"/>
      <w:pPr>
        <w:ind w:left="1435" w:hanging="358"/>
      </w:pPr>
      <w:rPr>
        <w:rFonts w:ascii="EC Square Sans Pro" w:hAnsi="EC Square Sans Pro" w:hint="default"/>
      </w:rPr>
    </w:lvl>
    <w:lvl w:ilvl="2">
      <w:start w:val="1"/>
      <w:numFmt w:val="bullet"/>
      <w:lvlText w:val=""/>
      <w:lvlJc w:val="left"/>
      <w:pPr>
        <w:ind w:left="2155" w:hanging="355"/>
      </w:pPr>
      <w:rPr>
        <w:rFonts w:ascii="Wingdings" w:hAnsi="Wingdings" w:hint="default"/>
      </w:rPr>
    </w:lvl>
    <w:lvl w:ilvl="3">
      <w:start w:val="1"/>
      <w:numFmt w:val="bullet"/>
      <w:lvlText w:val=""/>
      <w:lvlJc w:val="left"/>
      <w:pPr>
        <w:ind w:left="2875" w:hanging="355"/>
      </w:pPr>
      <w:rPr>
        <w:rFonts w:ascii="Symbol" w:hAnsi="Symbol" w:hint="default"/>
      </w:rPr>
    </w:lvl>
    <w:lvl w:ilvl="4">
      <w:start w:val="1"/>
      <w:numFmt w:val="bullet"/>
      <w:lvlText w:val="o"/>
      <w:lvlJc w:val="left"/>
      <w:pPr>
        <w:ind w:left="3595" w:hanging="355"/>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F5A14A3"/>
    <w:multiLevelType w:val="hybridMultilevel"/>
    <w:tmpl w:val="B49C312E"/>
    <w:lvl w:ilvl="0" w:tplc="15CED570">
      <w:start w:val="1"/>
      <w:numFmt w:val="bullet"/>
      <w:lvlText w:val=""/>
      <w:lvlJc w:val="left"/>
      <w:pPr>
        <w:ind w:left="1077" w:hanging="360"/>
      </w:pPr>
      <w:rPr>
        <w:rFonts w:ascii="Symbol" w:hAnsi="Symbol" w:hint="default"/>
        <w:color w:val="F58A4B"/>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nsid w:val="415C2798"/>
    <w:multiLevelType w:val="multilevel"/>
    <w:tmpl w:val="F1528616"/>
    <w:styleLink w:val="amprLISTL1-forboxORANGEdashed"/>
    <w:lvl w:ilvl="0">
      <w:start w:val="1"/>
      <w:numFmt w:val="bullet"/>
      <w:pStyle w:val="amprboxORANGEdashedbulletlis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4ABC5E53"/>
    <w:multiLevelType w:val="hybridMultilevel"/>
    <w:tmpl w:val="E028F4E2"/>
    <w:lvl w:ilvl="0" w:tplc="2B2CC520">
      <w:start w:val="1"/>
      <w:numFmt w:val="decimal"/>
      <w:lvlText w:val="%1."/>
      <w:lvlJc w:val="left"/>
      <w:pPr>
        <w:ind w:left="580" w:hanging="360"/>
      </w:pPr>
      <w:rPr>
        <w:rFonts w:hint="default"/>
      </w:rPr>
    </w:lvl>
    <w:lvl w:ilvl="1" w:tplc="080C0019" w:tentative="1">
      <w:start w:val="1"/>
      <w:numFmt w:val="lowerLetter"/>
      <w:lvlText w:val="%2."/>
      <w:lvlJc w:val="left"/>
      <w:pPr>
        <w:ind w:left="1300" w:hanging="360"/>
      </w:pPr>
    </w:lvl>
    <w:lvl w:ilvl="2" w:tplc="080C001B" w:tentative="1">
      <w:start w:val="1"/>
      <w:numFmt w:val="lowerRoman"/>
      <w:lvlText w:val="%3."/>
      <w:lvlJc w:val="right"/>
      <w:pPr>
        <w:ind w:left="2020" w:hanging="180"/>
      </w:pPr>
    </w:lvl>
    <w:lvl w:ilvl="3" w:tplc="080C000F" w:tentative="1">
      <w:start w:val="1"/>
      <w:numFmt w:val="decimal"/>
      <w:lvlText w:val="%4."/>
      <w:lvlJc w:val="left"/>
      <w:pPr>
        <w:ind w:left="2740" w:hanging="360"/>
      </w:pPr>
    </w:lvl>
    <w:lvl w:ilvl="4" w:tplc="080C0019" w:tentative="1">
      <w:start w:val="1"/>
      <w:numFmt w:val="lowerLetter"/>
      <w:lvlText w:val="%5."/>
      <w:lvlJc w:val="left"/>
      <w:pPr>
        <w:ind w:left="3460" w:hanging="360"/>
      </w:pPr>
    </w:lvl>
    <w:lvl w:ilvl="5" w:tplc="080C001B" w:tentative="1">
      <w:start w:val="1"/>
      <w:numFmt w:val="lowerRoman"/>
      <w:lvlText w:val="%6."/>
      <w:lvlJc w:val="right"/>
      <w:pPr>
        <w:ind w:left="4180" w:hanging="180"/>
      </w:pPr>
    </w:lvl>
    <w:lvl w:ilvl="6" w:tplc="080C000F" w:tentative="1">
      <w:start w:val="1"/>
      <w:numFmt w:val="decimal"/>
      <w:lvlText w:val="%7."/>
      <w:lvlJc w:val="left"/>
      <w:pPr>
        <w:ind w:left="4900" w:hanging="360"/>
      </w:pPr>
    </w:lvl>
    <w:lvl w:ilvl="7" w:tplc="080C0019" w:tentative="1">
      <w:start w:val="1"/>
      <w:numFmt w:val="lowerLetter"/>
      <w:lvlText w:val="%8."/>
      <w:lvlJc w:val="left"/>
      <w:pPr>
        <w:ind w:left="5620" w:hanging="360"/>
      </w:pPr>
    </w:lvl>
    <w:lvl w:ilvl="8" w:tplc="080C001B" w:tentative="1">
      <w:start w:val="1"/>
      <w:numFmt w:val="lowerRoman"/>
      <w:lvlText w:val="%9."/>
      <w:lvlJc w:val="right"/>
      <w:pPr>
        <w:ind w:left="6340" w:hanging="180"/>
      </w:pPr>
    </w:lvl>
  </w:abstractNum>
  <w:abstractNum w:abstractNumId="18">
    <w:nsid w:val="4B425E4D"/>
    <w:multiLevelType w:val="hybridMultilevel"/>
    <w:tmpl w:val="D5665D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5574057C"/>
    <w:multiLevelType w:val="multilevel"/>
    <w:tmpl w:val="78248A56"/>
    <w:numStyleLink w:val="amprLISTorangebullets"/>
  </w:abstractNum>
  <w:abstractNum w:abstractNumId="20">
    <w:nsid w:val="59BB2205"/>
    <w:multiLevelType w:val="multilevel"/>
    <w:tmpl w:val="78248A56"/>
    <w:styleLink w:val="amprLISTorangebullets"/>
    <w:lvl w:ilvl="0">
      <w:start w:val="1"/>
      <w:numFmt w:val="bullet"/>
      <w:pStyle w:val="amprLISTorangebullets-L1"/>
      <w:lvlText w:val=""/>
      <w:lvlJc w:val="left"/>
      <w:pPr>
        <w:ind w:left="714" w:hanging="357"/>
      </w:pPr>
      <w:rPr>
        <w:rFonts w:ascii="Symbol" w:hAnsi="Symbol" w:hint="default"/>
        <w:color w:val="F26A47" w:themeColor="accent1"/>
      </w:rPr>
    </w:lvl>
    <w:lvl w:ilvl="1">
      <w:start w:val="1"/>
      <w:numFmt w:val="bullet"/>
      <w:pStyle w:val="amprLISTorangebullets-L2"/>
      <w:lvlText w:val="—"/>
      <w:lvlJc w:val="left"/>
      <w:pPr>
        <w:ind w:left="1435" w:hanging="358"/>
      </w:pPr>
      <w:rPr>
        <w:rFonts w:ascii="EC Square Sans Pro" w:hAnsi="EC Square Sans Pro" w:hint="default"/>
        <w:color w:val="F26A47" w:themeColor="accent1"/>
      </w:rPr>
    </w:lvl>
    <w:lvl w:ilvl="2">
      <w:start w:val="1"/>
      <w:numFmt w:val="bullet"/>
      <w:lvlText w:val=""/>
      <w:lvlJc w:val="left"/>
      <w:pPr>
        <w:ind w:left="2155" w:hanging="358"/>
      </w:pPr>
      <w:rPr>
        <w:rFonts w:ascii="Wingdings" w:hAnsi="Wingdings" w:hint="default"/>
      </w:rPr>
    </w:lvl>
    <w:lvl w:ilvl="3">
      <w:start w:val="1"/>
      <w:numFmt w:val="bullet"/>
      <w:lvlText w:val=""/>
      <w:lvlJc w:val="left"/>
      <w:pPr>
        <w:ind w:left="2875" w:hanging="358"/>
      </w:pPr>
      <w:rPr>
        <w:rFonts w:ascii="Symbol" w:hAnsi="Symbol" w:hint="default"/>
      </w:rPr>
    </w:lvl>
    <w:lvl w:ilvl="4">
      <w:start w:val="1"/>
      <w:numFmt w:val="bullet"/>
      <w:lvlText w:val="o"/>
      <w:lvlJc w:val="left"/>
      <w:pPr>
        <w:ind w:left="3595" w:hanging="357"/>
      </w:pPr>
      <w:rPr>
        <w:rFonts w:ascii="Courier New" w:hAnsi="Courier New" w:hint="default"/>
      </w:rPr>
    </w:lvl>
    <w:lvl w:ilvl="5">
      <w:start w:val="1"/>
      <w:numFmt w:val="bullet"/>
      <w:lvlText w:val=""/>
      <w:lvlJc w:val="left"/>
      <w:pPr>
        <w:ind w:left="4093" w:hanging="360"/>
      </w:pPr>
      <w:rPr>
        <w:rFonts w:ascii="Wingdings" w:hAnsi="Wingdings" w:hint="default"/>
      </w:rPr>
    </w:lvl>
    <w:lvl w:ilvl="6">
      <w:start w:val="1"/>
      <w:numFmt w:val="bullet"/>
      <w:lvlText w:val=""/>
      <w:lvlJc w:val="left"/>
      <w:pPr>
        <w:ind w:left="4813" w:hanging="360"/>
      </w:pPr>
      <w:rPr>
        <w:rFonts w:ascii="Symbol" w:hAnsi="Symbol" w:hint="default"/>
      </w:rPr>
    </w:lvl>
    <w:lvl w:ilvl="7">
      <w:start w:val="1"/>
      <w:numFmt w:val="bullet"/>
      <w:lvlText w:val="o"/>
      <w:lvlJc w:val="left"/>
      <w:pPr>
        <w:ind w:left="5533" w:hanging="360"/>
      </w:pPr>
      <w:rPr>
        <w:rFonts w:ascii="Courier New" w:hAnsi="Courier New" w:cs="Courier New" w:hint="default"/>
      </w:rPr>
    </w:lvl>
    <w:lvl w:ilvl="8">
      <w:start w:val="1"/>
      <w:numFmt w:val="bullet"/>
      <w:lvlText w:val=""/>
      <w:lvlJc w:val="left"/>
      <w:pPr>
        <w:ind w:left="6253" w:hanging="360"/>
      </w:pPr>
      <w:rPr>
        <w:rFonts w:ascii="Wingdings" w:hAnsi="Wingdings" w:hint="default"/>
      </w:rPr>
    </w:lvl>
  </w:abstractNum>
  <w:abstractNum w:abstractNumId="21">
    <w:nsid w:val="6227387F"/>
    <w:multiLevelType w:val="multilevel"/>
    <w:tmpl w:val="2A9AD0EE"/>
    <w:numStyleLink w:val="amprLISTblackbullets"/>
  </w:abstractNum>
  <w:abstractNum w:abstractNumId="22">
    <w:nsid w:val="66CB34FA"/>
    <w:multiLevelType w:val="hybridMultilevel"/>
    <w:tmpl w:val="4A309EFC"/>
    <w:lvl w:ilvl="0" w:tplc="2FD6AC6A">
      <w:start w:val="1"/>
      <w:numFmt w:val="decimal"/>
      <w:pStyle w:val="amprTITLE1"/>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6AC7139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7D5C7D84"/>
    <w:multiLevelType w:val="multilevel"/>
    <w:tmpl w:val="F9C0F624"/>
    <w:lvl w:ilvl="0">
      <w:start w:val="1"/>
      <w:numFmt w:val="bullet"/>
      <w:lvlText w:val=""/>
      <w:lvlJc w:val="left"/>
      <w:pPr>
        <w:ind w:left="360" w:hanging="360"/>
      </w:pPr>
      <w:rPr>
        <w:rFonts w:ascii="Symbol" w:hAnsi="Symbol" w:hint="default"/>
        <w:color w:val="F26A47"/>
        <w:u w:color="FFFFFF" w:themeColor="background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7E387C77"/>
    <w:multiLevelType w:val="hybridMultilevel"/>
    <w:tmpl w:val="3A1A754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6">
    <w:nsid w:val="7E3C1FD6"/>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15"/>
  </w:num>
  <w:num w:numId="3">
    <w:abstractNumId w:val="18"/>
  </w:num>
  <w:num w:numId="4">
    <w:abstractNumId w:val="26"/>
  </w:num>
  <w:num w:numId="5">
    <w:abstractNumId w:val="13"/>
  </w:num>
  <w:num w:numId="6">
    <w:abstractNumId w:val="2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 w:numId="18">
    <w:abstractNumId w:val="21"/>
  </w:num>
  <w:num w:numId="19">
    <w:abstractNumId w:val="20"/>
  </w:num>
  <w:num w:numId="20">
    <w:abstractNumId w:val="19"/>
  </w:num>
  <w:num w:numId="21">
    <w:abstractNumId w:val="16"/>
  </w:num>
  <w:num w:numId="22">
    <w:abstractNumId w:val="11"/>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5"/>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17"/>
  </w:num>
  <w:num w:numId="35">
    <w:abstractNumId w:val="12"/>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LOU Oussama (BUDG)">
    <w15:presenceInfo w15:providerId="AD" w15:userId="S-1-5-21-1606980848-2025429265-839522115-1033691"/>
  </w15:person>
  <w15:person w15:author="OTERO BARDERAS Isabel (SG-EXT)">
    <w15:presenceInfo w15:providerId="None" w15:userId="OTERO BARDERAS Isabel (SG-EXT)"/>
  </w15:person>
  <w15:person w15:author="MATHIEU Tonny (SG)">
    <w15:presenceInfo w15:providerId="None" w15:userId="MATHIEU Tonny (S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3F06429C-4D5F-422E-8918-0D1DD55DD84D"/>
    <w:docVar w:name="LW_COVERPAGE_TYPE" w:val="1"/>
    <w:docVar w:name="LW_CROSSREFERENCE" w:val="&lt;UNUSED&gt;"/>
    <w:docVar w:name="LW_DocType" w:val="NORMAL"/>
    <w:docVar w:name="LW_EMISSION" w:val="8.6.2021"/>
    <w:docVar w:name="LW_EMISSION_ISODATE" w:val="2021-06-08"/>
    <w:docVar w:name="LW_EMISSION_LOCATION" w:val="STR"/>
    <w:docVar w:name="LW_EMISSION_PREFIX" w:val="Strasbourg, "/>
    <w:docVar w:name="LW_EMISSION_SUFFIX" w:val=" "/>
    <w:docVar w:name="LW_ID_DOCTYPE_NONLW" w:val="CP-003"/>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1) 30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TO THE EUROPEAN PARLIAMENT, THE COUNCIL AND THE COURT OF AUDITORS_x000d__x000d__x000d__x000d__x000d__x000d__x000d__x000b__x000d__x000d__x000d__x000d__x000d__x000d__x000d__x000b_Annual Management and Performance Report for the EU Budget - Financial Year 2020"/>
    <w:docVar w:name="LW_TYPE.DOC.CP" w:val="REPORT FROM THE COMMISSION"/>
    <w:docVar w:name="LwApiVersions" w:val="LW4CoDe 1.23.0.0; LW 8.0, Build 20210114"/>
  </w:docVars>
  <m:mathPr>
    <m:mathFont m:val="Cambria Math"/>
    <m:brkBin m:val="before"/>
    <m:brkBinSub m:val="--"/>
    <m:smallFrac m:val="0"/>
    <m:dispDef/>
    <m:lMargin m:val="0"/>
    <m:rMargin m:val="0"/>
    <m:defJc m:val="centerGroup"/>
    <m:wrapIndent m:val="1440"/>
    <m:intLim m:val="subSup"/>
    <m:naryLim m:val="undOvr"/>
  </m:mathPr>
  <w:themeFontLang w:val="en-GB" w:eastAsia="zh-CN" w:bidi="k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2"/>
    <w:lsdException w:name="caption" w:uiPriority="35" w:qFormat="1"/>
    <w:lsdException w:name="footnote reference" w:qFormat="1"/>
    <w:lsdException w:name="annotation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56" w:lineRule="auto"/>
    </w:pPr>
    <w:rPr>
      <w:rFonts w:ascii="Calibri" w:eastAsia="Times New Roman" w:hAnsi="Calibri" w:cs="Calibri"/>
      <w:lang w:eastAsia="fr-BE"/>
    </w:rPr>
  </w:style>
  <w:style w:type="paragraph" w:styleId="Heading1">
    <w:name w:val="heading 1"/>
    <w:basedOn w:val="Normal"/>
    <w:next w:val="Normal"/>
    <w:link w:val="Heading1Char"/>
    <w:uiPriority w:val="9"/>
    <w:semiHidden/>
    <w:qFormat/>
    <w:pPr>
      <w:keepNext/>
      <w:keepLines/>
      <w:spacing w:before="240" w:after="0"/>
      <w:outlineLvl w:val="0"/>
    </w:pPr>
    <w:rPr>
      <w:rFonts w:asciiTheme="majorHAnsi" w:eastAsiaTheme="majorEastAsia" w:hAnsiTheme="majorHAnsi" w:cstheme="majorBidi"/>
      <w:color w:val="005D95"/>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005D95"/>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91250A"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A380F"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DA380F"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91250A" w:themeColor="accent1" w:themeShade="7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91250A"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qFormat/>
    <w:pPr>
      <w:ind w:left="720"/>
      <w:contextualSpacing/>
    </w:pPr>
  </w:style>
  <w:style w:type="character" w:styleId="Hyperlink">
    <w:name w:val="Hyperlink"/>
    <w:basedOn w:val="DefaultParagraphFont"/>
    <w:uiPriority w:val="99"/>
    <w:unhideWhenUsed/>
    <w:rPr>
      <w:rFonts w:ascii="EC Square Sans Pro" w:hAnsi="EC Square Sans Pro"/>
      <w:strike w:val="0"/>
      <w:dstrike w:val="0"/>
      <w:noProof w:val="0"/>
      <w:color w:val="26ADFF" w:themeColor="accent4" w:themeTint="99"/>
      <w:u w:val="none" w:color="65BBC8"/>
      <w:effect w:val="none"/>
      <w:shd w:val="clear" w:color="auto" w:fill="auto"/>
      <w:lang w:val="en-GB"/>
    </w:rPr>
  </w:style>
  <w:style w:type="paragraph" w:styleId="FootnoteText">
    <w:name w:val="footnote text"/>
    <w:basedOn w:val="BASE-STYLE-TEXT"/>
    <w:link w:val="FootnoteTextChar"/>
    <w:uiPriority w:val="99"/>
    <w:unhideWhenUsed/>
    <w:qFormat/>
    <w:pPr>
      <w:spacing w:after="0" w:line="240" w:lineRule="auto"/>
      <w:ind w:left="357" w:hanging="357"/>
      <w:jc w:val="left"/>
    </w:pPr>
    <w:rPr>
      <w:sz w:val="20"/>
      <w:szCs w:val="20"/>
    </w:rPr>
  </w:style>
  <w:style w:type="character" w:customStyle="1" w:styleId="FootnoteTextChar">
    <w:name w:val="Footnote Text Char"/>
    <w:basedOn w:val="DefaultParagraphFont"/>
    <w:link w:val="FootnoteText"/>
    <w:uiPriority w:val="99"/>
    <w:qFormat/>
    <w:rPr>
      <w:rFonts w:ascii="EC Square Sans Pro" w:eastAsia="EC Square Sans Pro" w:hAnsi="EC Square Sans Pro" w:cs="Times New Roman"/>
      <w:noProof w:val="0"/>
      <w:color w:val="000000" w:themeColor="text1"/>
      <w:sz w:val="20"/>
      <w:szCs w:val="20"/>
      <w:lang w:eastAsia="zh-CN"/>
    </w:rPr>
  </w:style>
  <w:style w:type="character" w:styleId="FootnoteReference">
    <w:name w:val="footnote reference"/>
    <w:basedOn w:val="DefaultParagraphFont"/>
    <w:uiPriority w:val="99"/>
    <w:unhideWhenUsed/>
    <w:qFormat/>
    <w:rPr>
      <w:noProof w:val="0"/>
      <w:vertAlign w:val="superscript"/>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rPr>
      <w:noProof w:val="0"/>
      <w:sz w:val="20"/>
      <w:szCs w:val="20"/>
    </w:rPr>
  </w:style>
  <w:style w:type="character" w:styleId="CommentReference">
    <w:name w:val="annotation reference"/>
    <w:basedOn w:val="DefaultParagraphFont"/>
    <w:semiHidden/>
    <w:unhideWhenUsed/>
    <w:qFormat/>
    <w:rPr>
      <w:noProof w:val="0"/>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noProof w:val="0"/>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noProof w:val="0"/>
      <w:sz w:val="20"/>
      <w:szCs w:val="20"/>
    </w:rPr>
  </w:style>
  <w:style w:type="paragraph" w:styleId="Revision">
    <w:name w:val="Revision"/>
    <w:hidden/>
    <w:uiPriority w:val="99"/>
    <w:semiHidden/>
    <w:pPr>
      <w:spacing w:after="0" w:line="240" w:lineRule="auto"/>
    </w:pPr>
  </w:style>
  <w:style w:type="paragraph" w:styleId="Header">
    <w:name w:val="header"/>
    <w:basedOn w:val="Normal"/>
    <w:link w:val="HeaderChar"/>
    <w:uiPriority w:val="2"/>
    <w:unhideWhenUsed/>
    <w:pPr>
      <w:tabs>
        <w:tab w:val="center" w:pos="4513"/>
        <w:tab w:val="right" w:pos="9026"/>
      </w:tabs>
      <w:spacing w:after="0" w:line="240" w:lineRule="auto"/>
    </w:pPr>
  </w:style>
  <w:style w:type="character" w:customStyle="1" w:styleId="HeaderChar">
    <w:name w:val="Header Char"/>
    <w:basedOn w:val="DefaultParagraphFont"/>
    <w:link w:val="Header"/>
    <w:uiPriority w:val="2"/>
    <w:rPr>
      <w:noProof w:val="0"/>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noProof w:val="0"/>
    </w:rPr>
  </w:style>
  <w:style w:type="numbering" w:customStyle="1" w:styleId="amprLISTL1-forboxORANGEdashed">
    <w:name w:val="[ampr LIST] L1 - for box ORANGE dashed"/>
    <w:uiPriority w:val="99"/>
    <w:pPr>
      <w:numPr>
        <w:numId w:val="21"/>
      </w:numPr>
    </w:pPr>
  </w:style>
  <w:style w:type="character" w:customStyle="1" w:styleId="amprcharBoldBlue">
    <w:name w:val="[ampr char] Bold Blue"/>
    <w:uiPriority w:val="1"/>
    <w:qFormat/>
    <w:rPr>
      <w:b/>
      <w:noProof w:val="0"/>
      <w:color w:val="005D95" w:themeColor="accent4"/>
      <w:spacing w:val="1"/>
      <w:bdr w:val="none" w:sz="0" w:space="0" w:color="auto"/>
      <w:shd w:val="clear" w:color="auto" w:fill="auto"/>
    </w:rPr>
  </w:style>
  <w:style w:type="paragraph" w:customStyle="1" w:styleId="amprboxORANGEdashedbulletlist">
    <w:name w:val="[ampr box ORANGE dashed] bullet list"/>
    <w:basedOn w:val="BASE-STYLE-TEXT"/>
    <w:qFormat/>
    <w:pPr>
      <w:keepLines/>
      <w:numPr>
        <w:numId w:val="21"/>
      </w:numPr>
      <w:pBdr>
        <w:top w:val="dashSmallGap" w:sz="12" w:space="8" w:color="F26A47"/>
        <w:left w:val="dashSmallGap" w:sz="12" w:space="8" w:color="F26A47"/>
        <w:bottom w:val="dashSmallGap" w:sz="12" w:space="8" w:color="F26A47"/>
        <w:right w:val="dashSmallGap" w:sz="12" w:space="8" w:color="F26A47"/>
      </w:pBdr>
      <w:spacing w:after="120" w:line="240" w:lineRule="auto"/>
    </w:pPr>
    <w:rPr>
      <w:sz w:val="20"/>
      <w:lang w:eastAsia="fr-BE"/>
    </w:rPr>
  </w:style>
  <w:style w:type="numbering" w:customStyle="1" w:styleId="amprLISTblackbullets">
    <w:name w:val="[ampr LIST black]  bullets"/>
    <w:uiPriority w:val="99"/>
    <w:pPr>
      <w:numPr>
        <w:numId w:val="17"/>
      </w:numPr>
    </w:pPr>
  </w:style>
  <w:style w:type="paragraph" w:customStyle="1" w:styleId="amprLISTblackbullets-L1">
    <w:name w:val="[ampr LIST black] bullets - L1"/>
    <w:basedOn w:val="BASE-STYLE-TEXT"/>
    <w:qFormat/>
    <w:pPr>
      <w:numPr>
        <w:numId w:val="18"/>
      </w:numPr>
      <w:spacing w:after="120" w:line="240" w:lineRule="auto"/>
    </w:pPr>
    <w:rPr>
      <w:sz w:val="20"/>
      <w:lang w:eastAsia="fr-BE"/>
    </w:rPr>
  </w:style>
  <w:style w:type="paragraph" w:customStyle="1" w:styleId="amprLISTblackbullets-L2">
    <w:name w:val="[ampr LIST black] bullets - L2"/>
    <w:basedOn w:val="BASE-STYLE-TEXT"/>
    <w:qFormat/>
    <w:pPr>
      <w:numPr>
        <w:ilvl w:val="1"/>
        <w:numId w:val="18"/>
      </w:numPr>
      <w:spacing w:after="120" w:line="240" w:lineRule="auto"/>
    </w:pPr>
    <w:rPr>
      <w:sz w:val="20"/>
      <w:lang w:eastAsia="fr-BE"/>
    </w:rPr>
  </w:style>
  <w:style w:type="character" w:customStyle="1" w:styleId="colour">
    <w:name w:val="colour"/>
    <w:basedOn w:val="DefaultParagraphFont"/>
    <w:semiHidden/>
    <w:rPr>
      <w:noProof w:val="0"/>
    </w:rPr>
  </w:style>
  <w:style w:type="paragraph" w:customStyle="1" w:styleId="amprboxORANGEdashedtext">
    <w:name w:val="[ampr box ORANGE dashed] text"/>
    <w:basedOn w:val="BASE-STYLE-TEXT"/>
    <w:qFormat/>
    <w:pPr>
      <w:keepLines/>
      <w:pBdr>
        <w:top w:val="dashSmallGap" w:sz="12" w:space="8" w:color="F26A47"/>
        <w:left w:val="dashSmallGap" w:sz="12" w:space="8" w:color="F26A47"/>
        <w:bottom w:val="dashSmallGap" w:sz="12" w:space="8" w:color="F26A47"/>
        <w:right w:val="dashSmallGap" w:sz="12" w:space="8" w:color="F26A47"/>
      </w:pBdr>
      <w:spacing w:after="120" w:line="240" w:lineRule="auto"/>
    </w:pPr>
    <w:rPr>
      <w:sz w:val="20"/>
      <w:lang w:eastAsia="fr-BE"/>
    </w:rPr>
  </w:style>
  <w:style w:type="paragraph" w:styleId="NormalWeb">
    <w:name w:val="Normal (Web)"/>
    <w:basedOn w:val="Normal"/>
    <w:semiHidden/>
    <w:pPr>
      <w:spacing w:after="240" w:line="240" w:lineRule="auto"/>
      <w:jc w:val="both"/>
    </w:pPr>
    <w:rPr>
      <w:rFonts w:ascii="Times New Roman" w:hAnsi="Times New Roman" w:cs="Times New Roman"/>
      <w:sz w:val="24"/>
      <w:szCs w:val="24"/>
    </w:rPr>
  </w:style>
  <w:style w:type="paragraph" w:customStyle="1" w:styleId="amprTitle3">
    <w:name w:val="[ampr] Title 3"/>
    <w:basedOn w:val="BASE-STYLE-HEADINGS"/>
    <w:next w:val="amprBodyText"/>
    <w:qFormat/>
    <w:pPr>
      <w:keepNext/>
      <w:keepLines/>
      <w:pBdr>
        <w:top w:val="single" w:sz="12" w:space="1" w:color="F26A47"/>
        <w:bottom w:val="single" w:sz="12" w:space="1" w:color="F26A47"/>
      </w:pBdr>
      <w:spacing w:before="480" w:after="240" w:line="240" w:lineRule="auto"/>
      <w:jc w:val="left"/>
      <w:outlineLvl w:val="2"/>
    </w:pPr>
    <w:rPr>
      <w:b/>
      <w:color w:val="005D95" w:themeColor="accent4"/>
      <w:sz w:val="28"/>
    </w:rPr>
  </w:style>
  <w:style w:type="paragraph" w:customStyle="1" w:styleId="amprSubhead1">
    <w:name w:val="[ampr] Subhead 1"/>
    <w:basedOn w:val="BASE-STYLE-HEADINGS"/>
    <w:next w:val="amprBodyText"/>
    <w:qFormat/>
    <w:pPr>
      <w:keepNext/>
      <w:keepLines/>
      <w:spacing w:before="480" w:after="240" w:line="240" w:lineRule="auto"/>
      <w:jc w:val="left"/>
    </w:pPr>
    <w:rPr>
      <w:b/>
      <w:color w:val="005D95" w:themeColor="accent4"/>
      <w:sz w:val="28"/>
    </w:rPr>
  </w:style>
  <w:style w:type="character" w:customStyle="1" w:styleId="CrossReference">
    <w:name w:val="Cross Reference"/>
    <w:basedOn w:val="DefaultParagraphFont"/>
    <w:uiPriority w:val="2"/>
    <w:semiHidden/>
    <w:rPr>
      <w:i/>
      <w:noProof w:val="0"/>
      <w:lang w:val="en-GB"/>
    </w:rPr>
  </w:style>
  <w:style w:type="paragraph" w:customStyle="1" w:styleId="amprBodyText">
    <w:name w:val="[ampr] Body Text"/>
    <w:basedOn w:val="BASE-STYLE-TEXT"/>
    <w:qFormat/>
    <w:pPr>
      <w:spacing w:after="120" w:line="240" w:lineRule="auto"/>
    </w:pPr>
    <w:rPr>
      <w:sz w:val="20"/>
    </w:rPr>
  </w:style>
  <w:style w:type="paragraph" w:customStyle="1" w:styleId="amprCOVIDboxtext">
    <w:name w:val="[ampr COVID box] text"/>
    <w:basedOn w:val="BASE-STYLE-TEXT"/>
    <w:qFormat/>
    <w:pPr>
      <w:keepLines/>
      <w:framePr w:vSpace="113" w:wrap="around" w:vAnchor="text" w:hAnchor="text" w:y="114"/>
      <w:spacing w:after="120" w:line="240" w:lineRule="auto"/>
      <w:suppressOverlap/>
    </w:pPr>
    <w:rPr>
      <w:color w:val="auto"/>
      <w:sz w:val="20"/>
    </w:rPr>
  </w:style>
  <w:style w:type="paragraph" w:customStyle="1" w:styleId="amprHeader-Left">
    <w:name w:val="[ampr] Header - Left"/>
    <w:basedOn w:val="BASE-STYLE-TEXT"/>
    <w:next w:val="amprBodyText"/>
    <w:qFormat/>
    <w:pPr>
      <w:spacing w:after="0" w:line="240" w:lineRule="auto"/>
      <w:jc w:val="left"/>
    </w:pPr>
    <w:rPr>
      <w:color w:val="A6A6A6" w:themeColor="background1" w:themeShade="A6"/>
      <w:sz w:val="20"/>
    </w:rPr>
  </w:style>
  <w:style w:type="numbering" w:customStyle="1" w:styleId="amprLISTorangebullets">
    <w:name w:val="[ampr LIST orange] bullets"/>
    <w:uiPriority w:val="99"/>
    <w:pPr>
      <w:numPr>
        <w:numId w:val="19"/>
      </w:numPr>
    </w:pPr>
  </w:style>
  <w:style w:type="paragraph" w:customStyle="1" w:styleId="amprLISTorangebullets-L1">
    <w:name w:val="[ampr LIST orange] bullets - L1"/>
    <w:basedOn w:val="BASE-STYLE-TEXT"/>
    <w:qFormat/>
    <w:pPr>
      <w:numPr>
        <w:numId w:val="20"/>
      </w:numPr>
      <w:spacing w:after="120" w:line="240" w:lineRule="auto"/>
    </w:pPr>
    <w:rPr>
      <w:sz w:val="20"/>
      <w:lang w:eastAsia="fr-BE"/>
    </w:rPr>
  </w:style>
  <w:style w:type="paragraph" w:customStyle="1" w:styleId="amprLISTorangebullets-L2">
    <w:name w:val="[ampr LIST orange] bullets - L2"/>
    <w:basedOn w:val="BASE-STYLE-TEXT"/>
    <w:qFormat/>
    <w:pPr>
      <w:numPr>
        <w:ilvl w:val="1"/>
        <w:numId w:val="20"/>
      </w:numPr>
      <w:spacing w:after="120" w:line="240" w:lineRule="auto"/>
    </w:pPr>
    <w:rPr>
      <w:sz w:val="20"/>
      <w:lang w:eastAsia="fr-BE"/>
    </w:rPr>
  </w:style>
  <w:style w:type="paragraph" w:customStyle="1" w:styleId="amprFooter-Left">
    <w:name w:val="[ampr] Footer - Left"/>
    <w:basedOn w:val="BASE-STYLE-TEXT"/>
    <w:next w:val="amprBodyText"/>
    <w:qFormat/>
    <w:pPr>
      <w:spacing w:after="0" w:line="240" w:lineRule="auto"/>
      <w:jc w:val="left"/>
    </w:pPr>
    <w:rPr>
      <w:color w:val="auto"/>
      <w:sz w:val="20"/>
    </w:rPr>
  </w:style>
  <w:style w:type="paragraph" w:customStyle="1" w:styleId="amprFooter-Right">
    <w:name w:val="[ampr] Footer - Right"/>
    <w:basedOn w:val="BASE-STYLE-TEXT"/>
    <w:next w:val="amprBodyText"/>
    <w:qFormat/>
    <w:pPr>
      <w:spacing w:after="0" w:line="240" w:lineRule="auto"/>
      <w:jc w:val="right"/>
    </w:pPr>
    <w:rPr>
      <w:color w:val="auto"/>
      <w:sz w:val="20"/>
    </w:rPr>
  </w:style>
  <w:style w:type="paragraph" w:customStyle="1" w:styleId="amprHeader-Right">
    <w:name w:val="[ampr] Header - Right"/>
    <w:basedOn w:val="BASE-STYLE-TEXT"/>
    <w:next w:val="amprBodyText"/>
    <w:qFormat/>
    <w:pPr>
      <w:spacing w:after="0" w:line="240" w:lineRule="auto"/>
      <w:jc w:val="right"/>
    </w:pPr>
    <w:rPr>
      <w:color w:val="A6A6A6" w:themeColor="background1" w:themeShade="A6"/>
      <w:sz w:val="20"/>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color w:val="auto"/>
      <w:sz w:val="16"/>
      <w:szCs w:val="16"/>
      <w:lang w:eastAsia="fr-BE"/>
    </w:rPr>
  </w:style>
  <w:style w:type="paragraph" w:customStyle="1" w:styleId="amprTitle2">
    <w:name w:val="[ampr] Title 2"/>
    <w:basedOn w:val="BASE-STYLE-HEADINGS"/>
    <w:next w:val="amprBodyText"/>
    <w:qFormat/>
    <w:pPr>
      <w:keepNext/>
      <w:keepLines/>
      <w:pageBreakBefore/>
      <w:spacing w:after="120" w:line="240" w:lineRule="auto"/>
      <w:jc w:val="left"/>
      <w:outlineLvl w:val="1"/>
    </w:pPr>
    <w:rPr>
      <w:color w:val="005D95" w:themeColor="accent4"/>
      <w:sz w:val="52"/>
    </w:rPr>
  </w:style>
  <w:style w:type="paragraph" w:styleId="NoSpacing">
    <w:name w:val="No Spacing"/>
    <w:link w:val="NoSpacingChar"/>
    <w:uiPriority w:val="1"/>
    <w:semiHidden/>
    <w:qFormat/>
    <w:pPr>
      <w:spacing w:after="120" w:line="240" w:lineRule="auto"/>
      <w:jc w:val="both"/>
    </w:pPr>
    <w:rPr>
      <w:rFonts w:ascii="EC Square Sans Pro" w:eastAsia="Times New Roman" w:hAnsi="EC Square Sans Pro" w:cs="Times New Roman"/>
      <w:sz w:val="20"/>
      <w:szCs w:val="20"/>
      <w:lang w:eastAsia="fr-BE"/>
    </w:rPr>
  </w:style>
  <w:style w:type="paragraph" w:customStyle="1" w:styleId="Hidelastparagraphafterthetable">
    <w:name w:val="_Hide last paragraph after the table"/>
    <w:next w:val="Normal"/>
    <w:pPr>
      <w:widowControl w:val="0"/>
      <w:spacing w:after="0" w:line="20" w:lineRule="exact"/>
    </w:pPr>
    <w:rPr>
      <w:rFonts w:eastAsiaTheme="minorEastAsia"/>
      <w:vanish/>
      <w:sz w:val="2"/>
      <w:szCs w:val="2"/>
    </w:rPr>
  </w:style>
  <w:style w:type="character" w:customStyle="1" w:styleId="NoSpacingChar">
    <w:name w:val="No Spacing Char"/>
    <w:basedOn w:val="DefaultParagraphFont"/>
    <w:link w:val="NoSpacing"/>
    <w:uiPriority w:val="1"/>
    <w:semiHidden/>
    <w:rPr>
      <w:rFonts w:ascii="EC Square Sans Pro" w:eastAsia="Times New Roman" w:hAnsi="EC Square Sans Pro" w:cs="Times New Roman"/>
      <w:noProof w:val="0"/>
      <w:sz w:val="20"/>
      <w:szCs w:val="20"/>
      <w:lang w:eastAsia="fr-BE"/>
    </w:rPr>
  </w:style>
  <w:style w:type="table" w:customStyle="1" w:styleId="GridTable1Light-Accent11">
    <w:name w:val="Grid Table 1 Light - Accent 11"/>
    <w:basedOn w:val="TableNormal"/>
    <w:next w:val="GridTable1LightAccent1"/>
    <w:uiPriority w:val="46"/>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F9C3B5" w:themeColor="accent1" w:themeTint="66"/>
        <w:left w:val="single" w:sz="4" w:space="0" w:color="F9C3B5" w:themeColor="accent1" w:themeTint="66"/>
        <w:bottom w:val="single" w:sz="4" w:space="0" w:color="F9C3B5" w:themeColor="accent1" w:themeTint="66"/>
        <w:right w:val="single" w:sz="4" w:space="0" w:color="F9C3B5" w:themeColor="accent1" w:themeTint="66"/>
        <w:insideH w:val="single" w:sz="4" w:space="0" w:color="F9C3B5" w:themeColor="accent1" w:themeTint="66"/>
        <w:insideV w:val="single" w:sz="4" w:space="0" w:color="F9C3B5" w:themeColor="accent1" w:themeTint="66"/>
      </w:tblBorders>
    </w:tblPr>
    <w:tblStylePr w:type="firstRow">
      <w:rPr>
        <w:b/>
        <w:bCs/>
      </w:rPr>
      <w:tblPr/>
      <w:tcPr>
        <w:tcBorders>
          <w:bottom w:val="single" w:sz="12" w:space="0" w:color="F7A590" w:themeColor="accent1" w:themeTint="99"/>
        </w:tcBorders>
      </w:tcPr>
    </w:tblStylePr>
    <w:tblStylePr w:type="lastRow">
      <w:rPr>
        <w:b/>
        <w:bCs/>
      </w:rPr>
      <w:tblPr/>
      <w:tcPr>
        <w:tcBorders>
          <w:top w:val="double" w:sz="2" w:space="0" w:color="F7A590" w:themeColor="accent1" w:themeTint="99"/>
        </w:tcBorders>
      </w:tcPr>
    </w:tblStylePr>
    <w:tblStylePr w:type="firstCol">
      <w:rPr>
        <w:b/>
        <w:bCs/>
      </w:rPr>
    </w:tblStylePr>
    <w:tblStylePr w:type="lastCol">
      <w:rPr>
        <w:b/>
        <w:bCs/>
      </w:rPr>
    </w:tblStyle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sz w:val="16"/>
      <w:szCs w:val="16"/>
      <w:lang w:eastAsia="fr-BE"/>
    </w:rPr>
  </w:style>
  <w:style w:type="paragraph" w:styleId="BodyText">
    <w:name w:val="Body Text"/>
    <w:basedOn w:val="Normal"/>
    <w:link w:val="BodyTextChar"/>
    <w:semiHidden/>
    <w:pPr>
      <w:spacing w:after="120" w:line="240" w:lineRule="auto"/>
      <w:jc w:val="both"/>
    </w:pPr>
    <w:rPr>
      <w:rFonts w:ascii="Times New Roman" w:hAnsi="Times New Roman" w:cs="Times New Roman"/>
      <w:sz w:val="24"/>
      <w:szCs w:val="20"/>
    </w:rPr>
  </w:style>
  <w:style w:type="character" w:customStyle="1" w:styleId="BodyTextChar">
    <w:name w:val="Body Text Char"/>
    <w:basedOn w:val="DefaultParagraphFont"/>
    <w:link w:val="BodyText"/>
    <w:semiHidden/>
    <w:rPr>
      <w:rFonts w:ascii="Times New Roman" w:eastAsia="Times New Roman" w:hAnsi="Times New Roman" w:cs="Times New Roman"/>
      <w:noProof w:val="0"/>
      <w:sz w:val="24"/>
      <w:szCs w:val="20"/>
      <w:lang w:eastAsia="fr-BE"/>
    </w:rPr>
  </w:style>
  <w:style w:type="character" w:customStyle="1" w:styleId="Heading1Char">
    <w:name w:val="Heading 1 Char"/>
    <w:basedOn w:val="DefaultParagraphFont"/>
    <w:link w:val="Heading1"/>
    <w:uiPriority w:val="9"/>
    <w:semiHidden/>
    <w:rPr>
      <w:rFonts w:asciiTheme="majorHAnsi" w:eastAsiaTheme="majorEastAsia" w:hAnsiTheme="majorHAnsi" w:cstheme="majorBidi"/>
      <w:noProof w:val="0"/>
      <w:color w:val="005D95"/>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noProof w:val="0"/>
      <w:color w:val="005D95"/>
      <w:sz w:val="26"/>
      <w:szCs w:val="26"/>
    </w:rPr>
  </w:style>
  <w:style w:type="paragraph" w:styleId="IntenseQuote">
    <w:name w:val="Intense Quote"/>
    <w:basedOn w:val="Normal"/>
    <w:next w:val="Normal"/>
    <w:link w:val="IntenseQuoteChar"/>
    <w:uiPriority w:val="30"/>
    <w:semiHidden/>
    <w:qFormat/>
    <w:pPr>
      <w:pBdr>
        <w:top w:val="single" w:sz="4" w:space="10" w:color="F26A47" w:themeColor="accent1"/>
        <w:bottom w:val="single" w:sz="4" w:space="10" w:color="F26A47" w:themeColor="accent1"/>
      </w:pBdr>
      <w:spacing w:before="360" w:after="360"/>
      <w:ind w:left="864" w:right="864"/>
      <w:jc w:val="center"/>
    </w:pPr>
    <w:rPr>
      <w:i/>
      <w:iCs/>
      <w:color w:val="005D95"/>
    </w:rPr>
  </w:style>
  <w:style w:type="character" w:customStyle="1" w:styleId="IntenseQuoteChar">
    <w:name w:val="Intense Quote Char"/>
    <w:basedOn w:val="DefaultParagraphFont"/>
    <w:link w:val="IntenseQuote"/>
    <w:uiPriority w:val="30"/>
    <w:semiHidden/>
    <w:rPr>
      <w:i/>
      <w:iCs/>
      <w:noProof w:val="0"/>
      <w:color w:val="005D95"/>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style>
  <w:style w:type="paragraph" w:customStyle="1" w:styleId="ampranxTITLE1">
    <w:name w:val="[ampr anx] TITLE 1"/>
    <w:basedOn w:val="BASE-STYLE-HEADINGS"/>
    <w:next w:val="amprBodyText"/>
    <w:qFormat/>
    <w:pPr>
      <w:keepNext/>
      <w:keepLines/>
      <w:pageBreakBefore/>
      <w:spacing w:after="120" w:line="240" w:lineRule="auto"/>
      <w:jc w:val="left"/>
      <w:outlineLvl w:val="0"/>
    </w:pPr>
    <w:rPr>
      <w:color w:val="005D95" w:themeColor="accent4"/>
      <w:sz w:val="52"/>
    </w:rPr>
  </w:style>
  <w:style w:type="paragraph" w:customStyle="1" w:styleId="ampranxTitle2">
    <w:name w:val="[ampr anx] Title 2"/>
    <w:basedOn w:val="BASE-STYLE-HEADINGS"/>
    <w:next w:val="amprBodyText"/>
    <w:qFormat/>
    <w:pPr>
      <w:keepNext/>
      <w:keepLines/>
      <w:pBdr>
        <w:top w:val="single" w:sz="12" w:space="1" w:color="F26A47"/>
        <w:bottom w:val="single" w:sz="12" w:space="1" w:color="F26A47"/>
      </w:pBdr>
      <w:spacing w:before="480" w:after="240" w:line="240" w:lineRule="auto"/>
      <w:jc w:val="left"/>
      <w:outlineLvl w:val="1"/>
    </w:pPr>
    <w:rPr>
      <w:b/>
      <w:color w:val="005D95" w:themeColor="accent4"/>
      <w:sz w:val="28"/>
    </w:rPr>
  </w:style>
  <w:style w:type="paragraph" w:customStyle="1" w:styleId="amprBLUEboxtext">
    <w:name w:val="[ampr BLUE box] text"/>
    <w:basedOn w:val="BASE-STYLE-TEXT"/>
    <w:qFormat/>
    <w:pPr>
      <w:pBdr>
        <w:top w:val="single" w:sz="12" w:space="8" w:color="005D95" w:themeColor="accent4"/>
        <w:left w:val="single" w:sz="12" w:space="8" w:color="005D95" w:themeColor="accent4"/>
        <w:bottom w:val="single" w:sz="12" w:space="8" w:color="005D95" w:themeColor="accent4"/>
        <w:right w:val="single" w:sz="12" w:space="8" w:color="005D95" w:themeColor="accent4"/>
      </w:pBdr>
      <w:shd w:val="clear" w:color="auto" w:fill="005D95" w:themeFill="accent4"/>
      <w:spacing w:after="0" w:line="240" w:lineRule="auto"/>
    </w:pPr>
    <w:rPr>
      <w:color w:val="FFFFFF" w:themeColor="background1"/>
      <w:sz w:val="20"/>
      <w:lang w:eastAsia="fr-BE"/>
    </w:rPr>
  </w:style>
  <w:style w:type="paragraph" w:customStyle="1" w:styleId="amprboxORANGEdashedheading">
    <w:name w:val="[ampr box ORANGE dashed] heading"/>
    <w:basedOn w:val="BASE-STYLE-TEXT"/>
    <w:next w:val="Normal"/>
    <w:qFormat/>
    <w:pPr>
      <w:keepLines/>
      <w:pBdr>
        <w:top w:val="dashSmallGap" w:sz="12" w:space="8" w:color="F26A47"/>
        <w:left w:val="dashSmallGap" w:sz="12" w:space="8" w:color="F26A47"/>
        <w:bottom w:val="dashSmallGap" w:sz="12" w:space="8" w:color="F26A47"/>
        <w:right w:val="dashSmallGap" w:sz="12" w:space="8" w:color="F26A47"/>
      </w:pBdr>
      <w:spacing w:after="120" w:line="240" w:lineRule="auto"/>
    </w:pPr>
    <w:rPr>
      <w:b/>
      <w:sz w:val="20"/>
      <w:lang w:eastAsia="fr-BE"/>
    </w:rPr>
  </w:style>
  <w:style w:type="character" w:customStyle="1" w:styleId="amprcharBoldOrange">
    <w:name w:val="[ampr char] Bold Orange"/>
    <w:uiPriority w:val="1"/>
    <w:rPr>
      <w:b/>
      <w:noProof w:val="0"/>
      <w:color w:val="F26A47" w:themeColor="accent1"/>
      <w:bdr w:val="none" w:sz="0" w:space="0" w:color="auto"/>
      <w:shd w:val="clear" w:color="auto" w:fill="auto"/>
    </w:rPr>
  </w:style>
  <w:style w:type="paragraph" w:customStyle="1" w:styleId="amprGREYboxtext">
    <w:name w:val="[ampr GREY box] text"/>
    <w:basedOn w:val="BASE-STYLE-TEXT"/>
    <w:qFormat/>
    <w:pPr>
      <w:pBdr>
        <w:top w:val="single" w:sz="12" w:space="8" w:color="F2F2F2" w:themeColor="background1" w:themeShade="F2"/>
        <w:left w:val="single" w:sz="12" w:space="8" w:color="F2F2F2" w:themeColor="background1" w:themeShade="F2"/>
        <w:bottom w:val="single" w:sz="12" w:space="8" w:color="F2F2F2" w:themeColor="background1" w:themeShade="F2"/>
        <w:right w:val="single" w:sz="12" w:space="8" w:color="F2F2F2" w:themeColor="background1" w:themeShade="F2"/>
      </w:pBdr>
      <w:shd w:val="clear" w:color="auto" w:fill="F2F2F2" w:themeFill="background1" w:themeFillShade="F2"/>
      <w:spacing w:after="0" w:line="240" w:lineRule="auto"/>
    </w:pPr>
    <w:rPr>
      <w:color w:val="auto"/>
      <w:sz w:val="20"/>
      <w:lang w:eastAsia="fr-BE"/>
    </w:rPr>
  </w:style>
  <w:style w:type="paragraph" w:customStyle="1" w:styleId="amprLISTorangebullets-L1consecutiveparagraph">
    <w:name w:val="[ampr LIST orange] bullets - L1 (consecutive paragraph)"/>
    <w:basedOn w:val="BASE-STYLE-TEXT"/>
    <w:qFormat/>
    <w:pPr>
      <w:spacing w:after="120" w:line="240" w:lineRule="auto"/>
      <w:ind w:left="720"/>
    </w:pPr>
    <w:rPr>
      <w:sz w:val="20"/>
    </w:rPr>
  </w:style>
  <w:style w:type="table" w:customStyle="1" w:styleId="amprTable1">
    <w:name w:val="[ampr Table 1]"/>
    <w:basedOn w:val="TableNormal"/>
    <w:uiPriority w:val="99"/>
    <w:pPr>
      <w:spacing w:before="60" w:after="60" w:line="240" w:lineRule="auto"/>
    </w:pPr>
    <w:rPr>
      <w:rFonts w:ascii="EC Square Sans Pro" w:hAnsi="EC Square Sans Pro"/>
      <w:sz w:val="20"/>
      <w:lang w:val="fr-BE"/>
    </w:rPr>
    <w:tblPr>
      <w:tblStyleRowBandSize w:val="1"/>
      <w:tblBorders>
        <w:top w:val="single" w:sz="4" w:space="0" w:color="F26A47" w:themeColor="accent1"/>
        <w:bottom w:val="single" w:sz="4" w:space="0" w:color="F26A47" w:themeColor="accent1"/>
        <w:insideH w:val="single" w:sz="4" w:space="0" w:color="F26A47" w:themeColor="accent1"/>
        <w:insideV w:val="single" w:sz="4" w:space="0" w:color="FFFFFF" w:themeColor="background1"/>
      </w:tblBorders>
      <w:tblCellMar>
        <w:left w:w="85" w:type="dxa"/>
        <w:right w:w="85" w:type="dxa"/>
      </w:tblCellMar>
    </w:tblPr>
    <w:tcPr>
      <w:shd w:val="clear" w:color="auto" w:fill="F2F2F2" w:themeFill="background1" w:themeFillShade="F2"/>
    </w:tcPr>
    <w:tblStylePr w:type="firstRow">
      <w:pPr>
        <w:wordWrap/>
        <w:spacing w:beforeLines="0" w:before="240" w:beforeAutospacing="0" w:afterLines="0" w:after="240" w:afterAutospacing="0"/>
        <w:jc w:val="center"/>
      </w:pPr>
      <w:rPr>
        <w:rFonts w:ascii="EC Square Sans Pro" w:hAnsi="EC Square Sans Pro"/>
        <w:b/>
        <w:bCs/>
        <w:i w:val="0"/>
        <w:color w:val="FFFFFF" w:themeColor="background1"/>
        <w:sz w:val="20"/>
      </w:rPr>
      <w:tblPr/>
      <w:tcPr>
        <w:tcBorders>
          <w:top w:val="single" w:sz="4" w:space="0" w:color="005D95" w:themeColor="accent4"/>
          <w:left w:val="nil"/>
          <w:bottom w:val="single" w:sz="4" w:space="0" w:color="005D95" w:themeColor="accent4"/>
          <w:right w:val="nil"/>
          <w:insideH w:val="nil"/>
          <w:insideV w:val="single" w:sz="4" w:space="0" w:color="FFFFFF" w:themeColor="background1"/>
          <w:tl2br w:val="nil"/>
          <w:tr2bl w:val="nil"/>
        </w:tcBorders>
        <w:shd w:val="clear" w:color="auto" w:fill="005D95"/>
      </w:tcPr>
    </w:tblStylePr>
    <w:tblStylePr w:type="lastRow">
      <w:rPr>
        <w:b/>
        <w:bCs/>
      </w:rPr>
    </w:tblStylePr>
    <w:tblStylePr w:type="firstCol">
      <w:rPr>
        <w:b/>
        <w:bCs/>
      </w:rPr>
    </w:tblStylePr>
    <w:tblStylePr w:type="lastCol">
      <w:rPr>
        <w:b/>
        <w:bCs/>
      </w:rPr>
    </w:tblStylePr>
    <w:tblStylePr w:type="band1Horz">
      <w:tblPr/>
      <w:tcPr>
        <w:tcBorders>
          <w:top w:val="nil"/>
          <w:left w:val="nil"/>
          <w:bottom w:val="single" w:sz="4" w:space="0" w:color="F26A47" w:themeColor="accent1"/>
          <w:right w:val="nil"/>
          <w:insideH w:val="nil"/>
          <w:insideV w:val="nil"/>
          <w:tl2br w:val="nil"/>
          <w:tr2bl w:val="nil"/>
        </w:tcBorders>
        <w:shd w:val="clear" w:color="auto" w:fill="F2F2F2" w:themeFill="background1" w:themeFillShade="F2"/>
      </w:tcPr>
    </w:tblStylePr>
    <w:tblStylePr w:type="band2Horz">
      <w:tblPr/>
      <w:tcPr>
        <w:shd w:val="clear" w:color="auto" w:fill="E0E0E0"/>
      </w:tcPr>
    </w:tblStylePr>
  </w:style>
  <w:style w:type="paragraph" w:customStyle="1" w:styleId="amprTable1datacells-Centered">
    <w:name w:val="[ampr Table 1] data cells - Centered"/>
    <w:basedOn w:val="BASE-STYLE-TEXT"/>
    <w:qFormat/>
    <w:pPr>
      <w:keepNext/>
      <w:autoSpaceDE w:val="0"/>
      <w:autoSpaceDN w:val="0"/>
      <w:adjustRightInd w:val="0"/>
      <w:spacing w:before="60" w:after="60" w:line="240" w:lineRule="auto"/>
      <w:jc w:val="center"/>
    </w:pPr>
    <w:rPr>
      <w:rFonts w:eastAsiaTheme="minorHAnsi"/>
      <w:color w:val="000000"/>
      <w:szCs w:val="22"/>
      <w:lang w:eastAsia="en-US"/>
    </w:rPr>
  </w:style>
  <w:style w:type="paragraph" w:customStyle="1" w:styleId="amprTable1datacells-Leftaligned">
    <w:name w:val="[ampr Table 1] data cells - Left aligned"/>
    <w:basedOn w:val="BASE-STYLE-TEXT"/>
    <w:qFormat/>
    <w:pPr>
      <w:keepNext/>
      <w:framePr w:hSpace="180" w:wrap="around" w:vAnchor="text" w:hAnchor="margin" w:y="414"/>
      <w:autoSpaceDE w:val="0"/>
      <w:autoSpaceDN w:val="0"/>
      <w:adjustRightInd w:val="0"/>
      <w:spacing w:before="60" w:after="60" w:line="240" w:lineRule="auto"/>
      <w:jc w:val="left"/>
    </w:pPr>
    <w:rPr>
      <w:rFonts w:eastAsiaTheme="minorHAnsi"/>
      <w:color w:val="auto"/>
      <w:sz w:val="20"/>
      <w:szCs w:val="22"/>
      <w:lang w:eastAsia="en-US"/>
    </w:rPr>
  </w:style>
  <w:style w:type="paragraph" w:customStyle="1" w:styleId="amprTable1TH-cols">
    <w:name w:val="[ampr Table 1] TH-cols"/>
    <w:basedOn w:val="BASE-STYLE-TEXT"/>
    <w:qFormat/>
    <w:pPr>
      <w:keepNext/>
      <w:framePr w:hSpace="180" w:wrap="around" w:vAnchor="text" w:hAnchor="margin" w:y="414"/>
      <w:autoSpaceDE w:val="0"/>
      <w:autoSpaceDN w:val="0"/>
      <w:adjustRightInd w:val="0"/>
      <w:spacing w:before="240" w:after="240" w:line="240" w:lineRule="auto"/>
      <w:jc w:val="center"/>
    </w:pPr>
    <w:rPr>
      <w:rFonts w:eastAsiaTheme="minorHAnsi"/>
      <w:b/>
      <w:color w:val="FFFFFF" w:themeColor="background1"/>
      <w:sz w:val="20"/>
      <w:szCs w:val="22"/>
      <w:lang w:eastAsia="en-US"/>
    </w:rPr>
  </w:style>
  <w:style w:type="paragraph" w:customStyle="1" w:styleId="amprTable1TH-rows">
    <w:name w:val="[ampr Table1] TH-rows"/>
    <w:basedOn w:val="BASE-STYLE-TEXT"/>
    <w:qFormat/>
    <w:pPr>
      <w:keepNext/>
      <w:framePr w:hSpace="180" w:wrap="around" w:vAnchor="text" w:hAnchor="margin" w:y="414"/>
      <w:autoSpaceDE w:val="0"/>
      <w:autoSpaceDN w:val="0"/>
      <w:adjustRightInd w:val="0"/>
      <w:spacing w:before="60" w:after="60" w:line="240" w:lineRule="auto"/>
      <w:jc w:val="left"/>
    </w:pPr>
    <w:rPr>
      <w:rFonts w:eastAsiaTheme="minorHAnsi"/>
      <w:b/>
      <w:color w:val="005D95" w:themeColor="accent4"/>
      <w:sz w:val="20"/>
      <w:szCs w:val="22"/>
      <w:lang w:eastAsia="en-US"/>
    </w:rPr>
  </w:style>
  <w:style w:type="paragraph" w:customStyle="1" w:styleId="amprTableBoxORANGEdashedText">
    <w:name w:val="[ampr TableBox ORANGE dashed] Text"/>
    <w:basedOn w:val="BASE-STYLE-TEXT"/>
    <w:qFormat/>
    <w:pPr>
      <w:spacing w:after="0" w:line="240" w:lineRule="auto"/>
    </w:pPr>
    <w:rPr>
      <w:sz w:val="20"/>
    </w:rPr>
  </w:style>
  <w:style w:type="paragraph" w:customStyle="1" w:styleId="amprCharttitle">
    <w:name w:val="[ampr] Chart title"/>
    <w:basedOn w:val="BASE-STYLE-TEXT"/>
    <w:next w:val="amprBodyText"/>
    <w:qFormat/>
    <w:pPr>
      <w:spacing w:before="40" w:after="0" w:line="240" w:lineRule="auto"/>
      <w:jc w:val="left"/>
    </w:pPr>
    <w:rPr>
      <w:rFonts w:ascii="EC Square Sans Cond Pro Medium" w:eastAsia="Calibri" w:hAnsi="EC Square Sans Cond Pro Medium"/>
      <w:color w:val="auto"/>
      <w:sz w:val="16"/>
      <w:szCs w:val="16"/>
      <w:lang w:eastAsia="fr-BE"/>
    </w:rPr>
  </w:style>
  <w:style w:type="paragraph" w:customStyle="1" w:styleId="amprSubhead2">
    <w:name w:val="[ampr] Subhead 2"/>
    <w:basedOn w:val="BASE-STYLE-HEADINGS"/>
    <w:next w:val="amprBodyText"/>
    <w:qFormat/>
    <w:pPr>
      <w:keepNext/>
      <w:keepLines/>
      <w:spacing w:before="480" w:after="240" w:line="240" w:lineRule="auto"/>
      <w:jc w:val="left"/>
    </w:pPr>
    <w:rPr>
      <w:b/>
      <w:color w:val="005D95" w:themeColor="accent4"/>
      <w:sz w:val="24"/>
    </w:rPr>
  </w:style>
  <w:style w:type="paragraph" w:customStyle="1" w:styleId="amprSubhead3">
    <w:name w:val="[ampr] Subhead 3"/>
    <w:basedOn w:val="BASE-STYLE-HEADINGS"/>
    <w:next w:val="amprBodyText"/>
    <w:qFormat/>
    <w:pPr>
      <w:keepNext/>
      <w:keepLines/>
      <w:spacing w:before="240" w:after="240" w:line="240" w:lineRule="auto"/>
      <w:ind w:left="340"/>
      <w:jc w:val="left"/>
    </w:pPr>
    <w:rPr>
      <w:b/>
      <w:color w:val="808080" w:themeColor="background1" w:themeShade="80"/>
      <w:sz w:val="24"/>
      <w14:textOutline w14:w="9525" w14:cap="rnd" w14:cmpd="sng" w14:algn="ctr">
        <w14:noFill/>
        <w14:prstDash w14:val="solid"/>
        <w14:bevel/>
      </w14:textOutline>
    </w:rPr>
  </w:style>
  <w:style w:type="paragraph" w:customStyle="1" w:styleId="amprTITLE1">
    <w:name w:val="[ampr] TITLE 1"/>
    <w:basedOn w:val="BASE-STYLE-HEADINGS"/>
    <w:next w:val="amprBodyText"/>
    <w:qFormat/>
    <w:pPr>
      <w:keepNext/>
      <w:keepLines/>
      <w:numPr>
        <w:numId w:val="27"/>
      </w:numPr>
      <w:spacing w:after="120" w:line="240" w:lineRule="auto"/>
      <w:jc w:val="left"/>
      <w:outlineLvl w:val="0"/>
    </w:pPr>
    <w:rPr>
      <w:color w:val="005D95" w:themeColor="accent4"/>
      <w:sz w:val="52"/>
    </w:rPr>
  </w:style>
  <w:style w:type="paragraph" w:customStyle="1" w:styleId="amprTITLE1-noTOC">
    <w:name w:val="[ampr] TITLE 1 - noTOC"/>
    <w:basedOn w:val="BASE-STYLE-HEADINGS"/>
    <w:qFormat/>
    <w:pPr>
      <w:keepNext/>
      <w:keepLines/>
      <w:pageBreakBefore/>
      <w:spacing w:after="120" w:line="240" w:lineRule="auto"/>
      <w:jc w:val="left"/>
    </w:pPr>
    <w:rPr>
      <w:color w:val="005D95" w:themeColor="accent4"/>
      <w:sz w:val="52"/>
    </w:rPr>
  </w:style>
  <w:style w:type="paragraph" w:customStyle="1" w:styleId="amprSec1TITLE1">
    <w:name w:val="[ampr_Sec1] TITLE 1"/>
    <w:basedOn w:val="BASE-STYLE-HEADINGS"/>
    <w:next w:val="amprBodyText"/>
    <w:qFormat/>
    <w:pPr>
      <w:spacing w:before="7200" w:after="240" w:line="240" w:lineRule="auto"/>
      <w:ind w:left="4196"/>
      <w:jc w:val="left"/>
      <w:outlineLvl w:val="0"/>
    </w:pPr>
    <w:rPr>
      <w:rFonts w:ascii="EC Square Sans Pro Light" w:eastAsiaTheme="minorHAnsi" w:hAnsi="EC Square Sans Pro Light" w:cstheme="minorBidi"/>
      <w:color w:val="005D95" w:themeColor="accent4"/>
      <w:sz w:val="72"/>
      <w:szCs w:val="72"/>
      <w:lang w:eastAsia="en-US"/>
    </w:rPr>
  </w:style>
  <w:style w:type="paragraph" w:customStyle="1" w:styleId="amprSec2TITLE1">
    <w:name w:val="[ampr_Sec2] TITLE 1"/>
    <w:basedOn w:val="BASE-STYLE-HEADINGS"/>
    <w:next w:val="amprBodyText"/>
    <w:qFormat/>
    <w:pPr>
      <w:spacing w:before="7680" w:after="240" w:line="240" w:lineRule="auto"/>
      <w:ind w:left="3856"/>
      <w:jc w:val="left"/>
      <w:outlineLvl w:val="0"/>
    </w:pPr>
    <w:rPr>
      <w:rFonts w:ascii="EC Square Sans Pro Light" w:eastAsiaTheme="minorHAnsi" w:hAnsi="EC Square Sans Pro Light" w:cstheme="minorBidi"/>
      <w:color w:val="005D95" w:themeColor="accent4"/>
      <w:sz w:val="72"/>
      <w:szCs w:val="72"/>
      <w:lang w:eastAsia="en-US"/>
    </w:rPr>
  </w:style>
  <w:style w:type="paragraph" w:customStyle="1" w:styleId="ppo-amprBodyText10pt">
    <w:name w:val="[ppo-ampr] Body Text 10pt"/>
    <w:basedOn w:val="BASE-STYLE-TEXT"/>
    <w:next w:val="Normal"/>
    <w:qFormat/>
    <w:pPr>
      <w:spacing w:after="120" w:line="240" w:lineRule="auto"/>
    </w:pPr>
    <w:rPr>
      <w:sz w:val="20"/>
    </w:rPr>
  </w:style>
  <w:style w:type="numbering" w:styleId="111111">
    <w:name w:val="Outline List 2"/>
    <w:basedOn w:val="NoList"/>
    <w:uiPriority w:val="99"/>
    <w:semiHidden/>
    <w:unhideWhenUsed/>
    <w:pPr>
      <w:numPr>
        <w:numId w:val="4"/>
      </w:numPr>
    </w:pPr>
  </w:style>
  <w:style w:type="numbering" w:styleId="1ai">
    <w:name w:val="Outline List 1"/>
    <w:basedOn w:val="NoList"/>
    <w:uiPriority w:val="99"/>
    <w:semiHidden/>
    <w:unhideWhenUsed/>
    <w:pPr>
      <w:numPr>
        <w:numId w:val="5"/>
      </w:numP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noProof w:val="0"/>
      <w:color w:val="91250A"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noProof w:val="0"/>
      <w:color w:val="DA380F" w:themeColor="accent1" w:themeShade="BF"/>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noProof w:val="0"/>
      <w:color w:val="DA380F"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noProof w:val="0"/>
      <w:color w:val="91250A"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noProof w:val="0"/>
      <w:color w:val="91250A"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noProof w:val="0"/>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noProof w:val="0"/>
      <w:color w:val="272727" w:themeColor="text1" w:themeTint="D8"/>
      <w:sz w:val="21"/>
      <w:szCs w:val="21"/>
    </w:rPr>
  </w:style>
  <w:style w:type="numbering" w:styleId="ArticleSection">
    <w:name w:val="Outline List 3"/>
    <w:basedOn w:val="NoList"/>
    <w:uiPriority w:val="99"/>
    <w:semiHidden/>
    <w:unhideWhenUsed/>
    <w:pPr>
      <w:numPr>
        <w:numId w:val="6"/>
      </w:numPr>
    </w:p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F26A47" w:themeColor="accent1" w:shadow="1"/>
        <w:left w:val="single" w:sz="2" w:space="10" w:color="F26A47" w:themeColor="accent1" w:shadow="1"/>
        <w:bottom w:val="single" w:sz="2" w:space="10" w:color="F26A47" w:themeColor="accent1" w:shadow="1"/>
        <w:right w:val="single" w:sz="2" w:space="10" w:color="F26A47" w:themeColor="accent1" w:shadow="1"/>
      </w:pBdr>
      <w:ind w:left="1152" w:right="1152"/>
    </w:pPr>
    <w:rPr>
      <w:rFonts w:eastAsiaTheme="minorEastAsia"/>
      <w:i/>
      <w:iCs/>
      <w:color w:val="F26A47" w:themeColor="accent1"/>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noProof w:val="0"/>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noProof w:val="0"/>
      <w:sz w:val="16"/>
      <w:szCs w:val="16"/>
    </w:rPr>
  </w:style>
  <w:style w:type="paragraph" w:styleId="BodyTextFirstIndent">
    <w:name w:val="Body Text First Indent"/>
    <w:basedOn w:val="BodyText"/>
    <w:link w:val="BodyTextFirstIndentChar"/>
    <w:uiPriority w:val="99"/>
    <w:semiHidden/>
    <w:unhideWhenUsed/>
    <w:pPr>
      <w:spacing w:after="160" w:line="259" w:lineRule="auto"/>
      <w:ind w:firstLine="360"/>
      <w:jc w:val="left"/>
    </w:pPr>
    <w:rPr>
      <w:rFonts w:asciiTheme="minorHAnsi" w:eastAsiaTheme="minorHAnsi" w:hAnsiTheme="minorHAnsi" w:cstheme="minorBidi"/>
      <w:sz w:val="22"/>
      <w:szCs w:val="22"/>
      <w:lang w:eastAsia="en-US"/>
    </w:rPr>
  </w:style>
  <w:style w:type="character" w:customStyle="1" w:styleId="BodyTextFirstIndentChar">
    <w:name w:val="Body Text First Indent Char"/>
    <w:basedOn w:val="BodyTextChar"/>
    <w:link w:val="BodyTextFirstIndent"/>
    <w:uiPriority w:val="99"/>
    <w:semiHidden/>
    <w:rPr>
      <w:rFonts w:ascii="Times New Roman" w:eastAsia="Times New Roman" w:hAnsi="Times New Roman" w:cs="Times New Roman"/>
      <w:noProof w:val="0"/>
      <w:sz w:val="24"/>
      <w:szCs w:val="20"/>
      <w:lang w:eastAsia="fr-BE"/>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noProof w:val="0"/>
    </w:rPr>
  </w:style>
  <w:style w:type="paragraph" w:styleId="BodyTextFirstIndent2">
    <w:name w:val="Body Text First Indent 2"/>
    <w:basedOn w:val="BodyTextIndent"/>
    <w:link w:val="BodyTextFirstIndent2Char"/>
    <w:uiPriority w:val="99"/>
    <w:semiHidden/>
    <w:unhideWhenUsed/>
    <w:pPr>
      <w:spacing w:after="160"/>
      <w:ind w:left="360" w:firstLine="360"/>
    </w:pPr>
  </w:style>
  <w:style w:type="character" w:customStyle="1" w:styleId="BodyTextFirstIndent2Char">
    <w:name w:val="Body Text First Indent 2 Char"/>
    <w:basedOn w:val="BodyTextIndentChar"/>
    <w:link w:val="BodyTextFirstIndent2"/>
    <w:uiPriority w:val="99"/>
    <w:semiHidden/>
    <w:rPr>
      <w:noProof w:val="0"/>
    </w:r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rPr>
      <w:noProof w:val="0"/>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noProof w:val="0"/>
      <w:sz w:val="16"/>
      <w:szCs w:val="16"/>
    </w:rPr>
  </w:style>
  <w:style w:type="character" w:styleId="BookTitle">
    <w:name w:val="Book Title"/>
    <w:basedOn w:val="DefaultParagraphFont"/>
    <w:uiPriority w:val="33"/>
    <w:semiHidden/>
    <w:qFormat/>
    <w:rPr>
      <w:b/>
      <w:bCs/>
      <w:i/>
      <w:iCs/>
      <w:noProof w:val="0"/>
      <w:spacing w:val="5"/>
    </w:rPr>
  </w:style>
  <w:style w:type="paragraph" w:styleId="Caption">
    <w:name w:val="caption"/>
    <w:basedOn w:val="Normal"/>
    <w:next w:val="Normal"/>
    <w:uiPriority w:val="35"/>
    <w:semiHidden/>
    <w:unhideWhenUsed/>
    <w:qFormat/>
    <w:pPr>
      <w:spacing w:after="200" w:line="240" w:lineRule="auto"/>
    </w:pPr>
    <w:rPr>
      <w:i/>
      <w:iCs/>
      <w:color w:val="203F79" w:themeColor="text2"/>
      <w:sz w:val="18"/>
      <w:szCs w:val="18"/>
    </w:rPr>
  </w:style>
  <w:style w:type="paragraph" w:styleId="Closing">
    <w:name w:val="Closing"/>
    <w:basedOn w:val="Normal"/>
    <w:link w:val="ClosingChar"/>
    <w:uiPriority w:val="99"/>
    <w:semiHidden/>
    <w:unhideWhenUsed/>
    <w:pPr>
      <w:spacing w:after="0" w:line="240" w:lineRule="auto"/>
      <w:ind w:left="4252"/>
    </w:pPr>
  </w:style>
  <w:style w:type="character" w:customStyle="1" w:styleId="ClosingChar">
    <w:name w:val="Closing Char"/>
    <w:basedOn w:val="DefaultParagraphFont"/>
    <w:link w:val="Closing"/>
    <w:uiPriority w:val="99"/>
    <w:semiHidden/>
    <w:rPr>
      <w:noProof w:val="0"/>
    </w:rPr>
  </w:style>
  <w:style w:type="table" w:styleId="ColorfulGrid">
    <w:name w:val="Colorful Grid"/>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0D9" w:themeFill="accent1" w:themeFillTint="33"/>
    </w:tcPr>
    <w:tblStylePr w:type="firstRow">
      <w:rPr>
        <w:b/>
        <w:bCs/>
      </w:rPr>
      <w:tblPr/>
      <w:tcPr>
        <w:shd w:val="clear" w:color="auto" w:fill="F9C3B5" w:themeFill="accent1" w:themeFillTint="66"/>
      </w:tcPr>
    </w:tblStylePr>
    <w:tblStylePr w:type="lastRow">
      <w:rPr>
        <w:b/>
        <w:bCs/>
        <w:color w:val="000000" w:themeColor="text1"/>
      </w:rPr>
      <w:tblPr/>
      <w:tcPr>
        <w:shd w:val="clear" w:color="auto" w:fill="F9C3B5" w:themeFill="accent1" w:themeFillTint="66"/>
      </w:tcPr>
    </w:tblStylePr>
    <w:tblStylePr w:type="firstCol">
      <w:rPr>
        <w:color w:val="FFFFFF" w:themeColor="background1"/>
      </w:rPr>
      <w:tblPr/>
      <w:tcPr>
        <w:shd w:val="clear" w:color="auto" w:fill="DA380F" w:themeFill="accent1" w:themeFillShade="BF"/>
      </w:tcPr>
    </w:tblStylePr>
    <w:tblStylePr w:type="lastCol">
      <w:rPr>
        <w:color w:val="FFFFFF" w:themeColor="background1"/>
      </w:rPr>
      <w:tblPr/>
      <w:tcPr>
        <w:shd w:val="clear" w:color="auto" w:fill="DA380F" w:themeFill="accent1" w:themeFillShade="BF"/>
      </w:tcPr>
    </w:tblStylePr>
    <w:tblStylePr w:type="band1Vert">
      <w:tblPr/>
      <w:tcPr>
        <w:shd w:val="clear" w:color="auto" w:fill="F8B4A3" w:themeFill="accent1" w:themeFillTint="7F"/>
      </w:tcPr>
    </w:tblStylePr>
    <w:tblStylePr w:type="band1Horz">
      <w:tblPr/>
      <w:tcPr>
        <w:shd w:val="clear" w:color="auto" w:fill="F8B4A3"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2" w:themeFillTint="33"/>
    </w:tcPr>
    <w:tblStylePr w:type="firstRow">
      <w:rPr>
        <w:b/>
        <w:bCs/>
      </w:rPr>
      <w:tblPr/>
      <w:tcPr>
        <w:shd w:val="clear" w:color="auto" w:fill="FFE599" w:themeFill="accent2" w:themeFillTint="66"/>
      </w:tcPr>
    </w:tblStylePr>
    <w:tblStylePr w:type="lastRow">
      <w:rPr>
        <w:b/>
        <w:bCs/>
        <w:color w:val="000000" w:themeColor="text1"/>
      </w:rPr>
      <w:tblPr/>
      <w:tcPr>
        <w:shd w:val="clear" w:color="auto" w:fill="FFE599" w:themeFill="accent2" w:themeFillTint="66"/>
      </w:tcPr>
    </w:tblStylePr>
    <w:tblStylePr w:type="firstCol">
      <w:rPr>
        <w:color w:val="FFFFFF" w:themeColor="background1"/>
      </w:rPr>
      <w:tblPr/>
      <w:tcPr>
        <w:shd w:val="clear" w:color="auto" w:fill="BF8F00" w:themeFill="accent2" w:themeFillShade="BF"/>
      </w:tcPr>
    </w:tblStylePr>
    <w:tblStylePr w:type="lastCol">
      <w:rPr>
        <w:color w:val="FFFFFF" w:themeColor="background1"/>
      </w:rPr>
      <w:tblPr/>
      <w:tcPr>
        <w:shd w:val="clear" w:color="auto" w:fill="BF8F00" w:themeFill="accent2" w:themeFillShade="BF"/>
      </w:tcPr>
    </w:tblStylePr>
    <w:tblStylePr w:type="band1Vert">
      <w:tblPr/>
      <w:tcPr>
        <w:shd w:val="clear" w:color="auto" w:fill="FFDF80" w:themeFill="accent2" w:themeFillTint="7F"/>
      </w:tcPr>
    </w:tblStylePr>
    <w:tblStylePr w:type="band1Horz">
      <w:tblPr/>
      <w:tcPr>
        <w:shd w:val="clear" w:color="auto" w:fill="FFDF80"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6E3FF" w:themeFill="accent4" w:themeFillTint="33"/>
    </w:tcPr>
    <w:tblStylePr w:type="firstRow">
      <w:rPr>
        <w:b/>
        <w:bCs/>
      </w:rPr>
      <w:tblPr/>
      <w:tcPr>
        <w:shd w:val="clear" w:color="auto" w:fill="6EC8FF" w:themeFill="accent4" w:themeFillTint="66"/>
      </w:tcPr>
    </w:tblStylePr>
    <w:tblStylePr w:type="lastRow">
      <w:rPr>
        <w:b/>
        <w:bCs/>
        <w:color w:val="000000" w:themeColor="text1"/>
      </w:rPr>
      <w:tblPr/>
      <w:tcPr>
        <w:shd w:val="clear" w:color="auto" w:fill="6EC8FF" w:themeFill="accent4" w:themeFillTint="66"/>
      </w:tcPr>
    </w:tblStylePr>
    <w:tblStylePr w:type="firstCol">
      <w:rPr>
        <w:color w:val="FFFFFF" w:themeColor="background1"/>
      </w:rPr>
      <w:tblPr/>
      <w:tcPr>
        <w:shd w:val="clear" w:color="auto" w:fill="00456F" w:themeFill="accent4" w:themeFillShade="BF"/>
      </w:tcPr>
    </w:tblStylePr>
    <w:tblStylePr w:type="lastCol">
      <w:rPr>
        <w:color w:val="FFFFFF" w:themeColor="background1"/>
      </w:rPr>
      <w:tblPr/>
      <w:tcPr>
        <w:shd w:val="clear" w:color="auto" w:fill="00456F" w:themeFill="accent4" w:themeFillShade="BF"/>
      </w:tcPr>
    </w:tblStylePr>
    <w:tblStylePr w:type="band1Vert">
      <w:tblPr/>
      <w:tcPr>
        <w:shd w:val="clear" w:color="auto" w:fill="4BBBFF" w:themeFill="accent4" w:themeFillTint="7F"/>
      </w:tcPr>
    </w:tblStylePr>
    <w:tblStylePr w:type="band1Horz">
      <w:tblPr/>
      <w:tcPr>
        <w:shd w:val="clear" w:color="auto" w:fill="4BBBFF"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FBF" w:themeFill="accent5" w:themeFillTint="33"/>
    </w:tcPr>
    <w:tblStylePr w:type="firstRow">
      <w:rPr>
        <w:b/>
        <w:bCs/>
      </w:rPr>
      <w:tblPr/>
      <w:tcPr>
        <w:shd w:val="clear" w:color="auto" w:fill="FF7F7F" w:themeFill="accent5" w:themeFillTint="66"/>
      </w:tcPr>
    </w:tblStylePr>
    <w:tblStylePr w:type="lastRow">
      <w:rPr>
        <w:b/>
        <w:bCs/>
        <w:color w:val="000000" w:themeColor="text1"/>
      </w:rPr>
      <w:tblPr/>
      <w:tcPr>
        <w:shd w:val="clear" w:color="auto" w:fill="FF7F7F" w:themeFill="accent5" w:themeFillTint="66"/>
      </w:tcPr>
    </w:tblStylePr>
    <w:tblStylePr w:type="firstCol">
      <w:rPr>
        <w:color w:val="FFFFFF" w:themeColor="background1"/>
      </w:rPr>
      <w:tblPr/>
      <w:tcPr>
        <w:shd w:val="clear" w:color="auto" w:fill="8F0000" w:themeFill="accent5" w:themeFillShade="BF"/>
      </w:tcPr>
    </w:tblStylePr>
    <w:tblStylePr w:type="lastCol">
      <w:rPr>
        <w:color w:val="FFFFFF" w:themeColor="background1"/>
      </w:rPr>
      <w:tblPr/>
      <w:tcPr>
        <w:shd w:val="clear" w:color="auto" w:fill="8F0000" w:themeFill="accent5" w:themeFillShade="BF"/>
      </w:tcPr>
    </w:tblStylePr>
    <w:tblStylePr w:type="band1Vert">
      <w:tblPr/>
      <w:tcPr>
        <w:shd w:val="clear" w:color="auto" w:fill="FF6060" w:themeFill="accent5" w:themeFillTint="7F"/>
      </w:tcPr>
    </w:tblStylePr>
    <w:tblStylePr w:type="band1Horz">
      <w:tblPr/>
      <w:tcPr>
        <w:shd w:val="clear" w:color="auto" w:fill="FF6060"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DAED" w:themeFill="accent6" w:themeFillTint="33"/>
    </w:tcPr>
    <w:tblStylePr w:type="firstRow">
      <w:rPr>
        <w:b/>
        <w:bCs/>
      </w:rPr>
      <w:tblPr/>
      <w:tcPr>
        <w:shd w:val="clear" w:color="auto" w:fill="BAB6DB" w:themeFill="accent6" w:themeFillTint="66"/>
      </w:tcPr>
    </w:tblStylePr>
    <w:tblStylePr w:type="lastRow">
      <w:rPr>
        <w:b/>
        <w:bCs/>
        <w:color w:val="000000" w:themeColor="text1"/>
      </w:rPr>
      <w:tblPr/>
      <w:tcPr>
        <w:shd w:val="clear" w:color="auto" w:fill="BAB6DB" w:themeFill="accent6" w:themeFillTint="66"/>
      </w:tcPr>
    </w:tblStylePr>
    <w:tblStylePr w:type="firstCol">
      <w:rPr>
        <w:color w:val="FFFFFF" w:themeColor="background1"/>
      </w:rPr>
      <w:tblPr/>
      <w:tcPr>
        <w:shd w:val="clear" w:color="auto" w:fill="413B78" w:themeFill="accent6" w:themeFillShade="BF"/>
      </w:tcPr>
    </w:tblStylePr>
    <w:tblStylePr w:type="lastCol">
      <w:rPr>
        <w:color w:val="FFFFFF" w:themeColor="background1"/>
      </w:rPr>
      <w:tblPr/>
      <w:tcPr>
        <w:shd w:val="clear" w:color="auto" w:fill="413B78" w:themeFill="accent6" w:themeFillShade="BF"/>
      </w:tcPr>
    </w:tblStylePr>
    <w:tblStylePr w:type="band1Vert">
      <w:tblPr/>
      <w:tcPr>
        <w:shd w:val="clear" w:color="auto" w:fill="A9A4D2" w:themeFill="accent6" w:themeFillTint="7F"/>
      </w:tcPr>
    </w:tblStylePr>
    <w:tblStylePr w:type="band1Horz">
      <w:tblPr/>
      <w:tcPr>
        <w:shd w:val="clear" w:color="auto" w:fill="A9A4D2"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9900" w:themeFill="accent2" w:themeFillShade="CC"/>
      </w:tcPr>
    </w:tblStylePr>
    <w:tblStylePr w:type="lastRow">
      <w:rPr>
        <w:b/>
        <w:bCs/>
        <w:color w:val="CC9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rPr>
    <w:tblPr>
      <w:tblStyleRowBandSize w:val="1"/>
      <w:tblStyleColBandSize w:val="1"/>
    </w:tblPr>
    <w:tcPr>
      <w:shd w:val="clear" w:color="auto" w:fill="FDF0EC" w:themeFill="accent1" w:themeFillTint="19"/>
    </w:tcPr>
    <w:tblStylePr w:type="firstRow">
      <w:rPr>
        <w:b/>
        <w:bCs/>
        <w:color w:val="FFFFFF" w:themeColor="background1"/>
      </w:rPr>
      <w:tblPr/>
      <w:tcPr>
        <w:tcBorders>
          <w:bottom w:val="single" w:sz="12" w:space="0" w:color="FFFFFF" w:themeColor="background1"/>
        </w:tcBorders>
        <w:shd w:val="clear" w:color="auto" w:fill="CC9900" w:themeFill="accent2" w:themeFillShade="CC"/>
      </w:tcPr>
    </w:tblStylePr>
    <w:tblStylePr w:type="lastRow">
      <w:rPr>
        <w:b/>
        <w:bCs/>
        <w:color w:val="CC9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D1" w:themeFill="accent1" w:themeFillTint="3F"/>
      </w:tcPr>
    </w:tblStylePr>
    <w:tblStylePr w:type="band1Horz">
      <w:tblPr/>
      <w:tcPr>
        <w:shd w:val="clear" w:color="auto" w:fill="FCE0D9"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rPr>
    <w:tblPr>
      <w:tblStyleRowBandSize w:val="1"/>
      <w:tblStyleColBandSize w:val="1"/>
    </w:tblPr>
    <w:tcPr>
      <w:shd w:val="clear" w:color="auto" w:fill="FFF8E6" w:themeFill="accent2" w:themeFillTint="19"/>
    </w:tcPr>
    <w:tblStylePr w:type="firstRow">
      <w:rPr>
        <w:b/>
        <w:bCs/>
        <w:color w:val="FFFFFF" w:themeColor="background1"/>
      </w:rPr>
      <w:tblPr/>
      <w:tcPr>
        <w:tcBorders>
          <w:bottom w:val="single" w:sz="12" w:space="0" w:color="FFFFFF" w:themeColor="background1"/>
        </w:tcBorders>
        <w:shd w:val="clear" w:color="auto" w:fill="CC9900" w:themeFill="accent2" w:themeFillShade="CC"/>
      </w:tcPr>
    </w:tblStylePr>
    <w:tblStylePr w:type="lastRow">
      <w:rPr>
        <w:b/>
        <w:bCs/>
        <w:color w:val="CC9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2" w:themeFillTint="3F"/>
      </w:tcPr>
    </w:tblStylePr>
    <w:tblStylePr w:type="band1Horz">
      <w:tblPr/>
      <w:tcPr>
        <w:shd w:val="clear" w:color="auto" w:fill="FFF2CC"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004A77" w:themeFill="accent4" w:themeFillShade="CC"/>
      </w:tcPr>
    </w:tblStylePr>
    <w:tblStylePr w:type="lastRow">
      <w:rPr>
        <w:b/>
        <w:bCs/>
        <w:color w:val="004A7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rPr>
    <w:tblPr>
      <w:tblStyleRowBandSize w:val="1"/>
      <w:tblStyleColBandSize w:val="1"/>
    </w:tblPr>
    <w:tcPr>
      <w:shd w:val="clear" w:color="auto" w:fill="DBF1FF"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5DDFF" w:themeFill="accent4" w:themeFillTint="3F"/>
      </w:tcPr>
    </w:tblStylePr>
    <w:tblStylePr w:type="band1Horz">
      <w:tblPr/>
      <w:tcPr>
        <w:shd w:val="clear" w:color="auto" w:fill="B6E3FF"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rPr>
    <w:tblPr>
      <w:tblStyleRowBandSize w:val="1"/>
      <w:tblStyleColBandSize w:val="1"/>
    </w:tblPr>
    <w:tcPr>
      <w:shd w:val="clear" w:color="auto" w:fill="FFDFDF" w:themeFill="accent5" w:themeFillTint="19"/>
    </w:tcPr>
    <w:tblStylePr w:type="firstRow">
      <w:rPr>
        <w:b/>
        <w:bCs/>
        <w:color w:val="FFFFFF" w:themeColor="background1"/>
      </w:rPr>
      <w:tblPr/>
      <w:tcPr>
        <w:tcBorders>
          <w:bottom w:val="single" w:sz="12" w:space="0" w:color="FFFFFF" w:themeColor="background1"/>
        </w:tcBorders>
        <w:shd w:val="clear" w:color="auto" w:fill="463F80" w:themeFill="accent6" w:themeFillShade="CC"/>
      </w:tcPr>
    </w:tblStylePr>
    <w:tblStylePr w:type="lastRow">
      <w:rPr>
        <w:b/>
        <w:bCs/>
        <w:color w:val="463F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5" w:themeFillTint="3F"/>
      </w:tcPr>
    </w:tblStylePr>
    <w:tblStylePr w:type="band1Horz">
      <w:tblPr/>
      <w:tcPr>
        <w:shd w:val="clear" w:color="auto" w:fill="FFBFBF"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rPr>
    <w:tblPr>
      <w:tblStyleRowBandSize w:val="1"/>
      <w:tblStyleColBandSize w:val="1"/>
    </w:tblPr>
    <w:tcPr>
      <w:shd w:val="clear" w:color="auto" w:fill="EDEDF6" w:themeFill="accent6" w:themeFillTint="19"/>
    </w:tcPr>
    <w:tblStylePr w:type="firstRow">
      <w:rPr>
        <w:b/>
        <w:bCs/>
        <w:color w:val="FFFFFF" w:themeColor="background1"/>
      </w:rPr>
      <w:tblPr/>
      <w:tcPr>
        <w:tcBorders>
          <w:bottom w:val="single" w:sz="12" w:space="0" w:color="FFFFFF" w:themeColor="background1"/>
        </w:tcBorders>
        <w:shd w:val="clear" w:color="auto" w:fill="990000" w:themeFill="accent5" w:themeFillShade="CC"/>
      </w:tcPr>
    </w:tblStylePr>
    <w:tblStylePr w:type="lastRow">
      <w:rPr>
        <w:b/>
        <w:bCs/>
        <w:color w:val="99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2E9" w:themeFill="accent6" w:themeFillTint="3F"/>
      </w:tcPr>
    </w:tblStylePr>
    <w:tblStylePr w:type="band1Horz">
      <w:tblPr/>
      <w:tcPr>
        <w:shd w:val="clear" w:color="auto" w:fill="DCDAED"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rPr>
    <w:tblPr>
      <w:tblStyleRowBandSize w:val="1"/>
      <w:tblStyleColBandSize w:val="1"/>
      <w:tblBorders>
        <w:top w:val="single" w:sz="24" w:space="0" w:color="FFC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C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rPr>
    <w:tblPr>
      <w:tblStyleRowBandSize w:val="1"/>
      <w:tblStyleColBandSize w:val="1"/>
      <w:tblBorders>
        <w:top w:val="single" w:sz="24" w:space="0" w:color="FFC000" w:themeColor="accent2"/>
        <w:left w:val="single" w:sz="4" w:space="0" w:color="F26A47" w:themeColor="accent1"/>
        <w:bottom w:val="single" w:sz="4" w:space="0" w:color="F26A47" w:themeColor="accent1"/>
        <w:right w:val="single" w:sz="4" w:space="0" w:color="F26A47" w:themeColor="accent1"/>
        <w:insideH w:val="single" w:sz="4" w:space="0" w:color="FFFFFF" w:themeColor="background1"/>
        <w:insideV w:val="single" w:sz="4" w:space="0" w:color="FFFFFF" w:themeColor="background1"/>
      </w:tblBorders>
    </w:tblPr>
    <w:tcPr>
      <w:shd w:val="clear" w:color="auto" w:fill="FDF0EC" w:themeFill="accent1" w:themeFillTint="19"/>
    </w:tcPr>
    <w:tblStylePr w:type="firstRow">
      <w:rPr>
        <w:b/>
        <w:bCs/>
      </w:rPr>
      <w:tblPr/>
      <w:tcPr>
        <w:tcBorders>
          <w:top w:val="nil"/>
          <w:left w:val="nil"/>
          <w:bottom w:val="single" w:sz="24" w:space="0" w:color="FFC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2D0C" w:themeFill="accent1" w:themeFillShade="99"/>
      </w:tcPr>
    </w:tblStylePr>
    <w:tblStylePr w:type="firstCol">
      <w:rPr>
        <w:color w:val="FFFFFF" w:themeColor="background1"/>
      </w:rPr>
      <w:tblPr/>
      <w:tcPr>
        <w:tcBorders>
          <w:top w:val="nil"/>
          <w:left w:val="nil"/>
          <w:bottom w:val="nil"/>
          <w:right w:val="nil"/>
          <w:insideH w:val="single" w:sz="4" w:space="0" w:color="AF2D0C" w:themeColor="accent1" w:themeShade="99"/>
          <w:insideV w:val="nil"/>
        </w:tcBorders>
        <w:shd w:val="clear" w:color="auto" w:fill="AF2D0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F2D0C" w:themeFill="accent1" w:themeFillShade="99"/>
      </w:tcPr>
    </w:tblStylePr>
    <w:tblStylePr w:type="band1Vert">
      <w:tblPr/>
      <w:tcPr>
        <w:shd w:val="clear" w:color="auto" w:fill="F9C3B5" w:themeFill="accent1" w:themeFillTint="66"/>
      </w:tcPr>
    </w:tblStylePr>
    <w:tblStylePr w:type="band1Horz">
      <w:tblPr/>
      <w:tcPr>
        <w:shd w:val="clear" w:color="auto" w:fill="F8B4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rPr>
    <w:tblPr>
      <w:tblStyleRowBandSize w:val="1"/>
      <w:tblStyleColBandSize w:val="1"/>
      <w:tblBorders>
        <w:top w:val="single" w:sz="24" w:space="0" w:color="FFC000" w:themeColor="accent2"/>
        <w:left w:val="single" w:sz="4" w:space="0" w:color="FFC000" w:themeColor="accent2"/>
        <w:bottom w:val="single" w:sz="4" w:space="0" w:color="FFC000" w:themeColor="accent2"/>
        <w:right w:val="single" w:sz="4" w:space="0" w:color="FFC000" w:themeColor="accent2"/>
        <w:insideH w:val="single" w:sz="4" w:space="0" w:color="FFFFFF" w:themeColor="background1"/>
        <w:insideV w:val="single" w:sz="4" w:space="0" w:color="FFFFFF" w:themeColor="background1"/>
      </w:tblBorders>
    </w:tblPr>
    <w:tcPr>
      <w:shd w:val="clear" w:color="auto" w:fill="FFF8E6" w:themeFill="accent2" w:themeFillTint="19"/>
    </w:tcPr>
    <w:tblStylePr w:type="firstRow">
      <w:rPr>
        <w:b/>
        <w:bCs/>
      </w:rPr>
      <w:tblPr/>
      <w:tcPr>
        <w:tcBorders>
          <w:top w:val="nil"/>
          <w:left w:val="nil"/>
          <w:bottom w:val="single" w:sz="24" w:space="0" w:color="FFC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2" w:themeFillShade="99"/>
      </w:tcPr>
    </w:tblStylePr>
    <w:tblStylePr w:type="firstCol">
      <w:rPr>
        <w:color w:val="FFFFFF" w:themeColor="background1"/>
      </w:rPr>
      <w:tblPr/>
      <w:tcPr>
        <w:tcBorders>
          <w:top w:val="nil"/>
          <w:left w:val="nil"/>
          <w:bottom w:val="nil"/>
          <w:right w:val="nil"/>
          <w:insideH w:val="single" w:sz="4" w:space="0" w:color="997300" w:themeColor="accent2" w:themeShade="99"/>
          <w:insideV w:val="nil"/>
        </w:tcBorders>
        <w:shd w:val="clear" w:color="auto" w:fill="9973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2" w:themeFillShade="99"/>
      </w:tcPr>
    </w:tblStylePr>
    <w:tblStylePr w:type="band1Vert">
      <w:tblPr/>
      <w:tcPr>
        <w:shd w:val="clear" w:color="auto" w:fill="FFE599" w:themeFill="accent2" w:themeFillTint="66"/>
      </w:tcPr>
    </w:tblStylePr>
    <w:tblStylePr w:type="band1Horz">
      <w:tblPr/>
      <w:tcPr>
        <w:shd w:val="clear" w:color="auto" w:fill="FFDF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rPr>
    <w:tblPr>
      <w:tblStyleRowBandSize w:val="1"/>
      <w:tblStyleColBandSize w:val="1"/>
      <w:tblBorders>
        <w:top w:val="single" w:sz="24" w:space="0" w:color="005D95"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005D9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rPr>
    <w:tblPr>
      <w:tblStyleRowBandSize w:val="1"/>
      <w:tblStyleColBandSize w:val="1"/>
      <w:tblBorders>
        <w:top w:val="single" w:sz="24" w:space="0" w:color="00B050" w:themeColor="accent3"/>
        <w:left w:val="single" w:sz="4" w:space="0" w:color="005D95" w:themeColor="accent4"/>
        <w:bottom w:val="single" w:sz="4" w:space="0" w:color="005D95" w:themeColor="accent4"/>
        <w:right w:val="single" w:sz="4" w:space="0" w:color="005D95" w:themeColor="accent4"/>
        <w:insideH w:val="single" w:sz="4" w:space="0" w:color="FFFFFF" w:themeColor="background1"/>
        <w:insideV w:val="single" w:sz="4" w:space="0" w:color="FFFFFF" w:themeColor="background1"/>
      </w:tblBorders>
    </w:tblPr>
    <w:tcPr>
      <w:shd w:val="clear" w:color="auto" w:fill="DBF1FF"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59" w:themeFill="accent4" w:themeFillShade="99"/>
      </w:tcPr>
    </w:tblStylePr>
    <w:tblStylePr w:type="firstCol">
      <w:rPr>
        <w:color w:val="FFFFFF" w:themeColor="background1"/>
      </w:rPr>
      <w:tblPr/>
      <w:tcPr>
        <w:tcBorders>
          <w:top w:val="nil"/>
          <w:left w:val="nil"/>
          <w:bottom w:val="nil"/>
          <w:right w:val="nil"/>
          <w:insideH w:val="single" w:sz="4" w:space="0" w:color="003759" w:themeColor="accent4" w:themeShade="99"/>
          <w:insideV w:val="nil"/>
        </w:tcBorders>
        <w:shd w:val="clear" w:color="auto" w:fill="00375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759" w:themeFill="accent4" w:themeFillShade="99"/>
      </w:tcPr>
    </w:tblStylePr>
    <w:tblStylePr w:type="band1Vert">
      <w:tblPr/>
      <w:tcPr>
        <w:shd w:val="clear" w:color="auto" w:fill="6EC8FF" w:themeFill="accent4" w:themeFillTint="66"/>
      </w:tcPr>
    </w:tblStylePr>
    <w:tblStylePr w:type="band1Horz">
      <w:tblPr/>
      <w:tcPr>
        <w:shd w:val="clear" w:color="auto" w:fill="4B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rPr>
    <w:tblPr>
      <w:tblStyleRowBandSize w:val="1"/>
      <w:tblStyleColBandSize w:val="1"/>
      <w:tblBorders>
        <w:top w:val="single" w:sz="24" w:space="0" w:color="584FA1" w:themeColor="accent6"/>
        <w:left w:val="single" w:sz="4" w:space="0" w:color="C00000" w:themeColor="accent5"/>
        <w:bottom w:val="single" w:sz="4" w:space="0" w:color="C00000" w:themeColor="accent5"/>
        <w:right w:val="single" w:sz="4" w:space="0" w:color="C00000" w:themeColor="accent5"/>
        <w:insideH w:val="single" w:sz="4" w:space="0" w:color="FFFFFF" w:themeColor="background1"/>
        <w:insideV w:val="single" w:sz="4" w:space="0" w:color="FFFFFF" w:themeColor="background1"/>
      </w:tblBorders>
    </w:tblPr>
    <w:tcPr>
      <w:shd w:val="clear" w:color="auto" w:fill="FFDFDF" w:themeFill="accent5" w:themeFillTint="19"/>
    </w:tcPr>
    <w:tblStylePr w:type="firstRow">
      <w:rPr>
        <w:b/>
        <w:bCs/>
      </w:rPr>
      <w:tblPr/>
      <w:tcPr>
        <w:tcBorders>
          <w:top w:val="nil"/>
          <w:left w:val="nil"/>
          <w:bottom w:val="single" w:sz="24" w:space="0" w:color="584F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5" w:themeFillShade="99"/>
      </w:tcPr>
    </w:tblStylePr>
    <w:tblStylePr w:type="firstCol">
      <w:rPr>
        <w:color w:val="FFFFFF" w:themeColor="background1"/>
      </w:rPr>
      <w:tblPr/>
      <w:tcPr>
        <w:tcBorders>
          <w:top w:val="nil"/>
          <w:left w:val="nil"/>
          <w:bottom w:val="nil"/>
          <w:right w:val="nil"/>
          <w:insideH w:val="single" w:sz="4" w:space="0" w:color="730000" w:themeColor="accent5" w:themeShade="99"/>
          <w:insideV w:val="nil"/>
        </w:tcBorders>
        <w:shd w:val="clear" w:color="auto" w:fill="730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5" w:themeFillShade="99"/>
      </w:tcPr>
    </w:tblStylePr>
    <w:tblStylePr w:type="band1Vert">
      <w:tblPr/>
      <w:tcPr>
        <w:shd w:val="clear" w:color="auto" w:fill="FF7F7F" w:themeFill="accent5" w:themeFillTint="66"/>
      </w:tcPr>
    </w:tblStylePr>
    <w:tblStylePr w:type="band1Horz">
      <w:tblPr/>
      <w:tcPr>
        <w:shd w:val="clear" w:color="auto" w:fill="FF606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rPr>
    <w:tblPr>
      <w:tblStyleRowBandSize w:val="1"/>
      <w:tblStyleColBandSize w:val="1"/>
      <w:tblBorders>
        <w:top w:val="single" w:sz="24" w:space="0" w:color="C00000" w:themeColor="accent5"/>
        <w:left w:val="single" w:sz="4" w:space="0" w:color="584FA1" w:themeColor="accent6"/>
        <w:bottom w:val="single" w:sz="4" w:space="0" w:color="584FA1" w:themeColor="accent6"/>
        <w:right w:val="single" w:sz="4" w:space="0" w:color="584FA1" w:themeColor="accent6"/>
        <w:insideH w:val="single" w:sz="4" w:space="0" w:color="FFFFFF" w:themeColor="background1"/>
        <w:insideV w:val="single" w:sz="4" w:space="0" w:color="FFFFFF" w:themeColor="background1"/>
      </w:tblBorders>
    </w:tblPr>
    <w:tcPr>
      <w:shd w:val="clear" w:color="auto" w:fill="EDEDF6" w:themeFill="accent6" w:themeFillTint="19"/>
    </w:tcPr>
    <w:tblStylePr w:type="firstRow">
      <w:rPr>
        <w:b/>
        <w:bCs/>
      </w:rPr>
      <w:tblPr/>
      <w:tcPr>
        <w:tcBorders>
          <w:top w:val="nil"/>
          <w:left w:val="nil"/>
          <w:bottom w:val="single" w:sz="24" w:space="0" w:color="C000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2F60" w:themeFill="accent6" w:themeFillShade="99"/>
      </w:tcPr>
    </w:tblStylePr>
    <w:tblStylePr w:type="firstCol">
      <w:rPr>
        <w:color w:val="FFFFFF" w:themeColor="background1"/>
      </w:rPr>
      <w:tblPr/>
      <w:tcPr>
        <w:tcBorders>
          <w:top w:val="nil"/>
          <w:left w:val="nil"/>
          <w:bottom w:val="nil"/>
          <w:right w:val="nil"/>
          <w:insideH w:val="single" w:sz="4" w:space="0" w:color="342F60" w:themeColor="accent6" w:themeShade="99"/>
          <w:insideV w:val="nil"/>
        </w:tcBorders>
        <w:shd w:val="clear" w:color="auto" w:fill="342F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42F60" w:themeFill="accent6" w:themeFillShade="99"/>
      </w:tcPr>
    </w:tblStylePr>
    <w:tblStylePr w:type="band1Vert">
      <w:tblPr/>
      <w:tcPr>
        <w:shd w:val="clear" w:color="auto" w:fill="BAB6DB" w:themeFill="accent6" w:themeFillTint="66"/>
      </w:tcPr>
    </w:tblStylePr>
    <w:tblStylePr w:type="band1Horz">
      <w:tblPr/>
      <w:tcPr>
        <w:shd w:val="clear" w:color="auto" w:fill="A9A4D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rPr>
    <w:tblPr>
      <w:tblStyleRowBandSize w:val="1"/>
      <w:tblStyleColBandSize w:val="1"/>
    </w:tblPr>
    <w:tcPr>
      <w:shd w:val="clear" w:color="auto" w:fill="F26A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250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A380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A380F" w:themeFill="accent1" w:themeFillShade="BF"/>
      </w:tcPr>
    </w:tblStylePr>
    <w:tblStylePr w:type="band1Vert">
      <w:tblPr/>
      <w:tcPr>
        <w:tcBorders>
          <w:top w:val="nil"/>
          <w:left w:val="nil"/>
          <w:bottom w:val="nil"/>
          <w:right w:val="nil"/>
          <w:insideH w:val="nil"/>
          <w:insideV w:val="nil"/>
        </w:tcBorders>
        <w:shd w:val="clear" w:color="auto" w:fill="DA380F" w:themeFill="accent1" w:themeFillShade="BF"/>
      </w:tcPr>
    </w:tblStylePr>
    <w:tblStylePr w:type="band1Horz">
      <w:tblPr/>
      <w:tcPr>
        <w:tcBorders>
          <w:top w:val="nil"/>
          <w:left w:val="nil"/>
          <w:bottom w:val="nil"/>
          <w:right w:val="nil"/>
          <w:insideH w:val="nil"/>
          <w:insideV w:val="nil"/>
        </w:tcBorders>
        <w:shd w:val="clear" w:color="auto" w:fill="DA380F"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rPr>
    <w:tblPr>
      <w:tblStyleRowBandSize w:val="1"/>
      <w:tblStyleColBandSize w:val="1"/>
    </w:tblPr>
    <w:tcPr>
      <w:shd w:val="clear" w:color="auto" w:fill="FFC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2" w:themeFillShade="BF"/>
      </w:tcPr>
    </w:tblStylePr>
    <w:tblStylePr w:type="band1Vert">
      <w:tblPr/>
      <w:tcPr>
        <w:tcBorders>
          <w:top w:val="nil"/>
          <w:left w:val="nil"/>
          <w:bottom w:val="nil"/>
          <w:right w:val="nil"/>
          <w:insideH w:val="nil"/>
          <w:insideV w:val="nil"/>
        </w:tcBorders>
        <w:shd w:val="clear" w:color="auto" w:fill="BF8F00" w:themeFill="accent2" w:themeFillShade="BF"/>
      </w:tcPr>
    </w:tblStylePr>
    <w:tblStylePr w:type="band1Horz">
      <w:tblPr/>
      <w:tcPr>
        <w:tcBorders>
          <w:top w:val="nil"/>
          <w:left w:val="nil"/>
          <w:bottom w:val="nil"/>
          <w:right w:val="nil"/>
          <w:insideH w:val="nil"/>
          <w:insideV w:val="nil"/>
        </w:tcBorders>
        <w:shd w:val="clear" w:color="auto" w:fill="BF8F00"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rPr>
    <w:tblPr>
      <w:tblStyleRowBandSize w:val="1"/>
      <w:tblStyleColBandSize w:val="1"/>
    </w:tblPr>
    <w:tcPr>
      <w:shd w:val="clear" w:color="auto" w:fill="005D9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E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56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56F" w:themeFill="accent4" w:themeFillShade="BF"/>
      </w:tcPr>
    </w:tblStylePr>
    <w:tblStylePr w:type="band1Vert">
      <w:tblPr/>
      <w:tcPr>
        <w:tcBorders>
          <w:top w:val="nil"/>
          <w:left w:val="nil"/>
          <w:bottom w:val="nil"/>
          <w:right w:val="nil"/>
          <w:insideH w:val="nil"/>
          <w:insideV w:val="nil"/>
        </w:tcBorders>
        <w:shd w:val="clear" w:color="auto" w:fill="00456F" w:themeFill="accent4" w:themeFillShade="BF"/>
      </w:tcPr>
    </w:tblStylePr>
    <w:tblStylePr w:type="band1Horz">
      <w:tblPr/>
      <w:tcPr>
        <w:tcBorders>
          <w:top w:val="nil"/>
          <w:left w:val="nil"/>
          <w:bottom w:val="nil"/>
          <w:right w:val="nil"/>
          <w:insideH w:val="nil"/>
          <w:insideV w:val="nil"/>
        </w:tcBorders>
        <w:shd w:val="clear" w:color="auto" w:fill="00456F"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rPr>
    <w:tblPr>
      <w:tblStyleRowBandSize w:val="1"/>
      <w:tblStyleColBandSize w:val="1"/>
    </w:tblPr>
    <w:tcPr>
      <w:shd w:val="clear" w:color="auto" w:fill="C000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5" w:themeFillShade="BF"/>
      </w:tcPr>
    </w:tblStylePr>
    <w:tblStylePr w:type="band1Vert">
      <w:tblPr/>
      <w:tcPr>
        <w:tcBorders>
          <w:top w:val="nil"/>
          <w:left w:val="nil"/>
          <w:bottom w:val="nil"/>
          <w:right w:val="nil"/>
          <w:insideH w:val="nil"/>
          <w:insideV w:val="nil"/>
        </w:tcBorders>
        <w:shd w:val="clear" w:color="auto" w:fill="8F0000" w:themeFill="accent5" w:themeFillShade="BF"/>
      </w:tcPr>
    </w:tblStylePr>
    <w:tblStylePr w:type="band1Horz">
      <w:tblPr/>
      <w:tcPr>
        <w:tcBorders>
          <w:top w:val="nil"/>
          <w:left w:val="nil"/>
          <w:bottom w:val="nil"/>
          <w:right w:val="nil"/>
          <w:insideH w:val="nil"/>
          <w:insideV w:val="nil"/>
        </w:tcBorders>
        <w:shd w:val="clear" w:color="auto" w:fill="8F0000"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rPr>
    <w:tblPr>
      <w:tblStyleRowBandSize w:val="1"/>
      <w:tblStyleColBandSize w:val="1"/>
    </w:tblPr>
    <w:tcPr>
      <w:shd w:val="clear" w:color="auto" w:fill="584F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27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13B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13B78" w:themeFill="accent6" w:themeFillShade="BF"/>
      </w:tcPr>
    </w:tblStylePr>
    <w:tblStylePr w:type="band1Vert">
      <w:tblPr/>
      <w:tcPr>
        <w:tcBorders>
          <w:top w:val="nil"/>
          <w:left w:val="nil"/>
          <w:bottom w:val="nil"/>
          <w:right w:val="nil"/>
          <w:insideH w:val="nil"/>
          <w:insideV w:val="nil"/>
        </w:tcBorders>
        <w:shd w:val="clear" w:color="auto" w:fill="413B78" w:themeFill="accent6" w:themeFillShade="BF"/>
      </w:tcPr>
    </w:tblStylePr>
    <w:tblStylePr w:type="band1Horz">
      <w:tblPr/>
      <w:tcPr>
        <w:tcBorders>
          <w:top w:val="nil"/>
          <w:left w:val="nil"/>
          <w:bottom w:val="nil"/>
          <w:right w:val="nil"/>
          <w:insideH w:val="nil"/>
          <w:insideV w:val="nil"/>
        </w:tcBorders>
        <w:shd w:val="clear" w:color="auto" w:fill="413B78"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noProof w:val="0"/>
    </w:rPr>
  </w:style>
  <w:style w:type="paragraph" w:styleId="DocumentMap">
    <w:name w:val="Document Map"/>
    <w:basedOn w:val="Normal"/>
    <w:link w:val="DocumentMapChar"/>
    <w:uiPriority w:val="99"/>
    <w:semiHidden/>
    <w:unhideWhenUse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noProof w:val="0"/>
      <w:sz w:val="16"/>
      <w:szCs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rPr>
      <w:noProof w:val="0"/>
    </w:rPr>
  </w:style>
  <w:style w:type="character" w:styleId="Emphasis">
    <w:name w:val="Emphasis"/>
    <w:basedOn w:val="DefaultParagraphFont"/>
    <w:uiPriority w:val="20"/>
    <w:semiHidden/>
    <w:qFormat/>
    <w:rPr>
      <w:i/>
      <w:iCs/>
      <w:noProof w:val="0"/>
    </w:rPr>
  </w:style>
  <w:style w:type="character" w:styleId="EndnoteReference">
    <w:name w:val="endnote reference"/>
    <w:basedOn w:val="DefaultParagraphFont"/>
    <w:uiPriority w:val="99"/>
    <w:semiHidden/>
    <w:unhideWhenUsed/>
    <w:rPr>
      <w:noProof w:val="0"/>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noProof w:val="0"/>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Pr>
      <w:noProof w:val="0"/>
      <w:color w:val="005D95" w:themeColor="followedHyperlink"/>
      <w:u w:val="single"/>
    </w:rPr>
  </w:style>
  <w:style w:type="table" w:customStyle="1"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pPr>
      <w:spacing w:after="0" w:line="240" w:lineRule="auto"/>
    </w:pPr>
    <w:tblPr>
      <w:tblStyleRowBandSize w:val="1"/>
      <w:tblStyleColBandSize w:val="1"/>
      <w:tblBorders>
        <w:top w:val="single" w:sz="4" w:space="0" w:color="FFE599" w:themeColor="accent2" w:themeTint="66"/>
        <w:left w:val="single" w:sz="4" w:space="0" w:color="FFE599" w:themeColor="accent2" w:themeTint="66"/>
        <w:bottom w:val="single" w:sz="4" w:space="0" w:color="FFE599" w:themeColor="accent2" w:themeTint="66"/>
        <w:right w:val="single" w:sz="4" w:space="0" w:color="FFE599" w:themeColor="accent2" w:themeTint="66"/>
        <w:insideH w:val="single" w:sz="4" w:space="0" w:color="FFE599" w:themeColor="accent2" w:themeTint="66"/>
        <w:insideV w:val="single" w:sz="4" w:space="0" w:color="FFE599" w:themeColor="accent2" w:themeTint="66"/>
      </w:tblBorders>
    </w:tblPr>
    <w:tblStylePr w:type="firstRow">
      <w:rPr>
        <w:b/>
        <w:bCs/>
      </w:rPr>
      <w:tblPr/>
      <w:tcPr>
        <w:tcBorders>
          <w:bottom w:val="single" w:sz="12" w:space="0" w:color="FFD966" w:themeColor="accent2" w:themeTint="99"/>
        </w:tcBorders>
      </w:tcPr>
    </w:tblStylePr>
    <w:tblStylePr w:type="lastRow">
      <w:rPr>
        <w:b/>
        <w:bCs/>
      </w:rPr>
      <w:tblPr/>
      <w:tcPr>
        <w:tcBorders>
          <w:top w:val="double" w:sz="2" w:space="0" w:color="FFD966"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pPr>
      <w:spacing w:after="0" w:line="240" w:lineRule="auto"/>
    </w:pPr>
    <w:tblPr>
      <w:tblStyleRowBandSize w:val="1"/>
      <w:tblStyleColBandSize w:val="1"/>
      <w:tblBorders>
        <w:top w:val="single" w:sz="4" w:space="0" w:color="79FFB5" w:themeColor="accent3" w:themeTint="66"/>
        <w:left w:val="single" w:sz="4" w:space="0" w:color="79FFB5" w:themeColor="accent3" w:themeTint="66"/>
        <w:bottom w:val="single" w:sz="4" w:space="0" w:color="79FFB5" w:themeColor="accent3" w:themeTint="66"/>
        <w:right w:val="single" w:sz="4" w:space="0" w:color="79FFB5" w:themeColor="accent3" w:themeTint="66"/>
        <w:insideH w:val="single" w:sz="4" w:space="0" w:color="79FFB5" w:themeColor="accent3" w:themeTint="66"/>
        <w:insideV w:val="single" w:sz="4" w:space="0" w:color="79FFB5" w:themeColor="accent3" w:themeTint="66"/>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2" w:space="0" w:color="36FF90"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pPr>
      <w:spacing w:after="0" w:line="240" w:lineRule="auto"/>
    </w:pPr>
    <w:tblPr>
      <w:tblStyleRowBandSize w:val="1"/>
      <w:tblStyleColBandSize w:val="1"/>
      <w:tblBorders>
        <w:top w:val="single" w:sz="4" w:space="0" w:color="6EC8FF" w:themeColor="accent4" w:themeTint="66"/>
        <w:left w:val="single" w:sz="4" w:space="0" w:color="6EC8FF" w:themeColor="accent4" w:themeTint="66"/>
        <w:bottom w:val="single" w:sz="4" w:space="0" w:color="6EC8FF" w:themeColor="accent4" w:themeTint="66"/>
        <w:right w:val="single" w:sz="4" w:space="0" w:color="6EC8FF" w:themeColor="accent4" w:themeTint="66"/>
        <w:insideH w:val="single" w:sz="4" w:space="0" w:color="6EC8FF" w:themeColor="accent4" w:themeTint="66"/>
        <w:insideV w:val="single" w:sz="4" w:space="0" w:color="6EC8FF" w:themeColor="accent4" w:themeTint="66"/>
      </w:tblBorders>
    </w:tblPr>
    <w:tblStylePr w:type="firstRow">
      <w:rPr>
        <w:b/>
        <w:bCs/>
      </w:rPr>
      <w:tblPr/>
      <w:tcPr>
        <w:tcBorders>
          <w:bottom w:val="single" w:sz="12" w:space="0" w:color="26ADFF" w:themeColor="accent4" w:themeTint="99"/>
        </w:tcBorders>
      </w:tcPr>
    </w:tblStylePr>
    <w:tblStylePr w:type="lastRow">
      <w:rPr>
        <w:b/>
        <w:bCs/>
      </w:rPr>
      <w:tblPr/>
      <w:tcPr>
        <w:tcBorders>
          <w:top w:val="double" w:sz="2" w:space="0" w:color="26ADF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pPr>
      <w:spacing w:after="0" w:line="240" w:lineRule="auto"/>
    </w:pPr>
    <w:tblPr>
      <w:tblStyleRowBandSize w:val="1"/>
      <w:tblStyleColBandSize w:val="1"/>
      <w:tblBorders>
        <w:top w:val="single" w:sz="4" w:space="0" w:color="FF7F7F" w:themeColor="accent5" w:themeTint="66"/>
        <w:left w:val="single" w:sz="4" w:space="0" w:color="FF7F7F" w:themeColor="accent5" w:themeTint="66"/>
        <w:bottom w:val="single" w:sz="4" w:space="0" w:color="FF7F7F" w:themeColor="accent5" w:themeTint="66"/>
        <w:right w:val="single" w:sz="4" w:space="0" w:color="FF7F7F" w:themeColor="accent5" w:themeTint="66"/>
        <w:insideH w:val="single" w:sz="4" w:space="0" w:color="FF7F7F" w:themeColor="accent5" w:themeTint="66"/>
        <w:insideV w:val="single" w:sz="4" w:space="0" w:color="FF7F7F" w:themeColor="accent5" w:themeTint="66"/>
      </w:tblBorders>
    </w:tblPr>
    <w:tblStylePr w:type="firstRow">
      <w:rPr>
        <w:b/>
        <w:bCs/>
      </w:rPr>
      <w:tblPr/>
      <w:tcPr>
        <w:tcBorders>
          <w:bottom w:val="single" w:sz="12" w:space="0" w:color="FF4040" w:themeColor="accent5" w:themeTint="99"/>
        </w:tcBorders>
      </w:tcPr>
    </w:tblStylePr>
    <w:tblStylePr w:type="lastRow">
      <w:rPr>
        <w:b/>
        <w:bCs/>
      </w:rPr>
      <w:tblPr/>
      <w:tcPr>
        <w:tcBorders>
          <w:top w:val="double" w:sz="2" w:space="0" w:color="FF4040"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pPr>
      <w:spacing w:after="0" w:line="240" w:lineRule="auto"/>
    </w:pPr>
    <w:tblPr>
      <w:tblStyleRowBandSize w:val="1"/>
      <w:tblStyleColBandSize w:val="1"/>
      <w:tblBorders>
        <w:top w:val="single" w:sz="4" w:space="0" w:color="BAB6DB" w:themeColor="accent6" w:themeTint="66"/>
        <w:left w:val="single" w:sz="4" w:space="0" w:color="BAB6DB" w:themeColor="accent6" w:themeTint="66"/>
        <w:bottom w:val="single" w:sz="4" w:space="0" w:color="BAB6DB" w:themeColor="accent6" w:themeTint="66"/>
        <w:right w:val="single" w:sz="4" w:space="0" w:color="BAB6DB" w:themeColor="accent6" w:themeTint="66"/>
        <w:insideH w:val="single" w:sz="4" w:space="0" w:color="BAB6DB" w:themeColor="accent6" w:themeTint="66"/>
        <w:insideV w:val="single" w:sz="4" w:space="0" w:color="BAB6DB" w:themeColor="accent6" w:themeTint="66"/>
      </w:tblBorders>
    </w:tblPr>
    <w:tblStylePr w:type="firstRow">
      <w:rPr>
        <w:b/>
        <w:bCs/>
      </w:rPr>
      <w:tblPr/>
      <w:tcPr>
        <w:tcBorders>
          <w:bottom w:val="single" w:sz="12" w:space="0" w:color="9892C9" w:themeColor="accent6" w:themeTint="99"/>
        </w:tcBorders>
      </w:tcPr>
    </w:tblStylePr>
    <w:tblStylePr w:type="lastRow">
      <w:rPr>
        <w:b/>
        <w:bCs/>
      </w:rPr>
      <w:tblPr/>
      <w:tcPr>
        <w:tcBorders>
          <w:top w:val="double" w:sz="2" w:space="0" w:color="9892C9"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pPr>
      <w:spacing w:after="0" w:line="240" w:lineRule="auto"/>
    </w:pPr>
    <w:tblPr>
      <w:tblStyleRowBandSize w:val="1"/>
      <w:tblStyleColBandSize w:val="1"/>
      <w:tblBorders>
        <w:top w:val="single" w:sz="2" w:space="0" w:color="F7A590" w:themeColor="accent1" w:themeTint="99"/>
        <w:bottom w:val="single" w:sz="2" w:space="0" w:color="F7A590" w:themeColor="accent1" w:themeTint="99"/>
        <w:insideH w:val="single" w:sz="2" w:space="0" w:color="F7A590" w:themeColor="accent1" w:themeTint="99"/>
        <w:insideV w:val="single" w:sz="2" w:space="0" w:color="F7A590" w:themeColor="accent1" w:themeTint="99"/>
      </w:tblBorders>
    </w:tblPr>
    <w:tblStylePr w:type="firstRow">
      <w:rPr>
        <w:b/>
        <w:bCs/>
      </w:rPr>
      <w:tblPr/>
      <w:tcPr>
        <w:tcBorders>
          <w:top w:val="nil"/>
          <w:bottom w:val="single" w:sz="12" w:space="0" w:color="F7A590" w:themeColor="accent1" w:themeTint="99"/>
          <w:insideH w:val="nil"/>
          <w:insideV w:val="nil"/>
        </w:tcBorders>
        <w:shd w:val="clear" w:color="auto" w:fill="FFFFFF" w:themeFill="background1"/>
      </w:tcPr>
    </w:tblStylePr>
    <w:tblStylePr w:type="lastRow">
      <w:rPr>
        <w:b/>
        <w:bCs/>
      </w:rPr>
      <w:tblPr/>
      <w:tcPr>
        <w:tcBorders>
          <w:top w:val="double" w:sz="2" w:space="0" w:color="F7A59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9" w:themeFill="accent1" w:themeFillTint="33"/>
      </w:tcPr>
    </w:tblStylePr>
    <w:tblStylePr w:type="band1Horz">
      <w:tblPr/>
      <w:tcPr>
        <w:shd w:val="clear" w:color="auto" w:fill="FCE0D9" w:themeFill="accent1" w:themeFillTint="33"/>
      </w:tcPr>
    </w:tblStylePr>
  </w:style>
  <w:style w:type="table" w:customStyle="1" w:styleId="GridTable2Accent2">
    <w:name w:val="Grid Table 2 Accent 2"/>
    <w:basedOn w:val="TableNormal"/>
    <w:uiPriority w:val="47"/>
    <w:pPr>
      <w:spacing w:after="0" w:line="240" w:lineRule="auto"/>
    </w:pPr>
    <w:tblPr>
      <w:tblStyleRowBandSize w:val="1"/>
      <w:tblStyleColBandSize w:val="1"/>
      <w:tblBorders>
        <w:top w:val="single" w:sz="2" w:space="0" w:color="FFD966" w:themeColor="accent2" w:themeTint="99"/>
        <w:bottom w:val="single" w:sz="2" w:space="0" w:color="FFD966" w:themeColor="accent2" w:themeTint="99"/>
        <w:insideH w:val="single" w:sz="2" w:space="0" w:color="FFD966" w:themeColor="accent2" w:themeTint="99"/>
        <w:insideV w:val="single" w:sz="2" w:space="0" w:color="FFD966" w:themeColor="accent2" w:themeTint="99"/>
      </w:tblBorders>
    </w:tblPr>
    <w:tblStylePr w:type="firstRow">
      <w:rPr>
        <w:b/>
        <w:bCs/>
      </w:rPr>
      <w:tblPr/>
      <w:tcPr>
        <w:tcBorders>
          <w:top w:val="nil"/>
          <w:bottom w:val="single" w:sz="12" w:space="0" w:color="FFD966" w:themeColor="accent2" w:themeTint="99"/>
          <w:insideH w:val="nil"/>
          <w:insideV w:val="nil"/>
        </w:tcBorders>
        <w:shd w:val="clear" w:color="auto" w:fill="FFFFFF" w:themeFill="background1"/>
      </w:tcPr>
    </w:tblStylePr>
    <w:tblStylePr w:type="lastRow">
      <w:rPr>
        <w:b/>
        <w:bCs/>
      </w:rPr>
      <w:tblPr/>
      <w:tcPr>
        <w:tcBorders>
          <w:top w:val="double" w:sz="2" w:space="0" w:color="FFD9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GridTable2Accent3">
    <w:name w:val="Grid Table 2 Accent 3"/>
    <w:basedOn w:val="TableNormal"/>
    <w:uiPriority w:val="47"/>
    <w:pPr>
      <w:spacing w:after="0" w:line="240" w:lineRule="auto"/>
    </w:pPr>
    <w:tblPr>
      <w:tblStyleRowBandSize w:val="1"/>
      <w:tblStyleColBandSize w:val="1"/>
      <w:tblBorders>
        <w:top w:val="single" w:sz="2" w:space="0" w:color="36FF90" w:themeColor="accent3" w:themeTint="99"/>
        <w:bottom w:val="single" w:sz="2" w:space="0" w:color="36FF90" w:themeColor="accent3" w:themeTint="99"/>
        <w:insideH w:val="single" w:sz="2" w:space="0" w:color="36FF90" w:themeColor="accent3" w:themeTint="99"/>
        <w:insideV w:val="single" w:sz="2" w:space="0" w:color="36FF90" w:themeColor="accent3" w:themeTint="99"/>
      </w:tblBorders>
    </w:tblPr>
    <w:tblStylePr w:type="firstRow">
      <w:rPr>
        <w:b/>
        <w:bCs/>
      </w:rPr>
      <w:tblPr/>
      <w:tcPr>
        <w:tcBorders>
          <w:top w:val="nil"/>
          <w:bottom w:val="single" w:sz="12" w:space="0" w:color="36FF90" w:themeColor="accent3" w:themeTint="99"/>
          <w:insideH w:val="nil"/>
          <w:insideV w:val="nil"/>
        </w:tcBorders>
        <w:shd w:val="clear" w:color="auto" w:fill="FFFFFF" w:themeFill="background1"/>
      </w:tcPr>
    </w:tblStylePr>
    <w:tblStylePr w:type="lastRow">
      <w:rPr>
        <w:b/>
        <w:bCs/>
      </w:rPr>
      <w:tblPr/>
      <w:tcPr>
        <w:tcBorders>
          <w:top w:val="double" w:sz="2" w:space="0" w:color="36FF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customStyle="1" w:styleId="GridTable2Accent4">
    <w:name w:val="Grid Table 2 Accent 4"/>
    <w:basedOn w:val="TableNormal"/>
    <w:uiPriority w:val="47"/>
    <w:pPr>
      <w:spacing w:after="0" w:line="240" w:lineRule="auto"/>
    </w:pPr>
    <w:tblPr>
      <w:tblStyleRowBandSize w:val="1"/>
      <w:tblStyleColBandSize w:val="1"/>
      <w:tblBorders>
        <w:top w:val="single" w:sz="2" w:space="0" w:color="26ADFF" w:themeColor="accent4" w:themeTint="99"/>
        <w:bottom w:val="single" w:sz="2" w:space="0" w:color="26ADFF" w:themeColor="accent4" w:themeTint="99"/>
        <w:insideH w:val="single" w:sz="2" w:space="0" w:color="26ADFF" w:themeColor="accent4" w:themeTint="99"/>
        <w:insideV w:val="single" w:sz="2" w:space="0" w:color="26ADFF" w:themeColor="accent4" w:themeTint="99"/>
      </w:tblBorders>
    </w:tblPr>
    <w:tblStylePr w:type="firstRow">
      <w:rPr>
        <w:b/>
        <w:bCs/>
      </w:rPr>
      <w:tblPr/>
      <w:tcPr>
        <w:tcBorders>
          <w:top w:val="nil"/>
          <w:bottom w:val="single" w:sz="12" w:space="0" w:color="26ADFF" w:themeColor="accent4" w:themeTint="99"/>
          <w:insideH w:val="nil"/>
          <w:insideV w:val="nil"/>
        </w:tcBorders>
        <w:shd w:val="clear" w:color="auto" w:fill="FFFFFF" w:themeFill="background1"/>
      </w:tcPr>
    </w:tblStylePr>
    <w:tblStylePr w:type="lastRow">
      <w:rPr>
        <w:b/>
        <w:bCs/>
      </w:rPr>
      <w:tblPr/>
      <w:tcPr>
        <w:tcBorders>
          <w:top w:val="double" w:sz="2" w:space="0" w:color="26AD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E3FF" w:themeFill="accent4" w:themeFillTint="33"/>
      </w:tcPr>
    </w:tblStylePr>
    <w:tblStylePr w:type="band1Horz">
      <w:tblPr/>
      <w:tcPr>
        <w:shd w:val="clear" w:color="auto" w:fill="B6E3FF" w:themeFill="accent4" w:themeFillTint="33"/>
      </w:tcPr>
    </w:tblStylePr>
  </w:style>
  <w:style w:type="table" w:customStyle="1" w:styleId="GridTable2Accent5">
    <w:name w:val="Grid Table 2 Accent 5"/>
    <w:basedOn w:val="TableNormal"/>
    <w:uiPriority w:val="47"/>
    <w:pPr>
      <w:spacing w:after="0" w:line="240" w:lineRule="auto"/>
    </w:pPr>
    <w:tblPr>
      <w:tblStyleRowBandSize w:val="1"/>
      <w:tblStyleColBandSize w:val="1"/>
      <w:tblBorders>
        <w:top w:val="single" w:sz="2" w:space="0" w:color="FF4040" w:themeColor="accent5" w:themeTint="99"/>
        <w:bottom w:val="single" w:sz="2" w:space="0" w:color="FF4040" w:themeColor="accent5" w:themeTint="99"/>
        <w:insideH w:val="single" w:sz="2" w:space="0" w:color="FF4040" w:themeColor="accent5" w:themeTint="99"/>
        <w:insideV w:val="single" w:sz="2" w:space="0" w:color="FF4040" w:themeColor="accent5" w:themeTint="99"/>
      </w:tblBorders>
    </w:tblPr>
    <w:tblStylePr w:type="firstRow">
      <w:rPr>
        <w:b/>
        <w:bCs/>
      </w:rPr>
      <w:tblPr/>
      <w:tcPr>
        <w:tcBorders>
          <w:top w:val="nil"/>
          <w:bottom w:val="single" w:sz="12" w:space="0" w:color="FF4040" w:themeColor="accent5" w:themeTint="99"/>
          <w:insideH w:val="nil"/>
          <w:insideV w:val="nil"/>
        </w:tcBorders>
        <w:shd w:val="clear" w:color="auto" w:fill="FFFFFF" w:themeFill="background1"/>
      </w:tcPr>
    </w:tblStylePr>
    <w:tblStylePr w:type="lastRow">
      <w:rPr>
        <w:b/>
        <w:bCs/>
      </w:rPr>
      <w:tblPr/>
      <w:tcPr>
        <w:tcBorders>
          <w:top w:val="double" w:sz="2" w:space="0" w:color="FF404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FBF" w:themeFill="accent5" w:themeFillTint="33"/>
      </w:tcPr>
    </w:tblStylePr>
    <w:tblStylePr w:type="band1Horz">
      <w:tblPr/>
      <w:tcPr>
        <w:shd w:val="clear" w:color="auto" w:fill="FFBFBF" w:themeFill="accent5" w:themeFillTint="33"/>
      </w:tcPr>
    </w:tblStylePr>
  </w:style>
  <w:style w:type="table" w:customStyle="1" w:styleId="GridTable2Accent6">
    <w:name w:val="Grid Table 2 Accent 6"/>
    <w:basedOn w:val="TableNormal"/>
    <w:uiPriority w:val="47"/>
    <w:pPr>
      <w:spacing w:after="0" w:line="240" w:lineRule="auto"/>
    </w:pPr>
    <w:tblPr>
      <w:tblStyleRowBandSize w:val="1"/>
      <w:tblStyleColBandSize w:val="1"/>
      <w:tblBorders>
        <w:top w:val="single" w:sz="2" w:space="0" w:color="9892C9" w:themeColor="accent6" w:themeTint="99"/>
        <w:bottom w:val="single" w:sz="2" w:space="0" w:color="9892C9" w:themeColor="accent6" w:themeTint="99"/>
        <w:insideH w:val="single" w:sz="2" w:space="0" w:color="9892C9" w:themeColor="accent6" w:themeTint="99"/>
        <w:insideV w:val="single" w:sz="2" w:space="0" w:color="9892C9" w:themeColor="accent6" w:themeTint="99"/>
      </w:tblBorders>
    </w:tblPr>
    <w:tblStylePr w:type="firstRow">
      <w:rPr>
        <w:b/>
        <w:bCs/>
      </w:rPr>
      <w:tblPr/>
      <w:tcPr>
        <w:tcBorders>
          <w:top w:val="nil"/>
          <w:bottom w:val="single" w:sz="12" w:space="0" w:color="9892C9" w:themeColor="accent6" w:themeTint="99"/>
          <w:insideH w:val="nil"/>
          <w:insideV w:val="nil"/>
        </w:tcBorders>
        <w:shd w:val="clear" w:color="auto" w:fill="FFFFFF" w:themeFill="background1"/>
      </w:tcPr>
    </w:tblStylePr>
    <w:tblStylePr w:type="lastRow">
      <w:rPr>
        <w:b/>
        <w:bCs/>
      </w:rPr>
      <w:tblPr/>
      <w:tcPr>
        <w:tcBorders>
          <w:top w:val="double" w:sz="2" w:space="0" w:color="9892C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AED" w:themeFill="accent6" w:themeFillTint="33"/>
      </w:tcPr>
    </w:tblStylePr>
    <w:tblStylePr w:type="band1Horz">
      <w:tblPr/>
      <w:tcPr>
        <w:shd w:val="clear" w:color="auto" w:fill="DCDAED" w:themeFill="accent6" w:themeFillTint="33"/>
      </w:tcPr>
    </w:tblStylePr>
  </w:style>
  <w:style w:type="table" w:customStyle="1" w:styleId="GridTable3">
    <w:name w:val="Grid Table 3"/>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pPr>
      <w:spacing w:after="0" w:line="240" w:lineRule="auto"/>
    </w:pPr>
    <w:tblPr>
      <w:tblStyleRowBandSize w:val="1"/>
      <w:tblStyleColBandSize w:val="1"/>
      <w:tblBorders>
        <w:top w:val="single" w:sz="4" w:space="0" w:color="F7A590" w:themeColor="accent1" w:themeTint="99"/>
        <w:left w:val="single" w:sz="4" w:space="0" w:color="F7A590" w:themeColor="accent1" w:themeTint="99"/>
        <w:bottom w:val="single" w:sz="4" w:space="0" w:color="F7A590" w:themeColor="accent1" w:themeTint="99"/>
        <w:right w:val="single" w:sz="4" w:space="0" w:color="F7A590" w:themeColor="accent1" w:themeTint="99"/>
        <w:insideH w:val="single" w:sz="4" w:space="0" w:color="F7A590" w:themeColor="accent1" w:themeTint="99"/>
        <w:insideV w:val="single" w:sz="4" w:space="0" w:color="F7A5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0D9" w:themeFill="accent1" w:themeFillTint="33"/>
      </w:tcPr>
    </w:tblStylePr>
    <w:tblStylePr w:type="band1Horz">
      <w:tblPr/>
      <w:tcPr>
        <w:shd w:val="clear" w:color="auto" w:fill="FCE0D9" w:themeFill="accent1" w:themeFillTint="33"/>
      </w:tcPr>
    </w:tblStylePr>
    <w:tblStylePr w:type="neCell">
      <w:tblPr/>
      <w:tcPr>
        <w:tcBorders>
          <w:bottom w:val="single" w:sz="4" w:space="0" w:color="F7A590" w:themeColor="accent1" w:themeTint="99"/>
        </w:tcBorders>
      </w:tcPr>
    </w:tblStylePr>
    <w:tblStylePr w:type="nwCell">
      <w:tblPr/>
      <w:tcPr>
        <w:tcBorders>
          <w:bottom w:val="single" w:sz="4" w:space="0" w:color="F7A590" w:themeColor="accent1" w:themeTint="99"/>
        </w:tcBorders>
      </w:tcPr>
    </w:tblStylePr>
    <w:tblStylePr w:type="seCell">
      <w:tblPr/>
      <w:tcPr>
        <w:tcBorders>
          <w:top w:val="single" w:sz="4" w:space="0" w:color="F7A590" w:themeColor="accent1" w:themeTint="99"/>
        </w:tcBorders>
      </w:tcPr>
    </w:tblStylePr>
    <w:tblStylePr w:type="swCell">
      <w:tblPr/>
      <w:tcPr>
        <w:tcBorders>
          <w:top w:val="single" w:sz="4" w:space="0" w:color="F7A590" w:themeColor="accent1" w:themeTint="99"/>
        </w:tcBorders>
      </w:tcPr>
    </w:tblStylePr>
  </w:style>
  <w:style w:type="table" w:customStyle="1" w:styleId="GridTable3Accent2">
    <w:name w:val="Grid Table 3 Accent 2"/>
    <w:basedOn w:val="TableNormal"/>
    <w:uiPriority w:val="48"/>
    <w:pPr>
      <w:spacing w:after="0" w:line="240" w:lineRule="auto"/>
    </w:p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insideV w:val="single" w:sz="4" w:space="0" w:color="FFD9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2" w:themeFillTint="33"/>
      </w:tcPr>
    </w:tblStylePr>
    <w:tblStylePr w:type="band1Horz">
      <w:tblPr/>
      <w:tcPr>
        <w:shd w:val="clear" w:color="auto" w:fill="FFF2CC" w:themeFill="accent2" w:themeFillTint="33"/>
      </w:tcPr>
    </w:tblStylePr>
    <w:tblStylePr w:type="neCell">
      <w:tblPr/>
      <w:tcPr>
        <w:tcBorders>
          <w:bottom w:val="single" w:sz="4" w:space="0" w:color="FFD966" w:themeColor="accent2" w:themeTint="99"/>
        </w:tcBorders>
      </w:tcPr>
    </w:tblStylePr>
    <w:tblStylePr w:type="nwCell">
      <w:tblPr/>
      <w:tcPr>
        <w:tcBorders>
          <w:bottom w:val="single" w:sz="4" w:space="0" w:color="FFD966" w:themeColor="accent2" w:themeTint="99"/>
        </w:tcBorders>
      </w:tcPr>
    </w:tblStylePr>
    <w:tblStylePr w:type="seCell">
      <w:tblPr/>
      <w:tcPr>
        <w:tcBorders>
          <w:top w:val="single" w:sz="4" w:space="0" w:color="FFD966" w:themeColor="accent2" w:themeTint="99"/>
        </w:tcBorders>
      </w:tcPr>
    </w:tblStylePr>
    <w:tblStylePr w:type="swCell">
      <w:tblPr/>
      <w:tcPr>
        <w:tcBorders>
          <w:top w:val="single" w:sz="4" w:space="0" w:color="FFD966" w:themeColor="accent2" w:themeTint="99"/>
        </w:tcBorders>
      </w:tcPr>
    </w:tblStylePr>
  </w:style>
  <w:style w:type="table" w:customStyle="1" w:styleId="GridTable3Accent3">
    <w:name w:val="Grid Table 3 Accent 3"/>
    <w:basedOn w:val="TableNormal"/>
    <w:uiPriority w:val="48"/>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customStyle="1" w:styleId="GridTable3Accent4">
    <w:name w:val="Grid Table 3 Accent 4"/>
    <w:basedOn w:val="TableNormal"/>
    <w:uiPriority w:val="48"/>
    <w:pPr>
      <w:spacing w:after="0" w:line="240" w:lineRule="auto"/>
    </w:pPr>
    <w:tblPr>
      <w:tblStyleRowBandSize w:val="1"/>
      <w:tblStyleColBandSize w:val="1"/>
      <w:tblBorders>
        <w:top w:val="single" w:sz="4" w:space="0" w:color="26ADFF" w:themeColor="accent4" w:themeTint="99"/>
        <w:left w:val="single" w:sz="4" w:space="0" w:color="26ADFF" w:themeColor="accent4" w:themeTint="99"/>
        <w:bottom w:val="single" w:sz="4" w:space="0" w:color="26ADFF" w:themeColor="accent4" w:themeTint="99"/>
        <w:right w:val="single" w:sz="4" w:space="0" w:color="26ADFF" w:themeColor="accent4" w:themeTint="99"/>
        <w:insideH w:val="single" w:sz="4" w:space="0" w:color="26ADFF" w:themeColor="accent4" w:themeTint="99"/>
        <w:insideV w:val="single" w:sz="4" w:space="0" w:color="26AD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E3FF" w:themeFill="accent4" w:themeFillTint="33"/>
      </w:tcPr>
    </w:tblStylePr>
    <w:tblStylePr w:type="band1Horz">
      <w:tblPr/>
      <w:tcPr>
        <w:shd w:val="clear" w:color="auto" w:fill="B6E3FF" w:themeFill="accent4" w:themeFillTint="33"/>
      </w:tcPr>
    </w:tblStylePr>
    <w:tblStylePr w:type="neCell">
      <w:tblPr/>
      <w:tcPr>
        <w:tcBorders>
          <w:bottom w:val="single" w:sz="4" w:space="0" w:color="26ADFF" w:themeColor="accent4" w:themeTint="99"/>
        </w:tcBorders>
      </w:tcPr>
    </w:tblStylePr>
    <w:tblStylePr w:type="nwCell">
      <w:tblPr/>
      <w:tcPr>
        <w:tcBorders>
          <w:bottom w:val="single" w:sz="4" w:space="0" w:color="26ADFF" w:themeColor="accent4" w:themeTint="99"/>
        </w:tcBorders>
      </w:tcPr>
    </w:tblStylePr>
    <w:tblStylePr w:type="seCell">
      <w:tblPr/>
      <w:tcPr>
        <w:tcBorders>
          <w:top w:val="single" w:sz="4" w:space="0" w:color="26ADFF" w:themeColor="accent4" w:themeTint="99"/>
        </w:tcBorders>
      </w:tcPr>
    </w:tblStylePr>
    <w:tblStylePr w:type="swCell">
      <w:tblPr/>
      <w:tcPr>
        <w:tcBorders>
          <w:top w:val="single" w:sz="4" w:space="0" w:color="26ADFF" w:themeColor="accent4" w:themeTint="99"/>
        </w:tcBorders>
      </w:tcPr>
    </w:tblStylePr>
  </w:style>
  <w:style w:type="table" w:customStyle="1" w:styleId="GridTable3Accent5">
    <w:name w:val="Grid Table 3 Accent 5"/>
    <w:basedOn w:val="TableNormal"/>
    <w:uiPriority w:val="48"/>
    <w:pPr>
      <w:spacing w:after="0" w:line="240" w:lineRule="auto"/>
    </w:pPr>
    <w:tblPr>
      <w:tblStyleRowBandSize w:val="1"/>
      <w:tblStyleColBandSize w:val="1"/>
      <w:tblBorders>
        <w:top w:val="single" w:sz="4" w:space="0" w:color="FF4040" w:themeColor="accent5" w:themeTint="99"/>
        <w:left w:val="single" w:sz="4" w:space="0" w:color="FF4040" w:themeColor="accent5" w:themeTint="99"/>
        <w:bottom w:val="single" w:sz="4" w:space="0" w:color="FF4040" w:themeColor="accent5" w:themeTint="99"/>
        <w:right w:val="single" w:sz="4" w:space="0" w:color="FF4040" w:themeColor="accent5" w:themeTint="99"/>
        <w:insideH w:val="single" w:sz="4" w:space="0" w:color="FF4040" w:themeColor="accent5" w:themeTint="99"/>
        <w:insideV w:val="single" w:sz="4" w:space="0" w:color="FF404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5" w:themeFillTint="33"/>
      </w:tcPr>
    </w:tblStylePr>
    <w:tblStylePr w:type="band1Horz">
      <w:tblPr/>
      <w:tcPr>
        <w:shd w:val="clear" w:color="auto" w:fill="FFBFBF" w:themeFill="accent5" w:themeFillTint="33"/>
      </w:tcPr>
    </w:tblStylePr>
    <w:tblStylePr w:type="neCell">
      <w:tblPr/>
      <w:tcPr>
        <w:tcBorders>
          <w:bottom w:val="single" w:sz="4" w:space="0" w:color="FF4040" w:themeColor="accent5" w:themeTint="99"/>
        </w:tcBorders>
      </w:tcPr>
    </w:tblStylePr>
    <w:tblStylePr w:type="nwCell">
      <w:tblPr/>
      <w:tcPr>
        <w:tcBorders>
          <w:bottom w:val="single" w:sz="4" w:space="0" w:color="FF4040" w:themeColor="accent5" w:themeTint="99"/>
        </w:tcBorders>
      </w:tcPr>
    </w:tblStylePr>
    <w:tblStylePr w:type="seCell">
      <w:tblPr/>
      <w:tcPr>
        <w:tcBorders>
          <w:top w:val="single" w:sz="4" w:space="0" w:color="FF4040" w:themeColor="accent5" w:themeTint="99"/>
        </w:tcBorders>
      </w:tcPr>
    </w:tblStylePr>
    <w:tblStylePr w:type="swCell">
      <w:tblPr/>
      <w:tcPr>
        <w:tcBorders>
          <w:top w:val="single" w:sz="4" w:space="0" w:color="FF4040" w:themeColor="accent5" w:themeTint="99"/>
        </w:tcBorders>
      </w:tcPr>
    </w:tblStylePr>
  </w:style>
  <w:style w:type="table" w:customStyle="1" w:styleId="GridTable3Accent6">
    <w:name w:val="Grid Table 3 Accent 6"/>
    <w:basedOn w:val="TableNormal"/>
    <w:uiPriority w:val="48"/>
    <w:pPr>
      <w:spacing w:after="0" w:line="240" w:lineRule="auto"/>
    </w:pPr>
    <w:tblPr>
      <w:tblStyleRowBandSize w:val="1"/>
      <w:tblStyleColBandSize w:val="1"/>
      <w:tblBorders>
        <w:top w:val="single" w:sz="4" w:space="0" w:color="9892C9" w:themeColor="accent6" w:themeTint="99"/>
        <w:left w:val="single" w:sz="4" w:space="0" w:color="9892C9" w:themeColor="accent6" w:themeTint="99"/>
        <w:bottom w:val="single" w:sz="4" w:space="0" w:color="9892C9" w:themeColor="accent6" w:themeTint="99"/>
        <w:right w:val="single" w:sz="4" w:space="0" w:color="9892C9" w:themeColor="accent6" w:themeTint="99"/>
        <w:insideH w:val="single" w:sz="4" w:space="0" w:color="9892C9" w:themeColor="accent6" w:themeTint="99"/>
        <w:insideV w:val="single" w:sz="4" w:space="0" w:color="9892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AED" w:themeFill="accent6" w:themeFillTint="33"/>
      </w:tcPr>
    </w:tblStylePr>
    <w:tblStylePr w:type="band1Horz">
      <w:tblPr/>
      <w:tcPr>
        <w:shd w:val="clear" w:color="auto" w:fill="DCDAED" w:themeFill="accent6" w:themeFillTint="33"/>
      </w:tcPr>
    </w:tblStylePr>
    <w:tblStylePr w:type="neCell">
      <w:tblPr/>
      <w:tcPr>
        <w:tcBorders>
          <w:bottom w:val="single" w:sz="4" w:space="0" w:color="9892C9" w:themeColor="accent6" w:themeTint="99"/>
        </w:tcBorders>
      </w:tcPr>
    </w:tblStylePr>
    <w:tblStylePr w:type="nwCell">
      <w:tblPr/>
      <w:tcPr>
        <w:tcBorders>
          <w:bottom w:val="single" w:sz="4" w:space="0" w:color="9892C9" w:themeColor="accent6" w:themeTint="99"/>
        </w:tcBorders>
      </w:tcPr>
    </w:tblStylePr>
    <w:tblStylePr w:type="seCell">
      <w:tblPr/>
      <w:tcPr>
        <w:tcBorders>
          <w:top w:val="single" w:sz="4" w:space="0" w:color="9892C9" w:themeColor="accent6" w:themeTint="99"/>
        </w:tcBorders>
      </w:tcPr>
    </w:tblStylePr>
    <w:tblStylePr w:type="swCell">
      <w:tblPr/>
      <w:tcPr>
        <w:tcBorders>
          <w:top w:val="single" w:sz="4" w:space="0" w:color="9892C9" w:themeColor="accent6" w:themeTint="99"/>
        </w:tcBorders>
      </w:tcPr>
    </w:tblStylePr>
  </w:style>
  <w:style w:type="table" w:customStyle="1" w:styleId="GridTable4">
    <w:name w:val="Grid Table 4"/>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pPr>
      <w:spacing w:after="0" w:line="240" w:lineRule="auto"/>
    </w:pPr>
    <w:tblPr>
      <w:tblStyleRowBandSize w:val="1"/>
      <w:tblStyleColBandSize w:val="1"/>
      <w:tblBorders>
        <w:top w:val="single" w:sz="4" w:space="0" w:color="F7A590" w:themeColor="accent1" w:themeTint="99"/>
        <w:left w:val="single" w:sz="4" w:space="0" w:color="F7A590" w:themeColor="accent1" w:themeTint="99"/>
        <w:bottom w:val="single" w:sz="4" w:space="0" w:color="F7A590" w:themeColor="accent1" w:themeTint="99"/>
        <w:right w:val="single" w:sz="4" w:space="0" w:color="F7A590" w:themeColor="accent1" w:themeTint="99"/>
        <w:insideH w:val="single" w:sz="4" w:space="0" w:color="F7A590" w:themeColor="accent1" w:themeTint="99"/>
        <w:insideV w:val="single" w:sz="4" w:space="0" w:color="F7A590" w:themeColor="accent1" w:themeTint="99"/>
      </w:tblBorders>
    </w:tblPr>
    <w:tblStylePr w:type="firstRow">
      <w:rPr>
        <w:b/>
        <w:bCs/>
        <w:color w:val="FFFFFF" w:themeColor="background1"/>
      </w:rPr>
      <w:tblPr/>
      <w:tcPr>
        <w:tcBorders>
          <w:top w:val="single" w:sz="4" w:space="0" w:color="F26A47" w:themeColor="accent1"/>
          <w:left w:val="single" w:sz="4" w:space="0" w:color="F26A47" w:themeColor="accent1"/>
          <w:bottom w:val="single" w:sz="4" w:space="0" w:color="F26A47" w:themeColor="accent1"/>
          <w:right w:val="single" w:sz="4" w:space="0" w:color="F26A47" w:themeColor="accent1"/>
          <w:insideH w:val="nil"/>
          <w:insideV w:val="nil"/>
        </w:tcBorders>
        <w:shd w:val="clear" w:color="auto" w:fill="F26A47" w:themeFill="accent1"/>
      </w:tcPr>
    </w:tblStylePr>
    <w:tblStylePr w:type="lastRow">
      <w:rPr>
        <w:b/>
        <w:bCs/>
      </w:rPr>
      <w:tblPr/>
      <w:tcPr>
        <w:tcBorders>
          <w:top w:val="double" w:sz="4" w:space="0" w:color="F26A47" w:themeColor="accent1"/>
        </w:tcBorders>
      </w:tcPr>
    </w:tblStylePr>
    <w:tblStylePr w:type="firstCol">
      <w:rPr>
        <w:b/>
        <w:bCs/>
      </w:rPr>
    </w:tblStylePr>
    <w:tblStylePr w:type="lastCol">
      <w:rPr>
        <w:b/>
        <w:bCs/>
      </w:rPr>
    </w:tblStylePr>
    <w:tblStylePr w:type="band1Vert">
      <w:tblPr/>
      <w:tcPr>
        <w:shd w:val="clear" w:color="auto" w:fill="FCE0D9" w:themeFill="accent1" w:themeFillTint="33"/>
      </w:tcPr>
    </w:tblStylePr>
    <w:tblStylePr w:type="band1Horz">
      <w:tblPr/>
      <w:tcPr>
        <w:shd w:val="clear" w:color="auto" w:fill="FCE0D9" w:themeFill="accent1" w:themeFillTint="33"/>
      </w:tcPr>
    </w:tblStylePr>
  </w:style>
  <w:style w:type="table" w:customStyle="1" w:styleId="GridTable4Accent2">
    <w:name w:val="Grid Table 4 Accent 2"/>
    <w:basedOn w:val="TableNormal"/>
    <w:uiPriority w:val="49"/>
    <w:pPr>
      <w:spacing w:after="0" w:line="240" w:lineRule="auto"/>
    </w:p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insideV w:val="single" w:sz="4" w:space="0" w:color="FFD966" w:themeColor="accent2" w:themeTint="99"/>
      </w:tblBorders>
    </w:tblPr>
    <w:tblStylePr w:type="firstRow">
      <w:rPr>
        <w:b/>
        <w:bCs/>
        <w:color w:val="FFFFFF" w:themeColor="background1"/>
      </w:rPr>
      <w:tblPr/>
      <w:tcPr>
        <w:tcBorders>
          <w:top w:val="single" w:sz="4" w:space="0" w:color="FFC000" w:themeColor="accent2"/>
          <w:left w:val="single" w:sz="4" w:space="0" w:color="FFC000" w:themeColor="accent2"/>
          <w:bottom w:val="single" w:sz="4" w:space="0" w:color="FFC000" w:themeColor="accent2"/>
          <w:right w:val="single" w:sz="4" w:space="0" w:color="FFC000" w:themeColor="accent2"/>
          <w:insideH w:val="nil"/>
          <w:insideV w:val="nil"/>
        </w:tcBorders>
        <w:shd w:val="clear" w:color="auto" w:fill="FFC000" w:themeFill="accent2"/>
      </w:tcPr>
    </w:tblStylePr>
    <w:tblStylePr w:type="lastRow">
      <w:rPr>
        <w:b/>
        <w:bCs/>
      </w:rPr>
      <w:tblPr/>
      <w:tcPr>
        <w:tcBorders>
          <w:top w:val="double" w:sz="4" w:space="0" w:color="FFC000" w:themeColor="accent2"/>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GridTable4Accent3">
    <w:name w:val="Grid Table 4 Accent 3"/>
    <w:basedOn w:val="TableNormal"/>
    <w:uiPriority w:val="49"/>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insideV w:val="nil"/>
        </w:tcBorders>
        <w:shd w:val="clear" w:color="auto" w:fill="00B050" w:themeFill="accent3"/>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customStyle="1" w:styleId="GridTable4Accent4">
    <w:name w:val="Grid Table 4 Accent 4"/>
    <w:basedOn w:val="TableNormal"/>
    <w:uiPriority w:val="49"/>
    <w:pPr>
      <w:spacing w:after="0" w:line="240" w:lineRule="auto"/>
    </w:pPr>
    <w:tblPr>
      <w:tblStyleRowBandSize w:val="1"/>
      <w:tblStyleColBandSize w:val="1"/>
      <w:tblBorders>
        <w:top w:val="single" w:sz="4" w:space="0" w:color="26ADFF" w:themeColor="accent4" w:themeTint="99"/>
        <w:left w:val="single" w:sz="4" w:space="0" w:color="26ADFF" w:themeColor="accent4" w:themeTint="99"/>
        <w:bottom w:val="single" w:sz="4" w:space="0" w:color="26ADFF" w:themeColor="accent4" w:themeTint="99"/>
        <w:right w:val="single" w:sz="4" w:space="0" w:color="26ADFF" w:themeColor="accent4" w:themeTint="99"/>
        <w:insideH w:val="single" w:sz="4" w:space="0" w:color="26ADFF" w:themeColor="accent4" w:themeTint="99"/>
        <w:insideV w:val="single" w:sz="4" w:space="0" w:color="26ADFF" w:themeColor="accent4" w:themeTint="99"/>
      </w:tblBorders>
    </w:tblPr>
    <w:tblStylePr w:type="firstRow">
      <w:rPr>
        <w:b/>
        <w:bCs/>
        <w:color w:val="FFFFFF" w:themeColor="background1"/>
      </w:rPr>
      <w:tblPr/>
      <w:tcPr>
        <w:tcBorders>
          <w:top w:val="single" w:sz="4" w:space="0" w:color="005D95" w:themeColor="accent4"/>
          <w:left w:val="single" w:sz="4" w:space="0" w:color="005D95" w:themeColor="accent4"/>
          <w:bottom w:val="single" w:sz="4" w:space="0" w:color="005D95" w:themeColor="accent4"/>
          <w:right w:val="single" w:sz="4" w:space="0" w:color="005D95" w:themeColor="accent4"/>
          <w:insideH w:val="nil"/>
          <w:insideV w:val="nil"/>
        </w:tcBorders>
        <w:shd w:val="clear" w:color="auto" w:fill="005D95" w:themeFill="accent4"/>
      </w:tcPr>
    </w:tblStylePr>
    <w:tblStylePr w:type="lastRow">
      <w:rPr>
        <w:b/>
        <w:bCs/>
      </w:rPr>
      <w:tblPr/>
      <w:tcPr>
        <w:tcBorders>
          <w:top w:val="double" w:sz="4" w:space="0" w:color="005D95" w:themeColor="accent4"/>
        </w:tcBorders>
      </w:tcPr>
    </w:tblStylePr>
    <w:tblStylePr w:type="firstCol">
      <w:rPr>
        <w:b/>
        <w:bCs/>
      </w:rPr>
    </w:tblStylePr>
    <w:tblStylePr w:type="lastCol">
      <w:rPr>
        <w:b/>
        <w:bCs/>
      </w:rPr>
    </w:tblStylePr>
    <w:tblStylePr w:type="band1Vert">
      <w:tblPr/>
      <w:tcPr>
        <w:shd w:val="clear" w:color="auto" w:fill="B6E3FF" w:themeFill="accent4" w:themeFillTint="33"/>
      </w:tcPr>
    </w:tblStylePr>
    <w:tblStylePr w:type="band1Horz">
      <w:tblPr/>
      <w:tcPr>
        <w:shd w:val="clear" w:color="auto" w:fill="B6E3FF" w:themeFill="accent4" w:themeFillTint="33"/>
      </w:tcPr>
    </w:tblStylePr>
  </w:style>
  <w:style w:type="table" w:customStyle="1" w:styleId="GridTable4Accent5">
    <w:name w:val="Grid Table 4 Accent 5"/>
    <w:basedOn w:val="TableNormal"/>
    <w:uiPriority w:val="49"/>
    <w:pPr>
      <w:spacing w:after="0" w:line="240" w:lineRule="auto"/>
    </w:pPr>
    <w:tblPr>
      <w:tblStyleRowBandSize w:val="1"/>
      <w:tblStyleColBandSize w:val="1"/>
      <w:tblBorders>
        <w:top w:val="single" w:sz="4" w:space="0" w:color="FF4040" w:themeColor="accent5" w:themeTint="99"/>
        <w:left w:val="single" w:sz="4" w:space="0" w:color="FF4040" w:themeColor="accent5" w:themeTint="99"/>
        <w:bottom w:val="single" w:sz="4" w:space="0" w:color="FF4040" w:themeColor="accent5" w:themeTint="99"/>
        <w:right w:val="single" w:sz="4" w:space="0" w:color="FF4040" w:themeColor="accent5" w:themeTint="99"/>
        <w:insideH w:val="single" w:sz="4" w:space="0" w:color="FF4040" w:themeColor="accent5" w:themeTint="99"/>
        <w:insideV w:val="single" w:sz="4" w:space="0" w:color="FF4040" w:themeColor="accent5" w:themeTint="99"/>
      </w:tblBorders>
    </w:tblPr>
    <w:tblStylePr w:type="firstRow">
      <w:rPr>
        <w:b/>
        <w:bCs/>
        <w:color w:val="FFFFFF" w:themeColor="background1"/>
      </w:rPr>
      <w:tblPr/>
      <w:tcPr>
        <w:tcBorders>
          <w:top w:val="single" w:sz="4" w:space="0" w:color="C00000" w:themeColor="accent5"/>
          <w:left w:val="single" w:sz="4" w:space="0" w:color="C00000" w:themeColor="accent5"/>
          <w:bottom w:val="single" w:sz="4" w:space="0" w:color="C00000" w:themeColor="accent5"/>
          <w:right w:val="single" w:sz="4" w:space="0" w:color="C00000" w:themeColor="accent5"/>
          <w:insideH w:val="nil"/>
          <w:insideV w:val="nil"/>
        </w:tcBorders>
        <w:shd w:val="clear" w:color="auto" w:fill="C00000" w:themeFill="accent5"/>
      </w:tcPr>
    </w:tblStylePr>
    <w:tblStylePr w:type="lastRow">
      <w:rPr>
        <w:b/>
        <w:bCs/>
      </w:rPr>
      <w:tblPr/>
      <w:tcPr>
        <w:tcBorders>
          <w:top w:val="double" w:sz="4" w:space="0" w:color="C00000" w:themeColor="accent5"/>
        </w:tcBorders>
      </w:tcPr>
    </w:tblStylePr>
    <w:tblStylePr w:type="firstCol">
      <w:rPr>
        <w:b/>
        <w:bCs/>
      </w:rPr>
    </w:tblStylePr>
    <w:tblStylePr w:type="lastCol">
      <w:rPr>
        <w:b/>
        <w:bCs/>
      </w:rPr>
    </w:tblStylePr>
    <w:tblStylePr w:type="band1Vert">
      <w:tblPr/>
      <w:tcPr>
        <w:shd w:val="clear" w:color="auto" w:fill="FFBFBF" w:themeFill="accent5" w:themeFillTint="33"/>
      </w:tcPr>
    </w:tblStylePr>
    <w:tblStylePr w:type="band1Horz">
      <w:tblPr/>
      <w:tcPr>
        <w:shd w:val="clear" w:color="auto" w:fill="FFBFBF" w:themeFill="accent5" w:themeFillTint="33"/>
      </w:tcPr>
    </w:tblStylePr>
  </w:style>
  <w:style w:type="table" w:customStyle="1" w:styleId="GridTable4Accent6">
    <w:name w:val="Grid Table 4 Accent 6"/>
    <w:basedOn w:val="TableNormal"/>
    <w:uiPriority w:val="49"/>
    <w:pPr>
      <w:spacing w:after="0" w:line="240" w:lineRule="auto"/>
    </w:pPr>
    <w:tblPr>
      <w:tblStyleRowBandSize w:val="1"/>
      <w:tblStyleColBandSize w:val="1"/>
      <w:tblBorders>
        <w:top w:val="single" w:sz="4" w:space="0" w:color="9892C9" w:themeColor="accent6" w:themeTint="99"/>
        <w:left w:val="single" w:sz="4" w:space="0" w:color="9892C9" w:themeColor="accent6" w:themeTint="99"/>
        <w:bottom w:val="single" w:sz="4" w:space="0" w:color="9892C9" w:themeColor="accent6" w:themeTint="99"/>
        <w:right w:val="single" w:sz="4" w:space="0" w:color="9892C9" w:themeColor="accent6" w:themeTint="99"/>
        <w:insideH w:val="single" w:sz="4" w:space="0" w:color="9892C9" w:themeColor="accent6" w:themeTint="99"/>
        <w:insideV w:val="single" w:sz="4" w:space="0" w:color="9892C9" w:themeColor="accent6" w:themeTint="99"/>
      </w:tblBorders>
    </w:tblPr>
    <w:tblStylePr w:type="firstRow">
      <w:rPr>
        <w:b/>
        <w:bCs/>
        <w:color w:val="FFFFFF" w:themeColor="background1"/>
      </w:rPr>
      <w:tblPr/>
      <w:tcPr>
        <w:tcBorders>
          <w:top w:val="single" w:sz="4" w:space="0" w:color="584FA1" w:themeColor="accent6"/>
          <w:left w:val="single" w:sz="4" w:space="0" w:color="584FA1" w:themeColor="accent6"/>
          <w:bottom w:val="single" w:sz="4" w:space="0" w:color="584FA1" w:themeColor="accent6"/>
          <w:right w:val="single" w:sz="4" w:space="0" w:color="584FA1" w:themeColor="accent6"/>
          <w:insideH w:val="nil"/>
          <w:insideV w:val="nil"/>
        </w:tcBorders>
        <w:shd w:val="clear" w:color="auto" w:fill="584FA1" w:themeFill="accent6"/>
      </w:tcPr>
    </w:tblStylePr>
    <w:tblStylePr w:type="lastRow">
      <w:rPr>
        <w:b/>
        <w:bCs/>
      </w:rPr>
      <w:tblPr/>
      <w:tcPr>
        <w:tcBorders>
          <w:top w:val="double" w:sz="4" w:space="0" w:color="584FA1" w:themeColor="accent6"/>
        </w:tcBorders>
      </w:tcPr>
    </w:tblStylePr>
    <w:tblStylePr w:type="firstCol">
      <w:rPr>
        <w:b/>
        <w:bCs/>
      </w:rPr>
    </w:tblStylePr>
    <w:tblStylePr w:type="lastCol">
      <w:rPr>
        <w:b/>
        <w:bCs/>
      </w:rPr>
    </w:tblStylePr>
    <w:tblStylePr w:type="band1Vert">
      <w:tblPr/>
      <w:tcPr>
        <w:shd w:val="clear" w:color="auto" w:fill="DCDAED" w:themeFill="accent6" w:themeFillTint="33"/>
      </w:tcPr>
    </w:tblStylePr>
    <w:tblStylePr w:type="band1Horz">
      <w:tblPr/>
      <w:tcPr>
        <w:shd w:val="clear" w:color="auto" w:fill="DCDAED" w:themeFill="accent6" w:themeFillTint="33"/>
      </w:tcPr>
    </w:tblStylePr>
  </w:style>
  <w:style w:type="table" w:customStyle="1" w:styleId="GridTable5Dark">
    <w:name w:val="Grid Table 5 Dark"/>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0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A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A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A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A47" w:themeFill="accent1"/>
      </w:tcPr>
    </w:tblStylePr>
    <w:tblStylePr w:type="band1Vert">
      <w:tblPr/>
      <w:tcPr>
        <w:shd w:val="clear" w:color="auto" w:fill="F9C3B5" w:themeFill="accent1" w:themeFillTint="66"/>
      </w:tcPr>
    </w:tblStylePr>
    <w:tblStylePr w:type="band1Horz">
      <w:tblPr/>
      <w:tcPr>
        <w:shd w:val="clear" w:color="auto" w:fill="F9C3B5" w:themeFill="accent1" w:themeFillTint="66"/>
      </w:tcPr>
    </w:tblStylePr>
  </w:style>
  <w:style w:type="table" w:customStyle="1" w:styleId="GridTable5DarkAccent2">
    <w:name w:val="Grid Table 5 Dark Accent 2"/>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2"/>
      </w:tcPr>
    </w:tblStylePr>
    <w:tblStylePr w:type="band1Vert">
      <w:tblPr/>
      <w:tcPr>
        <w:shd w:val="clear" w:color="auto" w:fill="FFE599" w:themeFill="accent2" w:themeFillTint="66"/>
      </w:tcPr>
    </w:tblStylePr>
    <w:tblStylePr w:type="band1Horz">
      <w:tblPr/>
      <w:tcPr>
        <w:shd w:val="clear" w:color="auto" w:fill="FFE599" w:themeFill="accent2" w:themeFillTint="66"/>
      </w:tcPr>
    </w:tblStylePr>
  </w:style>
  <w:style w:type="table" w:customStyle="1"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3"/>
      </w:tcPr>
    </w:tblStylePr>
    <w:tblStylePr w:type="band1Vert">
      <w:tblPr/>
      <w:tcPr>
        <w:shd w:val="clear" w:color="auto" w:fill="79FFB5" w:themeFill="accent3" w:themeFillTint="66"/>
      </w:tcPr>
    </w:tblStylePr>
    <w:tblStylePr w:type="band1Horz">
      <w:tblPr/>
      <w:tcPr>
        <w:shd w:val="clear" w:color="auto" w:fill="79FFB5" w:themeFill="accent3" w:themeFillTint="66"/>
      </w:tcPr>
    </w:tblStylePr>
  </w:style>
  <w:style w:type="table" w:customStyle="1" w:styleId="GridTable5DarkAccent4">
    <w:name w:val="Grid Table 5 Dark Accent 4"/>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E3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9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9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9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95" w:themeFill="accent4"/>
      </w:tcPr>
    </w:tblStylePr>
    <w:tblStylePr w:type="band1Vert">
      <w:tblPr/>
      <w:tcPr>
        <w:shd w:val="clear" w:color="auto" w:fill="6EC8FF" w:themeFill="accent4" w:themeFillTint="66"/>
      </w:tcPr>
    </w:tblStylePr>
    <w:tblStylePr w:type="band1Horz">
      <w:tblPr/>
      <w:tcPr>
        <w:shd w:val="clear" w:color="auto" w:fill="6EC8FF" w:themeFill="accent4" w:themeFillTint="66"/>
      </w:tcPr>
    </w:tblStylePr>
  </w:style>
  <w:style w:type="table" w:customStyle="1" w:styleId="GridTable5DarkAccent5">
    <w:name w:val="Grid Table 5 Dark Accent 5"/>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5"/>
      </w:tcPr>
    </w:tblStylePr>
    <w:tblStylePr w:type="band1Vert">
      <w:tblPr/>
      <w:tcPr>
        <w:shd w:val="clear" w:color="auto" w:fill="FF7F7F" w:themeFill="accent5" w:themeFillTint="66"/>
      </w:tcPr>
    </w:tblStylePr>
    <w:tblStylePr w:type="band1Horz">
      <w:tblPr/>
      <w:tcPr>
        <w:shd w:val="clear" w:color="auto" w:fill="FF7F7F" w:themeFill="accent5" w:themeFillTint="66"/>
      </w:tcPr>
    </w:tblStylePr>
  </w:style>
  <w:style w:type="table" w:customStyle="1" w:styleId="GridTable5DarkAccent6">
    <w:name w:val="Grid Table 5 Dark Accent 6"/>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A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4FA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4FA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4FA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4FA1" w:themeFill="accent6"/>
      </w:tcPr>
    </w:tblStylePr>
    <w:tblStylePr w:type="band1Vert">
      <w:tblPr/>
      <w:tcPr>
        <w:shd w:val="clear" w:color="auto" w:fill="BAB6DB" w:themeFill="accent6" w:themeFillTint="66"/>
      </w:tcPr>
    </w:tblStylePr>
    <w:tblStylePr w:type="band1Horz">
      <w:tblPr/>
      <w:tcPr>
        <w:shd w:val="clear" w:color="auto" w:fill="BAB6DB" w:themeFill="accent6" w:themeFillTint="66"/>
      </w:tcPr>
    </w:tblStylePr>
  </w:style>
  <w:style w:type="table" w:customStyle="1" w:styleId="GridTable6Colorful">
    <w:name w:val="Grid Table 6 Colorful"/>
    <w:basedOn w:val="TableNormal"/>
    <w:uiPriority w:val="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pPr>
      <w:spacing w:after="0" w:line="240" w:lineRule="auto"/>
    </w:pPr>
    <w:rPr>
      <w:color w:val="DA380F" w:themeColor="accent1" w:themeShade="BF"/>
    </w:rPr>
    <w:tblPr>
      <w:tblStyleRowBandSize w:val="1"/>
      <w:tblStyleColBandSize w:val="1"/>
      <w:tblBorders>
        <w:top w:val="single" w:sz="4" w:space="0" w:color="F7A590" w:themeColor="accent1" w:themeTint="99"/>
        <w:left w:val="single" w:sz="4" w:space="0" w:color="F7A590" w:themeColor="accent1" w:themeTint="99"/>
        <w:bottom w:val="single" w:sz="4" w:space="0" w:color="F7A590" w:themeColor="accent1" w:themeTint="99"/>
        <w:right w:val="single" w:sz="4" w:space="0" w:color="F7A590" w:themeColor="accent1" w:themeTint="99"/>
        <w:insideH w:val="single" w:sz="4" w:space="0" w:color="F7A590" w:themeColor="accent1" w:themeTint="99"/>
        <w:insideV w:val="single" w:sz="4" w:space="0" w:color="F7A590" w:themeColor="accent1" w:themeTint="99"/>
      </w:tblBorders>
    </w:tblPr>
    <w:tblStylePr w:type="firstRow">
      <w:rPr>
        <w:b/>
        <w:bCs/>
      </w:rPr>
      <w:tblPr/>
      <w:tcPr>
        <w:tcBorders>
          <w:bottom w:val="single" w:sz="12" w:space="0" w:color="F7A590" w:themeColor="accent1" w:themeTint="99"/>
        </w:tcBorders>
      </w:tcPr>
    </w:tblStylePr>
    <w:tblStylePr w:type="lastRow">
      <w:rPr>
        <w:b/>
        <w:bCs/>
      </w:rPr>
      <w:tblPr/>
      <w:tcPr>
        <w:tcBorders>
          <w:top w:val="double" w:sz="4" w:space="0" w:color="F7A590" w:themeColor="accent1" w:themeTint="99"/>
        </w:tcBorders>
      </w:tcPr>
    </w:tblStylePr>
    <w:tblStylePr w:type="firstCol">
      <w:rPr>
        <w:b/>
        <w:bCs/>
      </w:rPr>
    </w:tblStylePr>
    <w:tblStylePr w:type="lastCol">
      <w:rPr>
        <w:b/>
        <w:bCs/>
      </w:rPr>
    </w:tblStylePr>
    <w:tblStylePr w:type="band1Vert">
      <w:tblPr/>
      <w:tcPr>
        <w:shd w:val="clear" w:color="auto" w:fill="FCE0D9" w:themeFill="accent1" w:themeFillTint="33"/>
      </w:tcPr>
    </w:tblStylePr>
    <w:tblStylePr w:type="band1Horz">
      <w:tblPr/>
      <w:tcPr>
        <w:shd w:val="clear" w:color="auto" w:fill="FCE0D9" w:themeFill="accent1" w:themeFillTint="33"/>
      </w:tcPr>
    </w:tblStylePr>
  </w:style>
  <w:style w:type="table" w:customStyle="1" w:styleId="GridTable6ColorfulAccent2">
    <w:name w:val="Grid Table 6 Colorful Accent 2"/>
    <w:basedOn w:val="TableNormal"/>
    <w:uiPriority w:val="51"/>
    <w:pPr>
      <w:spacing w:after="0" w:line="240" w:lineRule="auto"/>
    </w:pPr>
    <w:rPr>
      <w:color w:val="BF8F00" w:themeColor="accent2" w:themeShade="BF"/>
    </w:r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insideV w:val="single" w:sz="4" w:space="0" w:color="FFD966" w:themeColor="accent2" w:themeTint="99"/>
      </w:tblBorders>
    </w:tblPr>
    <w:tblStylePr w:type="firstRow">
      <w:rPr>
        <w:b/>
        <w:bCs/>
      </w:rPr>
      <w:tblPr/>
      <w:tcPr>
        <w:tcBorders>
          <w:bottom w:val="single" w:sz="12" w:space="0" w:color="FFD966" w:themeColor="accent2" w:themeTint="99"/>
        </w:tcBorders>
      </w:tcPr>
    </w:tblStylePr>
    <w:tblStylePr w:type="lastRow">
      <w:rPr>
        <w:b/>
        <w:bCs/>
      </w:rPr>
      <w:tblPr/>
      <w:tcPr>
        <w:tcBorders>
          <w:top w:val="double" w:sz="4" w:space="0" w:color="FFD966" w:themeColor="accent2" w:themeTint="99"/>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GridTable6ColorfulAccent3">
    <w:name w:val="Grid Table 6 Colorful Accent 3"/>
    <w:basedOn w:val="TableNormal"/>
    <w:uiPriority w:val="51"/>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customStyle="1" w:styleId="GridTable6ColorfulAccent4">
    <w:name w:val="Grid Table 6 Colorful Accent 4"/>
    <w:basedOn w:val="TableNormal"/>
    <w:uiPriority w:val="51"/>
    <w:pPr>
      <w:spacing w:after="0" w:line="240" w:lineRule="auto"/>
    </w:pPr>
    <w:rPr>
      <w:color w:val="00456F" w:themeColor="accent4" w:themeShade="BF"/>
    </w:rPr>
    <w:tblPr>
      <w:tblStyleRowBandSize w:val="1"/>
      <w:tblStyleColBandSize w:val="1"/>
      <w:tblBorders>
        <w:top w:val="single" w:sz="4" w:space="0" w:color="26ADFF" w:themeColor="accent4" w:themeTint="99"/>
        <w:left w:val="single" w:sz="4" w:space="0" w:color="26ADFF" w:themeColor="accent4" w:themeTint="99"/>
        <w:bottom w:val="single" w:sz="4" w:space="0" w:color="26ADFF" w:themeColor="accent4" w:themeTint="99"/>
        <w:right w:val="single" w:sz="4" w:space="0" w:color="26ADFF" w:themeColor="accent4" w:themeTint="99"/>
        <w:insideH w:val="single" w:sz="4" w:space="0" w:color="26ADFF" w:themeColor="accent4" w:themeTint="99"/>
        <w:insideV w:val="single" w:sz="4" w:space="0" w:color="26ADFF" w:themeColor="accent4" w:themeTint="99"/>
      </w:tblBorders>
    </w:tblPr>
    <w:tblStylePr w:type="firstRow">
      <w:rPr>
        <w:b/>
        <w:bCs/>
      </w:rPr>
      <w:tblPr/>
      <w:tcPr>
        <w:tcBorders>
          <w:bottom w:val="single" w:sz="12" w:space="0" w:color="26ADFF" w:themeColor="accent4" w:themeTint="99"/>
        </w:tcBorders>
      </w:tcPr>
    </w:tblStylePr>
    <w:tblStylePr w:type="lastRow">
      <w:rPr>
        <w:b/>
        <w:bCs/>
      </w:rPr>
      <w:tblPr/>
      <w:tcPr>
        <w:tcBorders>
          <w:top w:val="double" w:sz="4" w:space="0" w:color="26ADFF" w:themeColor="accent4" w:themeTint="99"/>
        </w:tcBorders>
      </w:tcPr>
    </w:tblStylePr>
    <w:tblStylePr w:type="firstCol">
      <w:rPr>
        <w:b/>
        <w:bCs/>
      </w:rPr>
    </w:tblStylePr>
    <w:tblStylePr w:type="lastCol">
      <w:rPr>
        <w:b/>
        <w:bCs/>
      </w:rPr>
    </w:tblStylePr>
    <w:tblStylePr w:type="band1Vert">
      <w:tblPr/>
      <w:tcPr>
        <w:shd w:val="clear" w:color="auto" w:fill="B6E3FF" w:themeFill="accent4" w:themeFillTint="33"/>
      </w:tcPr>
    </w:tblStylePr>
    <w:tblStylePr w:type="band1Horz">
      <w:tblPr/>
      <w:tcPr>
        <w:shd w:val="clear" w:color="auto" w:fill="B6E3FF" w:themeFill="accent4" w:themeFillTint="33"/>
      </w:tcPr>
    </w:tblStylePr>
  </w:style>
  <w:style w:type="table" w:customStyle="1" w:styleId="GridTable6ColorfulAccent5">
    <w:name w:val="Grid Table 6 Colorful Accent 5"/>
    <w:basedOn w:val="TableNormal"/>
    <w:uiPriority w:val="51"/>
    <w:pPr>
      <w:spacing w:after="0" w:line="240" w:lineRule="auto"/>
    </w:pPr>
    <w:rPr>
      <w:color w:val="8F0000" w:themeColor="accent5" w:themeShade="BF"/>
    </w:rPr>
    <w:tblPr>
      <w:tblStyleRowBandSize w:val="1"/>
      <w:tblStyleColBandSize w:val="1"/>
      <w:tblBorders>
        <w:top w:val="single" w:sz="4" w:space="0" w:color="FF4040" w:themeColor="accent5" w:themeTint="99"/>
        <w:left w:val="single" w:sz="4" w:space="0" w:color="FF4040" w:themeColor="accent5" w:themeTint="99"/>
        <w:bottom w:val="single" w:sz="4" w:space="0" w:color="FF4040" w:themeColor="accent5" w:themeTint="99"/>
        <w:right w:val="single" w:sz="4" w:space="0" w:color="FF4040" w:themeColor="accent5" w:themeTint="99"/>
        <w:insideH w:val="single" w:sz="4" w:space="0" w:color="FF4040" w:themeColor="accent5" w:themeTint="99"/>
        <w:insideV w:val="single" w:sz="4" w:space="0" w:color="FF4040" w:themeColor="accent5" w:themeTint="99"/>
      </w:tblBorders>
    </w:tblPr>
    <w:tblStylePr w:type="firstRow">
      <w:rPr>
        <w:b/>
        <w:bCs/>
      </w:rPr>
      <w:tblPr/>
      <w:tcPr>
        <w:tcBorders>
          <w:bottom w:val="single" w:sz="12" w:space="0" w:color="FF4040" w:themeColor="accent5" w:themeTint="99"/>
        </w:tcBorders>
      </w:tcPr>
    </w:tblStylePr>
    <w:tblStylePr w:type="lastRow">
      <w:rPr>
        <w:b/>
        <w:bCs/>
      </w:rPr>
      <w:tblPr/>
      <w:tcPr>
        <w:tcBorders>
          <w:top w:val="double" w:sz="4" w:space="0" w:color="FF4040" w:themeColor="accent5" w:themeTint="99"/>
        </w:tcBorders>
      </w:tcPr>
    </w:tblStylePr>
    <w:tblStylePr w:type="firstCol">
      <w:rPr>
        <w:b/>
        <w:bCs/>
      </w:rPr>
    </w:tblStylePr>
    <w:tblStylePr w:type="lastCol">
      <w:rPr>
        <w:b/>
        <w:bCs/>
      </w:rPr>
    </w:tblStylePr>
    <w:tblStylePr w:type="band1Vert">
      <w:tblPr/>
      <w:tcPr>
        <w:shd w:val="clear" w:color="auto" w:fill="FFBFBF" w:themeFill="accent5" w:themeFillTint="33"/>
      </w:tcPr>
    </w:tblStylePr>
    <w:tblStylePr w:type="band1Horz">
      <w:tblPr/>
      <w:tcPr>
        <w:shd w:val="clear" w:color="auto" w:fill="FFBFBF" w:themeFill="accent5" w:themeFillTint="33"/>
      </w:tcPr>
    </w:tblStylePr>
  </w:style>
  <w:style w:type="table" w:customStyle="1" w:styleId="GridTable6ColorfulAccent6">
    <w:name w:val="Grid Table 6 Colorful Accent 6"/>
    <w:basedOn w:val="TableNormal"/>
    <w:uiPriority w:val="51"/>
    <w:pPr>
      <w:spacing w:after="0" w:line="240" w:lineRule="auto"/>
    </w:pPr>
    <w:rPr>
      <w:color w:val="413B78" w:themeColor="accent6" w:themeShade="BF"/>
    </w:rPr>
    <w:tblPr>
      <w:tblStyleRowBandSize w:val="1"/>
      <w:tblStyleColBandSize w:val="1"/>
      <w:tblBorders>
        <w:top w:val="single" w:sz="4" w:space="0" w:color="9892C9" w:themeColor="accent6" w:themeTint="99"/>
        <w:left w:val="single" w:sz="4" w:space="0" w:color="9892C9" w:themeColor="accent6" w:themeTint="99"/>
        <w:bottom w:val="single" w:sz="4" w:space="0" w:color="9892C9" w:themeColor="accent6" w:themeTint="99"/>
        <w:right w:val="single" w:sz="4" w:space="0" w:color="9892C9" w:themeColor="accent6" w:themeTint="99"/>
        <w:insideH w:val="single" w:sz="4" w:space="0" w:color="9892C9" w:themeColor="accent6" w:themeTint="99"/>
        <w:insideV w:val="single" w:sz="4" w:space="0" w:color="9892C9" w:themeColor="accent6" w:themeTint="99"/>
      </w:tblBorders>
    </w:tblPr>
    <w:tblStylePr w:type="firstRow">
      <w:rPr>
        <w:b/>
        <w:bCs/>
      </w:rPr>
      <w:tblPr/>
      <w:tcPr>
        <w:tcBorders>
          <w:bottom w:val="single" w:sz="12" w:space="0" w:color="9892C9" w:themeColor="accent6" w:themeTint="99"/>
        </w:tcBorders>
      </w:tcPr>
    </w:tblStylePr>
    <w:tblStylePr w:type="lastRow">
      <w:rPr>
        <w:b/>
        <w:bCs/>
      </w:rPr>
      <w:tblPr/>
      <w:tcPr>
        <w:tcBorders>
          <w:top w:val="double" w:sz="4" w:space="0" w:color="9892C9" w:themeColor="accent6" w:themeTint="99"/>
        </w:tcBorders>
      </w:tcPr>
    </w:tblStylePr>
    <w:tblStylePr w:type="firstCol">
      <w:rPr>
        <w:b/>
        <w:bCs/>
      </w:rPr>
    </w:tblStylePr>
    <w:tblStylePr w:type="lastCol">
      <w:rPr>
        <w:b/>
        <w:bCs/>
      </w:rPr>
    </w:tblStylePr>
    <w:tblStylePr w:type="band1Vert">
      <w:tblPr/>
      <w:tcPr>
        <w:shd w:val="clear" w:color="auto" w:fill="DCDAED" w:themeFill="accent6" w:themeFillTint="33"/>
      </w:tcPr>
    </w:tblStylePr>
    <w:tblStylePr w:type="band1Horz">
      <w:tblPr/>
      <w:tcPr>
        <w:shd w:val="clear" w:color="auto" w:fill="DCDAED" w:themeFill="accent6" w:themeFillTint="33"/>
      </w:tcPr>
    </w:tblStylePr>
  </w:style>
  <w:style w:type="table" w:customStyle="1" w:styleId="GridTable7Colorful">
    <w:name w:val="Grid Table 7 Colorful"/>
    <w:basedOn w:val="TableNormal"/>
    <w:uiPriority w:val="5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pPr>
      <w:spacing w:after="0" w:line="240" w:lineRule="auto"/>
    </w:pPr>
    <w:rPr>
      <w:color w:val="DA380F" w:themeColor="accent1" w:themeShade="BF"/>
    </w:rPr>
    <w:tblPr>
      <w:tblStyleRowBandSize w:val="1"/>
      <w:tblStyleColBandSize w:val="1"/>
      <w:tblBorders>
        <w:top w:val="single" w:sz="4" w:space="0" w:color="F7A590" w:themeColor="accent1" w:themeTint="99"/>
        <w:left w:val="single" w:sz="4" w:space="0" w:color="F7A590" w:themeColor="accent1" w:themeTint="99"/>
        <w:bottom w:val="single" w:sz="4" w:space="0" w:color="F7A590" w:themeColor="accent1" w:themeTint="99"/>
        <w:right w:val="single" w:sz="4" w:space="0" w:color="F7A590" w:themeColor="accent1" w:themeTint="99"/>
        <w:insideH w:val="single" w:sz="4" w:space="0" w:color="F7A590" w:themeColor="accent1" w:themeTint="99"/>
        <w:insideV w:val="single" w:sz="4" w:space="0" w:color="F7A5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0D9" w:themeFill="accent1" w:themeFillTint="33"/>
      </w:tcPr>
    </w:tblStylePr>
    <w:tblStylePr w:type="band1Horz">
      <w:tblPr/>
      <w:tcPr>
        <w:shd w:val="clear" w:color="auto" w:fill="FCE0D9" w:themeFill="accent1" w:themeFillTint="33"/>
      </w:tcPr>
    </w:tblStylePr>
    <w:tblStylePr w:type="neCell">
      <w:tblPr/>
      <w:tcPr>
        <w:tcBorders>
          <w:bottom w:val="single" w:sz="4" w:space="0" w:color="F7A590" w:themeColor="accent1" w:themeTint="99"/>
        </w:tcBorders>
      </w:tcPr>
    </w:tblStylePr>
    <w:tblStylePr w:type="nwCell">
      <w:tblPr/>
      <w:tcPr>
        <w:tcBorders>
          <w:bottom w:val="single" w:sz="4" w:space="0" w:color="F7A590" w:themeColor="accent1" w:themeTint="99"/>
        </w:tcBorders>
      </w:tcPr>
    </w:tblStylePr>
    <w:tblStylePr w:type="seCell">
      <w:tblPr/>
      <w:tcPr>
        <w:tcBorders>
          <w:top w:val="single" w:sz="4" w:space="0" w:color="F7A590" w:themeColor="accent1" w:themeTint="99"/>
        </w:tcBorders>
      </w:tcPr>
    </w:tblStylePr>
    <w:tblStylePr w:type="swCell">
      <w:tblPr/>
      <w:tcPr>
        <w:tcBorders>
          <w:top w:val="single" w:sz="4" w:space="0" w:color="F7A590" w:themeColor="accent1" w:themeTint="99"/>
        </w:tcBorders>
      </w:tcPr>
    </w:tblStylePr>
  </w:style>
  <w:style w:type="table" w:customStyle="1" w:styleId="GridTable7ColorfulAccent2">
    <w:name w:val="Grid Table 7 Colorful Accent 2"/>
    <w:basedOn w:val="TableNormal"/>
    <w:uiPriority w:val="52"/>
    <w:pPr>
      <w:spacing w:after="0" w:line="240" w:lineRule="auto"/>
    </w:pPr>
    <w:rPr>
      <w:color w:val="BF8F00" w:themeColor="accent2" w:themeShade="BF"/>
    </w:r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insideV w:val="single" w:sz="4" w:space="0" w:color="FFD9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2" w:themeFillTint="33"/>
      </w:tcPr>
    </w:tblStylePr>
    <w:tblStylePr w:type="band1Horz">
      <w:tblPr/>
      <w:tcPr>
        <w:shd w:val="clear" w:color="auto" w:fill="FFF2CC" w:themeFill="accent2" w:themeFillTint="33"/>
      </w:tcPr>
    </w:tblStylePr>
    <w:tblStylePr w:type="neCell">
      <w:tblPr/>
      <w:tcPr>
        <w:tcBorders>
          <w:bottom w:val="single" w:sz="4" w:space="0" w:color="FFD966" w:themeColor="accent2" w:themeTint="99"/>
        </w:tcBorders>
      </w:tcPr>
    </w:tblStylePr>
    <w:tblStylePr w:type="nwCell">
      <w:tblPr/>
      <w:tcPr>
        <w:tcBorders>
          <w:bottom w:val="single" w:sz="4" w:space="0" w:color="FFD966" w:themeColor="accent2" w:themeTint="99"/>
        </w:tcBorders>
      </w:tcPr>
    </w:tblStylePr>
    <w:tblStylePr w:type="seCell">
      <w:tblPr/>
      <w:tcPr>
        <w:tcBorders>
          <w:top w:val="single" w:sz="4" w:space="0" w:color="FFD966" w:themeColor="accent2" w:themeTint="99"/>
        </w:tcBorders>
      </w:tcPr>
    </w:tblStylePr>
    <w:tblStylePr w:type="swCell">
      <w:tblPr/>
      <w:tcPr>
        <w:tcBorders>
          <w:top w:val="single" w:sz="4" w:space="0" w:color="FFD966" w:themeColor="accent2" w:themeTint="99"/>
        </w:tcBorders>
      </w:tcPr>
    </w:tblStylePr>
  </w:style>
  <w:style w:type="table" w:customStyle="1" w:styleId="GridTable7ColorfulAccent3">
    <w:name w:val="Grid Table 7 Colorful Accent 3"/>
    <w:basedOn w:val="TableNormal"/>
    <w:uiPriority w:val="52"/>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customStyle="1" w:styleId="GridTable7ColorfulAccent4">
    <w:name w:val="Grid Table 7 Colorful Accent 4"/>
    <w:basedOn w:val="TableNormal"/>
    <w:uiPriority w:val="52"/>
    <w:pPr>
      <w:spacing w:after="0" w:line="240" w:lineRule="auto"/>
    </w:pPr>
    <w:rPr>
      <w:color w:val="00456F" w:themeColor="accent4" w:themeShade="BF"/>
    </w:rPr>
    <w:tblPr>
      <w:tblStyleRowBandSize w:val="1"/>
      <w:tblStyleColBandSize w:val="1"/>
      <w:tblBorders>
        <w:top w:val="single" w:sz="4" w:space="0" w:color="26ADFF" w:themeColor="accent4" w:themeTint="99"/>
        <w:left w:val="single" w:sz="4" w:space="0" w:color="26ADFF" w:themeColor="accent4" w:themeTint="99"/>
        <w:bottom w:val="single" w:sz="4" w:space="0" w:color="26ADFF" w:themeColor="accent4" w:themeTint="99"/>
        <w:right w:val="single" w:sz="4" w:space="0" w:color="26ADFF" w:themeColor="accent4" w:themeTint="99"/>
        <w:insideH w:val="single" w:sz="4" w:space="0" w:color="26ADFF" w:themeColor="accent4" w:themeTint="99"/>
        <w:insideV w:val="single" w:sz="4" w:space="0" w:color="26AD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E3FF" w:themeFill="accent4" w:themeFillTint="33"/>
      </w:tcPr>
    </w:tblStylePr>
    <w:tblStylePr w:type="band1Horz">
      <w:tblPr/>
      <w:tcPr>
        <w:shd w:val="clear" w:color="auto" w:fill="B6E3FF" w:themeFill="accent4" w:themeFillTint="33"/>
      </w:tcPr>
    </w:tblStylePr>
    <w:tblStylePr w:type="neCell">
      <w:tblPr/>
      <w:tcPr>
        <w:tcBorders>
          <w:bottom w:val="single" w:sz="4" w:space="0" w:color="26ADFF" w:themeColor="accent4" w:themeTint="99"/>
        </w:tcBorders>
      </w:tcPr>
    </w:tblStylePr>
    <w:tblStylePr w:type="nwCell">
      <w:tblPr/>
      <w:tcPr>
        <w:tcBorders>
          <w:bottom w:val="single" w:sz="4" w:space="0" w:color="26ADFF" w:themeColor="accent4" w:themeTint="99"/>
        </w:tcBorders>
      </w:tcPr>
    </w:tblStylePr>
    <w:tblStylePr w:type="seCell">
      <w:tblPr/>
      <w:tcPr>
        <w:tcBorders>
          <w:top w:val="single" w:sz="4" w:space="0" w:color="26ADFF" w:themeColor="accent4" w:themeTint="99"/>
        </w:tcBorders>
      </w:tcPr>
    </w:tblStylePr>
    <w:tblStylePr w:type="swCell">
      <w:tblPr/>
      <w:tcPr>
        <w:tcBorders>
          <w:top w:val="single" w:sz="4" w:space="0" w:color="26ADFF" w:themeColor="accent4" w:themeTint="99"/>
        </w:tcBorders>
      </w:tcPr>
    </w:tblStylePr>
  </w:style>
  <w:style w:type="table" w:customStyle="1" w:styleId="GridTable7ColorfulAccent5">
    <w:name w:val="Grid Table 7 Colorful Accent 5"/>
    <w:basedOn w:val="TableNormal"/>
    <w:uiPriority w:val="52"/>
    <w:pPr>
      <w:spacing w:after="0" w:line="240" w:lineRule="auto"/>
    </w:pPr>
    <w:rPr>
      <w:color w:val="8F0000" w:themeColor="accent5" w:themeShade="BF"/>
    </w:rPr>
    <w:tblPr>
      <w:tblStyleRowBandSize w:val="1"/>
      <w:tblStyleColBandSize w:val="1"/>
      <w:tblBorders>
        <w:top w:val="single" w:sz="4" w:space="0" w:color="FF4040" w:themeColor="accent5" w:themeTint="99"/>
        <w:left w:val="single" w:sz="4" w:space="0" w:color="FF4040" w:themeColor="accent5" w:themeTint="99"/>
        <w:bottom w:val="single" w:sz="4" w:space="0" w:color="FF4040" w:themeColor="accent5" w:themeTint="99"/>
        <w:right w:val="single" w:sz="4" w:space="0" w:color="FF4040" w:themeColor="accent5" w:themeTint="99"/>
        <w:insideH w:val="single" w:sz="4" w:space="0" w:color="FF4040" w:themeColor="accent5" w:themeTint="99"/>
        <w:insideV w:val="single" w:sz="4" w:space="0" w:color="FF404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5" w:themeFillTint="33"/>
      </w:tcPr>
    </w:tblStylePr>
    <w:tblStylePr w:type="band1Horz">
      <w:tblPr/>
      <w:tcPr>
        <w:shd w:val="clear" w:color="auto" w:fill="FFBFBF" w:themeFill="accent5" w:themeFillTint="33"/>
      </w:tcPr>
    </w:tblStylePr>
    <w:tblStylePr w:type="neCell">
      <w:tblPr/>
      <w:tcPr>
        <w:tcBorders>
          <w:bottom w:val="single" w:sz="4" w:space="0" w:color="FF4040" w:themeColor="accent5" w:themeTint="99"/>
        </w:tcBorders>
      </w:tcPr>
    </w:tblStylePr>
    <w:tblStylePr w:type="nwCell">
      <w:tblPr/>
      <w:tcPr>
        <w:tcBorders>
          <w:bottom w:val="single" w:sz="4" w:space="0" w:color="FF4040" w:themeColor="accent5" w:themeTint="99"/>
        </w:tcBorders>
      </w:tcPr>
    </w:tblStylePr>
    <w:tblStylePr w:type="seCell">
      <w:tblPr/>
      <w:tcPr>
        <w:tcBorders>
          <w:top w:val="single" w:sz="4" w:space="0" w:color="FF4040" w:themeColor="accent5" w:themeTint="99"/>
        </w:tcBorders>
      </w:tcPr>
    </w:tblStylePr>
    <w:tblStylePr w:type="swCell">
      <w:tblPr/>
      <w:tcPr>
        <w:tcBorders>
          <w:top w:val="single" w:sz="4" w:space="0" w:color="FF4040" w:themeColor="accent5" w:themeTint="99"/>
        </w:tcBorders>
      </w:tcPr>
    </w:tblStylePr>
  </w:style>
  <w:style w:type="table" w:customStyle="1" w:styleId="GridTable7ColorfulAccent6">
    <w:name w:val="Grid Table 7 Colorful Accent 6"/>
    <w:basedOn w:val="TableNormal"/>
    <w:uiPriority w:val="52"/>
    <w:pPr>
      <w:spacing w:after="0" w:line="240" w:lineRule="auto"/>
    </w:pPr>
    <w:rPr>
      <w:color w:val="413B78" w:themeColor="accent6" w:themeShade="BF"/>
    </w:rPr>
    <w:tblPr>
      <w:tblStyleRowBandSize w:val="1"/>
      <w:tblStyleColBandSize w:val="1"/>
      <w:tblBorders>
        <w:top w:val="single" w:sz="4" w:space="0" w:color="9892C9" w:themeColor="accent6" w:themeTint="99"/>
        <w:left w:val="single" w:sz="4" w:space="0" w:color="9892C9" w:themeColor="accent6" w:themeTint="99"/>
        <w:bottom w:val="single" w:sz="4" w:space="0" w:color="9892C9" w:themeColor="accent6" w:themeTint="99"/>
        <w:right w:val="single" w:sz="4" w:space="0" w:color="9892C9" w:themeColor="accent6" w:themeTint="99"/>
        <w:insideH w:val="single" w:sz="4" w:space="0" w:color="9892C9" w:themeColor="accent6" w:themeTint="99"/>
        <w:insideV w:val="single" w:sz="4" w:space="0" w:color="9892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AED" w:themeFill="accent6" w:themeFillTint="33"/>
      </w:tcPr>
    </w:tblStylePr>
    <w:tblStylePr w:type="band1Horz">
      <w:tblPr/>
      <w:tcPr>
        <w:shd w:val="clear" w:color="auto" w:fill="DCDAED" w:themeFill="accent6" w:themeFillTint="33"/>
      </w:tcPr>
    </w:tblStylePr>
    <w:tblStylePr w:type="neCell">
      <w:tblPr/>
      <w:tcPr>
        <w:tcBorders>
          <w:bottom w:val="single" w:sz="4" w:space="0" w:color="9892C9" w:themeColor="accent6" w:themeTint="99"/>
        </w:tcBorders>
      </w:tcPr>
    </w:tblStylePr>
    <w:tblStylePr w:type="nwCell">
      <w:tblPr/>
      <w:tcPr>
        <w:tcBorders>
          <w:bottom w:val="single" w:sz="4" w:space="0" w:color="9892C9" w:themeColor="accent6" w:themeTint="99"/>
        </w:tcBorders>
      </w:tcPr>
    </w:tblStylePr>
    <w:tblStylePr w:type="seCell">
      <w:tblPr/>
      <w:tcPr>
        <w:tcBorders>
          <w:top w:val="single" w:sz="4" w:space="0" w:color="9892C9" w:themeColor="accent6" w:themeTint="99"/>
        </w:tcBorders>
      </w:tcPr>
    </w:tblStylePr>
    <w:tblStylePr w:type="swCell">
      <w:tblPr/>
      <w:tcPr>
        <w:tcBorders>
          <w:top w:val="single" w:sz="4" w:space="0" w:color="9892C9" w:themeColor="accent6" w:themeTint="99"/>
        </w:tcBorders>
      </w:tcPr>
    </w:tblStylePr>
  </w:style>
  <w:style w:type="character" w:styleId="HTMLAcronym">
    <w:name w:val="HTML Acronym"/>
    <w:basedOn w:val="DefaultParagraphFont"/>
    <w:uiPriority w:val="99"/>
    <w:semiHidden/>
    <w:unhideWhenUsed/>
    <w:rPr>
      <w:noProof w:val="0"/>
    </w:rPr>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noProof w:val="0"/>
    </w:rPr>
  </w:style>
  <w:style w:type="character" w:styleId="HTMLCite">
    <w:name w:val="HTML Cite"/>
    <w:basedOn w:val="DefaultParagraphFont"/>
    <w:uiPriority w:val="99"/>
    <w:semiHidden/>
    <w:unhideWhenUsed/>
    <w:rPr>
      <w:i/>
      <w:iCs/>
      <w:noProof w:val="0"/>
    </w:rPr>
  </w:style>
  <w:style w:type="character" w:styleId="HTMLCode">
    <w:name w:val="HTML Code"/>
    <w:basedOn w:val="DefaultParagraphFont"/>
    <w:uiPriority w:val="99"/>
    <w:semiHidden/>
    <w:unhideWhenUsed/>
    <w:rPr>
      <w:rFonts w:ascii="Consolas" w:hAnsi="Consolas"/>
      <w:noProof w:val="0"/>
      <w:sz w:val="20"/>
      <w:szCs w:val="20"/>
    </w:rPr>
  </w:style>
  <w:style w:type="character" w:styleId="HTMLDefinition">
    <w:name w:val="HTML Definition"/>
    <w:basedOn w:val="DefaultParagraphFont"/>
    <w:uiPriority w:val="99"/>
    <w:semiHidden/>
    <w:unhideWhenUsed/>
    <w:rPr>
      <w:i/>
      <w:iCs/>
      <w:noProof w:val="0"/>
    </w:rPr>
  </w:style>
  <w:style w:type="character" w:styleId="HTMLKeyboard">
    <w:name w:val="HTML Keyboard"/>
    <w:basedOn w:val="DefaultParagraphFont"/>
    <w:uiPriority w:val="99"/>
    <w:semiHidden/>
    <w:unhideWhenUsed/>
    <w:rPr>
      <w:rFonts w:ascii="Consolas" w:hAnsi="Consolas"/>
      <w:noProof w:val="0"/>
      <w:sz w:val="20"/>
      <w:szCs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Pr>
      <w:rFonts w:ascii="Consolas" w:hAnsi="Consolas"/>
      <w:noProof w:val="0"/>
      <w:sz w:val="20"/>
      <w:szCs w:val="20"/>
    </w:rPr>
  </w:style>
  <w:style w:type="character" w:styleId="HTMLSample">
    <w:name w:val="HTML Sample"/>
    <w:basedOn w:val="DefaultParagraphFont"/>
    <w:uiPriority w:val="99"/>
    <w:semiHidden/>
    <w:unhideWhenUsed/>
    <w:rPr>
      <w:rFonts w:ascii="Consolas" w:hAnsi="Consolas"/>
      <w:noProof w:val="0"/>
      <w:sz w:val="24"/>
      <w:szCs w:val="24"/>
    </w:rPr>
  </w:style>
  <w:style w:type="character" w:styleId="HTMLTypewriter">
    <w:name w:val="HTML Typewriter"/>
    <w:basedOn w:val="DefaultParagraphFont"/>
    <w:uiPriority w:val="99"/>
    <w:semiHidden/>
    <w:unhideWhenUsed/>
    <w:rPr>
      <w:rFonts w:ascii="Consolas" w:hAnsi="Consolas"/>
      <w:noProof w:val="0"/>
      <w:sz w:val="20"/>
      <w:szCs w:val="20"/>
    </w:rPr>
  </w:style>
  <w:style w:type="character" w:styleId="HTMLVariable">
    <w:name w:val="HTML Variable"/>
    <w:basedOn w:val="DefaultParagraphFont"/>
    <w:uiPriority w:val="99"/>
    <w:semiHidden/>
    <w:unhideWhenUsed/>
    <w:rPr>
      <w:i/>
      <w:iCs/>
      <w:noProof w:val="0"/>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qFormat/>
    <w:rPr>
      <w:i/>
      <w:iCs/>
      <w:noProof w:val="0"/>
      <w:color w:val="F26A47" w:themeColor="accent1"/>
    </w:rPr>
  </w:style>
  <w:style w:type="character" w:styleId="IntenseReference">
    <w:name w:val="Intense Reference"/>
    <w:basedOn w:val="DefaultParagraphFont"/>
    <w:uiPriority w:val="32"/>
    <w:semiHidden/>
    <w:qFormat/>
    <w:rPr>
      <w:b/>
      <w:bCs/>
      <w:smallCaps/>
      <w:noProof w:val="0"/>
      <w:color w:val="F26A47" w:themeColor="accent1"/>
      <w:spacing w:val="5"/>
    </w:rPr>
  </w:style>
  <w:style w:type="table" w:styleId="LightGrid">
    <w:name w:val="Light Grid"/>
    <w:basedOn w:val="TableNormal"/>
    <w:uiPriority w:val="62"/>
    <w:semiHidden/>
    <w:unhideWhenUs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tblPr>
      <w:tblStyleRowBandSize w:val="1"/>
      <w:tblStyleColBandSize w:val="1"/>
      <w:tblBorders>
        <w:top w:val="single" w:sz="8" w:space="0" w:color="F26A47" w:themeColor="accent1"/>
        <w:left w:val="single" w:sz="8" w:space="0" w:color="F26A47" w:themeColor="accent1"/>
        <w:bottom w:val="single" w:sz="8" w:space="0" w:color="F26A47" w:themeColor="accent1"/>
        <w:right w:val="single" w:sz="8" w:space="0" w:color="F26A47" w:themeColor="accent1"/>
        <w:insideH w:val="single" w:sz="8" w:space="0" w:color="F26A47" w:themeColor="accent1"/>
        <w:insideV w:val="single" w:sz="8" w:space="0" w:color="F26A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A47" w:themeColor="accent1"/>
          <w:left w:val="single" w:sz="8" w:space="0" w:color="F26A47" w:themeColor="accent1"/>
          <w:bottom w:val="single" w:sz="18" w:space="0" w:color="F26A47" w:themeColor="accent1"/>
          <w:right w:val="single" w:sz="8" w:space="0" w:color="F26A47" w:themeColor="accent1"/>
          <w:insideH w:val="nil"/>
          <w:insideV w:val="single" w:sz="8" w:space="0" w:color="F26A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A47" w:themeColor="accent1"/>
          <w:left w:val="single" w:sz="8" w:space="0" w:color="F26A47" w:themeColor="accent1"/>
          <w:bottom w:val="single" w:sz="8" w:space="0" w:color="F26A47" w:themeColor="accent1"/>
          <w:right w:val="single" w:sz="8" w:space="0" w:color="F26A47" w:themeColor="accent1"/>
          <w:insideH w:val="nil"/>
          <w:insideV w:val="single" w:sz="8" w:space="0" w:color="F26A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A47" w:themeColor="accent1"/>
          <w:left w:val="single" w:sz="8" w:space="0" w:color="F26A47" w:themeColor="accent1"/>
          <w:bottom w:val="single" w:sz="8" w:space="0" w:color="F26A47" w:themeColor="accent1"/>
          <w:right w:val="single" w:sz="8" w:space="0" w:color="F26A47" w:themeColor="accent1"/>
        </w:tcBorders>
      </w:tcPr>
    </w:tblStylePr>
    <w:tblStylePr w:type="band1Vert">
      <w:tblPr/>
      <w:tcPr>
        <w:tcBorders>
          <w:top w:val="single" w:sz="8" w:space="0" w:color="F26A47" w:themeColor="accent1"/>
          <w:left w:val="single" w:sz="8" w:space="0" w:color="F26A47" w:themeColor="accent1"/>
          <w:bottom w:val="single" w:sz="8" w:space="0" w:color="F26A47" w:themeColor="accent1"/>
          <w:right w:val="single" w:sz="8" w:space="0" w:color="F26A47" w:themeColor="accent1"/>
        </w:tcBorders>
        <w:shd w:val="clear" w:color="auto" w:fill="FBD9D1" w:themeFill="accent1" w:themeFillTint="3F"/>
      </w:tcPr>
    </w:tblStylePr>
    <w:tblStylePr w:type="band1Horz">
      <w:tblPr/>
      <w:tcPr>
        <w:tcBorders>
          <w:top w:val="single" w:sz="8" w:space="0" w:color="F26A47" w:themeColor="accent1"/>
          <w:left w:val="single" w:sz="8" w:space="0" w:color="F26A47" w:themeColor="accent1"/>
          <w:bottom w:val="single" w:sz="8" w:space="0" w:color="F26A47" w:themeColor="accent1"/>
          <w:right w:val="single" w:sz="8" w:space="0" w:color="F26A47" w:themeColor="accent1"/>
          <w:insideV w:val="single" w:sz="8" w:space="0" w:color="F26A47" w:themeColor="accent1"/>
        </w:tcBorders>
        <w:shd w:val="clear" w:color="auto" w:fill="FBD9D1" w:themeFill="accent1" w:themeFillTint="3F"/>
      </w:tcPr>
    </w:tblStylePr>
    <w:tblStylePr w:type="band2Horz">
      <w:tblPr/>
      <w:tcPr>
        <w:tcBorders>
          <w:top w:val="single" w:sz="8" w:space="0" w:color="F26A47" w:themeColor="accent1"/>
          <w:left w:val="single" w:sz="8" w:space="0" w:color="F26A47" w:themeColor="accent1"/>
          <w:bottom w:val="single" w:sz="8" w:space="0" w:color="F26A47" w:themeColor="accent1"/>
          <w:right w:val="single" w:sz="8" w:space="0" w:color="F26A47" w:themeColor="accent1"/>
          <w:insideV w:val="single" w:sz="8" w:space="0" w:color="F26A47" w:themeColor="accent1"/>
        </w:tcBorders>
      </w:tcPr>
    </w:tblStylePr>
  </w:style>
  <w:style w:type="table" w:styleId="LightGrid-Accent2">
    <w:name w:val="Light Grid Accent 2"/>
    <w:basedOn w:val="TableNormal"/>
    <w:uiPriority w:val="62"/>
    <w:semiHidden/>
    <w:unhideWhenUsed/>
    <w:pPr>
      <w:spacing w:after="0" w:line="240" w:lineRule="auto"/>
    </w:pPr>
    <w:tblPr>
      <w:tblStyleRowBandSize w:val="1"/>
      <w:tblStyleColBandSize w:val="1"/>
      <w:tblBorders>
        <w:top w:val="single" w:sz="8" w:space="0" w:color="FFC000" w:themeColor="accent2"/>
        <w:left w:val="single" w:sz="8" w:space="0" w:color="FFC000" w:themeColor="accent2"/>
        <w:bottom w:val="single" w:sz="8" w:space="0" w:color="FFC000" w:themeColor="accent2"/>
        <w:right w:val="single" w:sz="8" w:space="0" w:color="FFC000" w:themeColor="accent2"/>
        <w:insideH w:val="single" w:sz="8" w:space="0" w:color="FFC000" w:themeColor="accent2"/>
        <w:insideV w:val="single" w:sz="8" w:space="0" w:color="FFC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2"/>
          <w:left w:val="single" w:sz="8" w:space="0" w:color="FFC000" w:themeColor="accent2"/>
          <w:bottom w:val="single" w:sz="18" w:space="0" w:color="FFC000" w:themeColor="accent2"/>
          <w:right w:val="single" w:sz="8" w:space="0" w:color="FFC000" w:themeColor="accent2"/>
          <w:insideH w:val="nil"/>
          <w:insideV w:val="single" w:sz="8" w:space="0" w:color="FFC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2"/>
          <w:left w:val="single" w:sz="8" w:space="0" w:color="FFC000" w:themeColor="accent2"/>
          <w:bottom w:val="single" w:sz="8" w:space="0" w:color="FFC000" w:themeColor="accent2"/>
          <w:right w:val="single" w:sz="8" w:space="0" w:color="FFC000" w:themeColor="accent2"/>
          <w:insideH w:val="nil"/>
          <w:insideV w:val="single" w:sz="8" w:space="0" w:color="FFC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2"/>
          <w:left w:val="single" w:sz="8" w:space="0" w:color="FFC000" w:themeColor="accent2"/>
          <w:bottom w:val="single" w:sz="8" w:space="0" w:color="FFC000" w:themeColor="accent2"/>
          <w:right w:val="single" w:sz="8" w:space="0" w:color="FFC000" w:themeColor="accent2"/>
        </w:tcBorders>
      </w:tcPr>
    </w:tblStylePr>
    <w:tblStylePr w:type="band1Vert">
      <w:tblPr/>
      <w:tcPr>
        <w:tcBorders>
          <w:top w:val="single" w:sz="8" w:space="0" w:color="FFC000" w:themeColor="accent2"/>
          <w:left w:val="single" w:sz="8" w:space="0" w:color="FFC000" w:themeColor="accent2"/>
          <w:bottom w:val="single" w:sz="8" w:space="0" w:color="FFC000" w:themeColor="accent2"/>
          <w:right w:val="single" w:sz="8" w:space="0" w:color="FFC000" w:themeColor="accent2"/>
        </w:tcBorders>
        <w:shd w:val="clear" w:color="auto" w:fill="FFEFC0" w:themeFill="accent2" w:themeFillTint="3F"/>
      </w:tcPr>
    </w:tblStylePr>
    <w:tblStylePr w:type="band1Horz">
      <w:tblPr/>
      <w:tcPr>
        <w:tcBorders>
          <w:top w:val="single" w:sz="8" w:space="0" w:color="FFC000" w:themeColor="accent2"/>
          <w:left w:val="single" w:sz="8" w:space="0" w:color="FFC000" w:themeColor="accent2"/>
          <w:bottom w:val="single" w:sz="8" w:space="0" w:color="FFC000" w:themeColor="accent2"/>
          <w:right w:val="single" w:sz="8" w:space="0" w:color="FFC000" w:themeColor="accent2"/>
          <w:insideV w:val="single" w:sz="8" w:space="0" w:color="FFC000" w:themeColor="accent2"/>
        </w:tcBorders>
        <w:shd w:val="clear" w:color="auto" w:fill="FFEFC0" w:themeFill="accent2" w:themeFillTint="3F"/>
      </w:tcPr>
    </w:tblStylePr>
    <w:tblStylePr w:type="band2Horz">
      <w:tblPr/>
      <w:tcPr>
        <w:tcBorders>
          <w:top w:val="single" w:sz="8" w:space="0" w:color="FFC000" w:themeColor="accent2"/>
          <w:left w:val="single" w:sz="8" w:space="0" w:color="FFC000" w:themeColor="accent2"/>
          <w:bottom w:val="single" w:sz="8" w:space="0" w:color="FFC000" w:themeColor="accent2"/>
          <w:right w:val="single" w:sz="8" w:space="0" w:color="FFC000" w:themeColor="accent2"/>
          <w:insideV w:val="single" w:sz="8" w:space="0" w:color="FFC000" w:themeColor="accent2"/>
        </w:tcBorders>
      </w:tcPr>
    </w:tblStylePr>
  </w:style>
  <w:style w:type="table" w:styleId="LightGrid-Accent3">
    <w:name w:val="Light Grid Accent 3"/>
    <w:basedOn w:val="TableNormal"/>
    <w:uiPriority w:val="62"/>
    <w:semiHidden/>
    <w:unhideWhenUsed/>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LightGrid-Accent4">
    <w:name w:val="Light Grid Accent 4"/>
    <w:basedOn w:val="TableNormal"/>
    <w:uiPriority w:val="62"/>
    <w:semiHidden/>
    <w:unhideWhenUsed/>
    <w:pPr>
      <w:spacing w:after="0" w:line="240" w:lineRule="auto"/>
    </w:pPr>
    <w:tblPr>
      <w:tblStyleRowBandSize w:val="1"/>
      <w:tblStyleColBandSize w:val="1"/>
      <w:tblBorders>
        <w:top w:val="single" w:sz="8" w:space="0" w:color="005D95" w:themeColor="accent4"/>
        <w:left w:val="single" w:sz="8" w:space="0" w:color="005D95" w:themeColor="accent4"/>
        <w:bottom w:val="single" w:sz="8" w:space="0" w:color="005D95" w:themeColor="accent4"/>
        <w:right w:val="single" w:sz="8" w:space="0" w:color="005D95" w:themeColor="accent4"/>
        <w:insideH w:val="single" w:sz="8" w:space="0" w:color="005D95" w:themeColor="accent4"/>
        <w:insideV w:val="single" w:sz="8" w:space="0" w:color="005D9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95" w:themeColor="accent4"/>
          <w:left w:val="single" w:sz="8" w:space="0" w:color="005D95" w:themeColor="accent4"/>
          <w:bottom w:val="single" w:sz="18" w:space="0" w:color="005D95" w:themeColor="accent4"/>
          <w:right w:val="single" w:sz="8" w:space="0" w:color="005D95" w:themeColor="accent4"/>
          <w:insideH w:val="nil"/>
          <w:insideV w:val="single" w:sz="8" w:space="0" w:color="005D9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95" w:themeColor="accent4"/>
          <w:left w:val="single" w:sz="8" w:space="0" w:color="005D95" w:themeColor="accent4"/>
          <w:bottom w:val="single" w:sz="8" w:space="0" w:color="005D95" w:themeColor="accent4"/>
          <w:right w:val="single" w:sz="8" w:space="0" w:color="005D95" w:themeColor="accent4"/>
          <w:insideH w:val="nil"/>
          <w:insideV w:val="single" w:sz="8" w:space="0" w:color="005D9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95" w:themeColor="accent4"/>
          <w:left w:val="single" w:sz="8" w:space="0" w:color="005D95" w:themeColor="accent4"/>
          <w:bottom w:val="single" w:sz="8" w:space="0" w:color="005D95" w:themeColor="accent4"/>
          <w:right w:val="single" w:sz="8" w:space="0" w:color="005D95" w:themeColor="accent4"/>
        </w:tcBorders>
      </w:tcPr>
    </w:tblStylePr>
    <w:tblStylePr w:type="band1Vert">
      <w:tblPr/>
      <w:tcPr>
        <w:tcBorders>
          <w:top w:val="single" w:sz="8" w:space="0" w:color="005D95" w:themeColor="accent4"/>
          <w:left w:val="single" w:sz="8" w:space="0" w:color="005D95" w:themeColor="accent4"/>
          <w:bottom w:val="single" w:sz="8" w:space="0" w:color="005D95" w:themeColor="accent4"/>
          <w:right w:val="single" w:sz="8" w:space="0" w:color="005D95" w:themeColor="accent4"/>
        </w:tcBorders>
        <w:shd w:val="clear" w:color="auto" w:fill="A5DDFF" w:themeFill="accent4" w:themeFillTint="3F"/>
      </w:tcPr>
    </w:tblStylePr>
    <w:tblStylePr w:type="band1Horz">
      <w:tblPr/>
      <w:tcPr>
        <w:tcBorders>
          <w:top w:val="single" w:sz="8" w:space="0" w:color="005D95" w:themeColor="accent4"/>
          <w:left w:val="single" w:sz="8" w:space="0" w:color="005D95" w:themeColor="accent4"/>
          <w:bottom w:val="single" w:sz="8" w:space="0" w:color="005D95" w:themeColor="accent4"/>
          <w:right w:val="single" w:sz="8" w:space="0" w:color="005D95" w:themeColor="accent4"/>
          <w:insideV w:val="single" w:sz="8" w:space="0" w:color="005D95" w:themeColor="accent4"/>
        </w:tcBorders>
        <w:shd w:val="clear" w:color="auto" w:fill="A5DDFF" w:themeFill="accent4" w:themeFillTint="3F"/>
      </w:tcPr>
    </w:tblStylePr>
    <w:tblStylePr w:type="band2Horz">
      <w:tblPr/>
      <w:tcPr>
        <w:tcBorders>
          <w:top w:val="single" w:sz="8" w:space="0" w:color="005D95" w:themeColor="accent4"/>
          <w:left w:val="single" w:sz="8" w:space="0" w:color="005D95" w:themeColor="accent4"/>
          <w:bottom w:val="single" w:sz="8" w:space="0" w:color="005D95" w:themeColor="accent4"/>
          <w:right w:val="single" w:sz="8" w:space="0" w:color="005D95" w:themeColor="accent4"/>
          <w:insideV w:val="single" w:sz="8" w:space="0" w:color="005D95" w:themeColor="accent4"/>
        </w:tcBorders>
      </w:tcPr>
    </w:tblStylePr>
  </w:style>
  <w:style w:type="table" w:styleId="LightGrid-Accent5">
    <w:name w:val="Light Grid Accent 5"/>
    <w:basedOn w:val="TableNormal"/>
    <w:uiPriority w:val="62"/>
    <w:semiHidden/>
    <w:unhideWhenUsed/>
    <w:pPr>
      <w:spacing w:after="0" w:line="240" w:lineRule="auto"/>
    </w:pPr>
    <w:tblPr>
      <w:tblStyleRowBandSize w:val="1"/>
      <w:tblStyleColBandSize w:val="1"/>
      <w:tblBorders>
        <w:top w:val="single" w:sz="8" w:space="0" w:color="C00000" w:themeColor="accent5"/>
        <w:left w:val="single" w:sz="8" w:space="0" w:color="C00000" w:themeColor="accent5"/>
        <w:bottom w:val="single" w:sz="8" w:space="0" w:color="C00000" w:themeColor="accent5"/>
        <w:right w:val="single" w:sz="8" w:space="0" w:color="C00000" w:themeColor="accent5"/>
        <w:insideH w:val="single" w:sz="8" w:space="0" w:color="C00000" w:themeColor="accent5"/>
        <w:insideV w:val="single" w:sz="8" w:space="0" w:color="C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5"/>
          <w:left w:val="single" w:sz="8" w:space="0" w:color="C00000" w:themeColor="accent5"/>
          <w:bottom w:val="single" w:sz="18" w:space="0" w:color="C00000" w:themeColor="accent5"/>
          <w:right w:val="single" w:sz="8" w:space="0" w:color="C00000" w:themeColor="accent5"/>
          <w:insideH w:val="nil"/>
          <w:insideV w:val="single" w:sz="8" w:space="0" w:color="C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5"/>
          <w:left w:val="single" w:sz="8" w:space="0" w:color="C00000" w:themeColor="accent5"/>
          <w:bottom w:val="single" w:sz="8" w:space="0" w:color="C00000" w:themeColor="accent5"/>
          <w:right w:val="single" w:sz="8" w:space="0" w:color="C00000" w:themeColor="accent5"/>
          <w:insideH w:val="nil"/>
          <w:insideV w:val="single" w:sz="8" w:space="0" w:color="C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5"/>
          <w:left w:val="single" w:sz="8" w:space="0" w:color="C00000" w:themeColor="accent5"/>
          <w:bottom w:val="single" w:sz="8" w:space="0" w:color="C00000" w:themeColor="accent5"/>
          <w:right w:val="single" w:sz="8" w:space="0" w:color="C00000" w:themeColor="accent5"/>
        </w:tcBorders>
      </w:tcPr>
    </w:tblStylePr>
    <w:tblStylePr w:type="band1Vert">
      <w:tblPr/>
      <w:tcPr>
        <w:tcBorders>
          <w:top w:val="single" w:sz="8" w:space="0" w:color="C00000" w:themeColor="accent5"/>
          <w:left w:val="single" w:sz="8" w:space="0" w:color="C00000" w:themeColor="accent5"/>
          <w:bottom w:val="single" w:sz="8" w:space="0" w:color="C00000" w:themeColor="accent5"/>
          <w:right w:val="single" w:sz="8" w:space="0" w:color="C00000" w:themeColor="accent5"/>
        </w:tcBorders>
        <w:shd w:val="clear" w:color="auto" w:fill="FFB0B0" w:themeFill="accent5" w:themeFillTint="3F"/>
      </w:tcPr>
    </w:tblStylePr>
    <w:tblStylePr w:type="band1Horz">
      <w:tblPr/>
      <w:tcPr>
        <w:tcBorders>
          <w:top w:val="single" w:sz="8" w:space="0" w:color="C00000" w:themeColor="accent5"/>
          <w:left w:val="single" w:sz="8" w:space="0" w:color="C00000" w:themeColor="accent5"/>
          <w:bottom w:val="single" w:sz="8" w:space="0" w:color="C00000" w:themeColor="accent5"/>
          <w:right w:val="single" w:sz="8" w:space="0" w:color="C00000" w:themeColor="accent5"/>
          <w:insideV w:val="single" w:sz="8" w:space="0" w:color="C00000" w:themeColor="accent5"/>
        </w:tcBorders>
        <w:shd w:val="clear" w:color="auto" w:fill="FFB0B0" w:themeFill="accent5" w:themeFillTint="3F"/>
      </w:tcPr>
    </w:tblStylePr>
    <w:tblStylePr w:type="band2Horz">
      <w:tblPr/>
      <w:tcPr>
        <w:tcBorders>
          <w:top w:val="single" w:sz="8" w:space="0" w:color="C00000" w:themeColor="accent5"/>
          <w:left w:val="single" w:sz="8" w:space="0" w:color="C00000" w:themeColor="accent5"/>
          <w:bottom w:val="single" w:sz="8" w:space="0" w:color="C00000" w:themeColor="accent5"/>
          <w:right w:val="single" w:sz="8" w:space="0" w:color="C00000" w:themeColor="accent5"/>
          <w:insideV w:val="single" w:sz="8" w:space="0" w:color="C00000" w:themeColor="accent5"/>
        </w:tcBorders>
      </w:tcPr>
    </w:tblStylePr>
  </w:style>
  <w:style w:type="table" w:styleId="LightGrid-Accent6">
    <w:name w:val="Light Grid Accent 6"/>
    <w:basedOn w:val="TableNormal"/>
    <w:uiPriority w:val="62"/>
    <w:semiHidden/>
    <w:unhideWhenUsed/>
    <w:pPr>
      <w:spacing w:after="0" w:line="240" w:lineRule="auto"/>
    </w:pPr>
    <w:tblPr>
      <w:tblStyleRowBandSize w:val="1"/>
      <w:tblStyleColBandSize w:val="1"/>
      <w:tblBorders>
        <w:top w:val="single" w:sz="8" w:space="0" w:color="584FA1" w:themeColor="accent6"/>
        <w:left w:val="single" w:sz="8" w:space="0" w:color="584FA1" w:themeColor="accent6"/>
        <w:bottom w:val="single" w:sz="8" w:space="0" w:color="584FA1" w:themeColor="accent6"/>
        <w:right w:val="single" w:sz="8" w:space="0" w:color="584FA1" w:themeColor="accent6"/>
        <w:insideH w:val="single" w:sz="8" w:space="0" w:color="584FA1" w:themeColor="accent6"/>
        <w:insideV w:val="single" w:sz="8" w:space="0" w:color="584F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4FA1" w:themeColor="accent6"/>
          <w:left w:val="single" w:sz="8" w:space="0" w:color="584FA1" w:themeColor="accent6"/>
          <w:bottom w:val="single" w:sz="18" w:space="0" w:color="584FA1" w:themeColor="accent6"/>
          <w:right w:val="single" w:sz="8" w:space="0" w:color="584FA1" w:themeColor="accent6"/>
          <w:insideH w:val="nil"/>
          <w:insideV w:val="single" w:sz="8" w:space="0" w:color="584F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4FA1" w:themeColor="accent6"/>
          <w:left w:val="single" w:sz="8" w:space="0" w:color="584FA1" w:themeColor="accent6"/>
          <w:bottom w:val="single" w:sz="8" w:space="0" w:color="584FA1" w:themeColor="accent6"/>
          <w:right w:val="single" w:sz="8" w:space="0" w:color="584FA1" w:themeColor="accent6"/>
          <w:insideH w:val="nil"/>
          <w:insideV w:val="single" w:sz="8" w:space="0" w:color="584F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4FA1" w:themeColor="accent6"/>
          <w:left w:val="single" w:sz="8" w:space="0" w:color="584FA1" w:themeColor="accent6"/>
          <w:bottom w:val="single" w:sz="8" w:space="0" w:color="584FA1" w:themeColor="accent6"/>
          <w:right w:val="single" w:sz="8" w:space="0" w:color="584FA1" w:themeColor="accent6"/>
        </w:tcBorders>
      </w:tcPr>
    </w:tblStylePr>
    <w:tblStylePr w:type="band1Vert">
      <w:tblPr/>
      <w:tcPr>
        <w:tcBorders>
          <w:top w:val="single" w:sz="8" w:space="0" w:color="584FA1" w:themeColor="accent6"/>
          <w:left w:val="single" w:sz="8" w:space="0" w:color="584FA1" w:themeColor="accent6"/>
          <w:bottom w:val="single" w:sz="8" w:space="0" w:color="584FA1" w:themeColor="accent6"/>
          <w:right w:val="single" w:sz="8" w:space="0" w:color="584FA1" w:themeColor="accent6"/>
        </w:tcBorders>
        <w:shd w:val="clear" w:color="auto" w:fill="D4D2E9" w:themeFill="accent6" w:themeFillTint="3F"/>
      </w:tcPr>
    </w:tblStylePr>
    <w:tblStylePr w:type="band1Horz">
      <w:tblPr/>
      <w:tcPr>
        <w:tcBorders>
          <w:top w:val="single" w:sz="8" w:space="0" w:color="584FA1" w:themeColor="accent6"/>
          <w:left w:val="single" w:sz="8" w:space="0" w:color="584FA1" w:themeColor="accent6"/>
          <w:bottom w:val="single" w:sz="8" w:space="0" w:color="584FA1" w:themeColor="accent6"/>
          <w:right w:val="single" w:sz="8" w:space="0" w:color="584FA1" w:themeColor="accent6"/>
          <w:insideV w:val="single" w:sz="8" w:space="0" w:color="584FA1" w:themeColor="accent6"/>
        </w:tcBorders>
        <w:shd w:val="clear" w:color="auto" w:fill="D4D2E9" w:themeFill="accent6" w:themeFillTint="3F"/>
      </w:tcPr>
    </w:tblStylePr>
    <w:tblStylePr w:type="band2Horz">
      <w:tblPr/>
      <w:tcPr>
        <w:tcBorders>
          <w:top w:val="single" w:sz="8" w:space="0" w:color="584FA1" w:themeColor="accent6"/>
          <w:left w:val="single" w:sz="8" w:space="0" w:color="584FA1" w:themeColor="accent6"/>
          <w:bottom w:val="single" w:sz="8" w:space="0" w:color="584FA1" w:themeColor="accent6"/>
          <w:right w:val="single" w:sz="8" w:space="0" w:color="584FA1" w:themeColor="accent6"/>
          <w:insideV w:val="single" w:sz="8" w:space="0" w:color="584FA1" w:themeColor="accent6"/>
        </w:tcBorders>
      </w:tcPr>
    </w:tblStylePr>
  </w:style>
  <w:style w:type="table" w:styleId="LightList">
    <w:name w:val="Light List"/>
    <w:basedOn w:val="TableNormal"/>
    <w:uiPriority w:val="61"/>
    <w:semiHidden/>
    <w:unhideWhenUs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tblPr>
      <w:tblStyleRowBandSize w:val="1"/>
      <w:tblStyleColBandSize w:val="1"/>
      <w:tblBorders>
        <w:top w:val="single" w:sz="8" w:space="0" w:color="F26A47" w:themeColor="accent1"/>
        <w:left w:val="single" w:sz="8" w:space="0" w:color="F26A47" w:themeColor="accent1"/>
        <w:bottom w:val="single" w:sz="8" w:space="0" w:color="F26A47" w:themeColor="accent1"/>
        <w:right w:val="single" w:sz="8" w:space="0" w:color="F26A47" w:themeColor="accent1"/>
      </w:tblBorders>
    </w:tblPr>
    <w:tblStylePr w:type="firstRow">
      <w:pPr>
        <w:spacing w:before="0" w:after="0" w:line="240" w:lineRule="auto"/>
      </w:pPr>
      <w:rPr>
        <w:b/>
        <w:bCs/>
        <w:color w:val="FFFFFF" w:themeColor="background1"/>
      </w:rPr>
      <w:tblPr/>
      <w:tcPr>
        <w:shd w:val="clear" w:color="auto" w:fill="F26A47" w:themeFill="accent1"/>
      </w:tcPr>
    </w:tblStylePr>
    <w:tblStylePr w:type="lastRow">
      <w:pPr>
        <w:spacing w:before="0" w:after="0" w:line="240" w:lineRule="auto"/>
      </w:pPr>
      <w:rPr>
        <w:b/>
        <w:bCs/>
      </w:rPr>
      <w:tblPr/>
      <w:tcPr>
        <w:tcBorders>
          <w:top w:val="double" w:sz="6" w:space="0" w:color="F26A47" w:themeColor="accent1"/>
          <w:left w:val="single" w:sz="8" w:space="0" w:color="F26A47" w:themeColor="accent1"/>
          <w:bottom w:val="single" w:sz="8" w:space="0" w:color="F26A47" w:themeColor="accent1"/>
          <w:right w:val="single" w:sz="8" w:space="0" w:color="F26A47" w:themeColor="accent1"/>
        </w:tcBorders>
      </w:tcPr>
    </w:tblStylePr>
    <w:tblStylePr w:type="firstCol">
      <w:rPr>
        <w:b/>
        <w:bCs/>
      </w:rPr>
    </w:tblStylePr>
    <w:tblStylePr w:type="lastCol">
      <w:rPr>
        <w:b/>
        <w:bCs/>
      </w:rPr>
    </w:tblStylePr>
    <w:tblStylePr w:type="band1Vert">
      <w:tblPr/>
      <w:tcPr>
        <w:tcBorders>
          <w:top w:val="single" w:sz="8" w:space="0" w:color="F26A47" w:themeColor="accent1"/>
          <w:left w:val="single" w:sz="8" w:space="0" w:color="F26A47" w:themeColor="accent1"/>
          <w:bottom w:val="single" w:sz="8" w:space="0" w:color="F26A47" w:themeColor="accent1"/>
          <w:right w:val="single" w:sz="8" w:space="0" w:color="F26A47" w:themeColor="accent1"/>
        </w:tcBorders>
      </w:tcPr>
    </w:tblStylePr>
    <w:tblStylePr w:type="band1Horz">
      <w:tblPr/>
      <w:tcPr>
        <w:tcBorders>
          <w:top w:val="single" w:sz="8" w:space="0" w:color="F26A47" w:themeColor="accent1"/>
          <w:left w:val="single" w:sz="8" w:space="0" w:color="F26A47" w:themeColor="accent1"/>
          <w:bottom w:val="single" w:sz="8" w:space="0" w:color="F26A47" w:themeColor="accent1"/>
          <w:right w:val="single" w:sz="8" w:space="0" w:color="F26A47" w:themeColor="accent1"/>
        </w:tcBorders>
      </w:tcPr>
    </w:tblStylePr>
  </w:style>
  <w:style w:type="table" w:styleId="LightList-Accent2">
    <w:name w:val="Light List Accent 2"/>
    <w:basedOn w:val="TableNormal"/>
    <w:uiPriority w:val="61"/>
    <w:semiHidden/>
    <w:unhideWhenUsed/>
    <w:pPr>
      <w:spacing w:after="0" w:line="240" w:lineRule="auto"/>
    </w:pPr>
    <w:tblPr>
      <w:tblStyleRowBandSize w:val="1"/>
      <w:tblStyleColBandSize w:val="1"/>
      <w:tblBorders>
        <w:top w:val="single" w:sz="8" w:space="0" w:color="FFC000" w:themeColor="accent2"/>
        <w:left w:val="single" w:sz="8" w:space="0" w:color="FFC000" w:themeColor="accent2"/>
        <w:bottom w:val="single" w:sz="8" w:space="0" w:color="FFC000" w:themeColor="accent2"/>
        <w:right w:val="single" w:sz="8" w:space="0" w:color="FFC000" w:themeColor="accent2"/>
      </w:tblBorders>
    </w:tblPr>
    <w:tblStylePr w:type="firstRow">
      <w:pPr>
        <w:spacing w:before="0" w:after="0" w:line="240" w:lineRule="auto"/>
      </w:pPr>
      <w:rPr>
        <w:b/>
        <w:bCs/>
        <w:color w:val="FFFFFF" w:themeColor="background1"/>
      </w:rPr>
      <w:tblPr/>
      <w:tcPr>
        <w:shd w:val="clear" w:color="auto" w:fill="FFC000" w:themeFill="accent2"/>
      </w:tcPr>
    </w:tblStylePr>
    <w:tblStylePr w:type="lastRow">
      <w:pPr>
        <w:spacing w:before="0" w:after="0" w:line="240" w:lineRule="auto"/>
      </w:pPr>
      <w:rPr>
        <w:b/>
        <w:bCs/>
      </w:rPr>
      <w:tblPr/>
      <w:tcPr>
        <w:tcBorders>
          <w:top w:val="double" w:sz="6" w:space="0" w:color="FFC000" w:themeColor="accent2"/>
          <w:left w:val="single" w:sz="8" w:space="0" w:color="FFC000" w:themeColor="accent2"/>
          <w:bottom w:val="single" w:sz="8" w:space="0" w:color="FFC000" w:themeColor="accent2"/>
          <w:right w:val="single" w:sz="8" w:space="0" w:color="FFC000" w:themeColor="accent2"/>
        </w:tcBorders>
      </w:tcPr>
    </w:tblStylePr>
    <w:tblStylePr w:type="firstCol">
      <w:rPr>
        <w:b/>
        <w:bCs/>
      </w:rPr>
    </w:tblStylePr>
    <w:tblStylePr w:type="lastCol">
      <w:rPr>
        <w:b/>
        <w:bCs/>
      </w:rPr>
    </w:tblStylePr>
    <w:tblStylePr w:type="band1Vert">
      <w:tblPr/>
      <w:tcPr>
        <w:tcBorders>
          <w:top w:val="single" w:sz="8" w:space="0" w:color="FFC000" w:themeColor="accent2"/>
          <w:left w:val="single" w:sz="8" w:space="0" w:color="FFC000" w:themeColor="accent2"/>
          <w:bottom w:val="single" w:sz="8" w:space="0" w:color="FFC000" w:themeColor="accent2"/>
          <w:right w:val="single" w:sz="8" w:space="0" w:color="FFC000" w:themeColor="accent2"/>
        </w:tcBorders>
      </w:tcPr>
    </w:tblStylePr>
    <w:tblStylePr w:type="band1Horz">
      <w:tblPr/>
      <w:tcPr>
        <w:tcBorders>
          <w:top w:val="single" w:sz="8" w:space="0" w:color="FFC000" w:themeColor="accent2"/>
          <w:left w:val="single" w:sz="8" w:space="0" w:color="FFC000" w:themeColor="accent2"/>
          <w:bottom w:val="single" w:sz="8" w:space="0" w:color="FFC000" w:themeColor="accent2"/>
          <w:right w:val="single" w:sz="8" w:space="0" w:color="FFC000" w:themeColor="accent2"/>
        </w:tcBorders>
      </w:tcPr>
    </w:tblStylePr>
  </w:style>
  <w:style w:type="table" w:styleId="LightList-Accent3">
    <w:name w:val="Light List Accent 3"/>
    <w:basedOn w:val="TableNormal"/>
    <w:uiPriority w:val="61"/>
    <w:semiHidden/>
    <w:unhideWhenUsed/>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table" w:styleId="LightList-Accent4">
    <w:name w:val="Light List Accent 4"/>
    <w:basedOn w:val="TableNormal"/>
    <w:uiPriority w:val="61"/>
    <w:semiHidden/>
    <w:unhideWhenUsed/>
    <w:pPr>
      <w:spacing w:after="0" w:line="240" w:lineRule="auto"/>
    </w:pPr>
    <w:tblPr>
      <w:tblStyleRowBandSize w:val="1"/>
      <w:tblStyleColBandSize w:val="1"/>
      <w:tblBorders>
        <w:top w:val="single" w:sz="8" w:space="0" w:color="005D95" w:themeColor="accent4"/>
        <w:left w:val="single" w:sz="8" w:space="0" w:color="005D95" w:themeColor="accent4"/>
        <w:bottom w:val="single" w:sz="8" w:space="0" w:color="005D95" w:themeColor="accent4"/>
        <w:right w:val="single" w:sz="8" w:space="0" w:color="005D95" w:themeColor="accent4"/>
      </w:tblBorders>
    </w:tblPr>
    <w:tblStylePr w:type="firstRow">
      <w:pPr>
        <w:spacing w:before="0" w:after="0" w:line="240" w:lineRule="auto"/>
      </w:pPr>
      <w:rPr>
        <w:b/>
        <w:bCs/>
        <w:color w:val="FFFFFF" w:themeColor="background1"/>
      </w:rPr>
      <w:tblPr/>
      <w:tcPr>
        <w:shd w:val="clear" w:color="auto" w:fill="005D95" w:themeFill="accent4"/>
      </w:tcPr>
    </w:tblStylePr>
    <w:tblStylePr w:type="lastRow">
      <w:pPr>
        <w:spacing w:before="0" w:after="0" w:line="240" w:lineRule="auto"/>
      </w:pPr>
      <w:rPr>
        <w:b/>
        <w:bCs/>
      </w:rPr>
      <w:tblPr/>
      <w:tcPr>
        <w:tcBorders>
          <w:top w:val="double" w:sz="6" w:space="0" w:color="005D95" w:themeColor="accent4"/>
          <w:left w:val="single" w:sz="8" w:space="0" w:color="005D95" w:themeColor="accent4"/>
          <w:bottom w:val="single" w:sz="8" w:space="0" w:color="005D95" w:themeColor="accent4"/>
          <w:right w:val="single" w:sz="8" w:space="0" w:color="005D95" w:themeColor="accent4"/>
        </w:tcBorders>
      </w:tcPr>
    </w:tblStylePr>
    <w:tblStylePr w:type="firstCol">
      <w:rPr>
        <w:b/>
        <w:bCs/>
      </w:rPr>
    </w:tblStylePr>
    <w:tblStylePr w:type="lastCol">
      <w:rPr>
        <w:b/>
        <w:bCs/>
      </w:rPr>
    </w:tblStylePr>
    <w:tblStylePr w:type="band1Vert">
      <w:tblPr/>
      <w:tcPr>
        <w:tcBorders>
          <w:top w:val="single" w:sz="8" w:space="0" w:color="005D95" w:themeColor="accent4"/>
          <w:left w:val="single" w:sz="8" w:space="0" w:color="005D95" w:themeColor="accent4"/>
          <w:bottom w:val="single" w:sz="8" w:space="0" w:color="005D95" w:themeColor="accent4"/>
          <w:right w:val="single" w:sz="8" w:space="0" w:color="005D95" w:themeColor="accent4"/>
        </w:tcBorders>
      </w:tcPr>
    </w:tblStylePr>
    <w:tblStylePr w:type="band1Horz">
      <w:tblPr/>
      <w:tcPr>
        <w:tcBorders>
          <w:top w:val="single" w:sz="8" w:space="0" w:color="005D95" w:themeColor="accent4"/>
          <w:left w:val="single" w:sz="8" w:space="0" w:color="005D95" w:themeColor="accent4"/>
          <w:bottom w:val="single" w:sz="8" w:space="0" w:color="005D95" w:themeColor="accent4"/>
          <w:right w:val="single" w:sz="8" w:space="0" w:color="005D95" w:themeColor="accent4"/>
        </w:tcBorders>
      </w:tcPr>
    </w:tblStylePr>
  </w:style>
  <w:style w:type="table" w:styleId="LightList-Accent5">
    <w:name w:val="Light List Accent 5"/>
    <w:basedOn w:val="TableNormal"/>
    <w:uiPriority w:val="61"/>
    <w:semiHidden/>
    <w:unhideWhenUsed/>
    <w:pPr>
      <w:spacing w:after="0" w:line="240" w:lineRule="auto"/>
    </w:pPr>
    <w:tblPr>
      <w:tblStyleRowBandSize w:val="1"/>
      <w:tblStyleColBandSize w:val="1"/>
      <w:tblBorders>
        <w:top w:val="single" w:sz="8" w:space="0" w:color="C00000" w:themeColor="accent5"/>
        <w:left w:val="single" w:sz="8" w:space="0" w:color="C00000" w:themeColor="accent5"/>
        <w:bottom w:val="single" w:sz="8" w:space="0" w:color="C00000" w:themeColor="accent5"/>
        <w:right w:val="single" w:sz="8" w:space="0" w:color="C00000" w:themeColor="accent5"/>
      </w:tblBorders>
    </w:tblPr>
    <w:tblStylePr w:type="firstRow">
      <w:pPr>
        <w:spacing w:before="0" w:after="0" w:line="240" w:lineRule="auto"/>
      </w:pPr>
      <w:rPr>
        <w:b/>
        <w:bCs/>
        <w:color w:val="FFFFFF" w:themeColor="background1"/>
      </w:rPr>
      <w:tblPr/>
      <w:tcPr>
        <w:shd w:val="clear" w:color="auto" w:fill="C00000" w:themeFill="accent5"/>
      </w:tcPr>
    </w:tblStylePr>
    <w:tblStylePr w:type="lastRow">
      <w:pPr>
        <w:spacing w:before="0" w:after="0" w:line="240" w:lineRule="auto"/>
      </w:pPr>
      <w:rPr>
        <w:b/>
        <w:bCs/>
      </w:rPr>
      <w:tblPr/>
      <w:tcPr>
        <w:tcBorders>
          <w:top w:val="double" w:sz="6" w:space="0" w:color="C00000" w:themeColor="accent5"/>
          <w:left w:val="single" w:sz="8" w:space="0" w:color="C00000" w:themeColor="accent5"/>
          <w:bottom w:val="single" w:sz="8" w:space="0" w:color="C00000" w:themeColor="accent5"/>
          <w:right w:val="single" w:sz="8" w:space="0" w:color="C00000" w:themeColor="accent5"/>
        </w:tcBorders>
      </w:tcPr>
    </w:tblStylePr>
    <w:tblStylePr w:type="firstCol">
      <w:rPr>
        <w:b/>
        <w:bCs/>
      </w:rPr>
    </w:tblStylePr>
    <w:tblStylePr w:type="lastCol">
      <w:rPr>
        <w:b/>
        <w:bCs/>
      </w:rPr>
    </w:tblStylePr>
    <w:tblStylePr w:type="band1Vert">
      <w:tblPr/>
      <w:tcPr>
        <w:tcBorders>
          <w:top w:val="single" w:sz="8" w:space="0" w:color="C00000" w:themeColor="accent5"/>
          <w:left w:val="single" w:sz="8" w:space="0" w:color="C00000" w:themeColor="accent5"/>
          <w:bottom w:val="single" w:sz="8" w:space="0" w:color="C00000" w:themeColor="accent5"/>
          <w:right w:val="single" w:sz="8" w:space="0" w:color="C00000" w:themeColor="accent5"/>
        </w:tcBorders>
      </w:tcPr>
    </w:tblStylePr>
    <w:tblStylePr w:type="band1Horz">
      <w:tblPr/>
      <w:tcPr>
        <w:tcBorders>
          <w:top w:val="single" w:sz="8" w:space="0" w:color="C00000" w:themeColor="accent5"/>
          <w:left w:val="single" w:sz="8" w:space="0" w:color="C00000" w:themeColor="accent5"/>
          <w:bottom w:val="single" w:sz="8" w:space="0" w:color="C00000" w:themeColor="accent5"/>
          <w:right w:val="single" w:sz="8" w:space="0" w:color="C00000" w:themeColor="accent5"/>
        </w:tcBorders>
      </w:tcPr>
    </w:tblStylePr>
  </w:style>
  <w:style w:type="table" w:styleId="LightList-Accent6">
    <w:name w:val="Light List Accent 6"/>
    <w:basedOn w:val="TableNormal"/>
    <w:uiPriority w:val="61"/>
    <w:semiHidden/>
    <w:unhideWhenUsed/>
    <w:pPr>
      <w:spacing w:after="0" w:line="240" w:lineRule="auto"/>
    </w:pPr>
    <w:tblPr>
      <w:tblStyleRowBandSize w:val="1"/>
      <w:tblStyleColBandSize w:val="1"/>
      <w:tblBorders>
        <w:top w:val="single" w:sz="8" w:space="0" w:color="584FA1" w:themeColor="accent6"/>
        <w:left w:val="single" w:sz="8" w:space="0" w:color="584FA1" w:themeColor="accent6"/>
        <w:bottom w:val="single" w:sz="8" w:space="0" w:color="584FA1" w:themeColor="accent6"/>
        <w:right w:val="single" w:sz="8" w:space="0" w:color="584FA1" w:themeColor="accent6"/>
      </w:tblBorders>
    </w:tblPr>
    <w:tblStylePr w:type="firstRow">
      <w:pPr>
        <w:spacing w:before="0" w:after="0" w:line="240" w:lineRule="auto"/>
      </w:pPr>
      <w:rPr>
        <w:b/>
        <w:bCs/>
        <w:color w:val="FFFFFF" w:themeColor="background1"/>
      </w:rPr>
      <w:tblPr/>
      <w:tcPr>
        <w:shd w:val="clear" w:color="auto" w:fill="584FA1" w:themeFill="accent6"/>
      </w:tcPr>
    </w:tblStylePr>
    <w:tblStylePr w:type="lastRow">
      <w:pPr>
        <w:spacing w:before="0" w:after="0" w:line="240" w:lineRule="auto"/>
      </w:pPr>
      <w:rPr>
        <w:b/>
        <w:bCs/>
      </w:rPr>
      <w:tblPr/>
      <w:tcPr>
        <w:tcBorders>
          <w:top w:val="double" w:sz="6" w:space="0" w:color="584FA1" w:themeColor="accent6"/>
          <w:left w:val="single" w:sz="8" w:space="0" w:color="584FA1" w:themeColor="accent6"/>
          <w:bottom w:val="single" w:sz="8" w:space="0" w:color="584FA1" w:themeColor="accent6"/>
          <w:right w:val="single" w:sz="8" w:space="0" w:color="584FA1" w:themeColor="accent6"/>
        </w:tcBorders>
      </w:tcPr>
    </w:tblStylePr>
    <w:tblStylePr w:type="firstCol">
      <w:rPr>
        <w:b/>
        <w:bCs/>
      </w:rPr>
    </w:tblStylePr>
    <w:tblStylePr w:type="lastCol">
      <w:rPr>
        <w:b/>
        <w:bCs/>
      </w:rPr>
    </w:tblStylePr>
    <w:tblStylePr w:type="band1Vert">
      <w:tblPr/>
      <w:tcPr>
        <w:tcBorders>
          <w:top w:val="single" w:sz="8" w:space="0" w:color="584FA1" w:themeColor="accent6"/>
          <w:left w:val="single" w:sz="8" w:space="0" w:color="584FA1" w:themeColor="accent6"/>
          <w:bottom w:val="single" w:sz="8" w:space="0" w:color="584FA1" w:themeColor="accent6"/>
          <w:right w:val="single" w:sz="8" w:space="0" w:color="584FA1" w:themeColor="accent6"/>
        </w:tcBorders>
      </w:tcPr>
    </w:tblStylePr>
    <w:tblStylePr w:type="band1Horz">
      <w:tblPr/>
      <w:tcPr>
        <w:tcBorders>
          <w:top w:val="single" w:sz="8" w:space="0" w:color="584FA1" w:themeColor="accent6"/>
          <w:left w:val="single" w:sz="8" w:space="0" w:color="584FA1" w:themeColor="accent6"/>
          <w:bottom w:val="single" w:sz="8" w:space="0" w:color="584FA1" w:themeColor="accent6"/>
          <w:right w:val="single" w:sz="8" w:space="0" w:color="584FA1" w:themeColor="accent6"/>
        </w:tcBorders>
      </w:tcPr>
    </w:tblStylePr>
  </w:style>
  <w:style w:type="table" w:styleId="LightShading">
    <w:name w:val="Light Shading"/>
    <w:basedOn w:val="TableNormal"/>
    <w:uiPriority w:val="60"/>
    <w:semiHidden/>
    <w:unhideWhenUs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after="0" w:line="240" w:lineRule="auto"/>
    </w:pPr>
    <w:rPr>
      <w:color w:val="DA380F" w:themeColor="accent1" w:themeShade="BF"/>
    </w:rPr>
    <w:tblPr>
      <w:tblStyleRowBandSize w:val="1"/>
      <w:tblStyleColBandSize w:val="1"/>
      <w:tblBorders>
        <w:top w:val="single" w:sz="8" w:space="0" w:color="F26A47" w:themeColor="accent1"/>
        <w:bottom w:val="single" w:sz="8" w:space="0" w:color="F26A47" w:themeColor="accent1"/>
      </w:tblBorders>
    </w:tblPr>
    <w:tblStylePr w:type="firstRow">
      <w:pPr>
        <w:spacing w:before="0" w:after="0" w:line="240" w:lineRule="auto"/>
      </w:pPr>
      <w:rPr>
        <w:b/>
        <w:bCs/>
      </w:rPr>
      <w:tblPr/>
      <w:tcPr>
        <w:tcBorders>
          <w:top w:val="single" w:sz="8" w:space="0" w:color="F26A47" w:themeColor="accent1"/>
          <w:left w:val="nil"/>
          <w:bottom w:val="single" w:sz="8" w:space="0" w:color="F26A47" w:themeColor="accent1"/>
          <w:right w:val="nil"/>
          <w:insideH w:val="nil"/>
          <w:insideV w:val="nil"/>
        </w:tcBorders>
      </w:tcPr>
    </w:tblStylePr>
    <w:tblStylePr w:type="lastRow">
      <w:pPr>
        <w:spacing w:before="0" w:after="0" w:line="240" w:lineRule="auto"/>
      </w:pPr>
      <w:rPr>
        <w:b/>
        <w:bCs/>
      </w:rPr>
      <w:tblPr/>
      <w:tcPr>
        <w:tcBorders>
          <w:top w:val="single" w:sz="8" w:space="0" w:color="F26A47" w:themeColor="accent1"/>
          <w:left w:val="nil"/>
          <w:bottom w:val="single" w:sz="8" w:space="0" w:color="F26A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D1" w:themeFill="accent1" w:themeFillTint="3F"/>
      </w:tcPr>
    </w:tblStylePr>
    <w:tblStylePr w:type="band1Horz">
      <w:tblPr/>
      <w:tcPr>
        <w:tcBorders>
          <w:left w:val="nil"/>
          <w:right w:val="nil"/>
          <w:insideH w:val="nil"/>
          <w:insideV w:val="nil"/>
        </w:tcBorders>
        <w:shd w:val="clear" w:color="auto" w:fill="FBD9D1" w:themeFill="accent1" w:themeFillTint="3F"/>
      </w:tcPr>
    </w:tblStylePr>
  </w:style>
  <w:style w:type="table" w:styleId="LightShading-Accent2">
    <w:name w:val="Light Shading Accent 2"/>
    <w:basedOn w:val="TableNormal"/>
    <w:uiPriority w:val="60"/>
    <w:semiHidden/>
    <w:unhideWhenUsed/>
    <w:pPr>
      <w:spacing w:after="0" w:line="240" w:lineRule="auto"/>
    </w:pPr>
    <w:rPr>
      <w:color w:val="BF8F00" w:themeColor="accent2" w:themeShade="BF"/>
    </w:rPr>
    <w:tblPr>
      <w:tblStyleRowBandSize w:val="1"/>
      <w:tblStyleColBandSize w:val="1"/>
      <w:tblBorders>
        <w:top w:val="single" w:sz="8" w:space="0" w:color="FFC000" w:themeColor="accent2"/>
        <w:bottom w:val="single" w:sz="8" w:space="0" w:color="FFC000" w:themeColor="accent2"/>
      </w:tblBorders>
    </w:tblPr>
    <w:tblStylePr w:type="firstRow">
      <w:pPr>
        <w:spacing w:before="0" w:after="0" w:line="240" w:lineRule="auto"/>
      </w:pPr>
      <w:rPr>
        <w:b/>
        <w:bCs/>
      </w:rPr>
      <w:tblPr/>
      <w:tcPr>
        <w:tcBorders>
          <w:top w:val="single" w:sz="8" w:space="0" w:color="FFC000" w:themeColor="accent2"/>
          <w:left w:val="nil"/>
          <w:bottom w:val="single" w:sz="8" w:space="0" w:color="FFC000" w:themeColor="accent2"/>
          <w:right w:val="nil"/>
          <w:insideH w:val="nil"/>
          <w:insideV w:val="nil"/>
        </w:tcBorders>
      </w:tcPr>
    </w:tblStylePr>
    <w:tblStylePr w:type="lastRow">
      <w:pPr>
        <w:spacing w:before="0" w:after="0" w:line="240" w:lineRule="auto"/>
      </w:pPr>
      <w:rPr>
        <w:b/>
        <w:bCs/>
      </w:rPr>
      <w:tblPr/>
      <w:tcPr>
        <w:tcBorders>
          <w:top w:val="single" w:sz="8" w:space="0" w:color="FFC000" w:themeColor="accent2"/>
          <w:left w:val="nil"/>
          <w:bottom w:val="single" w:sz="8" w:space="0" w:color="FFC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2" w:themeFillTint="3F"/>
      </w:tcPr>
    </w:tblStylePr>
    <w:tblStylePr w:type="band1Horz">
      <w:tblPr/>
      <w:tcPr>
        <w:tcBorders>
          <w:left w:val="nil"/>
          <w:right w:val="nil"/>
          <w:insideH w:val="nil"/>
          <w:insideV w:val="nil"/>
        </w:tcBorders>
        <w:shd w:val="clear" w:color="auto" w:fill="FFEFC0" w:themeFill="accent2" w:themeFillTint="3F"/>
      </w:tcPr>
    </w:tblStylePr>
  </w:style>
  <w:style w:type="table" w:styleId="LightShading-Accent3">
    <w:name w:val="Light Shading Accent 3"/>
    <w:basedOn w:val="TableNormal"/>
    <w:uiPriority w:val="60"/>
    <w:semiHidden/>
    <w:unhideWhenUsed/>
    <w:pPr>
      <w:spacing w:after="0"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LightShading-Accent4">
    <w:name w:val="Light Shading Accent 4"/>
    <w:basedOn w:val="TableNormal"/>
    <w:uiPriority w:val="60"/>
    <w:semiHidden/>
    <w:unhideWhenUsed/>
    <w:pPr>
      <w:spacing w:after="0" w:line="240" w:lineRule="auto"/>
    </w:pPr>
    <w:rPr>
      <w:color w:val="00456F" w:themeColor="accent4" w:themeShade="BF"/>
    </w:rPr>
    <w:tblPr>
      <w:tblStyleRowBandSize w:val="1"/>
      <w:tblStyleColBandSize w:val="1"/>
      <w:tblBorders>
        <w:top w:val="single" w:sz="8" w:space="0" w:color="005D95" w:themeColor="accent4"/>
        <w:bottom w:val="single" w:sz="8" w:space="0" w:color="005D95" w:themeColor="accent4"/>
      </w:tblBorders>
    </w:tblPr>
    <w:tblStylePr w:type="firstRow">
      <w:pPr>
        <w:spacing w:before="0" w:after="0" w:line="240" w:lineRule="auto"/>
      </w:pPr>
      <w:rPr>
        <w:b/>
        <w:bCs/>
      </w:rPr>
      <w:tblPr/>
      <w:tcPr>
        <w:tcBorders>
          <w:top w:val="single" w:sz="8" w:space="0" w:color="005D95" w:themeColor="accent4"/>
          <w:left w:val="nil"/>
          <w:bottom w:val="single" w:sz="8" w:space="0" w:color="005D95" w:themeColor="accent4"/>
          <w:right w:val="nil"/>
          <w:insideH w:val="nil"/>
          <w:insideV w:val="nil"/>
        </w:tcBorders>
      </w:tcPr>
    </w:tblStylePr>
    <w:tblStylePr w:type="lastRow">
      <w:pPr>
        <w:spacing w:before="0" w:after="0" w:line="240" w:lineRule="auto"/>
      </w:pPr>
      <w:rPr>
        <w:b/>
        <w:bCs/>
      </w:rPr>
      <w:tblPr/>
      <w:tcPr>
        <w:tcBorders>
          <w:top w:val="single" w:sz="8" w:space="0" w:color="005D95" w:themeColor="accent4"/>
          <w:left w:val="nil"/>
          <w:bottom w:val="single" w:sz="8" w:space="0" w:color="005D9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DFF" w:themeFill="accent4" w:themeFillTint="3F"/>
      </w:tcPr>
    </w:tblStylePr>
    <w:tblStylePr w:type="band1Horz">
      <w:tblPr/>
      <w:tcPr>
        <w:tcBorders>
          <w:left w:val="nil"/>
          <w:right w:val="nil"/>
          <w:insideH w:val="nil"/>
          <w:insideV w:val="nil"/>
        </w:tcBorders>
        <w:shd w:val="clear" w:color="auto" w:fill="A5DDFF" w:themeFill="accent4" w:themeFillTint="3F"/>
      </w:tcPr>
    </w:tblStylePr>
  </w:style>
  <w:style w:type="table" w:styleId="LightShading-Accent5">
    <w:name w:val="Light Shading Accent 5"/>
    <w:basedOn w:val="TableNormal"/>
    <w:uiPriority w:val="60"/>
    <w:semiHidden/>
    <w:unhideWhenUsed/>
    <w:pPr>
      <w:spacing w:after="0" w:line="240" w:lineRule="auto"/>
    </w:pPr>
    <w:rPr>
      <w:color w:val="8F0000" w:themeColor="accent5" w:themeShade="BF"/>
    </w:rPr>
    <w:tblPr>
      <w:tblStyleRowBandSize w:val="1"/>
      <w:tblStyleColBandSize w:val="1"/>
      <w:tblBorders>
        <w:top w:val="single" w:sz="8" w:space="0" w:color="C00000" w:themeColor="accent5"/>
        <w:bottom w:val="single" w:sz="8" w:space="0" w:color="C00000" w:themeColor="accent5"/>
      </w:tblBorders>
    </w:tblPr>
    <w:tblStylePr w:type="firstRow">
      <w:pPr>
        <w:spacing w:before="0" w:after="0" w:line="240" w:lineRule="auto"/>
      </w:pPr>
      <w:rPr>
        <w:b/>
        <w:bCs/>
      </w:rPr>
      <w:tblPr/>
      <w:tcPr>
        <w:tcBorders>
          <w:top w:val="single" w:sz="8" w:space="0" w:color="C00000" w:themeColor="accent5"/>
          <w:left w:val="nil"/>
          <w:bottom w:val="single" w:sz="8" w:space="0" w:color="C00000" w:themeColor="accent5"/>
          <w:right w:val="nil"/>
          <w:insideH w:val="nil"/>
          <w:insideV w:val="nil"/>
        </w:tcBorders>
      </w:tcPr>
    </w:tblStylePr>
    <w:tblStylePr w:type="lastRow">
      <w:pPr>
        <w:spacing w:before="0" w:after="0" w:line="240" w:lineRule="auto"/>
      </w:pPr>
      <w:rPr>
        <w:b/>
        <w:bCs/>
      </w:rPr>
      <w:tblPr/>
      <w:tcPr>
        <w:tcBorders>
          <w:top w:val="single" w:sz="8" w:space="0" w:color="C00000" w:themeColor="accent5"/>
          <w:left w:val="nil"/>
          <w:bottom w:val="single" w:sz="8" w:space="0" w:color="C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5" w:themeFillTint="3F"/>
      </w:tcPr>
    </w:tblStylePr>
    <w:tblStylePr w:type="band1Horz">
      <w:tblPr/>
      <w:tcPr>
        <w:tcBorders>
          <w:left w:val="nil"/>
          <w:right w:val="nil"/>
          <w:insideH w:val="nil"/>
          <w:insideV w:val="nil"/>
        </w:tcBorders>
        <w:shd w:val="clear" w:color="auto" w:fill="FFB0B0" w:themeFill="accent5" w:themeFillTint="3F"/>
      </w:tcPr>
    </w:tblStylePr>
  </w:style>
  <w:style w:type="table" w:styleId="LightShading-Accent6">
    <w:name w:val="Light Shading Accent 6"/>
    <w:basedOn w:val="TableNormal"/>
    <w:uiPriority w:val="60"/>
    <w:semiHidden/>
    <w:unhideWhenUsed/>
    <w:pPr>
      <w:spacing w:after="0" w:line="240" w:lineRule="auto"/>
    </w:pPr>
    <w:rPr>
      <w:color w:val="413B78" w:themeColor="accent6" w:themeShade="BF"/>
    </w:rPr>
    <w:tblPr>
      <w:tblStyleRowBandSize w:val="1"/>
      <w:tblStyleColBandSize w:val="1"/>
      <w:tblBorders>
        <w:top w:val="single" w:sz="8" w:space="0" w:color="584FA1" w:themeColor="accent6"/>
        <w:bottom w:val="single" w:sz="8" w:space="0" w:color="584FA1" w:themeColor="accent6"/>
      </w:tblBorders>
    </w:tblPr>
    <w:tblStylePr w:type="firstRow">
      <w:pPr>
        <w:spacing w:before="0" w:after="0" w:line="240" w:lineRule="auto"/>
      </w:pPr>
      <w:rPr>
        <w:b/>
        <w:bCs/>
      </w:rPr>
      <w:tblPr/>
      <w:tcPr>
        <w:tcBorders>
          <w:top w:val="single" w:sz="8" w:space="0" w:color="584FA1" w:themeColor="accent6"/>
          <w:left w:val="nil"/>
          <w:bottom w:val="single" w:sz="8" w:space="0" w:color="584FA1" w:themeColor="accent6"/>
          <w:right w:val="nil"/>
          <w:insideH w:val="nil"/>
          <w:insideV w:val="nil"/>
        </w:tcBorders>
      </w:tcPr>
    </w:tblStylePr>
    <w:tblStylePr w:type="lastRow">
      <w:pPr>
        <w:spacing w:before="0" w:after="0" w:line="240" w:lineRule="auto"/>
      </w:pPr>
      <w:rPr>
        <w:b/>
        <w:bCs/>
      </w:rPr>
      <w:tblPr/>
      <w:tcPr>
        <w:tcBorders>
          <w:top w:val="single" w:sz="8" w:space="0" w:color="584FA1" w:themeColor="accent6"/>
          <w:left w:val="nil"/>
          <w:bottom w:val="single" w:sz="8" w:space="0" w:color="584F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2E9" w:themeFill="accent6" w:themeFillTint="3F"/>
      </w:tcPr>
    </w:tblStylePr>
    <w:tblStylePr w:type="band1Horz">
      <w:tblPr/>
      <w:tcPr>
        <w:tcBorders>
          <w:left w:val="nil"/>
          <w:right w:val="nil"/>
          <w:insideH w:val="nil"/>
          <w:insideV w:val="nil"/>
        </w:tcBorders>
        <w:shd w:val="clear" w:color="auto" w:fill="D4D2E9" w:themeFill="accent6" w:themeFillTint="3F"/>
      </w:tcPr>
    </w:tblStylePr>
  </w:style>
  <w:style w:type="character" w:styleId="LineNumber">
    <w:name w:val="line number"/>
    <w:basedOn w:val="DefaultParagraphFont"/>
    <w:uiPriority w:val="99"/>
    <w:semiHidden/>
    <w:unhideWhenUsed/>
    <w:rPr>
      <w:noProof w:val="0"/>
    </w:rPr>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
    <w:name w:val="List Bullet"/>
    <w:basedOn w:val="Normal"/>
    <w:uiPriority w:val="99"/>
    <w:semiHidden/>
    <w:unhideWhenUsed/>
    <w:pPr>
      <w:numPr>
        <w:numId w:val="7"/>
      </w:numPr>
      <w:contextualSpacing/>
    </w:pPr>
  </w:style>
  <w:style w:type="paragraph" w:styleId="ListBullet2">
    <w:name w:val="List Bullet 2"/>
    <w:basedOn w:val="Normal"/>
    <w:uiPriority w:val="99"/>
    <w:semiHidden/>
    <w:unhideWhenUsed/>
    <w:pPr>
      <w:numPr>
        <w:numId w:val="8"/>
      </w:numPr>
      <w:contextualSpacing/>
    </w:pPr>
  </w:style>
  <w:style w:type="paragraph" w:styleId="ListBullet3">
    <w:name w:val="List Bullet 3"/>
    <w:basedOn w:val="Normal"/>
    <w:uiPriority w:val="99"/>
    <w:semiHidden/>
    <w:unhideWhenUsed/>
    <w:pPr>
      <w:numPr>
        <w:numId w:val="9"/>
      </w:numPr>
      <w:contextualSpacing/>
    </w:pPr>
  </w:style>
  <w:style w:type="paragraph" w:styleId="ListBullet4">
    <w:name w:val="List Bullet 4"/>
    <w:basedOn w:val="Normal"/>
    <w:uiPriority w:val="99"/>
    <w:semiHidden/>
    <w:unhideWhenUsed/>
    <w:pPr>
      <w:numPr>
        <w:numId w:val="10"/>
      </w:numPr>
      <w:contextualSpacing/>
    </w:pPr>
  </w:style>
  <w:style w:type="paragraph" w:styleId="ListBullet5">
    <w:name w:val="List Bullet 5"/>
    <w:basedOn w:val="Normal"/>
    <w:uiPriority w:val="99"/>
    <w:semiHidden/>
    <w:unhideWhenUsed/>
    <w:pPr>
      <w:numPr>
        <w:numId w:val="11"/>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
    <w:name w:val="List Number"/>
    <w:basedOn w:val="Normal"/>
    <w:uiPriority w:val="99"/>
    <w:semiHidden/>
    <w:unhideWhenUsed/>
    <w:pPr>
      <w:numPr>
        <w:numId w:val="12"/>
      </w:numPr>
      <w:contextualSpacing/>
    </w:pPr>
  </w:style>
  <w:style w:type="paragraph" w:styleId="ListNumber2">
    <w:name w:val="List Number 2"/>
    <w:basedOn w:val="Normal"/>
    <w:uiPriority w:val="99"/>
    <w:semiHidden/>
    <w:unhideWhenUsed/>
    <w:pPr>
      <w:numPr>
        <w:numId w:val="13"/>
      </w:numPr>
      <w:contextualSpacing/>
    </w:pPr>
  </w:style>
  <w:style w:type="paragraph" w:styleId="ListNumber3">
    <w:name w:val="List Number 3"/>
    <w:basedOn w:val="Normal"/>
    <w:uiPriority w:val="99"/>
    <w:semiHidden/>
    <w:unhideWhenUsed/>
    <w:pPr>
      <w:numPr>
        <w:numId w:val="14"/>
      </w:numPr>
      <w:contextualSpacing/>
    </w:pPr>
  </w:style>
  <w:style w:type="paragraph" w:styleId="ListNumber4">
    <w:name w:val="List Number 4"/>
    <w:basedOn w:val="Normal"/>
    <w:uiPriority w:val="99"/>
    <w:semiHidden/>
    <w:unhideWhenUsed/>
    <w:pPr>
      <w:numPr>
        <w:numId w:val="15"/>
      </w:numPr>
      <w:contextualSpacing/>
    </w:pPr>
  </w:style>
  <w:style w:type="paragraph" w:styleId="ListNumber5">
    <w:name w:val="List Number 5"/>
    <w:basedOn w:val="Normal"/>
    <w:uiPriority w:val="99"/>
    <w:semiHidden/>
    <w:unhideWhenUsed/>
    <w:pPr>
      <w:numPr>
        <w:numId w:val="16"/>
      </w:numPr>
      <w:contextualSpacing/>
    </w:pPr>
  </w:style>
  <w:style w:type="table" w:customStyle="1" w:styleId="ListTable1Light">
    <w:name w:val="List Table 1 Light"/>
    <w:basedOn w:val="TableNormal"/>
    <w:uiPriority w:val="4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pPr>
      <w:spacing w:after="0" w:line="240" w:lineRule="auto"/>
    </w:pPr>
    <w:tblPr>
      <w:tblStyleRowBandSize w:val="1"/>
      <w:tblStyleColBandSize w:val="1"/>
    </w:tblPr>
    <w:tblStylePr w:type="firstRow">
      <w:rPr>
        <w:b/>
        <w:bCs/>
      </w:rPr>
      <w:tblPr/>
      <w:tcPr>
        <w:tcBorders>
          <w:bottom w:val="single" w:sz="4" w:space="0" w:color="F7A590" w:themeColor="accent1" w:themeTint="99"/>
        </w:tcBorders>
      </w:tcPr>
    </w:tblStylePr>
    <w:tblStylePr w:type="lastRow">
      <w:rPr>
        <w:b/>
        <w:bCs/>
      </w:rPr>
      <w:tblPr/>
      <w:tcPr>
        <w:tcBorders>
          <w:top w:val="single" w:sz="4" w:space="0" w:color="F7A590" w:themeColor="accent1" w:themeTint="99"/>
        </w:tcBorders>
      </w:tcPr>
    </w:tblStylePr>
    <w:tblStylePr w:type="firstCol">
      <w:rPr>
        <w:b/>
        <w:bCs/>
      </w:rPr>
    </w:tblStylePr>
    <w:tblStylePr w:type="lastCol">
      <w:rPr>
        <w:b/>
        <w:bCs/>
      </w:rPr>
    </w:tblStylePr>
    <w:tblStylePr w:type="band1Vert">
      <w:tblPr/>
      <w:tcPr>
        <w:shd w:val="clear" w:color="auto" w:fill="FCE0D9" w:themeFill="accent1" w:themeFillTint="33"/>
      </w:tcPr>
    </w:tblStylePr>
    <w:tblStylePr w:type="band1Horz">
      <w:tblPr/>
      <w:tcPr>
        <w:shd w:val="clear" w:color="auto" w:fill="FCE0D9" w:themeFill="accent1" w:themeFillTint="33"/>
      </w:tcPr>
    </w:tblStylePr>
  </w:style>
  <w:style w:type="table" w:customStyle="1" w:styleId="ListTable1LightAccent2">
    <w:name w:val="List Table 1 Light Accent 2"/>
    <w:basedOn w:val="TableNormal"/>
    <w:uiPriority w:val="46"/>
    <w:pPr>
      <w:spacing w:after="0" w:line="240" w:lineRule="auto"/>
    </w:pPr>
    <w:tblPr>
      <w:tblStyleRowBandSize w:val="1"/>
      <w:tblStyleColBandSize w:val="1"/>
    </w:tblPr>
    <w:tblStylePr w:type="firstRow">
      <w:rPr>
        <w:b/>
        <w:bCs/>
      </w:rPr>
      <w:tblPr/>
      <w:tcPr>
        <w:tcBorders>
          <w:bottom w:val="single" w:sz="4" w:space="0" w:color="FFD966" w:themeColor="accent2" w:themeTint="99"/>
        </w:tcBorders>
      </w:tcPr>
    </w:tblStylePr>
    <w:tblStylePr w:type="lastRow">
      <w:rPr>
        <w:b/>
        <w:bCs/>
      </w:rPr>
      <w:tblPr/>
      <w:tcPr>
        <w:tcBorders>
          <w:top w:val="single" w:sz="4" w:space="0" w:color="FFD966" w:themeColor="accent2" w:themeTint="99"/>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ListTable1LightAccent3">
    <w:name w:val="List Table 1 Light Accent 3"/>
    <w:basedOn w:val="TableNormal"/>
    <w:uiPriority w:val="46"/>
    <w:pPr>
      <w:spacing w:after="0" w:line="240" w:lineRule="auto"/>
    </w:pPr>
    <w:tblPr>
      <w:tblStyleRowBandSize w:val="1"/>
      <w:tblStyleColBandSize w:val="1"/>
    </w:tblPr>
    <w:tblStylePr w:type="firstRow">
      <w:rPr>
        <w:b/>
        <w:bCs/>
      </w:rPr>
      <w:tblPr/>
      <w:tcPr>
        <w:tcBorders>
          <w:bottom w:val="single" w:sz="4" w:space="0" w:color="36FF90" w:themeColor="accent3" w:themeTint="99"/>
        </w:tcBorders>
      </w:tcPr>
    </w:tblStylePr>
    <w:tblStylePr w:type="lastRow">
      <w:rPr>
        <w:b/>
        <w:bCs/>
      </w:rPr>
      <w:tblPr/>
      <w:tcPr>
        <w:tcBorders>
          <w:top w:val="sing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customStyle="1" w:styleId="ListTable1LightAccent4">
    <w:name w:val="List Table 1 Light Accent 4"/>
    <w:basedOn w:val="TableNormal"/>
    <w:uiPriority w:val="46"/>
    <w:pPr>
      <w:spacing w:after="0" w:line="240" w:lineRule="auto"/>
    </w:pPr>
    <w:tblPr>
      <w:tblStyleRowBandSize w:val="1"/>
      <w:tblStyleColBandSize w:val="1"/>
    </w:tblPr>
    <w:tblStylePr w:type="firstRow">
      <w:rPr>
        <w:b/>
        <w:bCs/>
      </w:rPr>
      <w:tblPr/>
      <w:tcPr>
        <w:tcBorders>
          <w:bottom w:val="single" w:sz="4" w:space="0" w:color="26ADFF" w:themeColor="accent4" w:themeTint="99"/>
        </w:tcBorders>
      </w:tcPr>
    </w:tblStylePr>
    <w:tblStylePr w:type="lastRow">
      <w:rPr>
        <w:b/>
        <w:bCs/>
      </w:rPr>
      <w:tblPr/>
      <w:tcPr>
        <w:tcBorders>
          <w:top w:val="single" w:sz="4" w:space="0" w:color="26ADFF" w:themeColor="accent4" w:themeTint="99"/>
        </w:tcBorders>
      </w:tcPr>
    </w:tblStylePr>
    <w:tblStylePr w:type="firstCol">
      <w:rPr>
        <w:b/>
        <w:bCs/>
      </w:rPr>
    </w:tblStylePr>
    <w:tblStylePr w:type="lastCol">
      <w:rPr>
        <w:b/>
        <w:bCs/>
      </w:rPr>
    </w:tblStylePr>
    <w:tblStylePr w:type="band1Vert">
      <w:tblPr/>
      <w:tcPr>
        <w:shd w:val="clear" w:color="auto" w:fill="B6E3FF" w:themeFill="accent4" w:themeFillTint="33"/>
      </w:tcPr>
    </w:tblStylePr>
    <w:tblStylePr w:type="band1Horz">
      <w:tblPr/>
      <w:tcPr>
        <w:shd w:val="clear" w:color="auto" w:fill="B6E3FF" w:themeFill="accent4" w:themeFillTint="33"/>
      </w:tcPr>
    </w:tblStylePr>
  </w:style>
  <w:style w:type="table" w:customStyle="1" w:styleId="ListTable1LightAccent5">
    <w:name w:val="List Table 1 Light Accent 5"/>
    <w:basedOn w:val="TableNormal"/>
    <w:uiPriority w:val="46"/>
    <w:pPr>
      <w:spacing w:after="0" w:line="240" w:lineRule="auto"/>
    </w:pPr>
    <w:tblPr>
      <w:tblStyleRowBandSize w:val="1"/>
      <w:tblStyleColBandSize w:val="1"/>
    </w:tblPr>
    <w:tblStylePr w:type="firstRow">
      <w:rPr>
        <w:b/>
        <w:bCs/>
      </w:rPr>
      <w:tblPr/>
      <w:tcPr>
        <w:tcBorders>
          <w:bottom w:val="single" w:sz="4" w:space="0" w:color="FF4040" w:themeColor="accent5" w:themeTint="99"/>
        </w:tcBorders>
      </w:tcPr>
    </w:tblStylePr>
    <w:tblStylePr w:type="lastRow">
      <w:rPr>
        <w:b/>
        <w:bCs/>
      </w:rPr>
      <w:tblPr/>
      <w:tcPr>
        <w:tcBorders>
          <w:top w:val="single" w:sz="4" w:space="0" w:color="FF4040" w:themeColor="accent5" w:themeTint="99"/>
        </w:tcBorders>
      </w:tcPr>
    </w:tblStylePr>
    <w:tblStylePr w:type="firstCol">
      <w:rPr>
        <w:b/>
        <w:bCs/>
      </w:rPr>
    </w:tblStylePr>
    <w:tblStylePr w:type="lastCol">
      <w:rPr>
        <w:b/>
        <w:bCs/>
      </w:rPr>
    </w:tblStylePr>
    <w:tblStylePr w:type="band1Vert">
      <w:tblPr/>
      <w:tcPr>
        <w:shd w:val="clear" w:color="auto" w:fill="FFBFBF" w:themeFill="accent5" w:themeFillTint="33"/>
      </w:tcPr>
    </w:tblStylePr>
    <w:tblStylePr w:type="band1Horz">
      <w:tblPr/>
      <w:tcPr>
        <w:shd w:val="clear" w:color="auto" w:fill="FFBFBF" w:themeFill="accent5" w:themeFillTint="33"/>
      </w:tcPr>
    </w:tblStylePr>
  </w:style>
  <w:style w:type="table" w:customStyle="1" w:styleId="ListTable1LightAccent6">
    <w:name w:val="List Table 1 Light Accent 6"/>
    <w:basedOn w:val="TableNormal"/>
    <w:uiPriority w:val="46"/>
    <w:pPr>
      <w:spacing w:after="0" w:line="240" w:lineRule="auto"/>
    </w:pPr>
    <w:tblPr>
      <w:tblStyleRowBandSize w:val="1"/>
      <w:tblStyleColBandSize w:val="1"/>
    </w:tblPr>
    <w:tblStylePr w:type="firstRow">
      <w:rPr>
        <w:b/>
        <w:bCs/>
      </w:rPr>
      <w:tblPr/>
      <w:tcPr>
        <w:tcBorders>
          <w:bottom w:val="single" w:sz="4" w:space="0" w:color="9892C9" w:themeColor="accent6" w:themeTint="99"/>
        </w:tcBorders>
      </w:tcPr>
    </w:tblStylePr>
    <w:tblStylePr w:type="lastRow">
      <w:rPr>
        <w:b/>
        <w:bCs/>
      </w:rPr>
      <w:tblPr/>
      <w:tcPr>
        <w:tcBorders>
          <w:top w:val="single" w:sz="4" w:space="0" w:color="9892C9" w:themeColor="accent6" w:themeTint="99"/>
        </w:tcBorders>
      </w:tcPr>
    </w:tblStylePr>
    <w:tblStylePr w:type="firstCol">
      <w:rPr>
        <w:b/>
        <w:bCs/>
      </w:rPr>
    </w:tblStylePr>
    <w:tblStylePr w:type="lastCol">
      <w:rPr>
        <w:b/>
        <w:bCs/>
      </w:rPr>
    </w:tblStylePr>
    <w:tblStylePr w:type="band1Vert">
      <w:tblPr/>
      <w:tcPr>
        <w:shd w:val="clear" w:color="auto" w:fill="DCDAED" w:themeFill="accent6" w:themeFillTint="33"/>
      </w:tcPr>
    </w:tblStylePr>
    <w:tblStylePr w:type="band1Horz">
      <w:tblPr/>
      <w:tcPr>
        <w:shd w:val="clear" w:color="auto" w:fill="DCDAED" w:themeFill="accent6" w:themeFillTint="33"/>
      </w:tcPr>
    </w:tblStylePr>
  </w:style>
  <w:style w:type="table" w:customStyle="1" w:styleId="ListTable2">
    <w:name w:val="List Table 2"/>
    <w:basedOn w:val="TableNormal"/>
    <w:uiPriority w:val="4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pPr>
      <w:spacing w:after="0" w:line="240" w:lineRule="auto"/>
    </w:pPr>
    <w:tblPr>
      <w:tblStyleRowBandSize w:val="1"/>
      <w:tblStyleColBandSize w:val="1"/>
      <w:tblBorders>
        <w:top w:val="single" w:sz="4" w:space="0" w:color="F7A590" w:themeColor="accent1" w:themeTint="99"/>
        <w:bottom w:val="single" w:sz="4" w:space="0" w:color="F7A590" w:themeColor="accent1" w:themeTint="99"/>
        <w:insideH w:val="single" w:sz="4" w:space="0" w:color="F7A59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0D9" w:themeFill="accent1" w:themeFillTint="33"/>
      </w:tcPr>
    </w:tblStylePr>
    <w:tblStylePr w:type="band1Horz">
      <w:tblPr/>
      <w:tcPr>
        <w:shd w:val="clear" w:color="auto" w:fill="FCE0D9" w:themeFill="accent1" w:themeFillTint="33"/>
      </w:tcPr>
    </w:tblStylePr>
  </w:style>
  <w:style w:type="table" w:customStyle="1" w:styleId="ListTable2Accent2">
    <w:name w:val="List Table 2 Accent 2"/>
    <w:basedOn w:val="TableNormal"/>
    <w:uiPriority w:val="47"/>
    <w:pPr>
      <w:spacing w:after="0" w:line="240" w:lineRule="auto"/>
    </w:pPr>
    <w:tblPr>
      <w:tblStyleRowBandSize w:val="1"/>
      <w:tblStyleColBandSize w:val="1"/>
      <w:tblBorders>
        <w:top w:val="single" w:sz="4" w:space="0" w:color="FFD966" w:themeColor="accent2" w:themeTint="99"/>
        <w:bottom w:val="single" w:sz="4" w:space="0" w:color="FFD966" w:themeColor="accent2" w:themeTint="99"/>
        <w:insideH w:val="single" w:sz="4" w:space="0" w:color="FFD9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ListTable2Accent3">
    <w:name w:val="List Table 2 Accent 3"/>
    <w:basedOn w:val="TableNormal"/>
    <w:uiPriority w:val="47"/>
    <w:pPr>
      <w:spacing w:after="0" w:line="240" w:lineRule="auto"/>
    </w:pPr>
    <w:tblPr>
      <w:tblStyleRowBandSize w:val="1"/>
      <w:tblStyleColBandSize w:val="1"/>
      <w:tblBorders>
        <w:top w:val="single" w:sz="4" w:space="0" w:color="36FF90" w:themeColor="accent3" w:themeTint="99"/>
        <w:bottom w:val="single" w:sz="4" w:space="0" w:color="36FF90" w:themeColor="accent3" w:themeTint="99"/>
        <w:insideH w:val="single" w:sz="4" w:space="0" w:color="36FF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customStyle="1" w:styleId="ListTable2Accent4">
    <w:name w:val="List Table 2 Accent 4"/>
    <w:basedOn w:val="TableNormal"/>
    <w:uiPriority w:val="47"/>
    <w:pPr>
      <w:spacing w:after="0" w:line="240" w:lineRule="auto"/>
    </w:pPr>
    <w:tblPr>
      <w:tblStyleRowBandSize w:val="1"/>
      <w:tblStyleColBandSize w:val="1"/>
      <w:tblBorders>
        <w:top w:val="single" w:sz="4" w:space="0" w:color="26ADFF" w:themeColor="accent4" w:themeTint="99"/>
        <w:bottom w:val="single" w:sz="4" w:space="0" w:color="26ADFF" w:themeColor="accent4" w:themeTint="99"/>
        <w:insideH w:val="single" w:sz="4" w:space="0" w:color="26AD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E3FF" w:themeFill="accent4" w:themeFillTint="33"/>
      </w:tcPr>
    </w:tblStylePr>
    <w:tblStylePr w:type="band1Horz">
      <w:tblPr/>
      <w:tcPr>
        <w:shd w:val="clear" w:color="auto" w:fill="B6E3FF" w:themeFill="accent4" w:themeFillTint="33"/>
      </w:tcPr>
    </w:tblStylePr>
  </w:style>
  <w:style w:type="table" w:customStyle="1" w:styleId="ListTable2Accent5">
    <w:name w:val="List Table 2 Accent 5"/>
    <w:basedOn w:val="TableNormal"/>
    <w:uiPriority w:val="47"/>
    <w:pPr>
      <w:spacing w:after="0" w:line="240" w:lineRule="auto"/>
    </w:pPr>
    <w:tblPr>
      <w:tblStyleRowBandSize w:val="1"/>
      <w:tblStyleColBandSize w:val="1"/>
      <w:tblBorders>
        <w:top w:val="single" w:sz="4" w:space="0" w:color="FF4040" w:themeColor="accent5" w:themeTint="99"/>
        <w:bottom w:val="single" w:sz="4" w:space="0" w:color="FF4040" w:themeColor="accent5" w:themeTint="99"/>
        <w:insideH w:val="single" w:sz="4" w:space="0" w:color="FF404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FBF" w:themeFill="accent5" w:themeFillTint="33"/>
      </w:tcPr>
    </w:tblStylePr>
    <w:tblStylePr w:type="band1Horz">
      <w:tblPr/>
      <w:tcPr>
        <w:shd w:val="clear" w:color="auto" w:fill="FFBFBF" w:themeFill="accent5" w:themeFillTint="33"/>
      </w:tcPr>
    </w:tblStylePr>
  </w:style>
  <w:style w:type="table" w:customStyle="1" w:styleId="ListTable2Accent6">
    <w:name w:val="List Table 2 Accent 6"/>
    <w:basedOn w:val="TableNormal"/>
    <w:uiPriority w:val="47"/>
    <w:pPr>
      <w:spacing w:after="0" w:line="240" w:lineRule="auto"/>
    </w:pPr>
    <w:tblPr>
      <w:tblStyleRowBandSize w:val="1"/>
      <w:tblStyleColBandSize w:val="1"/>
      <w:tblBorders>
        <w:top w:val="single" w:sz="4" w:space="0" w:color="9892C9" w:themeColor="accent6" w:themeTint="99"/>
        <w:bottom w:val="single" w:sz="4" w:space="0" w:color="9892C9" w:themeColor="accent6" w:themeTint="99"/>
        <w:insideH w:val="single" w:sz="4" w:space="0" w:color="9892C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AED" w:themeFill="accent6" w:themeFillTint="33"/>
      </w:tcPr>
    </w:tblStylePr>
    <w:tblStylePr w:type="band1Horz">
      <w:tblPr/>
      <w:tcPr>
        <w:shd w:val="clear" w:color="auto" w:fill="DCDAED" w:themeFill="accent6" w:themeFillTint="33"/>
      </w:tcPr>
    </w:tblStylePr>
  </w:style>
  <w:style w:type="table" w:customStyle="1" w:styleId="ListTable3">
    <w:name w:val="List Table 3"/>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pPr>
      <w:spacing w:after="0" w:line="240" w:lineRule="auto"/>
    </w:pPr>
    <w:tblPr>
      <w:tblStyleRowBandSize w:val="1"/>
      <w:tblStyleColBandSize w:val="1"/>
      <w:tblBorders>
        <w:top w:val="single" w:sz="4" w:space="0" w:color="F26A47" w:themeColor="accent1"/>
        <w:left w:val="single" w:sz="4" w:space="0" w:color="F26A47" w:themeColor="accent1"/>
        <w:bottom w:val="single" w:sz="4" w:space="0" w:color="F26A47" w:themeColor="accent1"/>
        <w:right w:val="single" w:sz="4" w:space="0" w:color="F26A47" w:themeColor="accent1"/>
      </w:tblBorders>
    </w:tblPr>
    <w:tblStylePr w:type="firstRow">
      <w:rPr>
        <w:b/>
        <w:bCs/>
        <w:color w:val="FFFFFF" w:themeColor="background1"/>
      </w:rPr>
      <w:tblPr/>
      <w:tcPr>
        <w:shd w:val="clear" w:color="auto" w:fill="F26A47" w:themeFill="accent1"/>
      </w:tcPr>
    </w:tblStylePr>
    <w:tblStylePr w:type="lastRow">
      <w:rPr>
        <w:b/>
        <w:bCs/>
      </w:rPr>
      <w:tblPr/>
      <w:tcPr>
        <w:tcBorders>
          <w:top w:val="double" w:sz="4" w:space="0" w:color="F26A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A47" w:themeColor="accent1"/>
          <w:right w:val="single" w:sz="4" w:space="0" w:color="F26A47" w:themeColor="accent1"/>
        </w:tcBorders>
      </w:tcPr>
    </w:tblStylePr>
    <w:tblStylePr w:type="band1Horz">
      <w:tblPr/>
      <w:tcPr>
        <w:tcBorders>
          <w:top w:val="single" w:sz="4" w:space="0" w:color="F26A47" w:themeColor="accent1"/>
          <w:bottom w:val="single" w:sz="4" w:space="0" w:color="F26A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A47" w:themeColor="accent1"/>
          <w:left w:val="nil"/>
        </w:tcBorders>
      </w:tcPr>
    </w:tblStylePr>
    <w:tblStylePr w:type="swCell">
      <w:tblPr/>
      <w:tcPr>
        <w:tcBorders>
          <w:top w:val="double" w:sz="4" w:space="0" w:color="F26A47" w:themeColor="accent1"/>
          <w:right w:val="nil"/>
        </w:tcBorders>
      </w:tcPr>
    </w:tblStylePr>
  </w:style>
  <w:style w:type="table" w:customStyle="1" w:styleId="ListTable3Accent2">
    <w:name w:val="List Table 3 Accent 2"/>
    <w:basedOn w:val="TableNormal"/>
    <w:uiPriority w:val="48"/>
    <w:pPr>
      <w:spacing w:after="0" w:line="240" w:lineRule="auto"/>
    </w:pPr>
    <w:tblPr>
      <w:tblStyleRowBandSize w:val="1"/>
      <w:tblStyleColBandSize w:val="1"/>
      <w:tblBorders>
        <w:top w:val="single" w:sz="4" w:space="0" w:color="FFC000" w:themeColor="accent2"/>
        <w:left w:val="single" w:sz="4" w:space="0" w:color="FFC000" w:themeColor="accent2"/>
        <w:bottom w:val="single" w:sz="4" w:space="0" w:color="FFC000" w:themeColor="accent2"/>
        <w:right w:val="single" w:sz="4" w:space="0" w:color="FFC000" w:themeColor="accent2"/>
      </w:tblBorders>
    </w:tblPr>
    <w:tblStylePr w:type="firstRow">
      <w:rPr>
        <w:b/>
        <w:bCs/>
        <w:color w:val="FFFFFF" w:themeColor="background1"/>
      </w:rPr>
      <w:tblPr/>
      <w:tcPr>
        <w:shd w:val="clear" w:color="auto" w:fill="FFC000" w:themeFill="accent2"/>
      </w:tcPr>
    </w:tblStylePr>
    <w:tblStylePr w:type="lastRow">
      <w:rPr>
        <w:b/>
        <w:bCs/>
      </w:rPr>
      <w:tblPr/>
      <w:tcPr>
        <w:tcBorders>
          <w:top w:val="double" w:sz="4" w:space="0" w:color="FFC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2"/>
          <w:right w:val="single" w:sz="4" w:space="0" w:color="FFC000" w:themeColor="accent2"/>
        </w:tcBorders>
      </w:tcPr>
    </w:tblStylePr>
    <w:tblStylePr w:type="band1Horz">
      <w:tblPr/>
      <w:tcPr>
        <w:tcBorders>
          <w:top w:val="single" w:sz="4" w:space="0" w:color="FFC000" w:themeColor="accent2"/>
          <w:bottom w:val="single" w:sz="4" w:space="0" w:color="FFC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2"/>
          <w:left w:val="nil"/>
        </w:tcBorders>
      </w:tcPr>
    </w:tblStylePr>
    <w:tblStylePr w:type="swCell">
      <w:tblPr/>
      <w:tcPr>
        <w:tcBorders>
          <w:top w:val="double" w:sz="4" w:space="0" w:color="FFC000" w:themeColor="accent2"/>
          <w:right w:val="nil"/>
        </w:tcBorders>
      </w:tcPr>
    </w:tblStylePr>
  </w:style>
  <w:style w:type="table" w:customStyle="1" w:styleId="ListTable3Accent3">
    <w:name w:val="List Table 3 Accent 3"/>
    <w:basedOn w:val="TableNormal"/>
    <w:uiPriority w:val="48"/>
    <w:pPr>
      <w:spacing w:after="0" w:line="240" w:lineRule="auto"/>
    </w:pPr>
    <w:tblPr>
      <w:tblStyleRowBandSize w:val="1"/>
      <w:tblStyleColBandSize w:val="1"/>
      <w:tblBorders>
        <w:top w:val="single" w:sz="4" w:space="0" w:color="00B050" w:themeColor="accent3"/>
        <w:left w:val="single" w:sz="4" w:space="0" w:color="00B050" w:themeColor="accent3"/>
        <w:bottom w:val="single" w:sz="4" w:space="0" w:color="00B050" w:themeColor="accent3"/>
        <w:right w:val="single" w:sz="4" w:space="0" w:color="00B050" w:themeColor="accent3"/>
      </w:tblBorders>
    </w:tblPr>
    <w:tblStylePr w:type="firstRow">
      <w:rPr>
        <w:b/>
        <w:bCs/>
        <w:color w:val="FFFFFF" w:themeColor="background1"/>
      </w:rPr>
      <w:tblPr/>
      <w:tcPr>
        <w:shd w:val="clear" w:color="auto" w:fill="00B050" w:themeFill="accent3"/>
      </w:tcPr>
    </w:tblStylePr>
    <w:tblStylePr w:type="lastRow">
      <w:rPr>
        <w:b/>
        <w:bCs/>
      </w:rPr>
      <w:tblPr/>
      <w:tcPr>
        <w:tcBorders>
          <w:top w:val="double" w:sz="4" w:space="0" w:color="00B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3"/>
          <w:right w:val="single" w:sz="4" w:space="0" w:color="00B050" w:themeColor="accent3"/>
        </w:tcBorders>
      </w:tcPr>
    </w:tblStylePr>
    <w:tblStylePr w:type="band1Horz">
      <w:tblPr/>
      <w:tcPr>
        <w:tcBorders>
          <w:top w:val="single" w:sz="4" w:space="0" w:color="00B050" w:themeColor="accent3"/>
          <w:bottom w:val="single" w:sz="4" w:space="0" w:color="00B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3"/>
          <w:left w:val="nil"/>
        </w:tcBorders>
      </w:tcPr>
    </w:tblStylePr>
    <w:tblStylePr w:type="swCell">
      <w:tblPr/>
      <w:tcPr>
        <w:tcBorders>
          <w:top w:val="double" w:sz="4" w:space="0" w:color="00B050" w:themeColor="accent3"/>
          <w:right w:val="nil"/>
        </w:tcBorders>
      </w:tcPr>
    </w:tblStylePr>
  </w:style>
  <w:style w:type="table" w:customStyle="1" w:styleId="ListTable3Accent4">
    <w:name w:val="List Table 3 Accent 4"/>
    <w:basedOn w:val="TableNormal"/>
    <w:uiPriority w:val="48"/>
    <w:pPr>
      <w:spacing w:after="0" w:line="240" w:lineRule="auto"/>
    </w:pPr>
    <w:tblPr>
      <w:tblStyleRowBandSize w:val="1"/>
      <w:tblStyleColBandSize w:val="1"/>
      <w:tblBorders>
        <w:top w:val="single" w:sz="4" w:space="0" w:color="005D95" w:themeColor="accent4"/>
        <w:left w:val="single" w:sz="4" w:space="0" w:color="005D95" w:themeColor="accent4"/>
        <w:bottom w:val="single" w:sz="4" w:space="0" w:color="005D95" w:themeColor="accent4"/>
        <w:right w:val="single" w:sz="4" w:space="0" w:color="005D95" w:themeColor="accent4"/>
      </w:tblBorders>
    </w:tblPr>
    <w:tblStylePr w:type="firstRow">
      <w:rPr>
        <w:b/>
        <w:bCs/>
        <w:color w:val="FFFFFF" w:themeColor="background1"/>
      </w:rPr>
      <w:tblPr/>
      <w:tcPr>
        <w:shd w:val="clear" w:color="auto" w:fill="005D95" w:themeFill="accent4"/>
      </w:tcPr>
    </w:tblStylePr>
    <w:tblStylePr w:type="lastRow">
      <w:rPr>
        <w:b/>
        <w:bCs/>
      </w:rPr>
      <w:tblPr/>
      <w:tcPr>
        <w:tcBorders>
          <w:top w:val="double" w:sz="4" w:space="0" w:color="005D9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95" w:themeColor="accent4"/>
          <w:right w:val="single" w:sz="4" w:space="0" w:color="005D95" w:themeColor="accent4"/>
        </w:tcBorders>
      </w:tcPr>
    </w:tblStylePr>
    <w:tblStylePr w:type="band1Horz">
      <w:tblPr/>
      <w:tcPr>
        <w:tcBorders>
          <w:top w:val="single" w:sz="4" w:space="0" w:color="005D95" w:themeColor="accent4"/>
          <w:bottom w:val="single" w:sz="4" w:space="0" w:color="005D9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95" w:themeColor="accent4"/>
          <w:left w:val="nil"/>
        </w:tcBorders>
      </w:tcPr>
    </w:tblStylePr>
    <w:tblStylePr w:type="swCell">
      <w:tblPr/>
      <w:tcPr>
        <w:tcBorders>
          <w:top w:val="double" w:sz="4" w:space="0" w:color="005D95" w:themeColor="accent4"/>
          <w:right w:val="nil"/>
        </w:tcBorders>
      </w:tcPr>
    </w:tblStylePr>
  </w:style>
  <w:style w:type="table" w:customStyle="1" w:styleId="ListTable3Accent5">
    <w:name w:val="List Table 3 Accent 5"/>
    <w:basedOn w:val="TableNormal"/>
    <w:uiPriority w:val="48"/>
    <w:pPr>
      <w:spacing w:after="0" w:line="240" w:lineRule="auto"/>
    </w:pPr>
    <w:tblPr>
      <w:tblStyleRowBandSize w:val="1"/>
      <w:tblStyleColBandSize w:val="1"/>
      <w:tblBorders>
        <w:top w:val="single" w:sz="4" w:space="0" w:color="C00000" w:themeColor="accent5"/>
        <w:left w:val="single" w:sz="4" w:space="0" w:color="C00000" w:themeColor="accent5"/>
        <w:bottom w:val="single" w:sz="4" w:space="0" w:color="C00000" w:themeColor="accent5"/>
        <w:right w:val="single" w:sz="4" w:space="0" w:color="C00000" w:themeColor="accent5"/>
      </w:tblBorders>
    </w:tblPr>
    <w:tblStylePr w:type="firstRow">
      <w:rPr>
        <w:b/>
        <w:bCs/>
        <w:color w:val="FFFFFF" w:themeColor="background1"/>
      </w:rPr>
      <w:tblPr/>
      <w:tcPr>
        <w:shd w:val="clear" w:color="auto" w:fill="C00000" w:themeFill="accent5"/>
      </w:tcPr>
    </w:tblStylePr>
    <w:tblStylePr w:type="lastRow">
      <w:rPr>
        <w:b/>
        <w:bCs/>
      </w:rPr>
      <w:tblPr/>
      <w:tcPr>
        <w:tcBorders>
          <w:top w:val="double" w:sz="4" w:space="0" w:color="C000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0000" w:themeColor="accent5"/>
          <w:right w:val="single" w:sz="4" w:space="0" w:color="C00000" w:themeColor="accent5"/>
        </w:tcBorders>
      </w:tcPr>
    </w:tblStylePr>
    <w:tblStylePr w:type="band1Horz">
      <w:tblPr/>
      <w:tcPr>
        <w:tcBorders>
          <w:top w:val="single" w:sz="4" w:space="0" w:color="C00000" w:themeColor="accent5"/>
          <w:bottom w:val="single" w:sz="4" w:space="0" w:color="C000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0000" w:themeColor="accent5"/>
          <w:left w:val="nil"/>
        </w:tcBorders>
      </w:tcPr>
    </w:tblStylePr>
    <w:tblStylePr w:type="swCell">
      <w:tblPr/>
      <w:tcPr>
        <w:tcBorders>
          <w:top w:val="double" w:sz="4" w:space="0" w:color="C00000" w:themeColor="accent5"/>
          <w:right w:val="nil"/>
        </w:tcBorders>
      </w:tcPr>
    </w:tblStylePr>
  </w:style>
  <w:style w:type="table" w:customStyle="1" w:styleId="ListTable3Accent6">
    <w:name w:val="List Table 3 Accent 6"/>
    <w:basedOn w:val="TableNormal"/>
    <w:uiPriority w:val="48"/>
    <w:pPr>
      <w:spacing w:after="0" w:line="240" w:lineRule="auto"/>
    </w:pPr>
    <w:tblPr>
      <w:tblStyleRowBandSize w:val="1"/>
      <w:tblStyleColBandSize w:val="1"/>
      <w:tblBorders>
        <w:top w:val="single" w:sz="4" w:space="0" w:color="584FA1" w:themeColor="accent6"/>
        <w:left w:val="single" w:sz="4" w:space="0" w:color="584FA1" w:themeColor="accent6"/>
        <w:bottom w:val="single" w:sz="4" w:space="0" w:color="584FA1" w:themeColor="accent6"/>
        <w:right w:val="single" w:sz="4" w:space="0" w:color="584FA1" w:themeColor="accent6"/>
      </w:tblBorders>
    </w:tblPr>
    <w:tblStylePr w:type="firstRow">
      <w:rPr>
        <w:b/>
        <w:bCs/>
        <w:color w:val="FFFFFF" w:themeColor="background1"/>
      </w:rPr>
      <w:tblPr/>
      <w:tcPr>
        <w:shd w:val="clear" w:color="auto" w:fill="584FA1" w:themeFill="accent6"/>
      </w:tcPr>
    </w:tblStylePr>
    <w:tblStylePr w:type="lastRow">
      <w:rPr>
        <w:b/>
        <w:bCs/>
      </w:rPr>
      <w:tblPr/>
      <w:tcPr>
        <w:tcBorders>
          <w:top w:val="double" w:sz="4" w:space="0" w:color="584FA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4FA1" w:themeColor="accent6"/>
          <w:right w:val="single" w:sz="4" w:space="0" w:color="584FA1" w:themeColor="accent6"/>
        </w:tcBorders>
      </w:tcPr>
    </w:tblStylePr>
    <w:tblStylePr w:type="band1Horz">
      <w:tblPr/>
      <w:tcPr>
        <w:tcBorders>
          <w:top w:val="single" w:sz="4" w:space="0" w:color="584FA1" w:themeColor="accent6"/>
          <w:bottom w:val="single" w:sz="4" w:space="0" w:color="584FA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4FA1" w:themeColor="accent6"/>
          <w:left w:val="nil"/>
        </w:tcBorders>
      </w:tcPr>
    </w:tblStylePr>
    <w:tblStylePr w:type="swCell">
      <w:tblPr/>
      <w:tcPr>
        <w:tcBorders>
          <w:top w:val="double" w:sz="4" w:space="0" w:color="584FA1" w:themeColor="accent6"/>
          <w:right w:val="nil"/>
        </w:tcBorders>
      </w:tcPr>
    </w:tblStylePr>
  </w:style>
  <w:style w:type="table" w:customStyle="1" w:styleId="ListTable4">
    <w:name w:val="List Table 4"/>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pPr>
      <w:spacing w:after="0" w:line="240" w:lineRule="auto"/>
    </w:pPr>
    <w:tblPr>
      <w:tblStyleRowBandSize w:val="1"/>
      <w:tblStyleColBandSize w:val="1"/>
      <w:tblBorders>
        <w:top w:val="single" w:sz="4" w:space="0" w:color="F7A590" w:themeColor="accent1" w:themeTint="99"/>
        <w:left w:val="single" w:sz="4" w:space="0" w:color="F7A590" w:themeColor="accent1" w:themeTint="99"/>
        <w:bottom w:val="single" w:sz="4" w:space="0" w:color="F7A590" w:themeColor="accent1" w:themeTint="99"/>
        <w:right w:val="single" w:sz="4" w:space="0" w:color="F7A590" w:themeColor="accent1" w:themeTint="99"/>
        <w:insideH w:val="single" w:sz="4" w:space="0" w:color="F7A590" w:themeColor="accent1" w:themeTint="99"/>
      </w:tblBorders>
    </w:tblPr>
    <w:tblStylePr w:type="firstRow">
      <w:rPr>
        <w:b/>
        <w:bCs/>
        <w:color w:val="FFFFFF" w:themeColor="background1"/>
      </w:rPr>
      <w:tblPr/>
      <w:tcPr>
        <w:tcBorders>
          <w:top w:val="single" w:sz="4" w:space="0" w:color="F26A47" w:themeColor="accent1"/>
          <w:left w:val="single" w:sz="4" w:space="0" w:color="F26A47" w:themeColor="accent1"/>
          <w:bottom w:val="single" w:sz="4" w:space="0" w:color="F26A47" w:themeColor="accent1"/>
          <w:right w:val="single" w:sz="4" w:space="0" w:color="F26A47" w:themeColor="accent1"/>
          <w:insideH w:val="nil"/>
        </w:tcBorders>
        <w:shd w:val="clear" w:color="auto" w:fill="F26A47" w:themeFill="accent1"/>
      </w:tcPr>
    </w:tblStylePr>
    <w:tblStylePr w:type="lastRow">
      <w:rPr>
        <w:b/>
        <w:bCs/>
      </w:rPr>
      <w:tblPr/>
      <w:tcPr>
        <w:tcBorders>
          <w:top w:val="double" w:sz="4" w:space="0" w:color="F7A590" w:themeColor="accent1" w:themeTint="99"/>
        </w:tcBorders>
      </w:tcPr>
    </w:tblStylePr>
    <w:tblStylePr w:type="firstCol">
      <w:rPr>
        <w:b/>
        <w:bCs/>
      </w:rPr>
    </w:tblStylePr>
    <w:tblStylePr w:type="lastCol">
      <w:rPr>
        <w:b/>
        <w:bCs/>
      </w:rPr>
    </w:tblStylePr>
    <w:tblStylePr w:type="band1Vert">
      <w:tblPr/>
      <w:tcPr>
        <w:shd w:val="clear" w:color="auto" w:fill="FCE0D9" w:themeFill="accent1" w:themeFillTint="33"/>
      </w:tcPr>
    </w:tblStylePr>
    <w:tblStylePr w:type="band1Horz">
      <w:tblPr/>
      <w:tcPr>
        <w:shd w:val="clear" w:color="auto" w:fill="FCE0D9" w:themeFill="accent1" w:themeFillTint="33"/>
      </w:tcPr>
    </w:tblStylePr>
  </w:style>
  <w:style w:type="table" w:customStyle="1" w:styleId="ListTable4Accent2">
    <w:name w:val="List Table 4 Accent 2"/>
    <w:basedOn w:val="TableNormal"/>
    <w:uiPriority w:val="49"/>
    <w:pPr>
      <w:spacing w:after="0" w:line="240" w:lineRule="auto"/>
    </w:p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tblBorders>
    </w:tblPr>
    <w:tblStylePr w:type="firstRow">
      <w:rPr>
        <w:b/>
        <w:bCs/>
        <w:color w:val="FFFFFF" w:themeColor="background1"/>
      </w:rPr>
      <w:tblPr/>
      <w:tcPr>
        <w:tcBorders>
          <w:top w:val="single" w:sz="4" w:space="0" w:color="FFC000" w:themeColor="accent2"/>
          <w:left w:val="single" w:sz="4" w:space="0" w:color="FFC000" w:themeColor="accent2"/>
          <w:bottom w:val="single" w:sz="4" w:space="0" w:color="FFC000" w:themeColor="accent2"/>
          <w:right w:val="single" w:sz="4" w:space="0" w:color="FFC000" w:themeColor="accent2"/>
          <w:insideH w:val="nil"/>
        </w:tcBorders>
        <w:shd w:val="clear" w:color="auto" w:fill="FFC000" w:themeFill="accent2"/>
      </w:tcPr>
    </w:tblStylePr>
    <w:tblStylePr w:type="lastRow">
      <w:rPr>
        <w:b/>
        <w:bCs/>
      </w:rPr>
      <w:tblPr/>
      <w:tcPr>
        <w:tcBorders>
          <w:top w:val="double" w:sz="4" w:space="0" w:color="FFD966" w:themeColor="accent2" w:themeTint="99"/>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ListTable4Accent3">
    <w:name w:val="List Table 4 Accent 3"/>
    <w:basedOn w:val="TableNormal"/>
    <w:uiPriority w:val="49"/>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tcBorders>
        <w:shd w:val="clear" w:color="auto" w:fill="00B050" w:themeFill="accent3"/>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customStyle="1" w:styleId="ListTable4Accent4">
    <w:name w:val="List Table 4 Accent 4"/>
    <w:basedOn w:val="TableNormal"/>
    <w:uiPriority w:val="49"/>
    <w:pPr>
      <w:spacing w:after="0" w:line="240" w:lineRule="auto"/>
    </w:pPr>
    <w:tblPr>
      <w:tblStyleRowBandSize w:val="1"/>
      <w:tblStyleColBandSize w:val="1"/>
      <w:tblBorders>
        <w:top w:val="single" w:sz="4" w:space="0" w:color="26ADFF" w:themeColor="accent4" w:themeTint="99"/>
        <w:left w:val="single" w:sz="4" w:space="0" w:color="26ADFF" w:themeColor="accent4" w:themeTint="99"/>
        <w:bottom w:val="single" w:sz="4" w:space="0" w:color="26ADFF" w:themeColor="accent4" w:themeTint="99"/>
        <w:right w:val="single" w:sz="4" w:space="0" w:color="26ADFF" w:themeColor="accent4" w:themeTint="99"/>
        <w:insideH w:val="single" w:sz="4" w:space="0" w:color="26ADFF" w:themeColor="accent4" w:themeTint="99"/>
      </w:tblBorders>
    </w:tblPr>
    <w:tblStylePr w:type="firstRow">
      <w:rPr>
        <w:b/>
        <w:bCs/>
        <w:color w:val="FFFFFF" w:themeColor="background1"/>
      </w:rPr>
      <w:tblPr/>
      <w:tcPr>
        <w:tcBorders>
          <w:top w:val="single" w:sz="4" w:space="0" w:color="005D95" w:themeColor="accent4"/>
          <w:left w:val="single" w:sz="4" w:space="0" w:color="005D95" w:themeColor="accent4"/>
          <w:bottom w:val="single" w:sz="4" w:space="0" w:color="005D95" w:themeColor="accent4"/>
          <w:right w:val="single" w:sz="4" w:space="0" w:color="005D95" w:themeColor="accent4"/>
          <w:insideH w:val="nil"/>
        </w:tcBorders>
        <w:shd w:val="clear" w:color="auto" w:fill="005D95" w:themeFill="accent4"/>
      </w:tcPr>
    </w:tblStylePr>
    <w:tblStylePr w:type="lastRow">
      <w:rPr>
        <w:b/>
        <w:bCs/>
      </w:rPr>
      <w:tblPr/>
      <w:tcPr>
        <w:tcBorders>
          <w:top w:val="double" w:sz="4" w:space="0" w:color="26ADFF" w:themeColor="accent4" w:themeTint="99"/>
        </w:tcBorders>
      </w:tcPr>
    </w:tblStylePr>
    <w:tblStylePr w:type="firstCol">
      <w:rPr>
        <w:b/>
        <w:bCs/>
      </w:rPr>
    </w:tblStylePr>
    <w:tblStylePr w:type="lastCol">
      <w:rPr>
        <w:b/>
        <w:bCs/>
      </w:rPr>
    </w:tblStylePr>
    <w:tblStylePr w:type="band1Vert">
      <w:tblPr/>
      <w:tcPr>
        <w:shd w:val="clear" w:color="auto" w:fill="B6E3FF" w:themeFill="accent4" w:themeFillTint="33"/>
      </w:tcPr>
    </w:tblStylePr>
    <w:tblStylePr w:type="band1Horz">
      <w:tblPr/>
      <w:tcPr>
        <w:shd w:val="clear" w:color="auto" w:fill="B6E3FF" w:themeFill="accent4" w:themeFillTint="33"/>
      </w:tcPr>
    </w:tblStylePr>
  </w:style>
  <w:style w:type="table" w:customStyle="1" w:styleId="ListTable4Accent5">
    <w:name w:val="List Table 4 Accent 5"/>
    <w:basedOn w:val="TableNormal"/>
    <w:uiPriority w:val="49"/>
    <w:pPr>
      <w:spacing w:after="0" w:line="240" w:lineRule="auto"/>
    </w:pPr>
    <w:tblPr>
      <w:tblStyleRowBandSize w:val="1"/>
      <w:tblStyleColBandSize w:val="1"/>
      <w:tblBorders>
        <w:top w:val="single" w:sz="4" w:space="0" w:color="FF4040" w:themeColor="accent5" w:themeTint="99"/>
        <w:left w:val="single" w:sz="4" w:space="0" w:color="FF4040" w:themeColor="accent5" w:themeTint="99"/>
        <w:bottom w:val="single" w:sz="4" w:space="0" w:color="FF4040" w:themeColor="accent5" w:themeTint="99"/>
        <w:right w:val="single" w:sz="4" w:space="0" w:color="FF4040" w:themeColor="accent5" w:themeTint="99"/>
        <w:insideH w:val="single" w:sz="4" w:space="0" w:color="FF4040" w:themeColor="accent5" w:themeTint="99"/>
      </w:tblBorders>
    </w:tblPr>
    <w:tblStylePr w:type="firstRow">
      <w:rPr>
        <w:b/>
        <w:bCs/>
        <w:color w:val="FFFFFF" w:themeColor="background1"/>
      </w:rPr>
      <w:tblPr/>
      <w:tcPr>
        <w:tcBorders>
          <w:top w:val="single" w:sz="4" w:space="0" w:color="C00000" w:themeColor="accent5"/>
          <w:left w:val="single" w:sz="4" w:space="0" w:color="C00000" w:themeColor="accent5"/>
          <w:bottom w:val="single" w:sz="4" w:space="0" w:color="C00000" w:themeColor="accent5"/>
          <w:right w:val="single" w:sz="4" w:space="0" w:color="C00000" w:themeColor="accent5"/>
          <w:insideH w:val="nil"/>
        </w:tcBorders>
        <w:shd w:val="clear" w:color="auto" w:fill="C00000" w:themeFill="accent5"/>
      </w:tcPr>
    </w:tblStylePr>
    <w:tblStylePr w:type="lastRow">
      <w:rPr>
        <w:b/>
        <w:bCs/>
      </w:rPr>
      <w:tblPr/>
      <w:tcPr>
        <w:tcBorders>
          <w:top w:val="double" w:sz="4" w:space="0" w:color="FF4040" w:themeColor="accent5" w:themeTint="99"/>
        </w:tcBorders>
      </w:tcPr>
    </w:tblStylePr>
    <w:tblStylePr w:type="firstCol">
      <w:rPr>
        <w:b/>
        <w:bCs/>
      </w:rPr>
    </w:tblStylePr>
    <w:tblStylePr w:type="lastCol">
      <w:rPr>
        <w:b/>
        <w:bCs/>
      </w:rPr>
    </w:tblStylePr>
    <w:tblStylePr w:type="band1Vert">
      <w:tblPr/>
      <w:tcPr>
        <w:shd w:val="clear" w:color="auto" w:fill="FFBFBF" w:themeFill="accent5" w:themeFillTint="33"/>
      </w:tcPr>
    </w:tblStylePr>
    <w:tblStylePr w:type="band1Horz">
      <w:tblPr/>
      <w:tcPr>
        <w:shd w:val="clear" w:color="auto" w:fill="FFBFBF" w:themeFill="accent5" w:themeFillTint="33"/>
      </w:tcPr>
    </w:tblStylePr>
  </w:style>
  <w:style w:type="table" w:customStyle="1" w:styleId="ListTable4Accent6">
    <w:name w:val="List Table 4 Accent 6"/>
    <w:basedOn w:val="TableNormal"/>
    <w:uiPriority w:val="49"/>
    <w:pPr>
      <w:spacing w:after="0" w:line="240" w:lineRule="auto"/>
    </w:pPr>
    <w:tblPr>
      <w:tblStyleRowBandSize w:val="1"/>
      <w:tblStyleColBandSize w:val="1"/>
      <w:tblBorders>
        <w:top w:val="single" w:sz="4" w:space="0" w:color="9892C9" w:themeColor="accent6" w:themeTint="99"/>
        <w:left w:val="single" w:sz="4" w:space="0" w:color="9892C9" w:themeColor="accent6" w:themeTint="99"/>
        <w:bottom w:val="single" w:sz="4" w:space="0" w:color="9892C9" w:themeColor="accent6" w:themeTint="99"/>
        <w:right w:val="single" w:sz="4" w:space="0" w:color="9892C9" w:themeColor="accent6" w:themeTint="99"/>
        <w:insideH w:val="single" w:sz="4" w:space="0" w:color="9892C9" w:themeColor="accent6" w:themeTint="99"/>
      </w:tblBorders>
    </w:tblPr>
    <w:tblStylePr w:type="firstRow">
      <w:rPr>
        <w:b/>
        <w:bCs/>
        <w:color w:val="FFFFFF" w:themeColor="background1"/>
      </w:rPr>
      <w:tblPr/>
      <w:tcPr>
        <w:tcBorders>
          <w:top w:val="single" w:sz="4" w:space="0" w:color="584FA1" w:themeColor="accent6"/>
          <w:left w:val="single" w:sz="4" w:space="0" w:color="584FA1" w:themeColor="accent6"/>
          <w:bottom w:val="single" w:sz="4" w:space="0" w:color="584FA1" w:themeColor="accent6"/>
          <w:right w:val="single" w:sz="4" w:space="0" w:color="584FA1" w:themeColor="accent6"/>
          <w:insideH w:val="nil"/>
        </w:tcBorders>
        <w:shd w:val="clear" w:color="auto" w:fill="584FA1" w:themeFill="accent6"/>
      </w:tcPr>
    </w:tblStylePr>
    <w:tblStylePr w:type="lastRow">
      <w:rPr>
        <w:b/>
        <w:bCs/>
      </w:rPr>
      <w:tblPr/>
      <w:tcPr>
        <w:tcBorders>
          <w:top w:val="double" w:sz="4" w:space="0" w:color="9892C9" w:themeColor="accent6" w:themeTint="99"/>
        </w:tcBorders>
      </w:tcPr>
    </w:tblStylePr>
    <w:tblStylePr w:type="firstCol">
      <w:rPr>
        <w:b/>
        <w:bCs/>
      </w:rPr>
    </w:tblStylePr>
    <w:tblStylePr w:type="lastCol">
      <w:rPr>
        <w:b/>
        <w:bCs/>
      </w:rPr>
    </w:tblStylePr>
    <w:tblStylePr w:type="band1Vert">
      <w:tblPr/>
      <w:tcPr>
        <w:shd w:val="clear" w:color="auto" w:fill="DCDAED" w:themeFill="accent6" w:themeFillTint="33"/>
      </w:tcPr>
    </w:tblStylePr>
    <w:tblStylePr w:type="band1Horz">
      <w:tblPr/>
      <w:tcPr>
        <w:shd w:val="clear" w:color="auto" w:fill="DCDAED" w:themeFill="accent6" w:themeFillTint="33"/>
      </w:tcPr>
    </w:tblStylePr>
  </w:style>
  <w:style w:type="table" w:customStyle="1" w:styleId="ListTable5Dark">
    <w:name w:val="List Table 5 Dark"/>
    <w:basedOn w:val="TableNormal"/>
    <w:uiPriority w:val="5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pPr>
      <w:spacing w:after="0" w:line="240" w:lineRule="auto"/>
    </w:pPr>
    <w:rPr>
      <w:color w:val="FFFFFF" w:themeColor="background1"/>
    </w:rPr>
    <w:tblPr>
      <w:tblStyleRowBandSize w:val="1"/>
      <w:tblStyleColBandSize w:val="1"/>
      <w:tblBorders>
        <w:top w:val="single" w:sz="24" w:space="0" w:color="F26A47" w:themeColor="accent1"/>
        <w:left w:val="single" w:sz="24" w:space="0" w:color="F26A47" w:themeColor="accent1"/>
        <w:bottom w:val="single" w:sz="24" w:space="0" w:color="F26A47" w:themeColor="accent1"/>
        <w:right w:val="single" w:sz="24" w:space="0" w:color="F26A47" w:themeColor="accent1"/>
      </w:tblBorders>
    </w:tblPr>
    <w:tcPr>
      <w:shd w:val="clear" w:color="auto" w:fill="F26A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pPr>
      <w:spacing w:after="0" w:line="240" w:lineRule="auto"/>
    </w:pPr>
    <w:rPr>
      <w:color w:val="FFFFFF" w:themeColor="background1"/>
    </w:rPr>
    <w:tblPr>
      <w:tblStyleRowBandSize w:val="1"/>
      <w:tblStyleColBandSize w:val="1"/>
      <w:tblBorders>
        <w:top w:val="single" w:sz="24" w:space="0" w:color="FFC000" w:themeColor="accent2"/>
        <w:left w:val="single" w:sz="24" w:space="0" w:color="FFC000" w:themeColor="accent2"/>
        <w:bottom w:val="single" w:sz="24" w:space="0" w:color="FFC000" w:themeColor="accent2"/>
        <w:right w:val="single" w:sz="24" w:space="0" w:color="FFC000" w:themeColor="accent2"/>
      </w:tblBorders>
    </w:tblPr>
    <w:tcPr>
      <w:shd w:val="clear" w:color="auto" w:fill="FFC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pPr>
      <w:spacing w:after="0" w:line="240" w:lineRule="auto"/>
    </w:pPr>
    <w:rPr>
      <w:color w:val="FFFFFF" w:themeColor="background1"/>
    </w:rPr>
    <w:tblPr>
      <w:tblStyleRowBandSize w:val="1"/>
      <w:tblStyleColBandSize w:val="1"/>
      <w:tblBorders>
        <w:top w:val="single" w:sz="24" w:space="0" w:color="00B050" w:themeColor="accent3"/>
        <w:left w:val="single" w:sz="24" w:space="0" w:color="00B050" w:themeColor="accent3"/>
        <w:bottom w:val="single" w:sz="24" w:space="0" w:color="00B050" w:themeColor="accent3"/>
        <w:right w:val="single" w:sz="24" w:space="0" w:color="00B050" w:themeColor="accent3"/>
      </w:tblBorders>
    </w:tblPr>
    <w:tcPr>
      <w:shd w:val="clear" w:color="auto" w:fill="00B0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pPr>
      <w:spacing w:after="0" w:line="240" w:lineRule="auto"/>
    </w:pPr>
    <w:rPr>
      <w:color w:val="FFFFFF" w:themeColor="background1"/>
    </w:rPr>
    <w:tblPr>
      <w:tblStyleRowBandSize w:val="1"/>
      <w:tblStyleColBandSize w:val="1"/>
      <w:tblBorders>
        <w:top w:val="single" w:sz="24" w:space="0" w:color="005D95" w:themeColor="accent4"/>
        <w:left w:val="single" w:sz="24" w:space="0" w:color="005D95" w:themeColor="accent4"/>
        <w:bottom w:val="single" w:sz="24" w:space="0" w:color="005D95" w:themeColor="accent4"/>
        <w:right w:val="single" w:sz="24" w:space="0" w:color="005D95" w:themeColor="accent4"/>
      </w:tblBorders>
    </w:tblPr>
    <w:tcPr>
      <w:shd w:val="clear" w:color="auto" w:fill="005D9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pPr>
      <w:spacing w:after="0" w:line="240" w:lineRule="auto"/>
    </w:pPr>
    <w:rPr>
      <w:color w:val="FFFFFF" w:themeColor="background1"/>
    </w:rPr>
    <w:tblPr>
      <w:tblStyleRowBandSize w:val="1"/>
      <w:tblStyleColBandSize w:val="1"/>
      <w:tblBorders>
        <w:top w:val="single" w:sz="24" w:space="0" w:color="C00000" w:themeColor="accent5"/>
        <w:left w:val="single" w:sz="24" w:space="0" w:color="C00000" w:themeColor="accent5"/>
        <w:bottom w:val="single" w:sz="24" w:space="0" w:color="C00000" w:themeColor="accent5"/>
        <w:right w:val="single" w:sz="24" w:space="0" w:color="C00000" w:themeColor="accent5"/>
      </w:tblBorders>
    </w:tblPr>
    <w:tcPr>
      <w:shd w:val="clear" w:color="auto" w:fill="C000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pPr>
      <w:spacing w:after="0" w:line="240" w:lineRule="auto"/>
    </w:pPr>
    <w:rPr>
      <w:color w:val="FFFFFF" w:themeColor="background1"/>
    </w:rPr>
    <w:tblPr>
      <w:tblStyleRowBandSize w:val="1"/>
      <w:tblStyleColBandSize w:val="1"/>
      <w:tblBorders>
        <w:top w:val="single" w:sz="24" w:space="0" w:color="584FA1" w:themeColor="accent6"/>
        <w:left w:val="single" w:sz="24" w:space="0" w:color="584FA1" w:themeColor="accent6"/>
        <w:bottom w:val="single" w:sz="24" w:space="0" w:color="584FA1" w:themeColor="accent6"/>
        <w:right w:val="single" w:sz="24" w:space="0" w:color="584FA1" w:themeColor="accent6"/>
      </w:tblBorders>
    </w:tblPr>
    <w:tcPr>
      <w:shd w:val="clear" w:color="auto" w:fill="584FA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pPr>
      <w:spacing w:after="0" w:line="240" w:lineRule="auto"/>
    </w:pPr>
    <w:rPr>
      <w:color w:val="DA380F" w:themeColor="accent1" w:themeShade="BF"/>
    </w:rPr>
    <w:tblPr>
      <w:tblStyleRowBandSize w:val="1"/>
      <w:tblStyleColBandSize w:val="1"/>
      <w:tblBorders>
        <w:top w:val="single" w:sz="4" w:space="0" w:color="F26A47" w:themeColor="accent1"/>
        <w:bottom w:val="single" w:sz="4" w:space="0" w:color="F26A47" w:themeColor="accent1"/>
      </w:tblBorders>
    </w:tblPr>
    <w:tblStylePr w:type="firstRow">
      <w:rPr>
        <w:b/>
        <w:bCs/>
      </w:rPr>
      <w:tblPr/>
      <w:tcPr>
        <w:tcBorders>
          <w:bottom w:val="single" w:sz="4" w:space="0" w:color="F26A47" w:themeColor="accent1"/>
        </w:tcBorders>
      </w:tcPr>
    </w:tblStylePr>
    <w:tblStylePr w:type="lastRow">
      <w:rPr>
        <w:b/>
        <w:bCs/>
      </w:rPr>
      <w:tblPr/>
      <w:tcPr>
        <w:tcBorders>
          <w:top w:val="double" w:sz="4" w:space="0" w:color="F26A47" w:themeColor="accent1"/>
        </w:tcBorders>
      </w:tcPr>
    </w:tblStylePr>
    <w:tblStylePr w:type="firstCol">
      <w:rPr>
        <w:b/>
        <w:bCs/>
      </w:rPr>
    </w:tblStylePr>
    <w:tblStylePr w:type="lastCol">
      <w:rPr>
        <w:b/>
        <w:bCs/>
      </w:rPr>
    </w:tblStylePr>
    <w:tblStylePr w:type="band1Vert">
      <w:tblPr/>
      <w:tcPr>
        <w:shd w:val="clear" w:color="auto" w:fill="FCE0D9" w:themeFill="accent1" w:themeFillTint="33"/>
      </w:tcPr>
    </w:tblStylePr>
    <w:tblStylePr w:type="band1Horz">
      <w:tblPr/>
      <w:tcPr>
        <w:shd w:val="clear" w:color="auto" w:fill="FCE0D9" w:themeFill="accent1" w:themeFillTint="33"/>
      </w:tcPr>
    </w:tblStylePr>
  </w:style>
  <w:style w:type="table" w:customStyle="1" w:styleId="ListTable6ColorfulAccent2">
    <w:name w:val="List Table 6 Colorful Accent 2"/>
    <w:basedOn w:val="TableNormal"/>
    <w:uiPriority w:val="51"/>
    <w:pPr>
      <w:spacing w:after="0" w:line="240" w:lineRule="auto"/>
    </w:pPr>
    <w:rPr>
      <w:color w:val="BF8F00" w:themeColor="accent2" w:themeShade="BF"/>
    </w:rPr>
    <w:tblPr>
      <w:tblStyleRowBandSize w:val="1"/>
      <w:tblStyleColBandSize w:val="1"/>
      <w:tblBorders>
        <w:top w:val="single" w:sz="4" w:space="0" w:color="FFC000" w:themeColor="accent2"/>
        <w:bottom w:val="single" w:sz="4" w:space="0" w:color="FFC000" w:themeColor="accent2"/>
      </w:tblBorders>
    </w:tblPr>
    <w:tblStylePr w:type="firstRow">
      <w:rPr>
        <w:b/>
        <w:bCs/>
      </w:rPr>
      <w:tblPr/>
      <w:tcPr>
        <w:tcBorders>
          <w:bottom w:val="single" w:sz="4" w:space="0" w:color="FFC000" w:themeColor="accent2"/>
        </w:tcBorders>
      </w:tcPr>
    </w:tblStylePr>
    <w:tblStylePr w:type="lastRow">
      <w:rPr>
        <w:b/>
        <w:bCs/>
      </w:rPr>
      <w:tblPr/>
      <w:tcPr>
        <w:tcBorders>
          <w:top w:val="double" w:sz="4" w:space="0" w:color="FFC000" w:themeColor="accent2"/>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ListTable6ColorfulAccent3">
    <w:name w:val="List Table 6 Colorful Accent 3"/>
    <w:basedOn w:val="TableNormal"/>
    <w:uiPriority w:val="51"/>
    <w:pPr>
      <w:spacing w:after="0" w:line="240" w:lineRule="auto"/>
    </w:pPr>
    <w:rPr>
      <w:color w:val="00833B" w:themeColor="accent3" w:themeShade="BF"/>
    </w:rPr>
    <w:tblPr>
      <w:tblStyleRowBandSize w:val="1"/>
      <w:tblStyleColBandSize w:val="1"/>
      <w:tblBorders>
        <w:top w:val="single" w:sz="4" w:space="0" w:color="00B050" w:themeColor="accent3"/>
        <w:bottom w:val="single" w:sz="4" w:space="0" w:color="00B050" w:themeColor="accent3"/>
      </w:tblBorders>
    </w:tblPr>
    <w:tblStylePr w:type="firstRow">
      <w:rPr>
        <w:b/>
        <w:bCs/>
      </w:rPr>
      <w:tblPr/>
      <w:tcPr>
        <w:tcBorders>
          <w:bottom w:val="single" w:sz="4" w:space="0" w:color="00B050" w:themeColor="accent3"/>
        </w:tcBorders>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customStyle="1" w:styleId="ListTable6ColorfulAccent4">
    <w:name w:val="List Table 6 Colorful Accent 4"/>
    <w:basedOn w:val="TableNormal"/>
    <w:uiPriority w:val="51"/>
    <w:pPr>
      <w:spacing w:after="0" w:line="240" w:lineRule="auto"/>
    </w:pPr>
    <w:rPr>
      <w:color w:val="00456F" w:themeColor="accent4" w:themeShade="BF"/>
    </w:rPr>
    <w:tblPr>
      <w:tblStyleRowBandSize w:val="1"/>
      <w:tblStyleColBandSize w:val="1"/>
      <w:tblBorders>
        <w:top w:val="single" w:sz="4" w:space="0" w:color="005D95" w:themeColor="accent4"/>
        <w:bottom w:val="single" w:sz="4" w:space="0" w:color="005D95" w:themeColor="accent4"/>
      </w:tblBorders>
    </w:tblPr>
    <w:tblStylePr w:type="firstRow">
      <w:rPr>
        <w:b/>
        <w:bCs/>
      </w:rPr>
      <w:tblPr/>
      <w:tcPr>
        <w:tcBorders>
          <w:bottom w:val="single" w:sz="4" w:space="0" w:color="005D95" w:themeColor="accent4"/>
        </w:tcBorders>
      </w:tcPr>
    </w:tblStylePr>
    <w:tblStylePr w:type="lastRow">
      <w:rPr>
        <w:b/>
        <w:bCs/>
      </w:rPr>
      <w:tblPr/>
      <w:tcPr>
        <w:tcBorders>
          <w:top w:val="double" w:sz="4" w:space="0" w:color="005D95" w:themeColor="accent4"/>
        </w:tcBorders>
      </w:tcPr>
    </w:tblStylePr>
    <w:tblStylePr w:type="firstCol">
      <w:rPr>
        <w:b/>
        <w:bCs/>
      </w:rPr>
    </w:tblStylePr>
    <w:tblStylePr w:type="lastCol">
      <w:rPr>
        <w:b/>
        <w:bCs/>
      </w:rPr>
    </w:tblStylePr>
    <w:tblStylePr w:type="band1Vert">
      <w:tblPr/>
      <w:tcPr>
        <w:shd w:val="clear" w:color="auto" w:fill="B6E3FF" w:themeFill="accent4" w:themeFillTint="33"/>
      </w:tcPr>
    </w:tblStylePr>
    <w:tblStylePr w:type="band1Horz">
      <w:tblPr/>
      <w:tcPr>
        <w:shd w:val="clear" w:color="auto" w:fill="B6E3FF" w:themeFill="accent4" w:themeFillTint="33"/>
      </w:tcPr>
    </w:tblStylePr>
  </w:style>
  <w:style w:type="table" w:customStyle="1" w:styleId="ListTable6ColorfulAccent5">
    <w:name w:val="List Table 6 Colorful Accent 5"/>
    <w:basedOn w:val="TableNormal"/>
    <w:uiPriority w:val="51"/>
    <w:pPr>
      <w:spacing w:after="0" w:line="240" w:lineRule="auto"/>
    </w:pPr>
    <w:rPr>
      <w:color w:val="8F0000" w:themeColor="accent5" w:themeShade="BF"/>
    </w:rPr>
    <w:tblPr>
      <w:tblStyleRowBandSize w:val="1"/>
      <w:tblStyleColBandSize w:val="1"/>
      <w:tblBorders>
        <w:top w:val="single" w:sz="4" w:space="0" w:color="C00000" w:themeColor="accent5"/>
        <w:bottom w:val="single" w:sz="4" w:space="0" w:color="C00000" w:themeColor="accent5"/>
      </w:tblBorders>
    </w:tblPr>
    <w:tblStylePr w:type="firstRow">
      <w:rPr>
        <w:b/>
        <w:bCs/>
      </w:rPr>
      <w:tblPr/>
      <w:tcPr>
        <w:tcBorders>
          <w:bottom w:val="single" w:sz="4" w:space="0" w:color="C00000" w:themeColor="accent5"/>
        </w:tcBorders>
      </w:tcPr>
    </w:tblStylePr>
    <w:tblStylePr w:type="lastRow">
      <w:rPr>
        <w:b/>
        <w:bCs/>
      </w:rPr>
      <w:tblPr/>
      <w:tcPr>
        <w:tcBorders>
          <w:top w:val="double" w:sz="4" w:space="0" w:color="C00000" w:themeColor="accent5"/>
        </w:tcBorders>
      </w:tcPr>
    </w:tblStylePr>
    <w:tblStylePr w:type="firstCol">
      <w:rPr>
        <w:b/>
        <w:bCs/>
      </w:rPr>
    </w:tblStylePr>
    <w:tblStylePr w:type="lastCol">
      <w:rPr>
        <w:b/>
        <w:bCs/>
      </w:rPr>
    </w:tblStylePr>
    <w:tblStylePr w:type="band1Vert">
      <w:tblPr/>
      <w:tcPr>
        <w:shd w:val="clear" w:color="auto" w:fill="FFBFBF" w:themeFill="accent5" w:themeFillTint="33"/>
      </w:tcPr>
    </w:tblStylePr>
    <w:tblStylePr w:type="band1Horz">
      <w:tblPr/>
      <w:tcPr>
        <w:shd w:val="clear" w:color="auto" w:fill="FFBFBF" w:themeFill="accent5" w:themeFillTint="33"/>
      </w:tcPr>
    </w:tblStylePr>
  </w:style>
  <w:style w:type="table" w:customStyle="1" w:styleId="ListTable6ColorfulAccent6">
    <w:name w:val="List Table 6 Colorful Accent 6"/>
    <w:basedOn w:val="TableNormal"/>
    <w:uiPriority w:val="51"/>
    <w:pPr>
      <w:spacing w:after="0" w:line="240" w:lineRule="auto"/>
    </w:pPr>
    <w:rPr>
      <w:color w:val="413B78" w:themeColor="accent6" w:themeShade="BF"/>
    </w:rPr>
    <w:tblPr>
      <w:tblStyleRowBandSize w:val="1"/>
      <w:tblStyleColBandSize w:val="1"/>
      <w:tblBorders>
        <w:top w:val="single" w:sz="4" w:space="0" w:color="584FA1" w:themeColor="accent6"/>
        <w:bottom w:val="single" w:sz="4" w:space="0" w:color="584FA1" w:themeColor="accent6"/>
      </w:tblBorders>
    </w:tblPr>
    <w:tblStylePr w:type="firstRow">
      <w:rPr>
        <w:b/>
        <w:bCs/>
      </w:rPr>
      <w:tblPr/>
      <w:tcPr>
        <w:tcBorders>
          <w:bottom w:val="single" w:sz="4" w:space="0" w:color="584FA1" w:themeColor="accent6"/>
        </w:tcBorders>
      </w:tcPr>
    </w:tblStylePr>
    <w:tblStylePr w:type="lastRow">
      <w:rPr>
        <w:b/>
        <w:bCs/>
      </w:rPr>
      <w:tblPr/>
      <w:tcPr>
        <w:tcBorders>
          <w:top w:val="double" w:sz="4" w:space="0" w:color="584FA1" w:themeColor="accent6"/>
        </w:tcBorders>
      </w:tcPr>
    </w:tblStylePr>
    <w:tblStylePr w:type="firstCol">
      <w:rPr>
        <w:b/>
        <w:bCs/>
      </w:rPr>
    </w:tblStylePr>
    <w:tblStylePr w:type="lastCol">
      <w:rPr>
        <w:b/>
        <w:bCs/>
      </w:rPr>
    </w:tblStylePr>
    <w:tblStylePr w:type="band1Vert">
      <w:tblPr/>
      <w:tcPr>
        <w:shd w:val="clear" w:color="auto" w:fill="DCDAED" w:themeFill="accent6" w:themeFillTint="33"/>
      </w:tcPr>
    </w:tblStylePr>
    <w:tblStylePr w:type="band1Horz">
      <w:tblPr/>
      <w:tcPr>
        <w:shd w:val="clear" w:color="auto" w:fill="DCDAED" w:themeFill="accent6" w:themeFillTint="33"/>
      </w:tcPr>
    </w:tblStylePr>
  </w:style>
  <w:style w:type="table" w:customStyle="1" w:styleId="ListTable7Colorful">
    <w:name w:val="List Table 7 Colorful"/>
    <w:basedOn w:val="TableNormal"/>
    <w:uiPriority w:val="5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pPr>
      <w:spacing w:after="0" w:line="240" w:lineRule="auto"/>
    </w:pPr>
    <w:rPr>
      <w:color w:val="DA380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A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A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A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A47" w:themeColor="accent1"/>
        </w:tcBorders>
        <w:shd w:val="clear" w:color="auto" w:fill="FFFFFF" w:themeFill="background1"/>
      </w:tcPr>
    </w:tblStylePr>
    <w:tblStylePr w:type="band1Vert">
      <w:tblPr/>
      <w:tcPr>
        <w:shd w:val="clear" w:color="auto" w:fill="FCE0D9" w:themeFill="accent1" w:themeFillTint="33"/>
      </w:tcPr>
    </w:tblStylePr>
    <w:tblStylePr w:type="band1Horz">
      <w:tblPr/>
      <w:tcPr>
        <w:shd w:val="clear" w:color="auto" w:fill="FCE0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pPr>
      <w:spacing w:after="0" w:line="240" w:lineRule="auto"/>
    </w:pPr>
    <w:rPr>
      <w:color w:val="BF8F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2"/>
        </w:tcBorders>
        <w:shd w:val="clear" w:color="auto" w:fill="FFFFFF" w:themeFill="background1"/>
      </w:tcPr>
    </w:tblStylePr>
    <w:tblStylePr w:type="band1Vert">
      <w:tblPr/>
      <w:tcPr>
        <w:shd w:val="clear" w:color="auto" w:fill="FFF2CC" w:themeFill="accent2" w:themeFillTint="33"/>
      </w:tcPr>
    </w:tblStylePr>
    <w:tblStylePr w:type="band1Horz">
      <w:tblPr/>
      <w:tcPr>
        <w:shd w:val="clear" w:color="auto" w:fill="FFF2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pPr>
      <w:spacing w:after="0" w:line="240" w:lineRule="auto"/>
    </w:pPr>
    <w:rPr>
      <w:color w:val="0083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50" w:themeColor="accent3"/>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pPr>
      <w:spacing w:after="0" w:line="240" w:lineRule="auto"/>
    </w:pPr>
    <w:rPr>
      <w:color w:val="00456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9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9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9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95" w:themeColor="accent4"/>
        </w:tcBorders>
        <w:shd w:val="clear" w:color="auto" w:fill="FFFFFF" w:themeFill="background1"/>
      </w:tcPr>
    </w:tblStylePr>
    <w:tblStylePr w:type="band1Vert">
      <w:tblPr/>
      <w:tcPr>
        <w:shd w:val="clear" w:color="auto" w:fill="B6E3FF" w:themeFill="accent4" w:themeFillTint="33"/>
      </w:tcPr>
    </w:tblStylePr>
    <w:tblStylePr w:type="band1Horz">
      <w:tblPr/>
      <w:tcPr>
        <w:shd w:val="clear" w:color="auto" w:fill="B6E3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pPr>
      <w:spacing w:after="0" w:line="240" w:lineRule="auto"/>
    </w:pPr>
    <w:rPr>
      <w:color w:val="8F00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00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00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00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0000" w:themeColor="accent5"/>
        </w:tcBorders>
        <w:shd w:val="clear" w:color="auto" w:fill="FFFFFF" w:themeFill="background1"/>
      </w:tcPr>
    </w:tblStylePr>
    <w:tblStylePr w:type="band1Vert">
      <w:tblPr/>
      <w:tcPr>
        <w:shd w:val="clear" w:color="auto" w:fill="FFBFBF" w:themeFill="accent5" w:themeFillTint="33"/>
      </w:tcPr>
    </w:tblStylePr>
    <w:tblStylePr w:type="band1Horz">
      <w:tblPr/>
      <w:tcPr>
        <w:shd w:val="clear" w:color="auto" w:fill="FFBFB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pPr>
      <w:spacing w:after="0" w:line="240" w:lineRule="auto"/>
    </w:pPr>
    <w:rPr>
      <w:color w:val="413B7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4FA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4FA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4FA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4FA1" w:themeColor="accent6"/>
        </w:tcBorders>
        <w:shd w:val="clear" w:color="auto" w:fill="FFFFFF" w:themeFill="background1"/>
      </w:tcPr>
    </w:tblStylePr>
    <w:tblStylePr w:type="band1Vert">
      <w:tblPr/>
      <w:tcPr>
        <w:shd w:val="clear" w:color="auto" w:fill="DCDAED" w:themeFill="accent6" w:themeFillTint="33"/>
      </w:tcPr>
    </w:tblStylePr>
    <w:tblStylePr w:type="band1Horz">
      <w:tblPr/>
      <w:tcPr>
        <w:shd w:val="clear" w:color="auto" w:fill="DCDA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Pr>
      <w:rFonts w:ascii="Consolas" w:hAnsi="Consolas"/>
      <w:noProof w:val="0"/>
      <w:sz w:val="20"/>
      <w:szCs w:val="20"/>
    </w:rPr>
  </w:style>
  <w:style w:type="table" w:styleId="MediumGrid1">
    <w:name w:val="Medium Grid 1"/>
    <w:basedOn w:val="TableNormal"/>
    <w:uiPriority w:val="67"/>
    <w:semiHidden/>
    <w:unhideWhenUs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tblPr>
      <w:tblStyleRowBandSize w:val="1"/>
      <w:tblStyleColBandSize w:val="1"/>
      <w:tblBorders>
        <w:top w:val="single" w:sz="8" w:space="0" w:color="F58F75" w:themeColor="accent1" w:themeTint="BF"/>
        <w:left w:val="single" w:sz="8" w:space="0" w:color="F58F75" w:themeColor="accent1" w:themeTint="BF"/>
        <w:bottom w:val="single" w:sz="8" w:space="0" w:color="F58F75" w:themeColor="accent1" w:themeTint="BF"/>
        <w:right w:val="single" w:sz="8" w:space="0" w:color="F58F75" w:themeColor="accent1" w:themeTint="BF"/>
        <w:insideH w:val="single" w:sz="8" w:space="0" w:color="F58F75" w:themeColor="accent1" w:themeTint="BF"/>
        <w:insideV w:val="single" w:sz="8" w:space="0" w:color="F58F75" w:themeColor="accent1" w:themeTint="BF"/>
      </w:tblBorders>
    </w:tblPr>
    <w:tcPr>
      <w:shd w:val="clear" w:color="auto" w:fill="FBD9D1" w:themeFill="accent1" w:themeFillTint="3F"/>
    </w:tcPr>
    <w:tblStylePr w:type="firstRow">
      <w:rPr>
        <w:b/>
        <w:bCs/>
      </w:rPr>
    </w:tblStylePr>
    <w:tblStylePr w:type="lastRow">
      <w:rPr>
        <w:b/>
        <w:bCs/>
      </w:rPr>
      <w:tblPr/>
      <w:tcPr>
        <w:tcBorders>
          <w:top w:val="single" w:sz="18" w:space="0" w:color="F58F75" w:themeColor="accent1" w:themeTint="BF"/>
        </w:tcBorders>
      </w:tcPr>
    </w:tblStylePr>
    <w:tblStylePr w:type="firstCol">
      <w:rPr>
        <w:b/>
        <w:bCs/>
      </w:rPr>
    </w:tblStylePr>
    <w:tblStylePr w:type="lastCol">
      <w:rPr>
        <w:b/>
        <w:bCs/>
      </w:rPr>
    </w:tblStylePr>
    <w:tblStylePr w:type="band1Vert">
      <w:tblPr/>
      <w:tcPr>
        <w:shd w:val="clear" w:color="auto" w:fill="F8B4A3" w:themeFill="accent1" w:themeFillTint="7F"/>
      </w:tcPr>
    </w:tblStylePr>
    <w:tblStylePr w:type="band1Horz">
      <w:tblPr/>
      <w:tcPr>
        <w:shd w:val="clear" w:color="auto" w:fill="F8B4A3" w:themeFill="accent1" w:themeFillTint="7F"/>
      </w:tcPr>
    </w:tblStylePr>
  </w:style>
  <w:style w:type="table" w:styleId="MediumGrid1-Accent2">
    <w:name w:val="Medium Grid 1 Accent 2"/>
    <w:basedOn w:val="TableNormal"/>
    <w:uiPriority w:val="67"/>
    <w:semiHidden/>
    <w:unhideWhenUsed/>
    <w:pPr>
      <w:spacing w:after="0" w:line="240" w:lineRule="auto"/>
    </w:pPr>
    <w:tblPr>
      <w:tblStyleRowBandSize w:val="1"/>
      <w:tblStyleColBandSize w:val="1"/>
      <w:tblBorders>
        <w:top w:val="single" w:sz="8"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single" w:sz="8" w:space="0" w:color="FFCF40" w:themeColor="accent2" w:themeTint="BF"/>
        <w:insideV w:val="single" w:sz="8" w:space="0" w:color="FFCF40" w:themeColor="accent2" w:themeTint="BF"/>
      </w:tblBorders>
    </w:tblPr>
    <w:tcPr>
      <w:shd w:val="clear" w:color="auto" w:fill="FFEFC0" w:themeFill="accent2" w:themeFillTint="3F"/>
    </w:tcPr>
    <w:tblStylePr w:type="firstRow">
      <w:rPr>
        <w:b/>
        <w:bCs/>
      </w:rPr>
    </w:tblStylePr>
    <w:tblStylePr w:type="lastRow">
      <w:rPr>
        <w:b/>
        <w:bCs/>
      </w:rPr>
      <w:tblPr/>
      <w:tcPr>
        <w:tcBorders>
          <w:top w:val="single" w:sz="18" w:space="0" w:color="FFCF40" w:themeColor="accent2" w:themeTint="BF"/>
        </w:tcBorders>
      </w:tcPr>
    </w:tblStylePr>
    <w:tblStylePr w:type="firstCol">
      <w:rPr>
        <w:b/>
        <w:bCs/>
      </w:rPr>
    </w:tblStylePr>
    <w:tblStylePr w:type="lastCol">
      <w:rPr>
        <w:b/>
        <w:bCs/>
      </w:rPr>
    </w:tblStylePr>
    <w:tblStylePr w:type="band1Vert">
      <w:tblPr/>
      <w:tcPr>
        <w:shd w:val="clear" w:color="auto" w:fill="FFDF80" w:themeFill="accent2" w:themeFillTint="7F"/>
      </w:tcPr>
    </w:tblStylePr>
    <w:tblStylePr w:type="band1Horz">
      <w:tblPr/>
      <w:tcPr>
        <w:shd w:val="clear" w:color="auto" w:fill="FFDF80" w:themeFill="accent2" w:themeFillTint="7F"/>
      </w:tcPr>
    </w:tblStylePr>
  </w:style>
  <w:style w:type="table" w:styleId="MediumGrid1-Accent3">
    <w:name w:val="Medium Grid 1 Accent 3"/>
    <w:basedOn w:val="TableNormal"/>
    <w:uiPriority w:val="67"/>
    <w:semiHidden/>
    <w:unhideWhenUsed/>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MediumGrid1-Accent4">
    <w:name w:val="Medium Grid 1 Accent 4"/>
    <w:basedOn w:val="TableNormal"/>
    <w:uiPriority w:val="67"/>
    <w:semiHidden/>
    <w:unhideWhenUsed/>
    <w:pPr>
      <w:spacing w:after="0" w:line="240" w:lineRule="auto"/>
    </w:pPr>
    <w:tblPr>
      <w:tblStyleRowBandSize w:val="1"/>
      <w:tblStyleColBandSize w:val="1"/>
      <w:tblBorders>
        <w:top w:val="single" w:sz="8" w:space="0" w:color="0095EF" w:themeColor="accent4" w:themeTint="BF"/>
        <w:left w:val="single" w:sz="8" w:space="0" w:color="0095EF" w:themeColor="accent4" w:themeTint="BF"/>
        <w:bottom w:val="single" w:sz="8" w:space="0" w:color="0095EF" w:themeColor="accent4" w:themeTint="BF"/>
        <w:right w:val="single" w:sz="8" w:space="0" w:color="0095EF" w:themeColor="accent4" w:themeTint="BF"/>
        <w:insideH w:val="single" w:sz="8" w:space="0" w:color="0095EF" w:themeColor="accent4" w:themeTint="BF"/>
        <w:insideV w:val="single" w:sz="8" w:space="0" w:color="0095EF" w:themeColor="accent4" w:themeTint="BF"/>
      </w:tblBorders>
    </w:tblPr>
    <w:tcPr>
      <w:shd w:val="clear" w:color="auto" w:fill="A5DDFF" w:themeFill="accent4" w:themeFillTint="3F"/>
    </w:tcPr>
    <w:tblStylePr w:type="firstRow">
      <w:rPr>
        <w:b/>
        <w:bCs/>
      </w:rPr>
    </w:tblStylePr>
    <w:tblStylePr w:type="lastRow">
      <w:rPr>
        <w:b/>
        <w:bCs/>
      </w:rPr>
      <w:tblPr/>
      <w:tcPr>
        <w:tcBorders>
          <w:top w:val="single" w:sz="18" w:space="0" w:color="0095EF" w:themeColor="accent4" w:themeTint="BF"/>
        </w:tcBorders>
      </w:tcPr>
    </w:tblStylePr>
    <w:tblStylePr w:type="firstCol">
      <w:rPr>
        <w:b/>
        <w:bCs/>
      </w:rPr>
    </w:tblStylePr>
    <w:tblStylePr w:type="lastCol">
      <w:rPr>
        <w:b/>
        <w:bCs/>
      </w:rPr>
    </w:tblStylePr>
    <w:tblStylePr w:type="band1Vert">
      <w:tblPr/>
      <w:tcPr>
        <w:shd w:val="clear" w:color="auto" w:fill="4BBBFF" w:themeFill="accent4" w:themeFillTint="7F"/>
      </w:tcPr>
    </w:tblStylePr>
    <w:tblStylePr w:type="band1Horz">
      <w:tblPr/>
      <w:tcPr>
        <w:shd w:val="clear" w:color="auto" w:fill="4BBBFF" w:themeFill="accent4" w:themeFillTint="7F"/>
      </w:tcPr>
    </w:tblStylePr>
  </w:style>
  <w:style w:type="table" w:styleId="MediumGrid1-Accent5">
    <w:name w:val="Medium Grid 1 Accent 5"/>
    <w:basedOn w:val="TableNormal"/>
    <w:uiPriority w:val="67"/>
    <w:semiHidden/>
    <w:unhideWhenUsed/>
    <w:pPr>
      <w:spacing w:after="0" w:line="240" w:lineRule="auto"/>
    </w:pPr>
    <w:tblPr>
      <w:tblStyleRowBandSize w:val="1"/>
      <w:tblStyleColBandSize w:val="1"/>
      <w:tblBorders>
        <w:top w:val="single" w:sz="8" w:space="0" w:color="FF1010" w:themeColor="accent5" w:themeTint="BF"/>
        <w:left w:val="single" w:sz="8" w:space="0" w:color="FF1010" w:themeColor="accent5" w:themeTint="BF"/>
        <w:bottom w:val="single" w:sz="8" w:space="0" w:color="FF1010" w:themeColor="accent5" w:themeTint="BF"/>
        <w:right w:val="single" w:sz="8" w:space="0" w:color="FF1010" w:themeColor="accent5" w:themeTint="BF"/>
        <w:insideH w:val="single" w:sz="8" w:space="0" w:color="FF1010" w:themeColor="accent5" w:themeTint="BF"/>
        <w:insideV w:val="single" w:sz="8" w:space="0" w:color="FF1010" w:themeColor="accent5" w:themeTint="BF"/>
      </w:tblBorders>
    </w:tblPr>
    <w:tcPr>
      <w:shd w:val="clear" w:color="auto" w:fill="FFB0B0" w:themeFill="accent5" w:themeFillTint="3F"/>
    </w:tcPr>
    <w:tblStylePr w:type="firstRow">
      <w:rPr>
        <w:b/>
        <w:bCs/>
      </w:rPr>
    </w:tblStylePr>
    <w:tblStylePr w:type="lastRow">
      <w:rPr>
        <w:b/>
        <w:bCs/>
      </w:rPr>
      <w:tblPr/>
      <w:tcPr>
        <w:tcBorders>
          <w:top w:val="single" w:sz="18" w:space="0" w:color="FF1010" w:themeColor="accent5" w:themeTint="BF"/>
        </w:tcBorders>
      </w:tcPr>
    </w:tblStylePr>
    <w:tblStylePr w:type="firstCol">
      <w:rPr>
        <w:b/>
        <w:bCs/>
      </w:rPr>
    </w:tblStylePr>
    <w:tblStylePr w:type="lastCol">
      <w:rPr>
        <w:b/>
        <w:bCs/>
      </w:rPr>
    </w:tblStylePr>
    <w:tblStylePr w:type="band1Vert">
      <w:tblPr/>
      <w:tcPr>
        <w:shd w:val="clear" w:color="auto" w:fill="FF6060" w:themeFill="accent5" w:themeFillTint="7F"/>
      </w:tcPr>
    </w:tblStylePr>
    <w:tblStylePr w:type="band1Horz">
      <w:tblPr/>
      <w:tcPr>
        <w:shd w:val="clear" w:color="auto" w:fill="FF6060" w:themeFill="accent5" w:themeFillTint="7F"/>
      </w:tcPr>
    </w:tblStylePr>
  </w:style>
  <w:style w:type="table" w:styleId="MediumGrid1-Accent6">
    <w:name w:val="Medium Grid 1 Accent 6"/>
    <w:basedOn w:val="TableNormal"/>
    <w:uiPriority w:val="67"/>
    <w:semiHidden/>
    <w:unhideWhenUsed/>
    <w:pPr>
      <w:spacing w:after="0" w:line="240" w:lineRule="auto"/>
    </w:pPr>
    <w:tblPr>
      <w:tblStyleRowBandSize w:val="1"/>
      <w:tblStyleColBandSize w:val="1"/>
      <w:tblBorders>
        <w:top w:val="single" w:sz="8" w:space="0" w:color="7E77BC" w:themeColor="accent6" w:themeTint="BF"/>
        <w:left w:val="single" w:sz="8" w:space="0" w:color="7E77BC" w:themeColor="accent6" w:themeTint="BF"/>
        <w:bottom w:val="single" w:sz="8" w:space="0" w:color="7E77BC" w:themeColor="accent6" w:themeTint="BF"/>
        <w:right w:val="single" w:sz="8" w:space="0" w:color="7E77BC" w:themeColor="accent6" w:themeTint="BF"/>
        <w:insideH w:val="single" w:sz="8" w:space="0" w:color="7E77BC" w:themeColor="accent6" w:themeTint="BF"/>
        <w:insideV w:val="single" w:sz="8" w:space="0" w:color="7E77BC" w:themeColor="accent6" w:themeTint="BF"/>
      </w:tblBorders>
    </w:tblPr>
    <w:tcPr>
      <w:shd w:val="clear" w:color="auto" w:fill="D4D2E9" w:themeFill="accent6" w:themeFillTint="3F"/>
    </w:tcPr>
    <w:tblStylePr w:type="firstRow">
      <w:rPr>
        <w:b/>
        <w:bCs/>
      </w:rPr>
    </w:tblStylePr>
    <w:tblStylePr w:type="lastRow">
      <w:rPr>
        <w:b/>
        <w:bCs/>
      </w:rPr>
      <w:tblPr/>
      <w:tcPr>
        <w:tcBorders>
          <w:top w:val="single" w:sz="18" w:space="0" w:color="7E77BC" w:themeColor="accent6" w:themeTint="BF"/>
        </w:tcBorders>
      </w:tcPr>
    </w:tblStylePr>
    <w:tblStylePr w:type="firstCol">
      <w:rPr>
        <w:b/>
        <w:bCs/>
      </w:rPr>
    </w:tblStylePr>
    <w:tblStylePr w:type="lastCol">
      <w:rPr>
        <w:b/>
        <w:bCs/>
      </w:rPr>
    </w:tblStylePr>
    <w:tblStylePr w:type="band1Vert">
      <w:tblPr/>
      <w:tcPr>
        <w:shd w:val="clear" w:color="auto" w:fill="A9A4D2" w:themeFill="accent6" w:themeFillTint="7F"/>
      </w:tcPr>
    </w:tblStylePr>
    <w:tblStylePr w:type="band1Horz">
      <w:tblPr/>
      <w:tcPr>
        <w:shd w:val="clear" w:color="auto" w:fill="A9A4D2"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6A47" w:themeColor="accent1"/>
        <w:left w:val="single" w:sz="8" w:space="0" w:color="F26A47" w:themeColor="accent1"/>
        <w:bottom w:val="single" w:sz="8" w:space="0" w:color="F26A47" w:themeColor="accent1"/>
        <w:right w:val="single" w:sz="8" w:space="0" w:color="F26A47" w:themeColor="accent1"/>
        <w:insideH w:val="single" w:sz="8" w:space="0" w:color="F26A47" w:themeColor="accent1"/>
        <w:insideV w:val="single" w:sz="8" w:space="0" w:color="F26A47" w:themeColor="accent1"/>
      </w:tblBorders>
    </w:tblPr>
    <w:tcPr>
      <w:shd w:val="clear" w:color="auto" w:fill="FBD9D1" w:themeFill="accent1" w:themeFillTint="3F"/>
    </w:tcPr>
    <w:tblStylePr w:type="firstRow">
      <w:rPr>
        <w:b/>
        <w:bCs/>
        <w:color w:val="000000" w:themeColor="text1"/>
      </w:rPr>
      <w:tblPr/>
      <w:tcPr>
        <w:shd w:val="clear" w:color="auto" w:fill="FDF0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0D9" w:themeFill="accent1" w:themeFillTint="33"/>
      </w:tcPr>
    </w:tblStylePr>
    <w:tblStylePr w:type="band1Vert">
      <w:tblPr/>
      <w:tcPr>
        <w:shd w:val="clear" w:color="auto" w:fill="F8B4A3" w:themeFill="accent1" w:themeFillTint="7F"/>
      </w:tcPr>
    </w:tblStylePr>
    <w:tblStylePr w:type="band1Horz">
      <w:tblPr/>
      <w:tcPr>
        <w:tcBorders>
          <w:insideH w:val="single" w:sz="6" w:space="0" w:color="F26A47" w:themeColor="accent1"/>
          <w:insideV w:val="single" w:sz="6" w:space="0" w:color="F26A47" w:themeColor="accent1"/>
        </w:tcBorders>
        <w:shd w:val="clear" w:color="auto" w:fill="F8B4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2"/>
        <w:left w:val="single" w:sz="8" w:space="0" w:color="FFC000" w:themeColor="accent2"/>
        <w:bottom w:val="single" w:sz="8" w:space="0" w:color="FFC000" w:themeColor="accent2"/>
        <w:right w:val="single" w:sz="8" w:space="0" w:color="FFC000" w:themeColor="accent2"/>
        <w:insideH w:val="single" w:sz="8" w:space="0" w:color="FFC000" w:themeColor="accent2"/>
        <w:insideV w:val="single" w:sz="8" w:space="0" w:color="FFC000" w:themeColor="accent2"/>
      </w:tblBorders>
    </w:tblPr>
    <w:tcPr>
      <w:shd w:val="clear" w:color="auto" w:fill="FFEFC0" w:themeFill="accent2" w:themeFillTint="3F"/>
    </w:tcPr>
    <w:tblStylePr w:type="firstRow">
      <w:rPr>
        <w:b/>
        <w:bCs/>
        <w:color w:val="000000" w:themeColor="text1"/>
      </w:rPr>
      <w:tblPr/>
      <w:tcPr>
        <w:shd w:val="clear" w:color="auto" w:fill="FFF8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2" w:themeFillTint="33"/>
      </w:tcPr>
    </w:tblStylePr>
    <w:tblStylePr w:type="band1Vert">
      <w:tblPr/>
      <w:tcPr>
        <w:shd w:val="clear" w:color="auto" w:fill="FFDF80" w:themeFill="accent2" w:themeFillTint="7F"/>
      </w:tcPr>
    </w:tblStylePr>
    <w:tblStylePr w:type="band1Horz">
      <w:tblPr/>
      <w:tcPr>
        <w:tcBorders>
          <w:insideH w:val="single" w:sz="6" w:space="0" w:color="FFC000" w:themeColor="accent2"/>
          <w:insideV w:val="single" w:sz="6" w:space="0" w:color="FFC000" w:themeColor="accent2"/>
        </w:tcBorders>
        <w:shd w:val="clear" w:color="auto" w:fill="FFDF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95" w:themeColor="accent4"/>
        <w:left w:val="single" w:sz="8" w:space="0" w:color="005D95" w:themeColor="accent4"/>
        <w:bottom w:val="single" w:sz="8" w:space="0" w:color="005D95" w:themeColor="accent4"/>
        <w:right w:val="single" w:sz="8" w:space="0" w:color="005D95" w:themeColor="accent4"/>
        <w:insideH w:val="single" w:sz="8" w:space="0" w:color="005D95" w:themeColor="accent4"/>
        <w:insideV w:val="single" w:sz="8" w:space="0" w:color="005D95" w:themeColor="accent4"/>
      </w:tblBorders>
    </w:tblPr>
    <w:tcPr>
      <w:shd w:val="clear" w:color="auto" w:fill="A5DDFF" w:themeFill="accent4" w:themeFillTint="3F"/>
    </w:tcPr>
    <w:tblStylePr w:type="firstRow">
      <w:rPr>
        <w:b/>
        <w:bCs/>
        <w:color w:val="000000" w:themeColor="text1"/>
      </w:rPr>
      <w:tblPr/>
      <w:tcPr>
        <w:shd w:val="clear" w:color="auto" w:fill="DB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6E3FF" w:themeFill="accent4" w:themeFillTint="33"/>
      </w:tcPr>
    </w:tblStylePr>
    <w:tblStylePr w:type="band1Vert">
      <w:tblPr/>
      <w:tcPr>
        <w:shd w:val="clear" w:color="auto" w:fill="4BBBFF" w:themeFill="accent4" w:themeFillTint="7F"/>
      </w:tcPr>
    </w:tblStylePr>
    <w:tblStylePr w:type="band1Horz">
      <w:tblPr/>
      <w:tcPr>
        <w:tcBorders>
          <w:insideH w:val="single" w:sz="6" w:space="0" w:color="005D95" w:themeColor="accent4"/>
          <w:insideV w:val="single" w:sz="6" w:space="0" w:color="005D95" w:themeColor="accent4"/>
        </w:tcBorders>
        <w:shd w:val="clear" w:color="auto" w:fill="4B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0000" w:themeColor="accent5"/>
        <w:left w:val="single" w:sz="8" w:space="0" w:color="C00000" w:themeColor="accent5"/>
        <w:bottom w:val="single" w:sz="8" w:space="0" w:color="C00000" w:themeColor="accent5"/>
        <w:right w:val="single" w:sz="8" w:space="0" w:color="C00000" w:themeColor="accent5"/>
        <w:insideH w:val="single" w:sz="8" w:space="0" w:color="C00000" w:themeColor="accent5"/>
        <w:insideV w:val="single" w:sz="8" w:space="0" w:color="C00000" w:themeColor="accent5"/>
      </w:tblBorders>
    </w:tblPr>
    <w:tcPr>
      <w:shd w:val="clear" w:color="auto" w:fill="FFB0B0" w:themeFill="accent5" w:themeFillTint="3F"/>
    </w:tcPr>
    <w:tblStylePr w:type="firstRow">
      <w:rPr>
        <w:b/>
        <w:bCs/>
        <w:color w:val="000000" w:themeColor="text1"/>
      </w:rPr>
      <w:tblPr/>
      <w:tcPr>
        <w:shd w:val="clear" w:color="auto" w:fill="FFDFD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FBF" w:themeFill="accent5" w:themeFillTint="33"/>
      </w:tcPr>
    </w:tblStylePr>
    <w:tblStylePr w:type="band1Vert">
      <w:tblPr/>
      <w:tcPr>
        <w:shd w:val="clear" w:color="auto" w:fill="FF6060" w:themeFill="accent5" w:themeFillTint="7F"/>
      </w:tcPr>
    </w:tblStylePr>
    <w:tblStylePr w:type="band1Horz">
      <w:tblPr/>
      <w:tcPr>
        <w:tcBorders>
          <w:insideH w:val="single" w:sz="6" w:space="0" w:color="C00000" w:themeColor="accent5"/>
          <w:insideV w:val="single" w:sz="6" w:space="0" w:color="C00000" w:themeColor="accent5"/>
        </w:tcBorders>
        <w:shd w:val="clear" w:color="auto" w:fill="FF606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84FA1" w:themeColor="accent6"/>
        <w:left w:val="single" w:sz="8" w:space="0" w:color="584FA1" w:themeColor="accent6"/>
        <w:bottom w:val="single" w:sz="8" w:space="0" w:color="584FA1" w:themeColor="accent6"/>
        <w:right w:val="single" w:sz="8" w:space="0" w:color="584FA1" w:themeColor="accent6"/>
        <w:insideH w:val="single" w:sz="8" w:space="0" w:color="584FA1" w:themeColor="accent6"/>
        <w:insideV w:val="single" w:sz="8" w:space="0" w:color="584FA1" w:themeColor="accent6"/>
      </w:tblBorders>
    </w:tblPr>
    <w:tcPr>
      <w:shd w:val="clear" w:color="auto" w:fill="D4D2E9" w:themeFill="accent6" w:themeFillTint="3F"/>
    </w:tcPr>
    <w:tblStylePr w:type="firstRow">
      <w:rPr>
        <w:b/>
        <w:bCs/>
        <w:color w:val="000000" w:themeColor="text1"/>
      </w:rPr>
      <w:tblPr/>
      <w:tcPr>
        <w:shd w:val="clear" w:color="auto" w:fill="EDED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AED" w:themeFill="accent6" w:themeFillTint="33"/>
      </w:tcPr>
    </w:tblStylePr>
    <w:tblStylePr w:type="band1Vert">
      <w:tblPr/>
      <w:tcPr>
        <w:shd w:val="clear" w:color="auto" w:fill="A9A4D2" w:themeFill="accent6" w:themeFillTint="7F"/>
      </w:tcPr>
    </w:tblStylePr>
    <w:tblStylePr w:type="band1Horz">
      <w:tblPr/>
      <w:tcPr>
        <w:tcBorders>
          <w:insideH w:val="single" w:sz="6" w:space="0" w:color="584FA1" w:themeColor="accent6"/>
          <w:insideV w:val="single" w:sz="6" w:space="0" w:color="584FA1" w:themeColor="accent6"/>
        </w:tcBorders>
        <w:shd w:val="clear" w:color="auto" w:fill="A9A4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A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A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A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A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4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4A3" w:themeFill="accent1" w:themeFillTint="7F"/>
      </w:tcPr>
    </w:tblStylePr>
  </w:style>
  <w:style w:type="table" w:styleId="MediumGrid3-Accent2">
    <w:name w:val="Medium Grid 3 Accent 2"/>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2" w:themeFillTint="7F"/>
      </w:tcPr>
    </w:tblStylePr>
  </w:style>
  <w:style w:type="table" w:styleId="MediumGrid3-Accent3">
    <w:name w:val="Medium Grid 3 Accent 3"/>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MediumGrid3-Accent4">
    <w:name w:val="Medium Grid 3 Accent 4"/>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9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9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9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9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BBFF" w:themeFill="accent4" w:themeFillTint="7F"/>
      </w:tcPr>
    </w:tblStylePr>
  </w:style>
  <w:style w:type="table" w:styleId="MediumGrid3-Accent5">
    <w:name w:val="Medium Grid 3 Accent 5"/>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5" w:themeFillTint="7F"/>
      </w:tcPr>
    </w:tblStylePr>
  </w:style>
  <w:style w:type="table" w:styleId="MediumGrid3-Accent6">
    <w:name w:val="Medium Grid 3 Accent 6"/>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2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4F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4F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4F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4F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A4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A4D2"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F7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rPr>
    <w:tblPr>
      <w:tblStyleRowBandSize w:val="1"/>
      <w:tblStyleColBandSize w:val="1"/>
      <w:tblBorders>
        <w:top w:val="single" w:sz="8" w:space="0" w:color="F26A47" w:themeColor="accent1"/>
        <w:bottom w:val="single" w:sz="8" w:space="0" w:color="F26A47" w:themeColor="accent1"/>
      </w:tblBorders>
    </w:tblPr>
    <w:tblStylePr w:type="firstRow">
      <w:rPr>
        <w:rFonts w:asciiTheme="majorHAnsi" w:eastAsiaTheme="majorEastAsia" w:hAnsiTheme="majorHAnsi" w:cstheme="majorBidi"/>
      </w:rPr>
      <w:tblPr/>
      <w:tcPr>
        <w:tcBorders>
          <w:top w:val="nil"/>
          <w:bottom w:val="single" w:sz="8" w:space="0" w:color="F26A47" w:themeColor="accent1"/>
        </w:tcBorders>
      </w:tcPr>
    </w:tblStylePr>
    <w:tblStylePr w:type="lastRow">
      <w:rPr>
        <w:b/>
        <w:bCs/>
        <w:color w:val="203F79" w:themeColor="text2"/>
      </w:rPr>
      <w:tblPr/>
      <w:tcPr>
        <w:tcBorders>
          <w:top w:val="single" w:sz="8" w:space="0" w:color="F26A47" w:themeColor="accent1"/>
          <w:bottom w:val="single" w:sz="8" w:space="0" w:color="F26A47" w:themeColor="accent1"/>
        </w:tcBorders>
      </w:tcPr>
    </w:tblStylePr>
    <w:tblStylePr w:type="firstCol">
      <w:rPr>
        <w:b/>
        <w:bCs/>
      </w:rPr>
    </w:tblStylePr>
    <w:tblStylePr w:type="lastCol">
      <w:rPr>
        <w:b/>
        <w:bCs/>
      </w:rPr>
      <w:tblPr/>
      <w:tcPr>
        <w:tcBorders>
          <w:top w:val="single" w:sz="8" w:space="0" w:color="F26A47" w:themeColor="accent1"/>
          <w:bottom w:val="single" w:sz="8" w:space="0" w:color="F26A47" w:themeColor="accent1"/>
        </w:tcBorders>
      </w:tcPr>
    </w:tblStylePr>
    <w:tblStylePr w:type="band1Vert">
      <w:tblPr/>
      <w:tcPr>
        <w:shd w:val="clear" w:color="auto" w:fill="FBD9D1" w:themeFill="accent1" w:themeFillTint="3F"/>
      </w:tcPr>
    </w:tblStylePr>
    <w:tblStylePr w:type="band1Horz">
      <w:tblPr/>
      <w:tcPr>
        <w:shd w:val="clear" w:color="auto" w:fill="FBD9D1"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rPr>
    <w:tblPr>
      <w:tblStyleRowBandSize w:val="1"/>
      <w:tblStyleColBandSize w:val="1"/>
      <w:tblBorders>
        <w:top w:val="single" w:sz="8" w:space="0" w:color="FFC000" w:themeColor="accent2"/>
        <w:bottom w:val="single" w:sz="8" w:space="0" w:color="FFC000" w:themeColor="accent2"/>
      </w:tblBorders>
    </w:tblPr>
    <w:tblStylePr w:type="firstRow">
      <w:rPr>
        <w:rFonts w:asciiTheme="majorHAnsi" w:eastAsiaTheme="majorEastAsia" w:hAnsiTheme="majorHAnsi" w:cstheme="majorBidi"/>
      </w:rPr>
      <w:tblPr/>
      <w:tcPr>
        <w:tcBorders>
          <w:top w:val="nil"/>
          <w:bottom w:val="single" w:sz="8" w:space="0" w:color="FFC000" w:themeColor="accent2"/>
        </w:tcBorders>
      </w:tcPr>
    </w:tblStylePr>
    <w:tblStylePr w:type="lastRow">
      <w:rPr>
        <w:b/>
        <w:bCs/>
        <w:color w:val="203F79" w:themeColor="text2"/>
      </w:rPr>
      <w:tblPr/>
      <w:tcPr>
        <w:tcBorders>
          <w:top w:val="single" w:sz="8" w:space="0" w:color="FFC000" w:themeColor="accent2"/>
          <w:bottom w:val="single" w:sz="8" w:space="0" w:color="FFC000" w:themeColor="accent2"/>
        </w:tcBorders>
      </w:tcPr>
    </w:tblStylePr>
    <w:tblStylePr w:type="firstCol">
      <w:rPr>
        <w:b/>
        <w:bCs/>
      </w:rPr>
    </w:tblStylePr>
    <w:tblStylePr w:type="lastCol">
      <w:rPr>
        <w:b/>
        <w:bCs/>
      </w:rPr>
      <w:tblPr/>
      <w:tcPr>
        <w:tcBorders>
          <w:top w:val="single" w:sz="8" w:space="0" w:color="FFC000" w:themeColor="accent2"/>
          <w:bottom w:val="single" w:sz="8" w:space="0" w:color="FFC000" w:themeColor="accent2"/>
        </w:tcBorders>
      </w:tcPr>
    </w:tblStylePr>
    <w:tblStylePr w:type="band1Vert">
      <w:tblPr/>
      <w:tcPr>
        <w:shd w:val="clear" w:color="auto" w:fill="FFEFC0" w:themeFill="accent2" w:themeFillTint="3F"/>
      </w:tcPr>
    </w:tblStylePr>
    <w:tblStylePr w:type="band1Horz">
      <w:tblPr/>
      <w:tcPr>
        <w:shd w:val="clear" w:color="auto" w:fill="FFEFC0"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203F79"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rPr>
    <w:tblPr>
      <w:tblStyleRowBandSize w:val="1"/>
      <w:tblStyleColBandSize w:val="1"/>
      <w:tblBorders>
        <w:top w:val="single" w:sz="8" w:space="0" w:color="005D95" w:themeColor="accent4"/>
        <w:bottom w:val="single" w:sz="8" w:space="0" w:color="005D95" w:themeColor="accent4"/>
      </w:tblBorders>
    </w:tblPr>
    <w:tblStylePr w:type="firstRow">
      <w:rPr>
        <w:rFonts w:asciiTheme="majorHAnsi" w:eastAsiaTheme="majorEastAsia" w:hAnsiTheme="majorHAnsi" w:cstheme="majorBidi"/>
      </w:rPr>
      <w:tblPr/>
      <w:tcPr>
        <w:tcBorders>
          <w:top w:val="nil"/>
          <w:bottom w:val="single" w:sz="8" w:space="0" w:color="005D95" w:themeColor="accent4"/>
        </w:tcBorders>
      </w:tcPr>
    </w:tblStylePr>
    <w:tblStylePr w:type="lastRow">
      <w:rPr>
        <w:b/>
        <w:bCs/>
        <w:color w:val="203F79" w:themeColor="text2"/>
      </w:rPr>
      <w:tblPr/>
      <w:tcPr>
        <w:tcBorders>
          <w:top w:val="single" w:sz="8" w:space="0" w:color="005D95" w:themeColor="accent4"/>
          <w:bottom w:val="single" w:sz="8" w:space="0" w:color="005D95" w:themeColor="accent4"/>
        </w:tcBorders>
      </w:tcPr>
    </w:tblStylePr>
    <w:tblStylePr w:type="firstCol">
      <w:rPr>
        <w:b/>
        <w:bCs/>
      </w:rPr>
    </w:tblStylePr>
    <w:tblStylePr w:type="lastCol">
      <w:rPr>
        <w:b/>
        <w:bCs/>
      </w:rPr>
      <w:tblPr/>
      <w:tcPr>
        <w:tcBorders>
          <w:top w:val="single" w:sz="8" w:space="0" w:color="005D95" w:themeColor="accent4"/>
          <w:bottom w:val="single" w:sz="8" w:space="0" w:color="005D95" w:themeColor="accent4"/>
        </w:tcBorders>
      </w:tcPr>
    </w:tblStylePr>
    <w:tblStylePr w:type="band1Vert">
      <w:tblPr/>
      <w:tcPr>
        <w:shd w:val="clear" w:color="auto" w:fill="A5DDFF" w:themeFill="accent4" w:themeFillTint="3F"/>
      </w:tcPr>
    </w:tblStylePr>
    <w:tblStylePr w:type="band1Horz">
      <w:tblPr/>
      <w:tcPr>
        <w:shd w:val="clear" w:color="auto" w:fill="A5DDFF"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rPr>
    <w:tblPr>
      <w:tblStyleRowBandSize w:val="1"/>
      <w:tblStyleColBandSize w:val="1"/>
      <w:tblBorders>
        <w:top w:val="single" w:sz="8" w:space="0" w:color="C00000" w:themeColor="accent5"/>
        <w:bottom w:val="single" w:sz="8" w:space="0" w:color="C00000" w:themeColor="accent5"/>
      </w:tblBorders>
    </w:tblPr>
    <w:tblStylePr w:type="firstRow">
      <w:rPr>
        <w:rFonts w:asciiTheme="majorHAnsi" w:eastAsiaTheme="majorEastAsia" w:hAnsiTheme="majorHAnsi" w:cstheme="majorBidi"/>
      </w:rPr>
      <w:tblPr/>
      <w:tcPr>
        <w:tcBorders>
          <w:top w:val="nil"/>
          <w:bottom w:val="single" w:sz="8" w:space="0" w:color="C00000" w:themeColor="accent5"/>
        </w:tcBorders>
      </w:tcPr>
    </w:tblStylePr>
    <w:tblStylePr w:type="lastRow">
      <w:rPr>
        <w:b/>
        <w:bCs/>
        <w:color w:val="203F79" w:themeColor="text2"/>
      </w:rPr>
      <w:tblPr/>
      <w:tcPr>
        <w:tcBorders>
          <w:top w:val="single" w:sz="8" w:space="0" w:color="C00000" w:themeColor="accent5"/>
          <w:bottom w:val="single" w:sz="8" w:space="0" w:color="C00000" w:themeColor="accent5"/>
        </w:tcBorders>
      </w:tcPr>
    </w:tblStylePr>
    <w:tblStylePr w:type="firstCol">
      <w:rPr>
        <w:b/>
        <w:bCs/>
      </w:rPr>
    </w:tblStylePr>
    <w:tblStylePr w:type="lastCol">
      <w:rPr>
        <w:b/>
        <w:bCs/>
      </w:rPr>
      <w:tblPr/>
      <w:tcPr>
        <w:tcBorders>
          <w:top w:val="single" w:sz="8" w:space="0" w:color="C00000" w:themeColor="accent5"/>
          <w:bottom w:val="single" w:sz="8" w:space="0" w:color="C00000" w:themeColor="accent5"/>
        </w:tcBorders>
      </w:tcPr>
    </w:tblStylePr>
    <w:tblStylePr w:type="band1Vert">
      <w:tblPr/>
      <w:tcPr>
        <w:shd w:val="clear" w:color="auto" w:fill="FFB0B0" w:themeFill="accent5" w:themeFillTint="3F"/>
      </w:tcPr>
    </w:tblStylePr>
    <w:tblStylePr w:type="band1Horz">
      <w:tblPr/>
      <w:tcPr>
        <w:shd w:val="clear" w:color="auto" w:fill="FFB0B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rPr>
    <w:tblPr>
      <w:tblStyleRowBandSize w:val="1"/>
      <w:tblStyleColBandSize w:val="1"/>
      <w:tblBorders>
        <w:top w:val="single" w:sz="8" w:space="0" w:color="584FA1" w:themeColor="accent6"/>
        <w:bottom w:val="single" w:sz="8" w:space="0" w:color="584FA1" w:themeColor="accent6"/>
      </w:tblBorders>
    </w:tblPr>
    <w:tblStylePr w:type="firstRow">
      <w:rPr>
        <w:rFonts w:asciiTheme="majorHAnsi" w:eastAsiaTheme="majorEastAsia" w:hAnsiTheme="majorHAnsi" w:cstheme="majorBidi"/>
      </w:rPr>
      <w:tblPr/>
      <w:tcPr>
        <w:tcBorders>
          <w:top w:val="nil"/>
          <w:bottom w:val="single" w:sz="8" w:space="0" w:color="584FA1" w:themeColor="accent6"/>
        </w:tcBorders>
      </w:tcPr>
    </w:tblStylePr>
    <w:tblStylePr w:type="lastRow">
      <w:rPr>
        <w:b/>
        <w:bCs/>
        <w:color w:val="203F79" w:themeColor="text2"/>
      </w:rPr>
      <w:tblPr/>
      <w:tcPr>
        <w:tcBorders>
          <w:top w:val="single" w:sz="8" w:space="0" w:color="584FA1" w:themeColor="accent6"/>
          <w:bottom w:val="single" w:sz="8" w:space="0" w:color="584FA1" w:themeColor="accent6"/>
        </w:tcBorders>
      </w:tcPr>
    </w:tblStylePr>
    <w:tblStylePr w:type="firstCol">
      <w:rPr>
        <w:b/>
        <w:bCs/>
      </w:rPr>
    </w:tblStylePr>
    <w:tblStylePr w:type="lastCol">
      <w:rPr>
        <w:b/>
        <w:bCs/>
      </w:rPr>
      <w:tblPr/>
      <w:tcPr>
        <w:tcBorders>
          <w:top w:val="single" w:sz="8" w:space="0" w:color="584FA1" w:themeColor="accent6"/>
          <w:bottom w:val="single" w:sz="8" w:space="0" w:color="584FA1" w:themeColor="accent6"/>
        </w:tcBorders>
      </w:tcPr>
    </w:tblStylePr>
    <w:tblStylePr w:type="band1Vert">
      <w:tblPr/>
      <w:tcPr>
        <w:shd w:val="clear" w:color="auto" w:fill="D4D2E9" w:themeFill="accent6" w:themeFillTint="3F"/>
      </w:tcPr>
    </w:tblStylePr>
    <w:tblStylePr w:type="band1Horz">
      <w:tblPr/>
      <w:tcPr>
        <w:shd w:val="clear" w:color="auto" w:fill="D4D2E9"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6A47" w:themeColor="accent1"/>
        <w:left w:val="single" w:sz="8" w:space="0" w:color="F26A47" w:themeColor="accent1"/>
        <w:bottom w:val="single" w:sz="8" w:space="0" w:color="F26A47" w:themeColor="accent1"/>
        <w:right w:val="single" w:sz="8" w:space="0" w:color="F26A47" w:themeColor="accent1"/>
      </w:tblBorders>
    </w:tblPr>
    <w:tblStylePr w:type="firstRow">
      <w:rPr>
        <w:sz w:val="24"/>
        <w:szCs w:val="24"/>
      </w:rPr>
      <w:tblPr/>
      <w:tcPr>
        <w:tcBorders>
          <w:top w:val="nil"/>
          <w:left w:val="nil"/>
          <w:bottom w:val="single" w:sz="24" w:space="0" w:color="F26A4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A47" w:themeColor="accent1"/>
          <w:insideH w:val="nil"/>
          <w:insideV w:val="nil"/>
        </w:tcBorders>
        <w:shd w:val="clear" w:color="auto" w:fill="FFFFFF" w:themeFill="background1"/>
      </w:tcPr>
    </w:tblStylePr>
    <w:tblStylePr w:type="lastCol">
      <w:tblPr/>
      <w:tcPr>
        <w:tcBorders>
          <w:top w:val="nil"/>
          <w:left w:val="single" w:sz="8" w:space="0" w:color="F26A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D1" w:themeFill="accent1" w:themeFillTint="3F"/>
      </w:tcPr>
    </w:tblStylePr>
    <w:tblStylePr w:type="band1Horz">
      <w:tblPr/>
      <w:tcPr>
        <w:tcBorders>
          <w:top w:val="nil"/>
          <w:bottom w:val="nil"/>
          <w:insideH w:val="nil"/>
          <w:insideV w:val="nil"/>
        </w:tcBorders>
        <w:shd w:val="clear" w:color="auto" w:fill="FBD9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2"/>
        <w:left w:val="single" w:sz="8" w:space="0" w:color="FFC000" w:themeColor="accent2"/>
        <w:bottom w:val="single" w:sz="8" w:space="0" w:color="FFC000" w:themeColor="accent2"/>
        <w:right w:val="single" w:sz="8" w:space="0" w:color="FFC000" w:themeColor="accent2"/>
      </w:tblBorders>
    </w:tblPr>
    <w:tblStylePr w:type="firstRow">
      <w:rPr>
        <w:sz w:val="24"/>
        <w:szCs w:val="24"/>
      </w:rPr>
      <w:tblPr/>
      <w:tcPr>
        <w:tcBorders>
          <w:top w:val="nil"/>
          <w:left w:val="nil"/>
          <w:bottom w:val="single" w:sz="24" w:space="0" w:color="FFC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2"/>
          <w:insideH w:val="nil"/>
          <w:insideV w:val="nil"/>
        </w:tcBorders>
        <w:shd w:val="clear" w:color="auto" w:fill="FFFFFF" w:themeFill="background1"/>
      </w:tcPr>
    </w:tblStylePr>
    <w:tblStylePr w:type="lastCol">
      <w:tblPr/>
      <w:tcPr>
        <w:tcBorders>
          <w:top w:val="nil"/>
          <w:left w:val="single" w:sz="8" w:space="0" w:color="FFC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2" w:themeFillTint="3F"/>
      </w:tcPr>
    </w:tblStylePr>
    <w:tblStylePr w:type="band1Horz">
      <w:tblPr/>
      <w:tcPr>
        <w:tcBorders>
          <w:top w:val="nil"/>
          <w:bottom w:val="nil"/>
          <w:insideH w:val="nil"/>
          <w:insideV w:val="nil"/>
        </w:tcBorders>
        <w:shd w:val="clear" w:color="auto" w:fill="FFEF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95" w:themeColor="accent4"/>
        <w:left w:val="single" w:sz="8" w:space="0" w:color="005D95" w:themeColor="accent4"/>
        <w:bottom w:val="single" w:sz="8" w:space="0" w:color="005D95" w:themeColor="accent4"/>
        <w:right w:val="single" w:sz="8" w:space="0" w:color="005D95" w:themeColor="accent4"/>
      </w:tblBorders>
    </w:tblPr>
    <w:tblStylePr w:type="firstRow">
      <w:rPr>
        <w:sz w:val="24"/>
        <w:szCs w:val="24"/>
      </w:rPr>
      <w:tblPr/>
      <w:tcPr>
        <w:tcBorders>
          <w:top w:val="nil"/>
          <w:left w:val="nil"/>
          <w:bottom w:val="single" w:sz="24" w:space="0" w:color="005D9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95" w:themeColor="accent4"/>
          <w:insideH w:val="nil"/>
          <w:insideV w:val="nil"/>
        </w:tcBorders>
        <w:shd w:val="clear" w:color="auto" w:fill="FFFFFF" w:themeFill="background1"/>
      </w:tcPr>
    </w:tblStylePr>
    <w:tblStylePr w:type="lastCol">
      <w:tblPr/>
      <w:tcPr>
        <w:tcBorders>
          <w:top w:val="nil"/>
          <w:left w:val="single" w:sz="8" w:space="0" w:color="005D9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5DDFF" w:themeFill="accent4" w:themeFillTint="3F"/>
      </w:tcPr>
    </w:tblStylePr>
    <w:tblStylePr w:type="band1Horz">
      <w:tblPr/>
      <w:tcPr>
        <w:tcBorders>
          <w:top w:val="nil"/>
          <w:bottom w:val="nil"/>
          <w:insideH w:val="nil"/>
          <w:insideV w:val="nil"/>
        </w:tcBorders>
        <w:shd w:val="clear" w:color="auto" w:fill="A5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0000" w:themeColor="accent5"/>
        <w:left w:val="single" w:sz="8" w:space="0" w:color="C00000" w:themeColor="accent5"/>
        <w:bottom w:val="single" w:sz="8" w:space="0" w:color="C00000" w:themeColor="accent5"/>
        <w:right w:val="single" w:sz="8" w:space="0" w:color="C00000" w:themeColor="accent5"/>
      </w:tblBorders>
    </w:tblPr>
    <w:tblStylePr w:type="firstRow">
      <w:rPr>
        <w:sz w:val="24"/>
        <w:szCs w:val="24"/>
      </w:rPr>
      <w:tblPr/>
      <w:tcPr>
        <w:tcBorders>
          <w:top w:val="nil"/>
          <w:left w:val="nil"/>
          <w:bottom w:val="single" w:sz="24" w:space="0" w:color="C000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5"/>
          <w:insideH w:val="nil"/>
          <w:insideV w:val="nil"/>
        </w:tcBorders>
        <w:shd w:val="clear" w:color="auto" w:fill="FFFFFF" w:themeFill="background1"/>
      </w:tcPr>
    </w:tblStylePr>
    <w:tblStylePr w:type="lastCol">
      <w:tblPr/>
      <w:tcPr>
        <w:tcBorders>
          <w:top w:val="nil"/>
          <w:left w:val="single" w:sz="8" w:space="0" w:color="C000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5" w:themeFillTint="3F"/>
      </w:tcPr>
    </w:tblStylePr>
    <w:tblStylePr w:type="band1Horz">
      <w:tblPr/>
      <w:tcPr>
        <w:tcBorders>
          <w:top w:val="nil"/>
          <w:bottom w:val="nil"/>
          <w:insideH w:val="nil"/>
          <w:insideV w:val="nil"/>
        </w:tcBorders>
        <w:shd w:val="clear" w:color="auto" w:fill="FFB0B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84FA1" w:themeColor="accent6"/>
        <w:left w:val="single" w:sz="8" w:space="0" w:color="584FA1" w:themeColor="accent6"/>
        <w:bottom w:val="single" w:sz="8" w:space="0" w:color="584FA1" w:themeColor="accent6"/>
        <w:right w:val="single" w:sz="8" w:space="0" w:color="584FA1" w:themeColor="accent6"/>
      </w:tblBorders>
    </w:tblPr>
    <w:tblStylePr w:type="firstRow">
      <w:rPr>
        <w:sz w:val="24"/>
        <w:szCs w:val="24"/>
      </w:rPr>
      <w:tblPr/>
      <w:tcPr>
        <w:tcBorders>
          <w:top w:val="nil"/>
          <w:left w:val="nil"/>
          <w:bottom w:val="single" w:sz="24" w:space="0" w:color="584FA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4FA1" w:themeColor="accent6"/>
          <w:insideH w:val="nil"/>
          <w:insideV w:val="nil"/>
        </w:tcBorders>
        <w:shd w:val="clear" w:color="auto" w:fill="FFFFFF" w:themeFill="background1"/>
      </w:tcPr>
    </w:tblStylePr>
    <w:tblStylePr w:type="lastCol">
      <w:tblPr/>
      <w:tcPr>
        <w:tcBorders>
          <w:top w:val="nil"/>
          <w:left w:val="single" w:sz="8" w:space="0" w:color="584F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2E9" w:themeFill="accent6" w:themeFillTint="3F"/>
      </w:tcPr>
    </w:tblStylePr>
    <w:tblStylePr w:type="band1Horz">
      <w:tblPr/>
      <w:tcPr>
        <w:tcBorders>
          <w:top w:val="nil"/>
          <w:bottom w:val="nil"/>
          <w:insideH w:val="nil"/>
          <w:insideV w:val="nil"/>
        </w:tcBorders>
        <w:shd w:val="clear" w:color="auto" w:fill="D4D2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tblPr>
      <w:tblStyleRowBandSize w:val="1"/>
      <w:tblStyleColBandSize w:val="1"/>
      <w:tblBorders>
        <w:top w:val="single" w:sz="8" w:space="0" w:color="F58F75" w:themeColor="accent1" w:themeTint="BF"/>
        <w:left w:val="single" w:sz="8" w:space="0" w:color="F58F75" w:themeColor="accent1" w:themeTint="BF"/>
        <w:bottom w:val="single" w:sz="8" w:space="0" w:color="F58F75" w:themeColor="accent1" w:themeTint="BF"/>
        <w:right w:val="single" w:sz="8" w:space="0" w:color="F58F75" w:themeColor="accent1" w:themeTint="BF"/>
        <w:insideH w:val="single" w:sz="8" w:space="0" w:color="F58F75" w:themeColor="accent1" w:themeTint="BF"/>
      </w:tblBorders>
    </w:tblPr>
    <w:tblStylePr w:type="firstRow">
      <w:pPr>
        <w:spacing w:before="0" w:after="0" w:line="240" w:lineRule="auto"/>
      </w:pPr>
      <w:rPr>
        <w:b/>
        <w:bCs/>
        <w:color w:val="FFFFFF" w:themeColor="background1"/>
      </w:rPr>
      <w:tblPr/>
      <w:tcPr>
        <w:tcBorders>
          <w:top w:val="single" w:sz="8" w:space="0" w:color="F58F75" w:themeColor="accent1" w:themeTint="BF"/>
          <w:left w:val="single" w:sz="8" w:space="0" w:color="F58F75" w:themeColor="accent1" w:themeTint="BF"/>
          <w:bottom w:val="single" w:sz="8" w:space="0" w:color="F58F75" w:themeColor="accent1" w:themeTint="BF"/>
          <w:right w:val="single" w:sz="8" w:space="0" w:color="F58F75" w:themeColor="accent1" w:themeTint="BF"/>
          <w:insideH w:val="nil"/>
          <w:insideV w:val="nil"/>
        </w:tcBorders>
        <w:shd w:val="clear" w:color="auto" w:fill="F26A47" w:themeFill="accent1"/>
      </w:tcPr>
    </w:tblStylePr>
    <w:tblStylePr w:type="lastRow">
      <w:pPr>
        <w:spacing w:before="0" w:after="0" w:line="240" w:lineRule="auto"/>
      </w:pPr>
      <w:rPr>
        <w:b/>
        <w:bCs/>
      </w:rPr>
      <w:tblPr/>
      <w:tcPr>
        <w:tcBorders>
          <w:top w:val="double" w:sz="6" w:space="0" w:color="F58F75" w:themeColor="accent1" w:themeTint="BF"/>
          <w:left w:val="single" w:sz="8" w:space="0" w:color="F58F75" w:themeColor="accent1" w:themeTint="BF"/>
          <w:bottom w:val="single" w:sz="8" w:space="0" w:color="F58F75" w:themeColor="accent1" w:themeTint="BF"/>
          <w:right w:val="single" w:sz="8" w:space="0" w:color="F58F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9D1" w:themeFill="accent1" w:themeFillTint="3F"/>
      </w:tcPr>
    </w:tblStylePr>
    <w:tblStylePr w:type="band1Horz">
      <w:tblPr/>
      <w:tcPr>
        <w:tcBorders>
          <w:insideH w:val="nil"/>
          <w:insideV w:val="nil"/>
        </w:tcBorders>
        <w:shd w:val="clear" w:color="auto" w:fill="FBD9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tblPr>
      <w:tblStyleRowBandSize w:val="1"/>
      <w:tblStyleColBandSize w:val="1"/>
      <w:tblBorders>
        <w:top w:val="single" w:sz="8"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single" w:sz="8" w:space="0" w:color="FFCF40" w:themeColor="accent2" w:themeTint="BF"/>
      </w:tblBorders>
    </w:tblPr>
    <w:tblStylePr w:type="firstRow">
      <w:pPr>
        <w:spacing w:before="0" w:after="0" w:line="240" w:lineRule="auto"/>
      </w:pPr>
      <w:rPr>
        <w:b/>
        <w:bCs/>
        <w:color w:val="FFFFFF" w:themeColor="background1"/>
      </w:rPr>
      <w:tblPr/>
      <w:tcPr>
        <w:tcBorders>
          <w:top w:val="single" w:sz="8"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nil"/>
          <w:insideV w:val="nil"/>
        </w:tcBorders>
        <w:shd w:val="clear" w:color="auto" w:fill="FFC000" w:themeFill="accent2"/>
      </w:tcPr>
    </w:tblStylePr>
    <w:tblStylePr w:type="lastRow">
      <w:pPr>
        <w:spacing w:before="0" w:after="0" w:line="240" w:lineRule="auto"/>
      </w:pPr>
      <w:rPr>
        <w:b/>
        <w:bCs/>
      </w:rPr>
      <w:tblPr/>
      <w:tcPr>
        <w:tcBorders>
          <w:top w:val="double" w:sz="6"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2" w:themeFillTint="3F"/>
      </w:tcPr>
    </w:tblStylePr>
    <w:tblStylePr w:type="band1Horz">
      <w:tblPr/>
      <w:tcPr>
        <w:tcBorders>
          <w:insideH w:val="nil"/>
          <w:insideV w:val="nil"/>
        </w:tcBorders>
        <w:shd w:val="clear" w:color="auto" w:fill="FFEF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tblPr>
      <w:tblStyleRowBandSize w:val="1"/>
      <w:tblStyleColBandSize w:val="1"/>
      <w:tblBorders>
        <w:top w:val="single" w:sz="8" w:space="0" w:color="0095EF" w:themeColor="accent4" w:themeTint="BF"/>
        <w:left w:val="single" w:sz="8" w:space="0" w:color="0095EF" w:themeColor="accent4" w:themeTint="BF"/>
        <w:bottom w:val="single" w:sz="8" w:space="0" w:color="0095EF" w:themeColor="accent4" w:themeTint="BF"/>
        <w:right w:val="single" w:sz="8" w:space="0" w:color="0095EF" w:themeColor="accent4" w:themeTint="BF"/>
        <w:insideH w:val="single" w:sz="8" w:space="0" w:color="0095EF" w:themeColor="accent4" w:themeTint="BF"/>
      </w:tblBorders>
    </w:tblPr>
    <w:tblStylePr w:type="firstRow">
      <w:pPr>
        <w:spacing w:before="0" w:after="0" w:line="240" w:lineRule="auto"/>
      </w:pPr>
      <w:rPr>
        <w:b/>
        <w:bCs/>
        <w:color w:val="FFFFFF" w:themeColor="background1"/>
      </w:rPr>
      <w:tblPr/>
      <w:tcPr>
        <w:tcBorders>
          <w:top w:val="single" w:sz="8" w:space="0" w:color="0095EF" w:themeColor="accent4" w:themeTint="BF"/>
          <w:left w:val="single" w:sz="8" w:space="0" w:color="0095EF" w:themeColor="accent4" w:themeTint="BF"/>
          <w:bottom w:val="single" w:sz="8" w:space="0" w:color="0095EF" w:themeColor="accent4" w:themeTint="BF"/>
          <w:right w:val="single" w:sz="8" w:space="0" w:color="0095EF" w:themeColor="accent4" w:themeTint="BF"/>
          <w:insideH w:val="nil"/>
          <w:insideV w:val="nil"/>
        </w:tcBorders>
        <w:shd w:val="clear" w:color="auto" w:fill="005D95" w:themeFill="accent4"/>
      </w:tcPr>
    </w:tblStylePr>
    <w:tblStylePr w:type="lastRow">
      <w:pPr>
        <w:spacing w:before="0" w:after="0" w:line="240" w:lineRule="auto"/>
      </w:pPr>
      <w:rPr>
        <w:b/>
        <w:bCs/>
      </w:rPr>
      <w:tblPr/>
      <w:tcPr>
        <w:tcBorders>
          <w:top w:val="double" w:sz="6" w:space="0" w:color="0095EF" w:themeColor="accent4" w:themeTint="BF"/>
          <w:left w:val="single" w:sz="8" w:space="0" w:color="0095EF" w:themeColor="accent4" w:themeTint="BF"/>
          <w:bottom w:val="single" w:sz="8" w:space="0" w:color="0095EF" w:themeColor="accent4" w:themeTint="BF"/>
          <w:right w:val="single" w:sz="8" w:space="0" w:color="0095EF" w:themeColor="accent4" w:themeTint="BF"/>
          <w:insideH w:val="nil"/>
          <w:insideV w:val="nil"/>
        </w:tcBorders>
      </w:tcPr>
    </w:tblStylePr>
    <w:tblStylePr w:type="firstCol">
      <w:rPr>
        <w:b/>
        <w:bCs/>
      </w:rPr>
    </w:tblStylePr>
    <w:tblStylePr w:type="lastCol">
      <w:rPr>
        <w:b/>
        <w:bCs/>
      </w:rPr>
    </w:tblStylePr>
    <w:tblStylePr w:type="band1Vert">
      <w:tblPr/>
      <w:tcPr>
        <w:shd w:val="clear" w:color="auto" w:fill="A5DDFF" w:themeFill="accent4" w:themeFillTint="3F"/>
      </w:tcPr>
    </w:tblStylePr>
    <w:tblStylePr w:type="band1Horz">
      <w:tblPr/>
      <w:tcPr>
        <w:tcBorders>
          <w:insideH w:val="nil"/>
          <w:insideV w:val="nil"/>
        </w:tcBorders>
        <w:shd w:val="clear" w:color="auto" w:fill="A5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tblPr>
      <w:tblStyleRowBandSize w:val="1"/>
      <w:tblStyleColBandSize w:val="1"/>
      <w:tblBorders>
        <w:top w:val="single" w:sz="8" w:space="0" w:color="FF1010" w:themeColor="accent5" w:themeTint="BF"/>
        <w:left w:val="single" w:sz="8" w:space="0" w:color="FF1010" w:themeColor="accent5" w:themeTint="BF"/>
        <w:bottom w:val="single" w:sz="8" w:space="0" w:color="FF1010" w:themeColor="accent5" w:themeTint="BF"/>
        <w:right w:val="single" w:sz="8" w:space="0" w:color="FF1010" w:themeColor="accent5" w:themeTint="BF"/>
        <w:insideH w:val="single" w:sz="8" w:space="0" w:color="FF1010" w:themeColor="accent5" w:themeTint="BF"/>
      </w:tblBorders>
    </w:tblPr>
    <w:tblStylePr w:type="firstRow">
      <w:pPr>
        <w:spacing w:before="0" w:after="0" w:line="240" w:lineRule="auto"/>
      </w:pPr>
      <w:rPr>
        <w:b/>
        <w:bCs/>
        <w:color w:val="FFFFFF" w:themeColor="background1"/>
      </w:rPr>
      <w:tblPr/>
      <w:tcPr>
        <w:tcBorders>
          <w:top w:val="single" w:sz="8" w:space="0" w:color="FF1010" w:themeColor="accent5" w:themeTint="BF"/>
          <w:left w:val="single" w:sz="8" w:space="0" w:color="FF1010" w:themeColor="accent5" w:themeTint="BF"/>
          <w:bottom w:val="single" w:sz="8" w:space="0" w:color="FF1010" w:themeColor="accent5" w:themeTint="BF"/>
          <w:right w:val="single" w:sz="8" w:space="0" w:color="FF1010" w:themeColor="accent5" w:themeTint="BF"/>
          <w:insideH w:val="nil"/>
          <w:insideV w:val="nil"/>
        </w:tcBorders>
        <w:shd w:val="clear" w:color="auto" w:fill="C00000" w:themeFill="accent5"/>
      </w:tcPr>
    </w:tblStylePr>
    <w:tblStylePr w:type="lastRow">
      <w:pPr>
        <w:spacing w:before="0" w:after="0" w:line="240" w:lineRule="auto"/>
      </w:pPr>
      <w:rPr>
        <w:b/>
        <w:bCs/>
      </w:rPr>
      <w:tblPr/>
      <w:tcPr>
        <w:tcBorders>
          <w:top w:val="double" w:sz="6" w:space="0" w:color="FF1010" w:themeColor="accent5" w:themeTint="BF"/>
          <w:left w:val="single" w:sz="8" w:space="0" w:color="FF1010" w:themeColor="accent5" w:themeTint="BF"/>
          <w:bottom w:val="single" w:sz="8" w:space="0" w:color="FF1010" w:themeColor="accent5" w:themeTint="BF"/>
          <w:right w:val="single" w:sz="8" w:space="0" w:color="FF101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5" w:themeFillTint="3F"/>
      </w:tcPr>
    </w:tblStylePr>
    <w:tblStylePr w:type="band1Horz">
      <w:tblPr/>
      <w:tcPr>
        <w:tcBorders>
          <w:insideH w:val="nil"/>
          <w:insideV w:val="nil"/>
        </w:tcBorders>
        <w:shd w:val="clear" w:color="auto" w:fill="FFB0B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tblPr>
      <w:tblStyleRowBandSize w:val="1"/>
      <w:tblStyleColBandSize w:val="1"/>
      <w:tblBorders>
        <w:top w:val="single" w:sz="8" w:space="0" w:color="7E77BC" w:themeColor="accent6" w:themeTint="BF"/>
        <w:left w:val="single" w:sz="8" w:space="0" w:color="7E77BC" w:themeColor="accent6" w:themeTint="BF"/>
        <w:bottom w:val="single" w:sz="8" w:space="0" w:color="7E77BC" w:themeColor="accent6" w:themeTint="BF"/>
        <w:right w:val="single" w:sz="8" w:space="0" w:color="7E77BC" w:themeColor="accent6" w:themeTint="BF"/>
        <w:insideH w:val="single" w:sz="8" w:space="0" w:color="7E77BC" w:themeColor="accent6" w:themeTint="BF"/>
      </w:tblBorders>
    </w:tblPr>
    <w:tblStylePr w:type="firstRow">
      <w:pPr>
        <w:spacing w:before="0" w:after="0" w:line="240" w:lineRule="auto"/>
      </w:pPr>
      <w:rPr>
        <w:b/>
        <w:bCs/>
        <w:color w:val="FFFFFF" w:themeColor="background1"/>
      </w:rPr>
      <w:tblPr/>
      <w:tcPr>
        <w:tcBorders>
          <w:top w:val="single" w:sz="8" w:space="0" w:color="7E77BC" w:themeColor="accent6" w:themeTint="BF"/>
          <w:left w:val="single" w:sz="8" w:space="0" w:color="7E77BC" w:themeColor="accent6" w:themeTint="BF"/>
          <w:bottom w:val="single" w:sz="8" w:space="0" w:color="7E77BC" w:themeColor="accent6" w:themeTint="BF"/>
          <w:right w:val="single" w:sz="8" w:space="0" w:color="7E77BC" w:themeColor="accent6" w:themeTint="BF"/>
          <w:insideH w:val="nil"/>
          <w:insideV w:val="nil"/>
        </w:tcBorders>
        <w:shd w:val="clear" w:color="auto" w:fill="584FA1" w:themeFill="accent6"/>
      </w:tcPr>
    </w:tblStylePr>
    <w:tblStylePr w:type="lastRow">
      <w:pPr>
        <w:spacing w:before="0" w:after="0" w:line="240" w:lineRule="auto"/>
      </w:pPr>
      <w:rPr>
        <w:b/>
        <w:bCs/>
      </w:rPr>
      <w:tblPr/>
      <w:tcPr>
        <w:tcBorders>
          <w:top w:val="double" w:sz="6" w:space="0" w:color="7E77BC" w:themeColor="accent6" w:themeTint="BF"/>
          <w:left w:val="single" w:sz="8" w:space="0" w:color="7E77BC" w:themeColor="accent6" w:themeTint="BF"/>
          <w:bottom w:val="single" w:sz="8" w:space="0" w:color="7E77BC" w:themeColor="accent6" w:themeTint="BF"/>
          <w:right w:val="single" w:sz="8" w:space="0" w:color="7E77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4D2E9" w:themeFill="accent6" w:themeFillTint="3F"/>
      </w:tcPr>
    </w:tblStylePr>
    <w:tblStylePr w:type="band1Horz">
      <w:tblPr/>
      <w:tcPr>
        <w:tcBorders>
          <w:insideH w:val="nil"/>
          <w:insideV w:val="nil"/>
        </w:tcBorders>
        <w:shd w:val="clear" w:color="auto" w:fill="D4D2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A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6A47" w:themeFill="accent1"/>
      </w:tcPr>
    </w:tblStylePr>
    <w:tblStylePr w:type="lastCol">
      <w:rPr>
        <w:b/>
        <w:bCs/>
        <w:color w:val="FFFFFF" w:themeColor="background1"/>
      </w:rPr>
      <w:tblPr/>
      <w:tcPr>
        <w:tcBorders>
          <w:left w:val="nil"/>
          <w:right w:val="nil"/>
          <w:insideH w:val="nil"/>
          <w:insideV w:val="nil"/>
        </w:tcBorders>
        <w:shd w:val="clear" w:color="auto" w:fill="F26A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2"/>
      </w:tcPr>
    </w:tblStylePr>
    <w:tblStylePr w:type="lastCol">
      <w:rPr>
        <w:b/>
        <w:bCs/>
        <w:color w:val="FFFFFF" w:themeColor="background1"/>
      </w:rPr>
      <w:tblPr/>
      <w:tcPr>
        <w:tcBorders>
          <w:left w:val="nil"/>
          <w:right w:val="nil"/>
          <w:insideH w:val="nil"/>
          <w:insideV w:val="nil"/>
        </w:tcBorders>
        <w:shd w:val="clear" w:color="auto" w:fill="FFC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9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95" w:themeFill="accent4"/>
      </w:tcPr>
    </w:tblStylePr>
    <w:tblStylePr w:type="lastCol">
      <w:rPr>
        <w:b/>
        <w:bCs/>
        <w:color w:val="FFFFFF" w:themeColor="background1"/>
      </w:rPr>
      <w:tblPr/>
      <w:tcPr>
        <w:tcBorders>
          <w:left w:val="nil"/>
          <w:right w:val="nil"/>
          <w:insideH w:val="nil"/>
          <w:insideV w:val="nil"/>
        </w:tcBorders>
        <w:shd w:val="clear" w:color="auto" w:fill="005D9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0000" w:themeFill="accent5"/>
      </w:tcPr>
    </w:tblStylePr>
    <w:tblStylePr w:type="lastCol">
      <w:rPr>
        <w:b/>
        <w:bCs/>
        <w:color w:val="FFFFFF" w:themeColor="background1"/>
      </w:rPr>
      <w:tblPr/>
      <w:tcPr>
        <w:tcBorders>
          <w:left w:val="nil"/>
          <w:right w:val="nil"/>
          <w:insideH w:val="nil"/>
          <w:insideV w:val="nil"/>
        </w:tcBorders>
        <w:shd w:val="clear" w:color="auto" w:fill="C000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4F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4FA1" w:themeFill="accent6"/>
      </w:tcPr>
    </w:tblStylePr>
    <w:tblStylePr w:type="lastCol">
      <w:rPr>
        <w:b/>
        <w:bCs/>
        <w:color w:val="FFFFFF" w:themeColor="background1"/>
      </w:rPr>
      <w:tblPr/>
      <w:tcPr>
        <w:tcBorders>
          <w:left w:val="nil"/>
          <w:right w:val="nil"/>
          <w:insideH w:val="nil"/>
          <w:insideV w:val="nil"/>
        </w:tcBorders>
        <w:shd w:val="clear" w:color="auto" w:fill="584F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noProof w:val="0"/>
      <w:sz w:val="24"/>
      <w:szCs w:val="24"/>
      <w:shd w:val="pct20" w:color="auto" w:fill="auto"/>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rPr>
      <w:noProof w:val="0"/>
    </w:rPr>
  </w:style>
  <w:style w:type="character" w:styleId="PageNumber">
    <w:name w:val="page number"/>
    <w:basedOn w:val="DefaultParagraphFont"/>
    <w:uiPriority w:val="99"/>
    <w:semiHidden/>
    <w:unhideWhenUsed/>
    <w:rPr>
      <w:noProof w:val="0"/>
    </w:rPr>
  </w:style>
  <w:style w:type="character" w:styleId="PlaceholderText">
    <w:name w:val="Placeholder Text"/>
    <w:basedOn w:val="DefaultParagraphFont"/>
    <w:uiPriority w:val="99"/>
    <w:semiHidden/>
    <w:rPr>
      <w:noProof w:val="0"/>
      <w:color w:val="808080"/>
    </w:rPr>
  </w:style>
  <w:style w:type="table" w:customStyle="1"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Pr>
      <w:rFonts w:ascii="Consolas" w:hAnsi="Consolas"/>
      <w:noProof w:val="0"/>
      <w:sz w:val="21"/>
      <w:szCs w:val="21"/>
    </w:rPr>
  </w:style>
  <w:style w:type="paragraph" w:styleId="Quote">
    <w:name w:val="Quote"/>
    <w:basedOn w:val="Normal"/>
    <w:next w:val="Normal"/>
    <w:link w:val="QuoteChar"/>
    <w:uiPriority w:val="29"/>
    <w:semiHidden/>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Pr>
      <w:i/>
      <w:iCs/>
      <w:noProof w:val="0"/>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noProof w:val="0"/>
    </w:rPr>
  </w:style>
  <w:style w:type="paragraph" w:styleId="Signature">
    <w:name w:val="Signature"/>
    <w:basedOn w:val="Normal"/>
    <w:link w:val="SignatureChar"/>
    <w:uiPriority w:val="99"/>
    <w:semiHidden/>
    <w:unhideWhenUsed/>
    <w:pPr>
      <w:spacing w:after="0" w:line="240" w:lineRule="auto"/>
      <w:ind w:left="4252"/>
    </w:pPr>
  </w:style>
  <w:style w:type="character" w:customStyle="1" w:styleId="SignatureChar">
    <w:name w:val="Signature Char"/>
    <w:basedOn w:val="DefaultParagraphFont"/>
    <w:link w:val="Signature"/>
    <w:uiPriority w:val="99"/>
    <w:semiHidden/>
    <w:rPr>
      <w:noProof w:val="0"/>
    </w:rPr>
  </w:style>
  <w:style w:type="character" w:styleId="Strong">
    <w:name w:val="Strong"/>
    <w:basedOn w:val="DefaultParagraphFont"/>
    <w:uiPriority w:val="22"/>
    <w:semiHidden/>
    <w:qFormat/>
    <w:rPr>
      <w:b/>
      <w:bCs/>
      <w:noProof w:val="0"/>
    </w:rPr>
  </w:style>
  <w:style w:type="paragraph" w:styleId="Subtitle">
    <w:name w:val="Subtitle"/>
    <w:basedOn w:val="Normal"/>
    <w:next w:val="Normal"/>
    <w:link w:val="SubtitleChar"/>
    <w:uiPriority w:val="11"/>
    <w:semiHidden/>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Pr>
      <w:rFonts w:eastAsiaTheme="minorEastAsia"/>
      <w:noProof w:val="0"/>
      <w:color w:val="5A5A5A" w:themeColor="text1" w:themeTint="A5"/>
      <w:spacing w:val="15"/>
    </w:rPr>
  </w:style>
  <w:style w:type="character" w:styleId="SubtleEmphasis">
    <w:name w:val="Subtle Emphasis"/>
    <w:basedOn w:val="DefaultParagraphFont"/>
    <w:uiPriority w:val="19"/>
    <w:semiHidden/>
    <w:qFormat/>
    <w:rPr>
      <w:i/>
      <w:iCs/>
      <w:noProof w:val="0"/>
      <w:color w:val="404040" w:themeColor="text1" w:themeTint="BF"/>
    </w:rPr>
  </w:style>
  <w:style w:type="character" w:styleId="SubtleReference">
    <w:name w:val="Subtle Reference"/>
    <w:basedOn w:val="DefaultParagraphFont"/>
    <w:uiPriority w:val="31"/>
    <w:semiHidden/>
    <w:qFormat/>
    <w:rPr>
      <w:smallCaps/>
      <w:noProof w:val="0"/>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noProof w:val="0"/>
      <w:spacing w:val="-10"/>
      <w:kern w:val="28"/>
      <w:sz w:val="56"/>
      <w:szCs w:val="56"/>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rPr>
      <w:color w:val="DA380F" w:themeColor="accent1" w:themeShade="BF"/>
    </w:rPr>
  </w:style>
  <w:style w:type="paragraph" w:customStyle="1" w:styleId="Pagedecouverture">
    <w:name w:val="Page de couverture"/>
    <w:basedOn w:val="Normal"/>
    <w:next w:val="Normal"/>
    <w:semiHidden/>
    <w:pPr>
      <w:spacing w:after="0" w:line="240" w:lineRule="auto"/>
    </w:pPr>
    <w:rPr>
      <w:rFonts w:ascii="EC Square Sans Pro" w:hAnsi="EC Square Sans Pro" w:cs="Times New Roman"/>
      <w:sz w:val="20"/>
    </w:rPr>
  </w:style>
  <w:style w:type="paragraph" w:customStyle="1" w:styleId="FooterCoverPage">
    <w:name w:val="Footer Cover Page"/>
    <w:basedOn w:val="Normal"/>
    <w:link w:val="FooterCoverPageChar"/>
    <w:semiHidden/>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semiHidden/>
    <w:rPr>
      <w:rFonts w:ascii="Times New Roman" w:eastAsia="Times New Roman" w:hAnsi="Times New Roman" w:cs="Times New Roman"/>
      <w:sz w:val="24"/>
      <w:lang w:eastAsia="fr-BE"/>
    </w:r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color w:val="C00000"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val="0"/>
      <w:color w:val="C00000" w:themeColor="accent5"/>
      <w:sz w:val="52"/>
    </w:rPr>
  </w:style>
  <w:style w:type="character" w:customStyle="1" w:styleId="fnRef">
    <w:name w:val="fnRef"/>
    <w:uiPriority w:val="1"/>
    <w:semiHidden/>
    <w:rPr>
      <w:rFonts w:ascii="EC Square Sans Pro" w:hAnsi="EC Square Sans Pro"/>
      <w:b w:val="0"/>
      <w:i w:val="0"/>
      <w:noProof w:val="0"/>
      <w:bdr w:val="none" w:sz="0" w:space="0" w:color="auto"/>
      <w:shd w:val="clear" w:color="auto" w:fill="auto"/>
      <w:vertAlign w:val="baseline"/>
      <w:lang w:val="en-GB"/>
    </w:rPr>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Marker">
    <w:name w:val="Marker"/>
    <w:basedOn w:val="DefaultParagraphFont"/>
    <w:rPr>
      <w:noProof w:val="0"/>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lang w:eastAsia="fr-BE"/>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lang w:eastAsia="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lang w:eastAsia="fr-BE"/>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imes New Roman" w:hAnsi="Times New Roman" w:cs="Times New Roman"/>
      <w:sz w:val="28"/>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2"/>
    <w:lsdException w:name="caption" w:uiPriority="35" w:qFormat="1"/>
    <w:lsdException w:name="footnote reference" w:qFormat="1"/>
    <w:lsdException w:name="annotation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56" w:lineRule="auto"/>
    </w:pPr>
    <w:rPr>
      <w:rFonts w:ascii="Calibri" w:eastAsia="Times New Roman" w:hAnsi="Calibri" w:cs="Calibri"/>
      <w:lang w:eastAsia="fr-BE"/>
    </w:rPr>
  </w:style>
  <w:style w:type="paragraph" w:styleId="Heading1">
    <w:name w:val="heading 1"/>
    <w:basedOn w:val="Normal"/>
    <w:next w:val="Normal"/>
    <w:link w:val="Heading1Char"/>
    <w:uiPriority w:val="9"/>
    <w:semiHidden/>
    <w:qFormat/>
    <w:pPr>
      <w:keepNext/>
      <w:keepLines/>
      <w:spacing w:before="240" w:after="0"/>
      <w:outlineLvl w:val="0"/>
    </w:pPr>
    <w:rPr>
      <w:rFonts w:asciiTheme="majorHAnsi" w:eastAsiaTheme="majorEastAsia" w:hAnsiTheme="majorHAnsi" w:cstheme="majorBidi"/>
      <w:color w:val="005D95"/>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005D95"/>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91250A"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A380F"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DA380F"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91250A" w:themeColor="accent1" w:themeShade="7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91250A"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qFormat/>
    <w:pPr>
      <w:ind w:left="720"/>
      <w:contextualSpacing/>
    </w:pPr>
  </w:style>
  <w:style w:type="character" w:styleId="Hyperlink">
    <w:name w:val="Hyperlink"/>
    <w:basedOn w:val="DefaultParagraphFont"/>
    <w:uiPriority w:val="99"/>
    <w:unhideWhenUsed/>
    <w:rPr>
      <w:rFonts w:ascii="EC Square Sans Pro" w:hAnsi="EC Square Sans Pro"/>
      <w:strike w:val="0"/>
      <w:dstrike w:val="0"/>
      <w:noProof w:val="0"/>
      <w:color w:val="26ADFF" w:themeColor="accent4" w:themeTint="99"/>
      <w:u w:val="none" w:color="65BBC8"/>
      <w:effect w:val="none"/>
      <w:shd w:val="clear" w:color="auto" w:fill="auto"/>
      <w:lang w:val="en-GB"/>
    </w:rPr>
  </w:style>
  <w:style w:type="paragraph" w:styleId="FootnoteText">
    <w:name w:val="footnote text"/>
    <w:basedOn w:val="BASE-STYLE-TEXT"/>
    <w:link w:val="FootnoteTextChar"/>
    <w:uiPriority w:val="99"/>
    <w:unhideWhenUsed/>
    <w:qFormat/>
    <w:pPr>
      <w:spacing w:after="0" w:line="240" w:lineRule="auto"/>
      <w:ind w:left="357" w:hanging="357"/>
      <w:jc w:val="left"/>
    </w:pPr>
    <w:rPr>
      <w:sz w:val="20"/>
      <w:szCs w:val="20"/>
    </w:rPr>
  </w:style>
  <w:style w:type="character" w:customStyle="1" w:styleId="FootnoteTextChar">
    <w:name w:val="Footnote Text Char"/>
    <w:basedOn w:val="DefaultParagraphFont"/>
    <w:link w:val="FootnoteText"/>
    <w:uiPriority w:val="99"/>
    <w:qFormat/>
    <w:rPr>
      <w:rFonts w:ascii="EC Square Sans Pro" w:eastAsia="EC Square Sans Pro" w:hAnsi="EC Square Sans Pro" w:cs="Times New Roman"/>
      <w:noProof w:val="0"/>
      <w:color w:val="000000" w:themeColor="text1"/>
      <w:sz w:val="20"/>
      <w:szCs w:val="20"/>
      <w:lang w:eastAsia="zh-CN"/>
    </w:rPr>
  </w:style>
  <w:style w:type="character" w:styleId="FootnoteReference">
    <w:name w:val="footnote reference"/>
    <w:basedOn w:val="DefaultParagraphFont"/>
    <w:uiPriority w:val="99"/>
    <w:unhideWhenUsed/>
    <w:qFormat/>
    <w:rPr>
      <w:noProof w:val="0"/>
      <w:vertAlign w:val="superscript"/>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rPr>
      <w:noProof w:val="0"/>
      <w:sz w:val="20"/>
      <w:szCs w:val="20"/>
    </w:rPr>
  </w:style>
  <w:style w:type="character" w:styleId="CommentReference">
    <w:name w:val="annotation reference"/>
    <w:basedOn w:val="DefaultParagraphFont"/>
    <w:semiHidden/>
    <w:unhideWhenUsed/>
    <w:qFormat/>
    <w:rPr>
      <w:noProof w:val="0"/>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noProof w:val="0"/>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noProof w:val="0"/>
      <w:sz w:val="20"/>
      <w:szCs w:val="20"/>
    </w:rPr>
  </w:style>
  <w:style w:type="paragraph" w:styleId="Revision">
    <w:name w:val="Revision"/>
    <w:hidden/>
    <w:uiPriority w:val="99"/>
    <w:semiHidden/>
    <w:pPr>
      <w:spacing w:after="0" w:line="240" w:lineRule="auto"/>
    </w:pPr>
  </w:style>
  <w:style w:type="paragraph" w:styleId="Header">
    <w:name w:val="header"/>
    <w:basedOn w:val="Normal"/>
    <w:link w:val="HeaderChar"/>
    <w:uiPriority w:val="2"/>
    <w:unhideWhenUsed/>
    <w:pPr>
      <w:tabs>
        <w:tab w:val="center" w:pos="4513"/>
        <w:tab w:val="right" w:pos="9026"/>
      </w:tabs>
      <w:spacing w:after="0" w:line="240" w:lineRule="auto"/>
    </w:pPr>
  </w:style>
  <w:style w:type="character" w:customStyle="1" w:styleId="HeaderChar">
    <w:name w:val="Header Char"/>
    <w:basedOn w:val="DefaultParagraphFont"/>
    <w:link w:val="Header"/>
    <w:uiPriority w:val="2"/>
    <w:rPr>
      <w:noProof w:val="0"/>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noProof w:val="0"/>
    </w:rPr>
  </w:style>
  <w:style w:type="numbering" w:customStyle="1" w:styleId="amprLISTL1-forboxORANGEdashed">
    <w:name w:val="[ampr LIST] L1 - for box ORANGE dashed"/>
    <w:uiPriority w:val="99"/>
    <w:pPr>
      <w:numPr>
        <w:numId w:val="21"/>
      </w:numPr>
    </w:pPr>
  </w:style>
  <w:style w:type="character" w:customStyle="1" w:styleId="amprcharBoldBlue">
    <w:name w:val="[ampr char] Bold Blue"/>
    <w:uiPriority w:val="1"/>
    <w:qFormat/>
    <w:rPr>
      <w:b/>
      <w:noProof w:val="0"/>
      <w:color w:val="005D95" w:themeColor="accent4"/>
      <w:spacing w:val="1"/>
      <w:bdr w:val="none" w:sz="0" w:space="0" w:color="auto"/>
      <w:shd w:val="clear" w:color="auto" w:fill="auto"/>
    </w:rPr>
  </w:style>
  <w:style w:type="paragraph" w:customStyle="1" w:styleId="amprboxORANGEdashedbulletlist">
    <w:name w:val="[ampr box ORANGE dashed] bullet list"/>
    <w:basedOn w:val="BASE-STYLE-TEXT"/>
    <w:qFormat/>
    <w:pPr>
      <w:keepLines/>
      <w:numPr>
        <w:numId w:val="21"/>
      </w:numPr>
      <w:pBdr>
        <w:top w:val="dashSmallGap" w:sz="12" w:space="8" w:color="F26A47"/>
        <w:left w:val="dashSmallGap" w:sz="12" w:space="8" w:color="F26A47"/>
        <w:bottom w:val="dashSmallGap" w:sz="12" w:space="8" w:color="F26A47"/>
        <w:right w:val="dashSmallGap" w:sz="12" w:space="8" w:color="F26A47"/>
      </w:pBdr>
      <w:spacing w:after="120" w:line="240" w:lineRule="auto"/>
    </w:pPr>
    <w:rPr>
      <w:sz w:val="20"/>
      <w:lang w:eastAsia="fr-BE"/>
    </w:rPr>
  </w:style>
  <w:style w:type="numbering" w:customStyle="1" w:styleId="amprLISTblackbullets">
    <w:name w:val="[ampr LIST black]  bullets"/>
    <w:uiPriority w:val="99"/>
    <w:pPr>
      <w:numPr>
        <w:numId w:val="17"/>
      </w:numPr>
    </w:pPr>
  </w:style>
  <w:style w:type="paragraph" w:customStyle="1" w:styleId="amprLISTblackbullets-L1">
    <w:name w:val="[ampr LIST black] bullets - L1"/>
    <w:basedOn w:val="BASE-STYLE-TEXT"/>
    <w:qFormat/>
    <w:pPr>
      <w:numPr>
        <w:numId w:val="18"/>
      </w:numPr>
      <w:spacing w:after="120" w:line="240" w:lineRule="auto"/>
    </w:pPr>
    <w:rPr>
      <w:sz w:val="20"/>
      <w:lang w:eastAsia="fr-BE"/>
    </w:rPr>
  </w:style>
  <w:style w:type="paragraph" w:customStyle="1" w:styleId="amprLISTblackbullets-L2">
    <w:name w:val="[ampr LIST black] bullets - L2"/>
    <w:basedOn w:val="BASE-STYLE-TEXT"/>
    <w:qFormat/>
    <w:pPr>
      <w:numPr>
        <w:ilvl w:val="1"/>
        <w:numId w:val="18"/>
      </w:numPr>
      <w:spacing w:after="120" w:line="240" w:lineRule="auto"/>
    </w:pPr>
    <w:rPr>
      <w:sz w:val="20"/>
      <w:lang w:eastAsia="fr-BE"/>
    </w:rPr>
  </w:style>
  <w:style w:type="character" w:customStyle="1" w:styleId="colour">
    <w:name w:val="colour"/>
    <w:basedOn w:val="DefaultParagraphFont"/>
    <w:semiHidden/>
    <w:rPr>
      <w:noProof w:val="0"/>
    </w:rPr>
  </w:style>
  <w:style w:type="paragraph" w:customStyle="1" w:styleId="amprboxORANGEdashedtext">
    <w:name w:val="[ampr box ORANGE dashed] text"/>
    <w:basedOn w:val="BASE-STYLE-TEXT"/>
    <w:qFormat/>
    <w:pPr>
      <w:keepLines/>
      <w:pBdr>
        <w:top w:val="dashSmallGap" w:sz="12" w:space="8" w:color="F26A47"/>
        <w:left w:val="dashSmallGap" w:sz="12" w:space="8" w:color="F26A47"/>
        <w:bottom w:val="dashSmallGap" w:sz="12" w:space="8" w:color="F26A47"/>
        <w:right w:val="dashSmallGap" w:sz="12" w:space="8" w:color="F26A47"/>
      </w:pBdr>
      <w:spacing w:after="120" w:line="240" w:lineRule="auto"/>
    </w:pPr>
    <w:rPr>
      <w:sz w:val="20"/>
      <w:lang w:eastAsia="fr-BE"/>
    </w:rPr>
  </w:style>
  <w:style w:type="paragraph" w:styleId="NormalWeb">
    <w:name w:val="Normal (Web)"/>
    <w:basedOn w:val="Normal"/>
    <w:semiHidden/>
    <w:pPr>
      <w:spacing w:after="240" w:line="240" w:lineRule="auto"/>
      <w:jc w:val="both"/>
    </w:pPr>
    <w:rPr>
      <w:rFonts w:ascii="Times New Roman" w:hAnsi="Times New Roman" w:cs="Times New Roman"/>
      <w:sz w:val="24"/>
      <w:szCs w:val="24"/>
    </w:rPr>
  </w:style>
  <w:style w:type="paragraph" w:customStyle="1" w:styleId="amprTitle3">
    <w:name w:val="[ampr] Title 3"/>
    <w:basedOn w:val="BASE-STYLE-HEADINGS"/>
    <w:next w:val="amprBodyText"/>
    <w:qFormat/>
    <w:pPr>
      <w:keepNext/>
      <w:keepLines/>
      <w:pBdr>
        <w:top w:val="single" w:sz="12" w:space="1" w:color="F26A47"/>
        <w:bottom w:val="single" w:sz="12" w:space="1" w:color="F26A47"/>
      </w:pBdr>
      <w:spacing w:before="480" w:after="240" w:line="240" w:lineRule="auto"/>
      <w:jc w:val="left"/>
      <w:outlineLvl w:val="2"/>
    </w:pPr>
    <w:rPr>
      <w:b/>
      <w:color w:val="005D95" w:themeColor="accent4"/>
      <w:sz w:val="28"/>
    </w:rPr>
  </w:style>
  <w:style w:type="paragraph" w:customStyle="1" w:styleId="amprSubhead1">
    <w:name w:val="[ampr] Subhead 1"/>
    <w:basedOn w:val="BASE-STYLE-HEADINGS"/>
    <w:next w:val="amprBodyText"/>
    <w:qFormat/>
    <w:pPr>
      <w:keepNext/>
      <w:keepLines/>
      <w:spacing w:before="480" w:after="240" w:line="240" w:lineRule="auto"/>
      <w:jc w:val="left"/>
    </w:pPr>
    <w:rPr>
      <w:b/>
      <w:color w:val="005D95" w:themeColor="accent4"/>
      <w:sz w:val="28"/>
    </w:rPr>
  </w:style>
  <w:style w:type="character" w:customStyle="1" w:styleId="CrossReference">
    <w:name w:val="Cross Reference"/>
    <w:basedOn w:val="DefaultParagraphFont"/>
    <w:uiPriority w:val="2"/>
    <w:semiHidden/>
    <w:rPr>
      <w:i/>
      <w:noProof w:val="0"/>
      <w:lang w:val="en-GB"/>
    </w:rPr>
  </w:style>
  <w:style w:type="paragraph" w:customStyle="1" w:styleId="amprBodyText">
    <w:name w:val="[ampr] Body Text"/>
    <w:basedOn w:val="BASE-STYLE-TEXT"/>
    <w:qFormat/>
    <w:pPr>
      <w:spacing w:after="120" w:line="240" w:lineRule="auto"/>
    </w:pPr>
    <w:rPr>
      <w:sz w:val="20"/>
    </w:rPr>
  </w:style>
  <w:style w:type="paragraph" w:customStyle="1" w:styleId="amprCOVIDboxtext">
    <w:name w:val="[ampr COVID box] text"/>
    <w:basedOn w:val="BASE-STYLE-TEXT"/>
    <w:qFormat/>
    <w:pPr>
      <w:keepLines/>
      <w:framePr w:vSpace="113" w:wrap="around" w:vAnchor="text" w:hAnchor="text" w:y="114"/>
      <w:spacing w:after="120" w:line="240" w:lineRule="auto"/>
      <w:suppressOverlap/>
    </w:pPr>
    <w:rPr>
      <w:color w:val="auto"/>
      <w:sz w:val="20"/>
    </w:rPr>
  </w:style>
  <w:style w:type="paragraph" w:customStyle="1" w:styleId="amprHeader-Left">
    <w:name w:val="[ampr] Header - Left"/>
    <w:basedOn w:val="BASE-STYLE-TEXT"/>
    <w:next w:val="amprBodyText"/>
    <w:qFormat/>
    <w:pPr>
      <w:spacing w:after="0" w:line="240" w:lineRule="auto"/>
      <w:jc w:val="left"/>
    </w:pPr>
    <w:rPr>
      <w:color w:val="A6A6A6" w:themeColor="background1" w:themeShade="A6"/>
      <w:sz w:val="20"/>
    </w:rPr>
  </w:style>
  <w:style w:type="numbering" w:customStyle="1" w:styleId="amprLISTorangebullets">
    <w:name w:val="[ampr LIST orange] bullets"/>
    <w:uiPriority w:val="99"/>
    <w:pPr>
      <w:numPr>
        <w:numId w:val="19"/>
      </w:numPr>
    </w:pPr>
  </w:style>
  <w:style w:type="paragraph" w:customStyle="1" w:styleId="amprLISTorangebullets-L1">
    <w:name w:val="[ampr LIST orange] bullets - L1"/>
    <w:basedOn w:val="BASE-STYLE-TEXT"/>
    <w:qFormat/>
    <w:pPr>
      <w:numPr>
        <w:numId w:val="20"/>
      </w:numPr>
      <w:spacing w:after="120" w:line="240" w:lineRule="auto"/>
    </w:pPr>
    <w:rPr>
      <w:sz w:val="20"/>
      <w:lang w:eastAsia="fr-BE"/>
    </w:rPr>
  </w:style>
  <w:style w:type="paragraph" w:customStyle="1" w:styleId="amprLISTorangebullets-L2">
    <w:name w:val="[ampr LIST orange] bullets - L2"/>
    <w:basedOn w:val="BASE-STYLE-TEXT"/>
    <w:qFormat/>
    <w:pPr>
      <w:numPr>
        <w:ilvl w:val="1"/>
        <w:numId w:val="20"/>
      </w:numPr>
      <w:spacing w:after="120" w:line="240" w:lineRule="auto"/>
    </w:pPr>
    <w:rPr>
      <w:sz w:val="20"/>
      <w:lang w:eastAsia="fr-BE"/>
    </w:rPr>
  </w:style>
  <w:style w:type="paragraph" w:customStyle="1" w:styleId="amprFooter-Left">
    <w:name w:val="[ampr] Footer - Left"/>
    <w:basedOn w:val="BASE-STYLE-TEXT"/>
    <w:next w:val="amprBodyText"/>
    <w:qFormat/>
    <w:pPr>
      <w:spacing w:after="0" w:line="240" w:lineRule="auto"/>
      <w:jc w:val="left"/>
    </w:pPr>
    <w:rPr>
      <w:color w:val="auto"/>
      <w:sz w:val="20"/>
    </w:rPr>
  </w:style>
  <w:style w:type="paragraph" w:customStyle="1" w:styleId="amprFooter-Right">
    <w:name w:val="[ampr] Footer - Right"/>
    <w:basedOn w:val="BASE-STYLE-TEXT"/>
    <w:next w:val="amprBodyText"/>
    <w:qFormat/>
    <w:pPr>
      <w:spacing w:after="0" w:line="240" w:lineRule="auto"/>
      <w:jc w:val="right"/>
    </w:pPr>
    <w:rPr>
      <w:color w:val="auto"/>
      <w:sz w:val="20"/>
    </w:rPr>
  </w:style>
  <w:style w:type="paragraph" w:customStyle="1" w:styleId="amprHeader-Right">
    <w:name w:val="[ampr] Header - Right"/>
    <w:basedOn w:val="BASE-STYLE-TEXT"/>
    <w:next w:val="amprBodyText"/>
    <w:qFormat/>
    <w:pPr>
      <w:spacing w:after="0" w:line="240" w:lineRule="auto"/>
      <w:jc w:val="right"/>
    </w:pPr>
    <w:rPr>
      <w:color w:val="A6A6A6" w:themeColor="background1" w:themeShade="A6"/>
      <w:sz w:val="20"/>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color w:val="auto"/>
      <w:sz w:val="16"/>
      <w:szCs w:val="16"/>
      <w:lang w:eastAsia="fr-BE"/>
    </w:rPr>
  </w:style>
  <w:style w:type="paragraph" w:customStyle="1" w:styleId="amprTitle2">
    <w:name w:val="[ampr] Title 2"/>
    <w:basedOn w:val="BASE-STYLE-HEADINGS"/>
    <w:next w:val="amprBodyText"/>
    <w:qFormat/>
    <w:pPr>
      <w:keepNext/>
      <w:keepLines/>
      <w:pageBreakBefore/>
      <w:spacing w:after="120" w:line="240" w:lineRule="auto"/>
      <w:jc w:val="left"/>
      <w:outlineLvl w:val="1"/>
    </w:pPr>
    <w:rPr>
      <w:color w:val="005D95" w:themeColor="accent4"/>
      <w:sz w:val="52"/>
    </w:rPr>
  </w:style>
  <w:style w:type="paragraph" w:styleId="NoSpacing">
    <w:name w:val="No Spacing"/>
    <w:link w:val="NoSpacingChar"/>
    <w:uiPriority w:val="1"/>
    <w:semiHidden/>
    <w:qFormat/>
    <w:pPr>
      <w:spacing w:after="120" w:line="240" w:lineRule="auto"/>
      <w:jc w:val="both"/>
    </w:pPr>
    <w:rPr>
      <w:rFonts w:ascii="EC Square Sans Pro" w:eastAsia="Times New Roman" w:hAnsi="EC Square Sans Pro" w:cs="Times New Roman"/>
      <w:sz w:val="20"/>
      <w:szCs w:val="20"/>
      <w:lang w:eastAsia="fr-BE"/>
    </w:rPr>
  </w:style>
  <w:style w:type="paragraph" w:customStyle="1" w:styleId="Hidelastparagraphafterthetable">
    <w:name w:val="_Hide last paragraph after the table"/>
    <w:next w:val="Normal"/>
    <w:pPr>
      <w:widowControl w:val="0"/>
      <w:spacing w:after="0" w:line="20" w:lineRule="exact"/>
    </w:pPr>
    <w:rPr>
      <w:rFonts w:eastAsiaTheme="minorEastAsia"/>
      <w:vanish/>
      <w:sz w:val="2"/>
      <w:szCs w:val="2"/>
    </w:rPr>
  </w:style>
  <w:style w:type="character" w:customStyle="1" w:styleId="NoSpacingChar">
    <w:name w:val="No Spacing Char"/>
    <w:basedOn w:val="DefaultParagraphFont"/>
    <w:link w:val="NoSpacing"/>
    <w:uiPriority w:val="1"/>
    <w:semiHidden/>
    <w:rPr>
      <w:rFonts w:ascii="EC Square Sans Pro" w:eastAsia="Times New Roman" w:hAnsi="EC Square Sans Pro" w:cs="Times New Roman"/>
      <w:noProof w:val="0"/>
      <w:sz w:val="20"/>
      <w:szCs w:val="20"/>
      <w:lang w:eastAsia="fr-BE"/>
    </w:rPr>
  </w:style>
  <w:style w:type="table" w:customStyle="1" w:styleId="GridTable1Light-Accent11">
    <w:name w:val="Grid Table 1 Light - Accent 11"/>
    <w:basedOn w:val="TableNormal"/>
    <w:next w:val="GridTable1LightAccent1"/>
    <w:uiPriority w:val="46"/>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F9C3B5" w:themeColor="accent1" w:themeTint="66"/>
        <w:left w:val="single" w:sz="4" w:space="0" w:color="F9C3B5" w:themeColor="accent1" w:themeTint="66"/>
        <w:bottom w:val="single" w:sz="4" w:space="0" w:color="F9C3B5" w:themeColor="accent1" w:themeTint="66"/>
        <w:right w:val="single" w:sz="4" w:space="0" w:color="F9C3B5" w:themeColor="accent1" w:themeTint="66"/>
        <w:insideH w:val="single" w:sz="4" w:space="0" w:color="F9C3B5" w:themeColor="accent1" w:themeTint="66"/>
        <w:insideV w:val="single" w:sz="4" w:space="0" w:color="F9C3B5" w:themeColor="accent1" w:themeTint="66"/>
      </w:tblBorders>
    </w:tblPr>
    <w:tblStylePr w:type="firstRow">
      <w:rPr>
        <w:b/>
        <w:bCs/>
      </w:rPr>
      <w:tblPr/>
      <w:tcPr>
        <w:tcBorders>
          <w:bottom w:val="single" w:sz="12" w:space="0" w:color="F7A590" w:themeColor="accent1" w:themeTint="99"/>
        </w:tcBorders>
      </w:tcPr>
    </w:tblStylePr>
    <w:tblStylePr w:type="lastRow">
      <w:rPr>
        <w:b/>
        <w:bCs/>
      </w:rPr>
      <w:tblPr/>
      <w:tcPr>
        <w:tcBorders>
          <w:top w:val="double" w:sz="2" w:space="0" w:color="F7A590" w:themeColor="accent1" w:themeTint="99"/>
        </w:tcBorders>
      </w:tcPr>
    </w:tblStylePr>
    <w:tblStylePr w:type="firstCol">
      <w:rPr>
        <w:b/>
        <w:bCs/>
      </w:rPr>
    </w:tblStylePr>
    <w:tblStylePr w:type="lastCol">
      <w:rPr>
        <w:b/>
        <w:bCs/>
      </w:rPr>
    </w:tblStyle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sz w:val="16"/>
      <w:szCs w:val="16"/>
      <w:lang w:eastAsia="fr-BE"/>
    </w:rPr>
  </w:style>
  <w:style w:type="paragraph" w:styleId="BodyText">
    <w:name w:val="Body Text"/>
    <w:basedOn w:val="Normal"/>
    <w:link w:val="BodyTextChar"/>
    <w:semiHidden/>
    <w:pPr>
      <w:spacing w:after="120" w:line="240" w:lineRule="auto"/>
      <w:jc w:val="both"/>
    </w:pPr>
    <w:rPr>
      <w:rFonts w:ascii="Times New Roman" w:hAnsi="Times New Roman" w:cs="Times New Roman"/>
      <w:sz w:val="24"/>
      <w:szCs w:val="20"/>
    </w:rPr>
  </w:style>
  <w:style w:type="character" w:customStyle="1" w:styleId="BodyTextChar">
    <w:name w:val="Body Text Char"/>
    <w:basedOn w:val="DefaultParagraphFont"/>
    <w:link w:val="BodyText"/>
    <w:semiHidden/>
    <w:rPr>
      <w:rFonts w:ascii="Times New Roman" w:eastAsia="Times New Roman" w:hAnsi="Times New Roman" w:cs="Times New Roman"/>
      <w:noProof w:val="0"/>
      <w:sz w:val="24"/>
      <w:szCs w:val="20"/>
      <w:lang w:eastAsia="fr-BE"/>
    </w:rPr>
  </w:style>
  <w:style w:type="character" w:customStyle="1" w:styleId="Heading1Char">
    <w:name w:val="Heading 1 Char"/>
    <w:basedOn w:val="DefaultParagraphFont"/>
    <w:link w:val="Heading1"/>
    <w:uiPriority w:val="9"/>
    <w:semiHidden/>
    <w:rPr>
      <w:rFonts w:asciiTheme="majorHAnsi" w:eastAsiaTheme="majorEastAsia" w:hAnsiTheme="majorHAnsi" w:cstheme="majorBidi"/>
      <w:noProof w:val="0"/>
      <w:color w:val="005D95"/>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noProof w:val="0"/>
      <w:color w:val="005D95"/>
      <w:sz w:val="26"/>
      <w:szCs w:val="26"/>
    </w:rPr>
  </w:style>
  <w:style w:type="paragraph" w:styleId="IntenseQuote">
    <w:name w:val="Intense Quote"/>
    <w:basedOn w:val="Normal"/>
    <w:next w:val="Normal"/>
    <w:link w:val="IntenseQuoteChar"/>
    <w:uiPriority w:val="30"/>
    <w:semiHidden/>
    <w:qFormat/>
    <w:pPr>
      <w:pBdr>
        <w:top w:val="single" w:sz="4" w:space="10" w:color="F26A47" w:themeColor="accent1"/>
        <w:bottom w:val="single" w:sz="4" w:space="10" w:color="F26A47" w:themeColor="accent1"/>
      </w:pBdr>
      <w:spacing w:before="360" w:after="360"/>
      <w:ind w:left="864" w:right="864"/>
      <w:jc w:val="center"/>
    </w:pPr>
    <w:rPr>
      <w:i/>
      <w:iCs/>
      <w:color w:val="005D95"/>
    </w:rPr>
  </w:style>
  <w:style w:type="character" w:customStyle="1" w:styleId="IntenseQuoteChar">
    <w:name w:val="Intense Quote Char"/>
    <w:basedOn w:val="DefaultParagraphFont"/>
    <w:link w:val="IntenseQuote"/>
    <w:uiPriority w:val="30"/>
    <w:semiHidden/>
    <w:rPr>
      <w:i/>
      <w:iCs/>
      <w:noProof w:val="0"/>
      <w:color w:val="005D95"/>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style>
  <w:style w:type="paragraph" w:customStyle="1" w:styleId="ampranxTITLE1">
    <w:name w:val="[ampr anx] TITLE 1"/>
    <w:basedOn w:val="BASE-STYLE-HEADINGS"/>
    <w:next w:val="amprBodyText"/>
    <w:qFormat/>
    <w:pPr>
      <w:keepNext/>
      <w:keepLines/>
      <w:pageBreakBefore/>
      <w:spacing w:after="120" w:line="240" w:lineRule="auto"/>
      <w:jc w:val="left"/>
      <w:outlineLvl w:val="0"/>
    </w:pPr>
    <w:rPr>
      <w:color w:val="005D95" w:themeColor="accent4"/>
      <w:sz w:val="52"/>
    </w:rPr>
  </w:style>
  <w:style w:type="paragraph" w:customStyle="1" w:styleId="ampranxTitle2">
    <w:name w:val="[ampr anx] Title 2"/>
    <w:basedOn w:val="BASE-STYLE-HEADINGS"/>
    <w:next w:val="amprBodyText"/>
    <w:qFormat/>
    <w:pPr>
      <w:keepNext/>
      <w:keepLines/>
      <w:pBdr>
        <w:top w:val="single" w:sz="12" w:space="1" w:color="F26A47"/>
        <w:bottom w:val="single" w:sz="12" w:space="1" w:color="F26A47"/>
      </w:pBdr>
      <w:spacing w:before="480" w:after="240" w:line="240" w:lineRule="auto"/>
      <w:jc w:val="left"/>
      <w:outlineLvl w:val="1"/>
    </w:pPr>
    <w:rPr>
      <w:b/>
      <w:color w:val="005D95" w:themeColor="accent4"/>
      <w:sz w:val="28"/>
    </w:rPr>
  </w:style>
  <w:style w:type="paragraph" w:customStyle="1" w:styleId="amprBLUEboxtext">
    <w:name w:val="[ampr BLUE box] text"/>
    <w:basedOn w:val="BASE-STYLE-TEXT"/>
    <w:qFormat/>
    <w:pPr>
      <w:pBdr>
        <w:top w:val="single" w:sz="12" w:space="8" w:color="005D95" w:themeColor="accent4"/>
        <w:left w:val="single" w:sz="12" w:space="8" w:color="005D95" w:themeColor="accent4"/>
        <w:bottom w:val="single" w:sz="12" w:space="8" w:color="005D95" w:themeColor="accent4"/>
        <w:right w:val="single" w:sz="12" w:space="8" w:color="005D95" w:themeColor="accent4"/>
      </w:pBdr>
      <w:shd w:val="clear" w:color="auto" w:fill="005D95" w:themeFill="accent4"/>
      <w:spacing w:after="0" w:line="240" w:lineRule="auto"/>
    </w:pPr>
    <w:rPr>
      <w:color w:val="FFFFFF" w:themeColor="background1"/>
      <w:sz w:val="20"/>
      <w:lang w:eastAsia="fr-BE"/>
    </w:rPr>
  </w:style>
  <w:style w:type="paragraph" w:customStyle="1" w:styleId="amprboxORANGEdashedheading">
    <w:name w:val="[ampr box ORANGE dashed] heading"/>
    <w:basedOn w:val="BASE-STYLE-TEXT"/>
    <w:next w:val="Normal"/>
    <w:qFormat/>
    <w:pPr>
      <w:keepLines/>
      <w:pBdr>
        <w:top w:val="dashSmallGap" w:sz="12" w:space="8" w:color="F26A47"/>
        <w:left w:val="dashSmallGap" w:sz="12" w:space="8" w:color="F26A47"/>
        <w:bottom w:val="dashSmallGap" w:sz="12" w:space="8" w:color="F26A47"/>
        <w:right w:val="dashSmallGap" w:sz="12" w:space="8" w:color="F26A47"/>
      </w:pBdr>
      <w:spacing w:after="120" w:line="240" w:lineRule="auto"/>
    </w:pPr>
    <w:rPr>
      <w:b/>
      <w:sz w:val="20"/>
      <w:lang w:eastAsia="fr-BE"/>
    </w:rPr>
  </w:style>
  <w:style w:type="character" w:customStyle="1" w:styleId="amprcharBoldOrange">
    <w:name w:val="[ampr char] Bold Orange"/>
    <w:uiPriority w:val="1"/>
    <w:rPr>
      <w:b/>
      <w:noProof w:val="0"/>
      <w:color w:val="F26A47" w:themeColor="accent1"/>
      <w:bdr w:val="none" w:sz="0" w:space="0" w:color="auto"/>
      <w:shd w:val="clear" w:color="auto" w:fill="auto"/>
    </w:rPr>
  </w:style>
  <w:style w:type="paragraph" w:customStyle="1" w:styleId="amprGREYboxtext">
    <w:name w:val="[ampr GREY box] text"/>
    <w:basedOn w:val="BASE-STYLE-TEXT"/>
    <w:qFormat/>
    <w:pPr>
      <w:pBdr>
        <w:top w:val="single" w:sz="12" w:space="8" w:color="F2F2F2" w:themeColor="background1" w:themeShade="F2"/>
        <w:left w:val="single" w:sz="12" w:space="8" w:color="F2F2F2" w:themeColor="background1" w:themeShade="F2"/>
        <w:bottom w:val="single" w:sz="12" w:space="8" w:color="F2F2F2" w:themeColor="background1" w:themeShade="F2"/>
        <w:right w:val="single" w:sz="12" w:space="8" w:color="F2F2F2" w:themeColor="background1" w:themeShade="F2"/>
      </w:pBdr>
      <w:shd w:val="clear" w:color="auto" w:fill="F2F2F2" w:themeFill="background1" w:themeFillShade="F2"/>
      <w:spacing w:after="0" w:line="240" w:lineRule="auto"/>
    </w:pPr>
    <w:rPr>
      <w:color w:val="auto"/>
      <w:sz w:val="20"/>
      <w:lang w:eastAsia="fr-BE"/>
    </w:rPr>
  </w:style>
  <w:style w:type="paragraph" w:customStyle="1" w:styleId="amprLISTorangebullets-L1consecutiveparagraph">
    <w:name w:val="[ampr LIST orange] bullets - L1 (consecutive paragraph)"/>
    <w:basedOn w:val="BASE-STYLE-TEXT"/>
    <w:qFormat/>
    <w:pPr>
      <w:spacing w:after="120" w:line="240" w:lineRule="auto"/>
      <w:ind w:left="720"/>
    </w:pPr>
    <w:rPr>
      <w:sz w:val="20"/>
    </w:rPr>
  </w:style>
  <w:style w:type="table" w:customStyle="1" w:styleId="amprTable1">
    <w:name w:val="[ampr Table 1]"/>
    <w:basedOn w:val="TableNormal"/>
    <w:uiPriority w:val="99"/>
    <w:pPr>
      <w:spacing w:before="60" w:after="60" w:line="240" w:lineRule="auto"/>
    </w:pPr>
    <w:rPr>
      <w:rFonts w:ascii="EC Square Sans Pro" w:hAnsi="EC Square Sans Pro"/>
      <w:sz w:val="20"/>
      <w:lang w:val="fr-BE"/>
    </w:rPr>
    <w:tblPr>
      <w:tblStyleRowBandSize w:val="1"/>
      <w:tblBorders>
        <w:top w:val="single" w:sz="4" w:space="0" w:color="F26A47" w:themeColor="accent1"/>
        <w:bottom w:val="single" w:sz="4" w:space="0" w:color="F26A47" w:themeColor="accent1"/>
        <w:insideH w:val="single" w:sz="4" w:space="0" w:color="F26A47" w:themeColor="accent1"/>
        <w:insideV w:val="single" w:sz="4" w:space="0" w:color="FFFFFF" w:themeColor="background1"/>
      </w:tblBorders>
      <w:tblCellMar>
        <w:left w:w="85" w:type="dxa"/>
        <w:right w:w="85" w:type="dxa"/>
      </w:tblCellMar>
    </w:tblPr>
    <w:tcPr>
      <w:shd w:val="clear" w:color="auto" w:fill="F2F2F2" w:themeFill="background1" w:themeFillShade="F2"/>
    </w:tcPr>
    <w:tblStylePr w:type="firstRow">
      <w:pPr>
        <w:wordWrap/>
        <w:spacing w:beforeLines="0" w:before="240" w:beforeAutospacing="0" w:afterLines="0" w:after="240" w:afterAutospacing="0"/>
        <w:jc w:val="center"/>
      </w:pPr>
      <w:rPr>
        <w:rFonts w:ascii="EC Square Sans Pro" w:hAnsi="EC Square Sans Pro"/>
        <w:b/>
        <w:bCs/>
        <w:i w:val="0"/>
        <w:color w:val="FFFFFF" w:themeColor="background1"/>
        <w:sz w:val="20"/>
      </w:rPr>
      <w:tblPr/>
      <w:tcPr>
        <w:tcBorders>
          <w:top w:val="single" w:sz="4" w:space="0" w:color="005D95" w:themeColor="accent4"/>
          <w:left w:val="nil"/>
          <w:bottom w:val="single" w:sz="4" w:space="0" w:color="005D95" w:themeColor="accent4"/>
          <w:right w:val="nil"/>
          <w:insideH w:val="nil"/>
          <w:insideV w:val="single" w:sz="4" w:space="0" w:color="FFFFFF" w:themeColor="background1"/>
          <w:tl2br w:val="nil"/>
          <w:tr2bl w:val="nil"/>
        </w:tcBorders>
        <w:shd w:val="clear" w:color="auto" w:fill="005D95"/>
      </w:tcPr>
    </w:tblStylePr>
    <w:tblStylePr w:type="lastRow">
      <w:rPr>
        <w:b/>
        <w:bCs/>
      </w:rPr>
    </w:tblStylePr>
    <w:tblStylePr w:type="firstCol">
      <w:rPr>
        <w:b/>
        <w:bCs/>
      </w:rPr>
    </w:tblStylePr>
    <w:tblStylePr w:type="lastCol">
      <w:rPr>
        <w:b/>
        <w:bCs/>
      </w:rPr>
    </w:tblStylePr>
    <w:tblStylePr w:type="band1Horz">
      <w:tblPr/>
      <w:tcPr>
        <w:tcBorders>
          <w:top w:val="nil"/>
          <w:left w:val="nil"/>
          <w:bottom w:val="single" w:sz="4" w:space="0" w:color="F26A47" w:themeColor="accent1"/>
          <w:right w:val="nil"/>
          <w:insideH w:val="nil"/>
          <w:insideV w:val="nil"/>
          <w:tl2br w:val="nil"/>
          <w:tr2bl w:val="nil"/>
        </w:tcBorders>
        <w:shd w:val="clear" w:color="auto" w:fill="F2F2F2" w:themeFill="background1" w:themeFillShade="F2"/>
      </w:tcPr>
    </w:tblStylePr>
    <w:tblStylePr w:type="band2Horz">
      <w:tblPr/>
      <w:tcPr>
        <w:shd w:val="clear" w:color="auto" w:fill="E0E0E0"/>
      </w:tcPr>
    </w:tblStylePr>
  </w:style>
  <w:style w:type="paragraph" w:customStyle="1" w:styleId="amprTable1datacells-Centered">
    <w:name w:val="[ampr Table 1] data cells - Centered"/>
    <w:basedOn w:val="BASE-STYLE-TEXT"/>
    <w:qFormat/>
    <w:pPr>
      <w:keepNext/>
      <w:autoSpaceDE w:val="0"/>
      <w:autoSpaceDN w:val="0"/>
      <w:adjustRightInd w:val="0"/>
      <w:spacing w:before="60" w:after="60" w:line="240" w:lineRule="auto"/>
      <w:jc w:val="center"/>
    </w:pPr>
    <w:rPr>
      <w:rFonts w:eastAsiaTheme="minorHAnsi"/>
      <w:color w:val="000000"/>
      <w:szCs w:val="22"/>
      <w:lang w:eastAsia="en-US"/>
    </w:rPr>
  </w:style>
  <w:style w:type="paragraph" w:customStyle="1" w:styleId="amprTable1datacells-Leftaligned">
    <w:name w:val="[ampr Table 1] data cells - Left aligned"/>
    <w:basedOn w:val="BASE-STYLE-TEXT"/>
    <w:qFormat/>
    <w:pPr>
      <w:keepNext/>
      <w:framePr w:hSpace="180" w:wrap="around" w:vAnchor="text" w:hAnchor="margin" w:y="414"/>
      <w:autoSpaceDE w:val="0"/>
      <w:autoSpaceDN w:val="0"/>
      <w:adjustRightInd w:val="0"/>
      <w:spacing w:before="60" w:after="60" w:line="240" w:lineRule="auto"/>
      <w:jc w:val="left"/>
    </w:pPr>
    <w:rPr>
      <w:rFonts w:eastAsiaTheme="minorHAnsi"/>
      <w:color w:val="auto"/>
      <w:sz w:val="20"/>
      <w:szCs w:val="22"/>
      <w:lang w:eastAsia="en-US"/>
    </w:rPr>
  </w:style>
  <w:style w:type="paragraph" w:customStyle="1" w:styleId="amprTable1TH-cols">
    <w:name w:val="[ampr Table 1] TH-cols"/>
    <w:basedOn w:val="BASE-STYLE-TEXT"/>
    <w:qFormat/>
    <w:pPr>
      <w:keepNext/>
      <w:framePr w:hSpace="180" w:wrap="around" w:vAnchor="text" w:hAnchor="margin" w:y="414"/>
      <w:autoSpaceDE w:val="0"/>
      <w:autoSpaceDN w:val="0"/>
      <w:adjustRightInd w:val="0"/>
      <w:spacing w:before="240" w:after="240" w:line="240" w:lineRule="auto"/>
      <w:jc w:val="center"/>
    </w:pPr>
    <w:rPr>
      <w:rFonts w:eastAsiaTheme="minorHAnsi"/>
      <w:b/>
      <w:color w:val="FFFFFF" w:themeColor="background1"/>
      <w:sz w:val="20"/>
      <w:szCs w:val="22"/>
      <w:lang w:eastAsia="en-US"/>
    </w:rPr>
  </w:style>
  <w:style w:type="paragraph" w:customStyle="1" w:styleId="amprTable1TH-rows">
    <w:name w:val="[ampr Table1] TH-rows"/>
    <w:basedOn w:val="BASE-STYLE-TEXT"/>
    <w:qFormat/>
    <w:pPr>
      <w:keepNext/>
      <w:framePr w:hSpace="180" w:wrap="around" w:vAnchor="text" w:hAnchor="margin" w:y="414"/>
      <w:autoSpaceDE w:val="0"/>
      <w:autoSpaceDN w:val="0"/>
      <w:adjustRightInd w:val="0"/>
      <w:spacing w:before="60" w:after="60" w:line="240" w:lineRule="auto"/>
      <w:jc w:val="left"/>
    </w:pPr>
    <w:rPr>
      <w:rFonts w:eastAsiaTheme="minorHAnsi"/>
      <w:b/>
      <w:color w:val="005D95" w:themeColor="accent4"/>
      <w:sz w:val="20"/>
      <w:szCs w:val="22"/>
      <w:lang w:eastAsia="en-US"/>
    </w:rPr>
  </w:style>
  <w:style w:type="paragraph" w:customStyle="1" w:styleId="amprTableBoxORANGEdashedText">
    <w:name w:val="[ampr TableBox ORANGE dashed] Text"/>
    <w:basedOn w:val="BASE-STYLE-TEXT"/>
    <w:qFormat/>
    <w:pPr>
      <w:spacing w:after="0" w:line="240" w:lineRule="auto"/>
    </w:pPr>
    <w:rPr>
      <w:sz w:val="20"/>
    </w:rPr>
  </w:style>
  <w:style w:type="paragraph" w:customStyle="1" w:styleId="amprCharttitle">
    <w:name w:val="[ampr] Chart title"/>
    <w:basedOn w:val="BASE-STYLE-TEXT"/>
    <w:next w:val="amprBodyText"/>
    <w:qFormat/>
    <w:pPr>
      <w:spacing w:before="40" w:after="0" w:line="240" w:lineRule="auto"/>
      <w:jc w:val="left"/>
    </w:pPr>
    <w:rPr>
      <w:rFonts w:ascii="EC Square Sans Cond Pro Medium" w:eastAsia="Calibri" w:hAnsi="EC Square Sans Cond Pro Medium"/>
      <w:color w:val="auto"/>
      <w:sz w:val="16"/>
      <w:szCs w:val="16"/>
      <w:lang w:eastAsia="fr-BE"/>
    </w:rPr>
  </w:style>
  <w:style w:type="paragraph" w:customStyle="1" w:styleId="amprSubhead2">
    <w:name w:val="[ampr] Subhead 2"/>
    <w:basedOn w:val="BASE-STYLE-HEADINGS"/>
    <w:next w:val="amprBodyText"/>
    <w:qFormat/>
    <w:pPr>
      <w:keepNext/>
      <w:keepLines/>
      <w:spacing w:before="480" w:after="240" w:line="240" w:lineRule="auto"/>
      <w:jc w:val="left"/>
    </w:pPr>
    <w:rPr>
      <w:b/>
      <w:color w:val="005D95" w:themeColor="accent4"/>
      <w:sz w:val="24"/>
    </w:rPr>
  </w:style>
  <w:style w:type="paragraph" w:customStyle="1" w:styleId="amprSubhead3">
    <w:name w:val="[ampr] Subhead 3"/>
    <w:basedOn w:val="BASE-STYLE-HEADINGS"/>
    <w:next w:val="amprBodyText"/>
    <w:qFormat/>
    <w:pPr>
      <w:keepNext/>
      <w:keepLines/>
      <w:spacing w:before="240" w:after="240" w:line="240" w:lineRule="auto"/>
      <w:ind w:left="340"/>
      <w:jc w:val="left"/>
    </w:pPr>
    <w:rPr>
      <w:b/>
      <w:color w:val="808080" w:themeColor="background1" w:themeShade="80"/>
      <w:sz w:val="24"/>
      <w14:textOutline w14:w="9525" w14:cap="rnd" w14:cmpd="sng" w14:algn="ctr">
        <w14:noFill/>
        <w14:prstDash w14:val="solid"/>
        <w14:bevel/>
      </w14:textOutline>
    </w:rPr>
  </w:style>
  <w:style w:type="paragraph" w:customStyle="1" w:styleId="amprTITLE1">
    <w:name w:val="[ampr] TITLE 1"/>
    <w:basedOn w:val="BASE-STYLE-HEADINGS"/>
    <w:next w:val="amprBodyText"/>
    <w:qFormat/>
    <w:pPr>
      <w:keepNext/>
      <w:keepLines/>
      <w:numPr>
        <w:numId w:val="27"/>
      </w:numPr>
      <w:spacing w:after="120" w:line="240" w:lineRule="auto"/>
      <w:jc w:val="left"/>
      <w:outlineLvl w:val="0"/>
    </w:pPr>
    <w:rPr>
      <w:color w:val="005D95" w:themeColor="accent4"/>
      <w:sz w:val="52"/>
    </w:rPr>
  </w:style>
  <w:style w:type="paragraph" w:customStyle="1" w:styleId="amprTITLE1-noTOC">
    <w:name w:val="[ampr] TITLE 1 - noTOC"/>
    <w:basedOn w:val="BASE-STYLE-HEADINGS"/>
    <w:qFormat/>
    <w:pPr>
      <w:keepNext/>
      <w:keepLines/>
      <w:pageBreakBefore/>
      <w:spacing w:after="120" w:line="240" w:lineRule="auto"/>
      <w:jc w:val="left"/>
    </w:pPr>
    <w:rPr>
      <w:color w:val="005D95" w:themeColor="accent4"/>
      <w:sz w:val="52"/>
    </w:rPr>
  </w:style>
  <w:style w:type="paragraph" w:customStyle="1" w:styleId="amprSec1TITLE1">
    <w:name w:val="[ampr_Sec1] TITLE 1"/>
    <w:basedOn w:val="BASE-STYLE-HEADINGS"/>
    <w:next w:val="amprBodyText"/>
    <w:qFormat/>
    <w:pPr>
      <w:spacing w:before="7200" w:after="240" w:line="240" w:lineRule="auto"/>
      <w:ind w:left="4196"/>
      <w:jc w:val="left"/>
      <w:outlineLvl w:val="0"/>
    </w:pPr>
    <w:rPr>
      <w:rFonts w:ascii="EC Square Sans Pro Light" w:eastAsiaTheme="minorHAnsi" w:hAnsi="EC Square Sans Pro Light" w:cstheme="minorBidi"/>
      <w:color w:val="005D95" w:themeColor="accent4"/>
      <w:sz w:val="72"/>
      <w:szCs w:val="72"/>
      <w:lang w:eastAsia="en-US"/>
    </w:rPr>
  </w:style>
  <w:style w:type="paragraph" w:customStyle="1" w:styleId="amprSec2TITLE1">
    <w:name w:val="[ampr_Sec2] TITLE 1"/>
    <w:basedOn w:val="BASE-STYLE-HEADINGS"/>
    <w:next w:val="amprBodyText"/>
    <w:qFormat/>
    <w:pPr>
      <w:spacing w:before="7680" w:after="240" w:line="240" w:lineRule="auto"/>
      <w:ind w:left="3856"/>
      <w:jc w:val="left"/>
      <w:outlineLvl w:val="0"/>
    </w:pPr>
    <w:rPr>
      <w:rFonts w:ascii="EC Square Sans Pro Light" w:eastAsiaTheme="minorHAnsi" w:hAnsi="EC Square Sans Pro Light" w:cstheme="minorBidi"/>
      <w:color w:val="005D95" w:themeColor="accent4"/>
      <w:sz w:val="72"/>
      <w:szCs w:val="72"/>
      <w:lang w:eastAsia="en-US"/>
    </w:rPr>
  </w:style>
  <w:style w:type="paragraph" w:customStyle="1" w:styleId="ppo-amprBodyText10pt">
    <w:name w:val="[ppo-ampr] Body Text 10pt"/>
    <w:basedOn w:val="BASE-STYLE-TEXT"/>
    <w:next w:val="Normal"/>
    <w:qFormat/>
    <w:pPr>
      <w:spacing w:after="120" w:line="240" w:lineRule="auto"/>
    </w:pPr>
    <w:rPr>
      <w:sz w:val="20"/>
    </w:rPr>
  </w:style>
  <w:style w:type="numbering" w:styleId="111111">
    <w:name w:val="Outline List 2"/>
    <w:basedOn w:val="NoList"/>
    <w:uiPriority w:val="99"/>
    <w:semiHidden/>
    <w:unhideWhenUsed/>
    <w:pPr>
      <w:numPr>
        <w:numId w:val="4"/>
      </w:numPr>
    </w:pPr>
  </w:style>
  <w:style w:type="numbering" w:styleId="1ai">
    <w:name w:val="Outline List 1"/>
    <w:basedOn w:val="NoList"/>
    <w:uiPriority w:val="99"/>
    <w:semiHidden/>
    <w:unhideWhenUsed/>
    <w:pPr>
      <w:numPr>
        <w:numId w:val="5"/>
      </w:numP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noProof w:val="0"/>
      <w:color w:val="91250A"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noProof w:val="0"/>
      <w:color w:val="DA380F" w:themeColor="accent1" w:themeShade="BF"/>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noProof w:val="0"/>
      <w:color w:val="DA380F"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noProof w:val="0"/>
      <w:color w:val="91250A"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noProof w:val="0"/>
      <w:color w:val="91250A"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noProof w:val="0"/>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noProof w:val="0"/>
      <w:color w:val="272727" w:themeColor="text1" w:themeTint="D8"/>
      <w:sz w:val="21"/>
      <w:szCs w:val="21"/>
    </w:rPr>
  </w:style>
  <w:style w:type="numbering" w:styleId="ArticleSection">
    <w:name w:val="Outline List 3"/>
    <w:basedOn w:val="NoList"/>
    <w:uiPriority w:val="99"/>
    <w:semiHidden/>
    <w:unhideWhenUsed/>
    <w:pPr>
      <w:numPr>
        <w:numId w:val="6"/>
      </w:numPr>
    </w:p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F26A47" w:themeColor="accent1" w:shadow="1"/>
        <w:left w:val="single" w:sz="2" w:space="10" w:color="F26A47" w:themeColor="accent1" w:shadow="1"/>
        <w:bottom w:val="single" w:sz="2" w:space="10" w:color="F26A47" w:themeColor="accent1" w:shadow="1"/>
        <w:right w:val="single" w:sz="2" w:space="10" w:color="F26A47" w:themeColor="accent1" w:shadow="1"/>
      </w:pBdr>
      <w:ind w:left="1152" w:right="1152"/>
    </w:pPr>
    <w:rPr>
      <w:rFonts w:eastAsiaTheme="minorEastAsia"/>
      <w:i/>
      <w:iCs/>
      <w:color w:val="F26A47" w:themeColor="accent1"/>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noProof w:val="0"/>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noProof w:val="0"/>
      <w:sz w:val="16"/>
      <w:szCs w:val="16"/>
    </w:rPr>
  </w:style>
  <w:style w:type="paragraph" w:styleId="BodyTextFirstIndent">
    <w:name w:val="Body Text First Indent"/>
    <w:basedOn w:val="BodyText"/>
    <w:link w:val="BodyTextFirstIndentChar"/>
    <w:uiPriority w:val="99"/>
    <w:semiHidden/>
    <w:unhideWhenUsed/>
    <w:pPr>
      <w:spacing w:after="160" w:line="259" w:lineRule="auto"/>
      <w:ind w:firstLine="360"/>
      <w:jc w:val="left"/>
    </w:pPr>
    <w:rPr>
      <w:rFonts w:asciiTheme="minorHAnsi" w:eastAsiaTheme="minorHAnsi" w:hAnsiTheme="minorHAnsi" w:cstheme="minorBidi"/>
      <w:sz w:val="22"/>
      <w:szCs w:val="22"/>
      <w:lang w:eastAsia="en-US"/>
    </w:rPr>
  </w:style>
  <w:style w:type="character" w:customStyle="1" w:styleId="BodyTextFirstIndentChar">
    <w:name w:val="Body Text First Indent Char"/>
    <w:basedOn w:val="BodyTextChar"/>
    <w:link w:val="BodyTextFirstIndent"/>
    <w:uiPriority w:val="99"/>
    <w:semiHidden/>
    <w:rPr>
      <w:rFonts w:ascii="Times New Roman" w:eastAsia="Times New Roman" w:hAnsi="Times New Roman" w:cs="Times New Roman"/>
      <w:noProof w:val="0"/>
      <w:sz w:val="24"/>
      <w:szCs w:val="20"/>
      <w:lang w:eastAsia="fr-BE"/>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noProof w:val="0"/>
    </w:rPr>
  </w:style>
  <w:style w:type="paragraph" w:styleId="BodyTextFirstIndent2">
    <w:name w:val="Body Text First Indent 2"/>
    <w:basedOn w:val="BodyTextIndent"/>
    <w:link w:val="BodyTextFirstIndent2Char"/>
    <w:uiPriority w:val="99"/>
    <w:semiHidden/>
    <w:unhideWhenUsed/>
    <w:pPr>
      <w:spacing w:after="160"/>
      <w:ind w:left="360" w:firstLine="360"/>
    </w:pPr>
  </w:style>
  <w:style w:type="character" w:customStyle="1" w:styleId="BodyTextFirstIndent2Char">
    <w:name w:val="Body Text First Indent 2 Char"/>
    <w:basedOn w:val="BodyTextIndentChar"/>
    <w:link w:val="BodyTextFirstIndent2"/>
    <w:uiPriority w:val="99"/>
    <w:semiHidden/>
    <w:rPr>
      <w:noProof w:val="0"/>
    </w:r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rPr>
      <w:noProof w:val="0"/>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noProof w:val="0"/>
      <w:sz w:val="16"/>
      <w:szCs w:val="16"/>
    </w:rPr>
  </w:style>
  <w:style w:type="character" w:styleId="BookTitle">
    <w:name w:val="Book Title"/>
    <w:basedOn w:val="DefaultParagraphFont"/>
    <w:uiPriority w:val="33"/>
    <w:semiHidden/>
    <w:qFormat/>
    <w:rPr>
      <w:b/>
      <w:bCs/>
      <w:i/>
      <w:iCs/>
      <w:noProof w:val="0"/>
      <w:spacing w:val="5"/>
    </w:rPr>
  </w:style>
  <w:style w:type="paragraph" w:styleId="Caption">
    <w:name w:val="caption"/>
    <w:basedOn w:val="Normal"/>
    <w:next w:val="Normal"/>
    <w:uiPriority w:val="35"/>
    <w:semiHidden/>
    <w:unhideWhenUsed/>
    <w:qFormat/>
    <w:pPr>
      <w:spacing w:after="200" w:line="240" w:lineRule="auto"/>
    </w:pPr>
    <w:rPr>
      <w:i/>
      <w:iCs/>
      <w:color w:val="203F79" w:themeColor="text2"/>
      <w:sz w:val="18"/>
      <w:szCs w:val="18"/>
    </w:rPr>
  </w:style>
  <w:style w:type="paragraph" w:styleId="Closing">
    <w:name w:val="Closing"/>
    <w:basedOn w:val="Normal"/>
    <w:link w:val="ClosingChar"/>
    <w:uiPriority w:val="99"/>
    <w:semiHidden/>
    <w:unhideWhenUsed/>
    <w:pPr>
      <w:spacing w:after="0" w:line="240" w:lineRule="auto"/>
      <w:ind w:left="4252"/>
    </w:pPr>
  </w:style>
  <w:style w:type="character" w:customStyle="1" w:styleId="ClosingChar">
    <w:name w:val="Closing Char"/>
    <w:basedOn w:val="DefaultParagraphFont"/>
    <w:link w:val="Closing"/>
    <w:uiPriority w:val="99"/>
    <w:semiHidden/>
    <w:rPr>
      <w:noProof w:val="0"/>
    </w:rPr>
  </w:style>
  <w:style w:type="table" w:styleId="ColorfulGrid">
    <w:name w:val="Colorful Grid"/>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0D9" w:themeFill="accent1" w:themeFillTint="33"/>
    </w:tcPr>
    <w:tblStylePr w:type="firstRow">
      <w:rPr>
        <w:b/>
        <w:bCs/>
      </w:rPr>
      <w:tblPr/>
      <w:tcPr>
        <w:shd w:val="clear" w:color="auto" w:fill="F9C3B5" w:themeFill="accent1" w:themeFillTint="66"/>
      </w:tcPr>
    </w:tblStylePr>
    <w:tblStylePr w:type="lastRow">
      <w:rPr>
        <w:b/>
        <w:bCs/>
        <w:color w:val="000000" w:themeColor="text1"/>
      </w:rPr>
      <w:tblPr/>
      <w:tcPr>
        <w:shd w:val="clear" w:color="auto" w:fill="F9C3B5" w:themeFill="accent1" w:themeFillTint="66"/>
      </w:tcPr>
    </w:tblStylePr>
    <w:tblStylePr w:type="firstCol">
      <w:rPr>
        <w:color w:val="FFFFFF" w:themeColor="background1"/>
      </w:rPr>
      <w:tblPr/>
      <w:tcPr>
        <w:shd w:val="clear" w:color="auto" w:fill="DA380F" w:themeFill="accent1" w:themeFillShade="BF"/>
      </w:tcPr>
    </w:tblStylePr>
    <w:tblStylePr w:type="lastCol">
      <w:rPr>
        <w:color w:val="FFFFFF" w:themeColor="background1"/>
      </w:rPr>
      <w:tblPr/>
      <w:tcPr>
        <w:shd w:val="clear" w:color="auto" w:fill="DA380F" w:themeFill="accent1" w:themeFillShade="BF"/>
      </w:tcPr>
    </w:tblStylePr>
    <w:tblStylePr w:type="band1Vert">
      <w:tblPr/>
      <w:tcPr>
        <w:shd w:val="clear" w:color="auto" w:fill="F8B4A3" w:themeFill="accent1" w:themeFillTint="7F"/>
      </w:tcPr>
    </w:tblStylePr>
    <w:tblStylePr w:type="band1Horz">
      <w:tblPr/>
      <w:tcPr>
        <w:shd w:val="clear" w:color="auto" w:fill="F8B4A3"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2" w:themeFillTint="33"/>
    </w:tcPr>
    <w:tblStylePr w:type="firstRow">
      <w:rPr>
        <w:b/>
        <w:bCs/>
      </w:rPr>
      <w:tblPr/>
      <w:tcPr>
        <w:shd w:val="clear" w:color="auto" w:fill="FFE599" w:themeFill="accent2" w:themeFillTint="66"/>
      </w:tcPr>
    </w:tblStylePr>
    <w:tblStylePr w:type="lastRow">
      <w:rPr>
        <w:b/>
        <w:bCs/>
        <w:color w:val="000000" w:themeColor="text1"/>
      </w:rPr>
      <w:tblPr/>
      <w:tcPr>
        <w:shd w:val="clear" w:color="auto" w:fill="FFE599" w:themeFill="accent2" w:themeFillTint="66"/>
      </w:tcPr>
    </w:tblStylePr>
    <w:tblStylePr w:type="firstCol">
      <w:rPr>
        <w:color w:val="FFFFFF" w:themeColor="background1"/>
      </w:rPr>
      <w:tblPr/>
      <w:tcPr>
        <w:shd w:val="clear" w:color="auto" w:fill="BF8F00" w:themeFill="accent2" w:themeFillShade="BF"/>
      </w:tcPr>
    </w:tblStylePr>
    <w:tblStylePr w:type="lastCol">
      <w:rPr>
        <w:color w:val="FFFFFF" w:themeColor="background1"/>
      </w:rPr>
      <w:tblPr/>
      <w:tcPr>
        <w:shd w:val="clear" w:color="auto" w:fill="BF8F00" w:themeFill="accent2" w:themeFillShade="BF"/>
      </w:tcPr>
    </w:tblStylePr>
    <w:tblStylePr w:type="band1Vert">
      <w:tblPr/>
      <w:tcPr>
        <w:shd w:val="clear" w:color="auto" w:fill="FFDF80" w:themeFill="accent2" w:themeFillTint="7F"/>
      </w:tcPr>
    </w:tblStylePr>
    <w:tblStylePr w:type="band1Horz">
      <w:tblPr/>
      <w:tcPr>
        <w:shd w:val="clear" w:color="auto" w:fill="FFDF80"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6E3FF" w:themeFill="accent4" w:themeFillTint="33"/>
    </w:tcPr>
    <w:tblStylePr w:type="firstRow">
      <w:rPr>
        <w:b/>
        <w:bCs/>
      </w:rPr>
      <w:tblPr/>
      <w:tcPr>
        <w:shd w:val="clear" w:color="auto" w:fill="6EC8FF" w:themeFill="accent4" w:themeFillTint="66"/>
      </w:tcPr>
    </w:tblStylePr>
    <w:tblStylePr w:type="lastRow">
      <w:rPr>
        <w:b/>
        <w:bCs/>
        <w:color w:val="000000" w:themeColor="text1"/>
      </w:rPr>
      <w:tblPr/>
      <w:tcPr>
        <w:shd w:val="clear" w:color="auto" w:fill="6EC8FF" w:themeFill="accent4" w:themeFillTint="66"/>
      </w:tcPr>
    </w:tblStylePr>
    <w:tblStylePr w:type="firstCol">
      <w:rPr>
        <w:color w:val="FFFFFF" w:themeColor="background1"/>
      </w:rPr>
      <w:tblPr/>
      <w:tcPr>
        <w:shd w:val="clear" w:color="auto" w:fill="00456F" w:themeFill="accent4" w:themeFillShade="BF"/>
      </w:tcPr>
    </w:tblStylePr>
    <w:tblStylePr w:type="lastCol">
      <w:rPr>
        <w:color w:val="FFFFFF" w:themeColor="background1"/>
      </w:rPr>
      <w:tblPr/>
      <w:tcPr>
        <w:shd w:val="clear" w:color="auto" w:fill="00456F" w:themeFill="accent4" w:themeFillShade="BF"/>
      </w:tcPr>
    </w:tblStylePr>
    <w:tblStylePr w:type="band1Vert">
      <w:tblPr/>
      <w:tcPr>
        <w:shd w:val="clear" w:color="auto" w:fill="4BBBFF" w:themeFill="accent4" w:themeFillTint="7F"/>
      </w:tcPr>
    </w:tblStylePr>
    <w:tblStylePr w:type="band1Horz">
      <w:tblPr/>
      <w:tcPr>
        <w:shd w:val="clear" w:color="auto" w:fill="4BBBFF"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FBF" w:themeFill="accent5" w:themeFillTint="33"/>
    </w:tcPr>
    <w:tblStylePr w:type="firstRow">
      <w:rPr>
        <w:b/>
        <w:bCs/>
      </w:rPr>
      <w:tblPr/>
      <w:tcPr>
        <w:shd w:val="clear" w:color="auto" w:fill="FF7F7F" w:themeFill="accent5" w:themeFillTint="66"/>
      </w:tcPr>
    </w:tblStylePr>
    <w:tblStylePr w:type="lastRow">
      <w:rPr>
        <w:b/>
        <w:bCs/>
        <w:color w:val="000000" w:themeColor="text1"/>
      </w:rPr>
      <w:tblPr/>
      <w:tcPr>
        <w:shd w:val="clear" w:color="auto" w:fill="FF7F7F" w:themeFill="accent5" w:themeFillTint="66"/>
      </w:tcPr>
    </w:tblStylePr>
    <w:tblStylePr w:type="firstCol">
      <w:rPr>
        <w:color w:val="FFFFFF" w:themeColor="background1"/>
      </w:rPr>
      <w:tblPr/>
      <w:tcPr>
        <w:shd w:val="clear" w:color="auto" w:fill="8F0000" w:themeFill="accent5" w:themeFillShade="BF"/>
      </w:tcPr>
    </w:tblStylePr>
    <w:tblStylePr w:type="lastCol">
      <w:rPr>
        <w:color w:val="FFFFFF" w:themeColor="background1"/>
      </w:rPr>
      <w:tblPr/>
      <w:tcPr>
        <w:shd w:val="clear" w:color="auto" w:fill="8F0000" w:themeFill="accent5" w:themeFillShade="BF"/>
      </w:tcPr>
    </w:tblStylePr>
    <w:tblStylePr w:type="band1Vert">
      <w:tblPr/>
      <w:tcPr>
        <w:shd w:val="clear" w:color="auto" w:fill="FF6060" w:themeFill="accent5" w:themeFillTint="7F"/>
      </w:tcPr>
    </w:tblStylePr>
    <w:tblStylePr w:type="band1Horz">
      <w:tblPr/>
      <w:tcPr>
        <w:shd w:val="clear" w:color="auto" w:fill="FF6060"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DAED" w:themeFill="accent6" w:themeFillTint="33"/>
    </w:tcPr>
    <w:tblStylePr w:type="firstRow">
      <w:rPr>
        <w:b/>
        <w:bCs/>
      </w:rPr>
      <w:tblPr/>
      <w:tcPr>
        <w:shd w:val="clear" w:color="auto" w:fill="BAB6DB" w:themeFill="accent6" w:themeFillTint="66"/>
      </w:tcPr>
    </w:tblStylePr>
    <w:tblStylePr w:type="lastRow">
      <w:rPr>
        <w:b/>
        <w:bCs/>
        <w:color w:val="000000" w:themeColor="text1"/>
      </w:rPr>
      <w:tblPr/>
      <w:tcPr>
        <w:shd w:val="clear" w:color="auto" w:fill="BAB6DB" w:themeFill="accent6" w:themeFillTint="66"/>
      </w:tcPr>
    </w:tblStylePr>
    <w:tblStylePr w:type="firstCol">
      <w:rPr>
        <w:color w:val="FFFFFF" w:themeColor="background1"/>
      </w:rPr>
      <w:tblPr/>
      <w:tcPr>
        <w:shd w:val="clear" w:color="auto" w:fill="413B78" w:themeFill="accent6" w:themeFillShade="BF"/>
      </w:tcPr>
    </w:tblStylePr>
    <w:tblStylePr w:type="lastCol">
      <w:rPr>
        <w:color w:val="FFFFFF" w:themeColor="background1"/>
      </w:rPr>
      <w:tblPr/>
      <w:tcPr>
        <w:shd w:val="clear" w:color="auto" w:fill="413B78" w:themeFill="accent6" w:themeFillShade="BF"/>
      </w:tcPr>
    </w:tblStylePr>
    <w:tblStylePr w:type="band1Vert">
      <w:tblPr/>
      <w:tcPr>
        <w:shd w:val="clear" w:color="auto" w:fill="A9A4D2" w:themeFill="accent6" w:themeFillTint="7F"/>
      </w:tcPr>
    </w:tblStylePr>
    <w:tblStylePr w:type="band1Horz">
      <w:tblPr/>
      <w:tcPr>
        <w:shd w:val="clear" w:color="auto" w:fill="A9A4D2"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9900" w:themeFill="accent2" w:themeFillShade="CC"/>
      </w:tcPr>
    </w:tblStylePr>
    <w:tblStylePr w:type="lastRow">
      <w:rPr>
        <w:b/>
        <w:bCs/>
        <w:color w:val="CC9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rPr>
    <w:tblPr>
      <w:tblStyleRowBandSize w:val="1"/>
      <w:tblStyleColBandSize w:val="1"/>
    </w:tblPr>
    <w:tcPr>
      <w:shd w:val="clear" w:color="auto" w:fill="FDF0EC" w:themeFill="accent1" w:themeFillTint="19"/>
    </w:tcPr>
    <w:tblStylePr w:type="firstRow">
      <w:rPr>
        <w:b/>
        <w:bCs/>
        <w:color w:val="FFFFFF" w:themeColor="background1"/>
      </w:rPr>
      <w:tblPr/>
      <w:tcPr>
        <w:tcBorders>
          <w:bottom w:val="single" w:sz="12" w:space="0" w:color="FFFFFF" w:themeColor="background1"/>
        </w:tcBorders>
        <w:shd w:val="clear" w:color="auto" w:fill="CC9900" w:themeFill="accent2" w:themeFillShade="CC"/>
      </w:tcPr>
    </w:tblStylePr>
    <w:tblStylePr w:type="lastRow">
      <w:rPr>
        <w:b/>
        <w:bCs/>
        <w:color w:val="CC9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D1" w:themeFill="accent1" w:themeFillTint="3F"/>
      </w:tcPr>
    </w:tblStylePr>
    <w:tblStylePr w:type="band1Horz">
      <w:tblPr/>
      <w:tcPr>
        <w:shd w:val="clear" w:color="auto" w:fill="FCE0D9"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rPr>
    <w:tblPr>
      <w:tblStyleRowBandSize w:val="1"/>
      <w:tblStyleColBandSize w:val="1"/>
    </w:tblPr>
    <w:tcPr>
      <w:shd w:val="clear" w:color="auto" w:fill="FFF8E6" w:themeFill="accent2" w:themeFillTint="19"/>
    </w:tcPr>
    <w:tblStylePr w:type="firstRow">
      <w:rPr>
        <w:b/>
        <w:bCs/>
        <w:color w:val="FFFFFF" w:themeColor="background1"/>
      </w:rPr>
      <w:tblPr/>
      <w:tcPr>
        <w:tcBorders>
          <w:bottom w:val="single" w:sz="12" w:space="0" w:color="FFFFFF" w:themeColor="background1"/>
        </w:tcBorders>
        <w:shd w:val="clear" w:color="auto" w:fill="CC9900" w:themeFill="accent2" w:themeFillShade="CC"/>
      </w:tcPr>
    </w:tblStylePr>
    <w:tblStylePr w:type="lastRow">
      <w:rPr>
        <w:b/>
        <w:bCs/>
        <w:color w:val="CC9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2" w:themeFillTint="3F"/>
      </w:tcPr>
    </w:tblStylePr>
    <w:tblStylePr w:type="band1Horz">
      <w:tblPr/>
      <w:tcPr>
        <w:shd w:val="clear" w:color="auto" w:fill="FFF2CC"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004A77" w:themeFill="accent4" w:themeFillShade="CC"/>
      </w:tcPr>
    </w:tblStylePr>
    <w:tblStylePr w:type="lastRow">
      <w:rPr>
        <w:b/>
        <w:bCs/>
        <w:color w:val="004A7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rPr>
    <w:tblPr>
      <w:tblStyleRowBandSize w:val="1"/>
      <w:tblStyleColBandSize w:val="1"/>
    </w:tblPr>
    <w:tcPr>
      <w:shd w:val="clear" w:color="auto" w:fill="DBF1FF"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5DDFF" w:themeFill="accent4" w:themeFillTint="3F"/>
      </w:tcPr>
    </w:tblStylePr>
    <w:tblStylePr w:type="band1Horz">
      <w:tblPr/>
      <w:tcPr>
        <w:shd w:val="clear" w:color="auto" w:fill="B6E3FF"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rPr>
    <w:tblPr>
      <w:tblStyleRowBandSize w:val="1"/>
      <w:tblStyleColBandSize w:val="1"/>
    </w:tblPr>
    <w:tcPr>
      <w:shd w:val="clear" w:color="auto" w:fill="FFDFDF" w:themeFill="accent5" w:themeFillTint="19"/>
    </w:tcPr>
    <w:tblStylePr w:type="firstRow">
      <w:rPr>
        <w:b/>
        <w:bCs/>
        <w:color w:val="FFFFFF" w:themeColor="background1"/>
      </w:rPr>
      <w:tblPr/>
      <w:tcPr>
        <w:tcBorders>
          <w:bottom w:val="single" w:sz="12" w:space="0" w:color="FFFFFF" w:themeColor="background1"/>
        </w:tcBorders>
        <w:shd w:val="clear" w:color="auto" w:fill="463F80" w:themeFill="accent6" w:themeFillShade="CC"/>
      </w:tcPr>
    </w:tblStylePr>
    <w:tblStylePr w:type="lastRow">
      <w:rPr>
        <w:b/>
        <w:bCs/>
        <w:color w:val="463F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5" w:themeFillTint="3F"/>
      </w:tcPr>
    </w:tblStylePr>
    <w:tblStylePr w:type="band1Horz">
      <w:tblPr/>
      <w:tcPr>
        <w:shd w:val="clear" w:color="auto" w:fill="FFBFBF"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rPr>
    <w:tblPr>
      <w:tblStyleRowBandSize w:val="1"/>
      <w:tblStyleColBandSize w:val="1"/>
    </w:tblPr>
    <w:tcPr>
      <w:shd w:val="clear" w:color="auto" w:fill="EDEDF6" w:themeFill="accent6" w:themeFillTint="19"/>
    </w:tcPr>
    <w:tblStylePr w:type="firstRow">
      <w:rPr>
        <w:b/>
        <w:bCs/>
        <w:color w:val="FFFFFF" w:themeColor="background1"/>
      </w:rPr>
      <w:tblPr/>
      <w:tcPr>
        <w:tcBorders>
          <w:bottom w:val="single" w:sz="12" w:space="0" w:color="FFFFFF" w:themeColor="background1"/>
        </w:tcBorders>
        <w:shd w:val="clear" w:color="auto" w:fill="990000" w:themeFill="accent5" w:themeFillShade="CC"/>
      </w:tcPr>
    </w:tblStylePr>
    <w:tblStylePr w:type="lastRow">
      <w:rPr>
        <w:b/>
        <w:bCs/>
        <w:color w:val="99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2E9" w:themeFill="accent6" w:themeFillTint="3F"/>
      </w:tcPr>
    </w:tblStylePr>
    <w:tblStylePr w:type="band1Horz">
      <w:tblPr/>
      <w:tcPr>
        <w:shd w:val="clear" w:color="auto" w:fill="DCDAED"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rPr>
    <w:tblPr>
      <w:tblStyleRowBandSize w:val="1"/>
      <w:tblStyleColBandSize w:val="1"/>
      <w:tblBorders>
        <w:top w:val="single" w:sz="24" w:space="0" w:color="FFC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C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rPr>
    <w:tblPr>
      <w:tblStyleRowBandSize w:val="1"/>
      <w:tblStyleColBandSize w:val="1"/>
      <w:tblBorders>
        <w:top w:val="single" w:sz="24" w:space="0" w:color="FFC000" w:themeColor="accent2"/>
        <w:left w:val="single" w:sz="4" w:space="0" w:color="F26A47" w:themeColor="accent1"/>
        <w:bottom w:val="single" w:sz="4" w:space="0" w:color="F26A47" w:themeColor="accent1"/>
        <w:right w:val="single" w:sz="4" w:space="0" w:color="F26A47" w:themeColor="accent1"/>
        <w:insideH w:val="single" w:sz="4" w:space="0" w:color="FFFFFF" w:themeColor="background1"/>
        <w:insideV w:val="single" w:sz="4" w:space="0" w:color="FFFFFF" w:themeColor="background1"/>
      </w:tblBorders>
    </w:tblPr>
    <w:tcPr>
      <w:shd w:val="clear" w:color="auto" w:fill="FDF0EC" w:themeFill="accent1" w:themeFillTint="19"/>
    </w:tcPr>
    <w:tblStylePr w:type="firstRow">
      <w:rPr>
        <w:b/>
        <w:bCs/>
      </w:rPr>
      <w:tblPr/>
      <w:tcPr>
        <w:tcBorders>
          <w:top w:val="nil"/>
          <w:left w:val="nil"/>
          <w:bottom w:val="single" w:sz="24" w:space="0" w:color="FFC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2D0C" w:themeFill="accent1" w:themeFillShade="99"/>
      </w:tcPr>
    </w:tblStylePr>
    <w:tblStylePr w:type="firstCol">
      <w:rPr>
        <w:color w:val="FFFFFF" w:themeColor="background1"/>
      </w:rPr>
      <w:tblPr/>
      <w:tcPr>
        <w:tcBorders>
          <w:top w:val="nil"/>
          <w:left w:val="nil"/>
          <w:bottom w:val="nil"/>
          <w:right w:val="nil"/>
          <w:insideH w:val="single" w:sz="4" w:space="0" w:color="AF2D0C" w:themeColor="accent1" w:themeShade="99"/>
          <w:insideV w:val="nil"/>
        </w:tcBorders>
        <w:shd w:val="clear" w:color="auto" w:fill="AF2D0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F2D0C" w:themeFill="accent1" w:themeFillShade="99"/>
      </w:tcPr>
    </w:tblStylePr>
    <w:tblStylePr w:type="band1Vert">
      <w:tblPr/>
      <w:tcPr>
        <w:shd w:val="clear" w:color="auto" w:fill="F9C3B5" w:themeFill="accent1" w:themeFillTint="66"/>
      </w:tcPr>
    </w:tblStylePr>
    <w:tblStylePr w:type="band1Horz">
      <w:tblPr/>
      <w:tcPr>
        <w:shd w:val="clear" w:color="auto" w:fill="F8B4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rPr>
    <w:tblPr>
      <w:tblStyleRowBandSize w:val="1"/>
      <w:tblStyleColBandSize w:val="1"/>
      <w:tblBorders>
        <w:top w:val="single" w:sz="24" w:space="0" w:color="FFC000" w:themeColor="accent2"/>
        <w:left w:val="single" w:sz="4" w:space="0" w:color="FFC000" w:themeColor="accent2"/>
        <w:bottom w:val="single" w:sz="4" w:space="0" w:color="FFC000" w:themeColor="accent2"/>
        <w:right w:val="single" w:sz="4" w:space="0" w:color="FFC000" w:themeColor="accent2"/>
        <w:insideH w:val="single" w:sz="4" w:space="0" w:color="FFFFFF" w:themeColor="background1"/>
        <w:insideV w:val="single" w:sz="4" w:space="0" w:color="FFFFFF" w:themeColor="background1"/>
      </w:tblBorders>
    </w:tblPr>
    <w:tcPr>
      <w:shd w:val="clear" w:color="auto" w:fill="FFF8E6" w:themeFill="accent2" w:themeFillTint="19"/>
    </w:tcPr>
    <w:tblStylePr w:type="firstRow">
      <w:rPr>
        <w:b/>
        <w:bCs/>
      </w:rPr>
      <w:tblPr/>
      <w:tcPr>
        <w:tcBorders>
          <w:top w:val="nil"/>
          <w:left w:val="nil"/>
          <w:bottom w:val="single" w:sz="24" w:space="0" w:color="FFC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2" w:themeFillShade="99"/>
      </w:tcPr>
    </w:tblStylePr>
    <w:tblStylePr w:type="firstCol">
      <w:rPr>
        <w:color w:val="FFFFFF" w:themeColor="background1"/>
      </w:rPr>
      <w:tblPr/>
      <w:tcPr>
        <w:tcBorders>
          <w:top w:val="nil"/>
          <w:left w:val="nil"/>
          <w:bottom w:val="nil"/>
          <w:right w:val="nil"/>
          <w:insideH w:val="single" w:sz="4" w:space="0" w:color="997300" w:themeColor="accent2" w:themeShade="99"/>
          <w:insideV w:val="nil"/>
        </w:tcBorders>
        <w:shd w:val="clear" w:color="auto" w:fill="9973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2" w:themeFillShade="99"/>
      </w:tcPr>
    </w:tblStylePr>
    <w:tblStylePr w:type="band1Vert">
      <w:tblPr/>
      <w:tcPr>
        <w:shd w:val="clear" w:color="auto" w:fill="FFE599" w:themeFill="accent2" w:themeFillTint="66"/>
      </w:tcPr>
    </w:tblStylePr>
    <w:tblStylePr w:type="band1Horz">
      <w:tblPr/>
      <w:tcPr>
        <w:shd w:val="clear" w:color="auto" w:fill="FFDF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rPr>
    <w:tblPr>
      <w:tblStyleRowBandSize w:val="1"/>
      <w:tblStyleColBandSize w:val="1"/>
      <w:tblBorders>
        <w:top w:val="single" w:sz="24" w:space="0" w:color="005D95"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005D9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rPr>
    <w:tblPr>
      <w:tblStyleRowBandSize w:val="1"/>
      <w:tblStyleColBandSize w:val="1"/>
      <w:tblBorders>
        <w:top w:val="single" w:sz="24" w:space="0" w:color="00B050" w:themeColor="accent3"/>
        <w:left w:val="single" w:sz="4" w:space="0" w:color="005D95" w:themeColor="accent4"/>
        <w:bottom w:val="single" w:sz="4" w:space="0" w:color="005D95" w:themeColor="accent4"/>
        <w:right w:val="single" w:sz="4" w:space="0" w:color="005D95" w:themeColor="accent4"/>
        <w:insideH w:val="single" w:sz="4" w:space="0" w:color="FFFFFF" w:themeColor="background1"/>
        <w:insideV w:val="single" w:sz="4" w:space="0" w:color="FFFFFF" w:themeColor="background1"/>
      </w:tblBorders>
    </w:tblPr>
    <w:tcPr>
      <w:shd w:val="clear" w:color="auto" w:fill="DBF1FF"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59" w:themeFill="accent4" w:themeFillShade="99"/>
      </w:tcPr>
    </w:tblStylePr>
    <w:tblStylePr w:type="firstCol">
      <w:rPr>
        <w:color w:val="FFFFFF" w:themeColor="background1"/>
      </w:rPr>
      <w:tblPr/>
      <w:tcPr>
        <w:tcBorders>
          <w:top w:val="nil"/>
          <w:left w:val="nil"/>
          <w:bottom w:val="nil"/>
          <w:right w:val="nil"/>
          <w:insideH w:val="single" w:sz="4" w:space="0" w:color="003759" w:themeColor="accent4" w:themeShade="99"/>
          <w:insideV w:val="nil"/>
        </w:tcBorders>
        <w:shd w:val="clear" w:color="auto" w:fill="00375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759" w:themeFill="accent4" w:themeFillShade="99"/>
      </w:tcPr>
    </w:tblStylePr>
    <w:tblStylePr w:type="band1Vert">
      <w:tblPr/>
      <w:tcPr>
        <w:shd w:val="clear" w:color="auto" w:fill="6EC8FF" w:themeFill="accent4" w:themeFillTint="66"/>
      </w:tcPr>
    </w:tblStylePr>
    <w:tblStylePr w:type="band1Horz">
      <w:tblPr/>
      <w:tcPr>
        <w:shd w:val="clear" w:color="auto" w:fill="4B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rPr>
    <w:tblPr>
      <w:tblStyleRowBandSize w:val="1"/>
      <w:tblStyleColBandSize w:val="1"/>
      <w:tblBorders>
        <w:top w:val="single" w:sz="24" w:space="0" w:color="584FA1" w:themeColor="accent6"/>
        <w:left w:val="single" w:sz="4" w:space="0" w:color="C00000" w:themeColor="accent5"/>
        <w:bottom w:val="single" w:sz="4" w:space="0" w:color="C00000" w:themeColor="accent5"/>
        <w:right w:val="single" w:sz="4" w:space="0" w:color="C00000" w:themeColor="accent5"/>
        <w:insideH w:val="single" w:sz="4" w:space="0" w:color="FFFFFF" w:themeColor="background1"/>
        <w:insideV w:val="single" w:sz="4" w:space="0" w:color="FFFFFF" w:themeColor="background1"/>
      </w:tblBorders>
    </w:tblPr>
    <w:tcPr>
      <w:shd w:val="clear" w:color="auto" w:fill="FFDFDF" w:themeFill="accent5" w:themeFillTint="19"/>
    </w:tcPr>
    <w:tblStylePr w:type="firstRow">
      <w:rPr>
        <w:b/>
        <w:bCs/>
      </w:rPr>
      <w:tblPr/>
      <w:tcPr>
        <w:tcBorders>
          <w:top w:val="nil"/>
          <w:left w:val="nil"/>
          <w:bottom w:val="single" w:sz="24" w:space="0" w:color="584F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5" w:themeFillShade="99"/>
      </w:tcPr>
    </w:tblStylePr>
    <w:tblStylePr w:type="firstCol">
      <w:rPr>
        <w:color w:val="FFFFFF" w:themeColor="background1"/>
      </w:rPr>
      <w:tblPr/>
      <w:tcPr>
        <w:tcBorders>
          <w:top w:val="nil"/>
          <w:left w:val="nil"/>
          <w:bottom w:val="nil"/>
          <w:right w:val="nil"/>
          <w:insideH w:val="single" w:sz="4" w:space="0" w:color="730000" w:themeColor="accent5" w:themeShade="99"/>
          <w:insideV w:val="nil"/>
        </w:tcBorders>
        <w:shd w:val="clear" w:color="auto" w:fill="730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5" w:themeFillShade="99"/>
      </w:tcPr>
    </w:tblStylePr>
    <w:tblStylePr w:type="band1Vert">
      <w:tblPr/>
      <w:tcPr>
        <w:shd w:val="clear" w:color="auto" w:fill="FF7F7F" w:themeFill="accent5" w:themeFillTint="66"/>
      </w:tcPr>
    </w:tblStylePr>
    <w:tblStylePr w:type="band1Horz">
      <w:tblPr/>
      <w:tcPr>
        <w:shd w:val="clear" w:color="auto" w:fill="FF606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rPr>
    <w:tblPr>
      <w:tblStyleRowBandSize w:val="1"/>
      <w:tblStyleColBandSize w:val="1"/>
      <w:tblBorders>
        <w:top w:val="single" w:sz="24" w:space="0" w:color="C00000" w:themeColor="accent5"/>
        <w:left w:val="single" w:sz="4" w:space="0" w:color="584FA1" w:themeColor="accent6"/>
        <w:bottom w:val="single" w:sz="4" w:space="0" w:color="584FA1" w:themeColor="accent6"/>
        <w:right w:val="single" w:sz="4" w:space="0" w:color="584FA1" w:themeColor="accent6"/>
        <w:insideH w:val="single" w:sz="4" w:space="0" w:color="FFFFFF" w:themeColor="background1"/>
        <w:insideV w:val="single" w:sz="4" w:space="0" w:color="FFFFFF" w:themeColor="background1"/>
      </w:tblBorders>
    </w:tblPr>
    <w:tcPr>
      <w:shd w:val="clear" w:color="auto" w:fill="EDEDF6" w:themeFill="accent6" w:themeFillTint="19"/>
    </w:tcPr>
    <w:tblStylePr w:type="firstRow">
      <w:rPr>
        <w:b/>
        <w:bCs/>
      </w:rPr>
      <w:tblPr/>
      <w:tcPr>
        <w:tcBorders>
          <w:top w:val="nil"/>
          <w:left w:val="nil"/>
          <w:bottom w:val="single" w:sz="24" w:space="0" w:color="C000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2F60" w:themeFill="accent6" w:themeFillShade="99"/>
      </w:tcPr>
    </w:tblStylePr>
    <w:tblStylePr w:type="firstCol">
      <w:rPr>
        <w:color w:val="FFFFFF" w:themeColor="background1"/>
      </w:rPr>
      <w:tblPr/>
      <w:tcPr>
        <w:tcBorders>
          <w:top w:val="nil"/>
          <w:left w:val="nil"/>
          <w:bottom w:val="nil"/>
          <w:right w:val="nil"/>
          <w:insideH w:val="single" w:sz="4" w:space="0" w:color="342F60" w:themeColor="accent6" w:themeShade="99"/>
          <w:insideV w:val="nil"/>
        </w:tcBorders>
        <w:shd w:val="clear" w:color="auto" w:fill="342F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42F60" w:themeFill="accent6" w:themeFillShade="99"/>
      </w:tcPr>
    </w:tblStylePr>
    <w:tblStylePr w:type="band1Vert">
      <w:tblPr/>
      <w:tcPr>
        <w:shd w:val="clear" w:color="auto" w:fill="BAB6DB" w:themeFill="accent6" w:themeFillTint="66"/>
      </w:tcPr>
    </w:tblStylePr>
    <w:tblStylePr w:type="band1Horz">
      <w:tblPr/>
      <w:tcPr>
        <w:shd w:val="clear" w:color="auto" w:fill="A9A4D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rPr>
    <w:tblPr>
      <w:tblStyleRowBandSize w:val="1"/>
      <w:tblStyleColBandSize w:val="1"/>
    </w:tblPr>
    <w:tcPr>
      <w:shd w:val="clear" w:color="auto" w:fill="F26A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250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A380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A380F" w:themeFill="accent1" w:themeFillShade="BF"/>
      </w:tcPr>
    </w:tblStylePr>
    <w:tblStylePr w:type="band1Vert">
      <w:tblPr/>
      <w:tcPr>
        <w:tcBorders>
          <w:top w:val="nil"/>
          <w:left w:val="nil"/>
          <w:bottom w:val="nil"/>
          <w:right w:val="nil"/>
          <w:insideH w:val="nil"/>
          <w:insideV w:val="nil"/>
        </w:tcBorders>
        <w:shd w:val="clear" w:color="auto" w:fill="DA380F" w:themeFill="accent1" w:themeFillShade="BF"/>
      </w:tcPr>
    </w:tblStylePr>
    <w:tblStylePr w:type="band1Horz">
      <w:tblPr/>
      <w:tcPr>
        <w:tcBorders>
          <w:top w:val="nil"/>
          <w:left w:val="nil"/>
          <w:bottom w:val="nil"/>
          <w:right w:val="nil"/>
          <w:insideH w:val="nil"/>
          <w:insideV w:val="nil"/>
        </w:tcBorders>
        <w:shd w:val="clear" w:color="auto" w:fill="DA380F"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rPr>
    <w:tblPr>
      <w:tblStyleRowBandSize w:val="1"/>
      <w:tblStyleColBandSize w:val="1"/>
    </w:tblPr>
    <w:tcPr>
      <w:shd w:val="clear" w:color="auto" w:fill="FFC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2" w:themeFillShade="BF"/>
      </w:tcPr>
    </w:tblStylePr>
    <w:tblStylePr w:type="band1Vert">
      <w:tblPr/>
      <w:tcPr>
        <w:tcBorders>
          <w:top w:val="nil"/>
          <w:left w:val="nil"/>
          <w:bottom w:val="nil"/>
          <w:right w:val="nil"/>
          <w:insideH w:val="nil"/>
          <w:insideV w:val="nil"/>
        </w:tcBorders>
        <w:shd w:val="clear" w:color="auto" w:fill="BF8F00" w:themeFill="accent2" w:themeFillShade="BF"/>
      </w:tcPr>
    </w:tblStylePr>
    <w:tblStylePr w:type="band1Horz">
      <w:tblPr/>
      <w:tcPr>
        <w:tcBorders>
          <w:top w:val="nil"/>
          <w:left w:val="nil"/>
          <w:bottom w:val="nil"/>
          <w:right w:val="nil"/>
          <w:insideH w:val="nil"/>
          <w:insideV w:val="nil"/>
        </w:tcBorders>
        <w:shd w:val="clear" w:color="auto" w:fill="BF8F00"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rPr>
    <w:tblPr>
      <w:tblStyleRowBandSize w:val="1"/>
      <w:tblStyleColBandSize w:val="1"/>
    </w:tblPr>
    <w:tcPr>
      <w:shd w:val="clear" w:color="auto" w:fill="005D9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E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56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56F" w:themeFill="accent4" w:themeFillShade="BF"/>
      </w:tcPr>
    </w:tblStylePr>
    <w:tblStylePr w:type="band1Vert">
      <w:tblPr/>
      <w:tcPr>
        <w:tcBorders>
          <w:top w:val="nil"/>
          <w:left w:val="nil"/>
          <w:bottom w:val="nil"/>
          <w:right w:val="nil"/>
          <w:insideH w:val="nil"/>
          <w:insideV w:val="nil"/>
        </w:tcBorders>
        <w:shd w:val="clear" w:color="auto" w:fill="00456F" w:themeFill="accent4" w:themeFillShade="BF"/>
      </w:tcPr>
    </w:tblStylePr>
    <w:tblStylePr w:type="band1Horz">
      <w:tblPr/>
      <w:tcPr>
        <w:tcBorders>
          <w:top w:val="nil"/>
          <w:left w:val="nil"/>
          <w:bottom w:val="nil"/>
          <w:right w:val="nil"/>
          <w:insideH w:val="nil"/>
          <w:insideV w:val="nil"/>
        </w:tcBorders>
        <w:shd w:val="clear" w:color="auto" w:fill="00456F"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rPr>
    <w:tblPr>
      <w:tblStyleRowBandSize w:val="1"/>
      <w:tblStyleColBandSize w:val="1"/>
    </w:tblPr>
    <w:tcPr>
      <w:shd w:val="clear" w:color="auto" w:fill="C000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5" w:themeFillShade="BF"/>
      </w:tcPr>
    </w:tblStylePr>
    <w:tblStylePr w:type="band1Vert">
      <w:tblPr/>
      <w:tcPr>
        <w:tcBorders>
          <w:top w:val="nil"/>
          <w:left w:val="nil"/>
          <w:bottom w:val="nil"/>
          <w:right w:val="nil"/>
          <w:insideH w:val="nil"/>
          <w:insideV w:val="nil"/>
        </w:tcBorders>
        <w:shd w:val="clear" w:color="auto" w:fill="8F0000" w:themeFill="accent5" w:themeFillShade="BF"/>
      </w:tcPr>
    </w:tblStylePr>
    <w:tblStylePr w:type="band1Horz">
      <w:tblPr/>
      <w:tcPr>
        <w:tcBorders>
          <w:top w:val="nil"/>
          <w:left w:val="nil"/>
          <w:bottom w:val="nil"/>
          <w:right w:val="nil"/>
          <w:insideH w:val="nil"/>
          <w:insideV w:val="nil"/>
        </w:tcBorders>
        <w:shd w:val="clear" w:color="auto" w:fill="8F0000"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rPr>
    <w:tblPr>
      <w:tblStyleRowBandSize w:val="1"/>
      <w:tblStyleColBandSize w:val="1"/>
    </w:tblPr>
    <w:tcPr>
      <w:shd w:val="clear" w:color="auto" w:fill="584F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27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13B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13B78" w:themeFill="accent6" w:themeFillShade="BF"/>
      </w:tcPr>
    </w:tblStylePr>
    <w:tblStylePr w:type="band1Vert">
      <w:tblPr/>
      <w:tcPr>
        <w:tcBorders>
          <w:top w:val="nil"/>
          <w:left w:val="nil"/>
          <w:bottom w:val="nil"/>
          <w:right w:val="nil"/>
          <w:insideH w:val="nil"/>
          <w:insideV w:val="nil"/>
        </w:tcBorders>
        <w:shd w:val="clear" w:color="auto" w:fill="413B78" w:themeFill="accent6" w:themeFillShade="BF"/>
      </w:tcPr>
    </w:tblStylePr>
    <w:tblStylePr w:type="band1Horz">
      <w:tblPr/>
      <w:tcPr>
        <w:tcBorders>
          <w:top w:val="nil"/>
          <w:left w:val="nil"/>
          <w:bottom w:val="nil"/>
          <w:right w:val="nil"/>
          <w:insideH w:val="nil"/>
          <w:insideV w:val="nil"/>
        </w:tcBorders>
        <w:shd w:val="clear" w:color="auto" w:fill="413B78"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noProof w:val="0"/>
    </w:rPr>
  </w:style>
  <w:style w:type="paragraph" w:styleId="DocumentMap">
    <w:name w:val="Document Map"/>
    <w:basedOn w:val="Normal"/>
    <w:link w:val="DocumentMapChar"/>
    <w:uiPriority w:val="99"/>
    <w:semiHidden/>
    <w:unhideWhenUse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noProof w:val="0"/>
      <w:sz w:val="16"/>
      <w:szCs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rPr>
      <w:noProof w:val="0"/>
    </w:rPr>
  </w:style>
  <w:style w:type="character" w:styleId="Emphasis">
    <w:name w:val="Emphasis"/>
    <w:basedOn w:val="DefaultParagraphFont"/>
    <w:uiPriority w:val="20"/>
    <w:semiHidden/>
    <w:qFormat/>
    <w:rPr>
      <w:i/>
      <w:iCs/>
      <w:noProof w:val="0"/>
    </w:rPr>
  </w:style>
  <w:style w:type="character" w:styleId="EndnoteReference">
    <w:name w:val="endnote reference"/>
    <w:basedOn w:val="DefaultParagraphFont"/>
    <w:uiPriority w:val="99"/>
    <w:semiHidden/>
    <w:unhideWhenUsed/>
    <w:rPr>
      <w:noProof w:val="0"/>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noProof w:val="0"/>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Pr>
      <w:noProof w:val="0"/>
      <w:color w:val="005D95" w:themeColor="followedHyperlink"/>
      <w:u w:val="single"/>
    </w:rPr>
  </w:style>
  <w:style w:type="table" w:customStyle="1"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pPr>
      <w:spacing w:after="0" w:line="240" w:lineRule="auto"/>
    </w:pPr>
    <w:tblPr>
      <w:tblStyleRowBandSize w:val="1"/>
      <w:tblStyleColBandSize w:val="1"/>
      <w:tblBorders>
        <w:top w:val="single" w:sz="4" w:space="0" w:color="FFE599" w:themeColor="accent2" w:themeTint="66"/>
        <w:left w:val="single" w:sz="4" w:space="0" w:color="FFE599" w:themeColor="accent2" w:themeTint="66"/>
        <w:bottom w:val="single" w:sz="4" w:space="0" w:color="FFE599" w:themeColor="accent2" w:themeTint="66"/>
        <w:right w:val="single" w:sz="4" w:space="0" w:color="FFE599" w:themeColor="accent2" w:themeTint="66"/>
        <w:insideH w:val="single" w:sz="4" w:space="0" w:color="FFE599" w:themeColor="accent2" w:themeTint="66"/>
        <w:insideV w:val="single" w:sz="4" w:space="0" w:color="FFE599" w:themeColor="accent2" w:themeTint="66"/>
      </w:tblBorders>
    </w:tblPr>
    <w:tblStylePr w:type="firstRow">
      <w:rPr>
        <w:b/>
        <w:bCs/>
      </w:rPr>
      <w:tblPr/>
      <w:tcPr>
        <w:tcBorders>
          <w:bottom w:val="single" w:sz="12" w:space="0" w:color="FFD966" w:themeColor="accent2" w:themeTint="99"/>
        </w:tcBorders>
      </w:tcPr>
    </w:tblStylePr>
    <w:tblStylePr w:type="lastRow">
      <w:rPr>
        <w:b/>
        <w:bCs/>
      </w:rPr>
      <w:tblPr/>
      <w:tcPr>
        <w:tcBorders>
          <w:top w:val="double" w:sz="2" w:space="0" w:color="FFD966"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pPr>
      <w:spacing w:after="0" w:line="240" w:lineRule="auto"/>
    </w:pPr>
    <w:tblPr>
      <w:tblStyleRowBandSize w:val="1"/>
      <w:tblStyleColBandSize w:val="1"/>
      <w:tblBorders>
        <w:top w:val="single" w:sz="4" w:space="0" w:color="79FFB5" w:themeColor="accent3" w:themeTint="66"/>
        <w:left w:val="single" w:sz="4" w:space="0" w:color="79FFB5" w:themeColor="accent3" w:themeTint="66"/>
        <w:bottom w:val="single" w:sz="4" w:space="0" w:color="79FFB5" w:themeColor="accent3" w:themeTint="66"/>
        <w:right w:val="single" w:sz="4" w:space="0" w:color="79FFB5" w:themeColor="accent3" w:themeTint="66"/>
        <w:insideH w:val="single" w:sz="4" w:space="0" w:color="79FFB5" w:themeColor="accent3" w:themeTint="66"/>
        <w:insideV w:val="single" w:sz="4" w:space="0" w:color="79FFB5" w:themeColor="accent3" w:themeTint="66"/>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2" w:space="0" w:color="36FF90"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pPr>
      <w:spacing w:after="0" w:line="240" w:lineRule="auto"/>
    </w:pPr>
    <w:tblPr>
      <w:tblStyleRowBandSize w:val="1"/>
      <w:tblStyleColBandSize w:val="1"/>
      <w:tblBorders>
        <w:top w:val="single" w:sz="4" w:space="0" w:color="6EC8FF" w:themeColor="accent4" w:themeTint="66"/>
        <w:left w:val="single" w:sz="4" w:space="0" w:color="6EC8FF" w:themeColor="accent4" w:themeTint="66"/>
        <w:bottom w:val="single" w:sz="4" w:space="0" w:color="6EC8FF" w:themeColor="accent4" w:themeTint="66"/>
        <w:right w:val="single" w:sz="4" w:space="0" w:color="6EC8FF" w:themeColor="accent4" w:themeTint="66"/>
        <w:insideH w:val="single" w:sz="4" w:space="0" w:color="6EC8FF" w:themeColor="accent4" w:themeTint="66"/>
        <w:insideV w:val="single" w:sz="4" w:space="0" w:color="6EC8FF" w:themeColor="accent4" w:themeTint="66"/>
      </w:tblBorders>
    </w:tblPr>
    <w:tblStylePr w:type="firstRow">
      <w:rPr>
        <w:b/>
        <w:bCs/>
      </w:rPr>
      <w:tblPr/>
      <w:tcPr>
        <w:tcBorders>
          <w:bottom w:val="single" w:sz="12" w:space="0" w:color="26ADFF" w:themeColor="accent4" w:themeTint="99"/>
        </w:tcBorders>
      </w:tcPr>
    </w:tblStylePr>
    <w:tblStylePr w:type="lastRow">
      <w:rPr>
        <w:b/>
        <w:bCs/>
      </w:rPr>
      <w:tblPr/>
      <w:tcPr>
        <w:tcBorders>
          <w:top w:val="double" w:sz="2" w:space="0" w:color="26ADF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pPr>
      <w:spacing w:after="0" w:line="240" w:lineRule="auto"/>
    </w:pPr>
    <w:tblPr>
      <w:tblStyleRowBandSize w:val="1"/>
      <w:tblStyleColBandSize w:val="1"/>
      <w:tblBorders>
        <w:top w:val="single" w:sz="4" w:space="0" w:color="FF7F7F" w:themeColor="accent5" w:themeTint="66"/>
        <w:left w:val="single" w:sz="4" w:space="0" w:color="FF7F7F" w:themeColor="accent5" w:themeTint="66"/>
        <w:bottom w:val="single" w:sz="4" w:space="0" w:color="FF7F7F" w:themeColor="accent5" w:themeTint="66"/>
        <w:right w:val="single" w:sz="4" w:space="0" w:color="FF7F7F" w:themeColor="accent5" w:themeTint="66"/>
        <w:insideH w:val="single" w:sz="4" w:space="0" w:color="FF7F7F" w:themeColor="accent5" w:themeTint="66"/>
        <w:insideV w:val="single" w:sz="4" w:space="0" w:color="FF7F7F" w:themeColor="accent5" w:themeTint="66"/>
      </w:tblBorders>
    </w:tblPr>
    <w:tblStylePr w:type="firstRow">
      <w:rPr>
        <w:b/>
        <w:bCs/>
      </w:rPr>
      <w:tblPr/>
      <w:tcPr>
        <w:tcBorders>
          <w:bottom w:val="single" w:sz="12" w:space="0" w:color="FF4040" w:themeColor="accent5" w:themeTint="99"/>
        </w:tcBorders>
      </w:tcPr>
    </w:tblStylePr>
    <w:tblStylePr w:type="lastRow">
      <w:rPr>
        <w:b/>
        <w:bCs/>
      </w:rPr>
      <w:tblPr/>
      <w:tcPr>
        <w:tcBorders>
          <w:top w:val="double" w:sz="2" w:space="0" w:color="FF4040"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pPr>
      <w:spacing w:after="0" w:line="240" w:lineRule="auto"/>
    </w:pPr>
    <w:tblPr>
      <w:tblStyleRowBandSize w:val="1"/>
      <w:tblStyleColBandSize w:val="1"/>
      <w:tblBorders>
        <w:top w:val="single" w:sz="4" w:space="0" w:color="BAB6DB" w:themeColor="accent6" w:themeTint="66"/>
        <w:left w:val="single" w:sz="4" w:space="0" w:color="BAB6DB" w:themeColor="accent6" w:themeTint="66"/>
        <w:bottom w:val="single" w:sz="4" w:space="0" w:color="BAB6DB" w:themeColor="accent6" w:themeTint="66"/>
        <w:right w:val="single" w:sz="4" w:space="0" w:color="BAB6DB" w:themeColor="accent6" w:themeTint="66"/>
        <w:insideH w:val="single" w:sz="4" w:space="0" w:color="BAB6DB" w:themeColor="accent6" w:themeTint="66"/>
        <w:insideV w:val="single" w:sz="4" w:space="0" w:color="BAB6DB" w:themeColor="accent6" w:themeTint="66"/>
      </w:tblBorders>
    </w:tblPr>
    <w:tblStylePr w:type="firstRow">
      <w:rPr>
        <w:b/>
        <w:bCs/>
      </w:rPr>
      <w:tblPr/>
      <w:tcPr>
        <w:tcBorders>
          <w:bottom w:val="single" w:sz="12" w:space="0" w:color="9892C9" w:themeColor="accent6" w:themeTint="99"/>
        </w:tcBorders>
      </w:tcPr>
    </w:tblStylePr>
    <w:tblStylePr w:type="lastRow">
      <w:rPr>
        <w:b/>
        <w:bCs/>
      </w:rPr>
      <w:tblPr/>
      <w:tcPr>
        <w:tcBorders>
          <w:top w:val="double" w:sz="2" w:space="0" w:color="9892C9"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pPr>
      <w:spacing w:after="0" w:line="240" w:lineRule="auto"/>
    </w:pPr>
    <w:tblPr>
      <w:tblStyleRowBandSize w:val="1"/>
      <w:tblStyleColBandSize w:val="1"/>
      <w:tblBorders>
        <w:top w:val="single" w:sz="2" w:space="0" w:color="F7A590" w:themeColor="accent1" w:themeTint="99"/>
        <w:bottom w:val="single" w:sz="2" w:space="0" w:color="F7A590" w:themeColor="accent1" w:themeTint="99"/>
        <w:insideH w:val="single" w:sz="2" w:space="0" w:color="F7A590" w:themeColor="accent1" w:themeTint="99"/>
        <w:insideV w:val="single" w:sz="2" w:space="0" w:color="F7A590" w:themeColor="accent1" w:themeTint="99"/>
      </w:tblBorders>
    </w:tblPr>
    <w:tblStylePr w:type="firstRow">
      <w:rPr>
        <w:b/>
        <w:bCs/>
      </w:rPr>
      <w:tblPr/>
      <w:tcPr>
        <w:tcBorders>
          <w:top w:val="nil"/>
          <w:bottom w:val="single" w:sz="12" w:space="0" w:color="F7A590" w:themeColor="accent1" w:themeTint="99"/>
          <w:insideH w:val="nil"/>
          <w:insideV w:val="nil"/>
        </w:tcBorders>
        <w:shd w:val="clear" w:color="auto" w:fill="FFFFFF" w:themeFill="background1"/>
      </w:tcPr>
    </w:tblStylePr>
    <w:tblStylePr w:type="lastRow">
      <w:rPr>
        <w:b/>
        <w:bCs/>
      </w:rPr>
      <w:tblPr/>
      <w:tcPr>
        <w:tcBorders>
          <w:top w:val="double" w:sz="2" w:space="0" w:color="F7A59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9" w:themeFill="accent1" w:themeFillTint="33"/>
      </w:tcPr>
    </w:tblStylePr>
    <w:tblStylePr w:type="band1Horz">
      <w:tblPr/>
      <w:tcPr>
        <w:shd w:val="clear" w:color="auto" w:fill="FCE0D9" w:themeFill="accent1" w:themeFillTint="33"/>
      </w:tcPr>
    </w:tblStylePr>
  </w:style>
  <w:style w:type="table" w:customStyle="1" w:styleId="GridTable2Accent2">
    <w:name w:val="Grid Table 2 Accent 2"/>
    <w:basedOn w:val="TableNormal"/>
    <w:uiPriority w:val="47"/>
    <w:pPr>
      <w:spacing w:after="0" w:line="240" w:lineRule="auto"/>
    </w:pPr>
    <w:tblPr>
      <w:tblStyleRowBandSize w:val="1"/>
      <w:tblStyleColBandSize w:val="1"/>
      <w:tblBorders>
        <w:top w:val="single" w:sz="2" w:space="0" w:color="FFD966" w:themeColor="accent2" w:themeTint="99"/>
        <w:bottom w:val="single" w:sz="2" w:space="0" w:color="FFD966" w:themeColor="accent2" w:themeTint="99"/>
        <w:insideH w:val="single" w:sz="2" w:space="0" w:color="FFD966" w:themeColor="accent2" w:themeTint="99"/>
        <w:insideV w:val="single" w:sz="2" w:space="0" w:color="FFD966" w:themeColor="accent2" w:themeTint="99"/>
      </w:tblBorders>
    </w:tblPr>
    <w:tblStylePr w:type="firstRow">
      <w:rPr>
        <w:b/>
        <w:bCs/>
      </w:rPr>
      <w:tblPr/>
      <w:tcPr>
        <w:tcBorders>
          <w:top w:val="nil"/>
          <w:bottom w:val="single" w:sz="12" w:space="0" w:color="FFD966" w:themeColor="accent2" w:themeTint="99"/>
          <w:insideH w:val="nil"/>
          <w:insideV w:val="nil"/>
        </w:tcBorders>
        <w:shd w:val="clear" w:color="auto" w:fill="FFFFFF" w:themeFill="background1"/>
      </w:tcPr>
    </w:tblStylePr>
    <w:tblStylePr w:type="lastRow">
      <w:rPr>
        <w:b/>
        <w:bCs/>
      </w:rPr>
      <w:tblPr/>
      <w:tcPr>
        <w:tcBorders>
          <w:top w:val="double" w:sz="2" w:space="0" w:color="FFD9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GridTable2Accent3">
    <w:name w:val="Grid Table 2 Accent 3"/>
    <w:basedOn w:val="TableNormal"/>
    <w:uiPriority w:val="47"/>
    <w:pPr>
      <w:spacing w:after="0" w:line="240" w:lineRule="auto"/>
    </w:pPr>
    <w:tblPr>
      <w:tblStyleRowBandSize w:val="1"/>
      <w:tblStyleColBandSize w:val="1"/>
      <w:tblBorders>
        <w:top w:val="single" w:sz="2" w:space="0" w:color="36FF90" w:themeColor="accent3" w:themeTint="99"/>
        <w:bottom w:val="single" w:sz="2" w:space="0" w:color="36FF90" w:themeColor="accent3" w:themeTint="99"/>
        <w:insideH w:val="single" w:sz="2" w:space="0" w:color="36FF90" w:themeColor="accent3" w:themeTint="99"/>
        <w:insideV w:val="single" w:sz="2" w:space="0" w:color="36FF90" w:themeColor="accent3" w:themeTint="99"/>
      </w:tblBorders>
    </w:tblPr>
    <w:tblStylePr w:type="firstRow">
      <w:rPr>
        <w:b/>
        <w:bCs/>
      </w:rPr>
      <w:tblPr/>
      <w:tcPr>
        <w:tcBorders>
          <w:top w:val="nil"/>
          <w:bottom w:val="single" w:sz="12" w:space="0" w:color="36FF90" w:themeColor="accent3" w:themeTint="99"/>
          <w:insideH w:val="nil"/>
          <w:insideV w:val="nil"/>
        </w:tcBorders>
        <w:shd w:val="clear" w:color="auto" w:fill="FFFFFF" w:themeFill="background1"/>
      </w:tcPr>
    </w:tblStylePr>
    <w:tblStylePr w:type="lastRow">
      <w:rPr>
        <w:b/>
        <w:bCs/>
      </w:rPr>
      <w:tblPr/>
      <w:tcPr>
        <w:tcBorders>
          <w:top w:val="double" w:sz="2" w:space="0" w:color="36FF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customStyle="1" w:styleId="GridTable2Accent4">
    <w:name w:val="Grid Table 2 Accent 4"/>
    <w:basedOn w:val="TableNormal"/>
    <w:uiPriority w:val="47"/>
    <w:pPr>
      <w:spacing w:after="0" w:line="240" w:lineRule="auto"/>
    </w:pPr>
    <w:tblPr>
      <w:tblStyleRowBandSize w:val="1"/>
      <w:tblStyleColBandSize w:val="1"/>
      <w:tblBorders>
        <w:top w:val="single" w:sz="2" w:space="0" w:color="26ADFF" w:themeColor="accent4" w:themeTint="99"/>
        <w:bottom w:val="single" w:sz="2" w:space="0" w:color="26ADFF" w:themeColor="accent4" w:themeTint="99"/>
        <w:insideH w:val="single" w:sz="2" w:space="0" w:color="26ADFF" w:themeColor="accent4" w:themeTint="99"/>
        <w:insideV w:val="single" w:sz="2" w:space="0" w:color="26ADFF" w:themeColor="accent4" w:themeTint="99"/>
      </w:tblBorders>
    </w:tblPr>
    <w:tblStylePr w:type="firstRow">
      <w:rPr>
        <w:b/>
        <w:bCs/>
      </w:rPr>
      <w:tblPr/>
      <w:tcPr>
        <w:tcBorders>
          <w:top w:val="nil"/>
          <w:bottom w:val="single" w:sz="12" w:space="0" w:color="26ADFF" w:themeColor="accent4" w:themeTint="99"/>
          <w:insideH w:val="nil"/>
          <w:insideV w:val="nil"/>
        </w:tcBorders>
        <w:shd w:val="clear" w:color="auto" w:fill="FFFFFF" w:themeFill="background1"/>
      </w:tcPr>
    </w:tblStylePr>
    <w:tblStylePr w:type="lastRow">
      <w:rPr>
        <w:b/>
        <w:bCs/>
      </w:rPr>
      <w:tblPr/>
      <w:tcPr>
        <w:tcBorders>
          <w:top w:val="double" w:sz="2" w:space="0" w:color="26AD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E3FF" w:themeFill="accent4" w:themeFillTint="33"/>
      </w:tcPr>
    </w:tblStylePr>
    <w:tblStylePr w:type="band1Horz">
      <w:tblPr/>
      <w:tcPr>
        <w:shd w:val="clear" w:color="auto" w:fill="B6E3FF" w:themeFill="accent4" w:themeFillTint="33"/>
      </w:tcPr>
    </w:tblStylePr>
  </w:style>
  <w:style w:type="table" w:customStyle="1" w:styleId="GridTable2Accent5">
    <w:name w:val="Grid Table 2 Accent 5"/>
    <w:basedOn w:val="TableNormal"/>
    <w:uiPriority w:val="47"/>
    <w:pPr>
      <w:spacing w:after="0" w:line="240" w:lineRule="auto"/>
    </w:pPr>
    <w:tblPr>
      <w:tblStyleRowBandSize w:val="1"/>
      <w:tblStyleColBandSize w:val="1"/>
      <w:tblBorders>
        <w:top w:val="single" w:sz="2" w:space="0" w:color="FF4040" w:themeColor="accent5" w:themeTint="99"/>
        <w:bottom w:val="single" w:sz="2" w:space="0" w:color="FF4040" w:themeColor="accent5" w:themeTint="99"/>
        <w:insideH w:val="single" w:sz="2" w:space="0" w:color="FF4040" w:themeColor="accent5" w:themeTint="99"/>
        <w:insideV w:val="single" w:sz="2" w:space="0" w:color="FF4040" w:themeColor="accent5" w:themeTint="99"/>
      </w:tblBorders>
    </w:tblPr>
    <w:tblStylePr w:type="firstRow">
      <w:rPr>
        <w:b/>
        <w:bCs/>
      </w:rPr>
      <w:tblPr/>
      <w:tcPr>
        <w:tcBorders>
          <w:top w:val="nil"/>
          <w:bottom w:val="single" w:sz="12" w:space="0" w:color="FF4040" w:themeColor="accent5" w:themeTint="99"/>
          <w:insideH w:val="nil"/>
          <w:insideV w:val="nil"/>
        </w:tcBorders>
        <w:shd w:val="clear" w:color="auto" w:fill="FFFFFF" w:themeFill="background1"/>
      </w:tcPr>
    </w:tblStylePr>
    <w:tblStylePr w:type="lastRow">
      <w:rPr>
        <w:b/>
        <w:bCs/>
      </w:rPr>
      <w:tblPr/>
      <w:tcPr>
        <w:tcBorders>
          <w:top w:val="double" w:sz="2" w:space="0" w:color="FF404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FBF" w:themeFill="accent5" w:themeFillTint="33"/>
      </w:tcPr>
    </w:tblStylePr>
    <w:tblStylePr w:type="band1Horz">
      <w:tblPr/>
      <w:tcPr>
        <w:shd w:val="clear" w:color="auto" w:fill="FFBFBF" w:themeFill="accent5" w:themeFillTint="33"/>
      </w:tcPr>
    </w:tblStylePr>
  </w:style>
  <w:style w:type="table" w:customStyle="1" w:styleId="GridTable2Accent6">
    <w:name w:val="Grid Table 2 Accent 6"/>
    <w:basedOn w:val="TableNormal"/>
    <w:uiPriority w:val="47"/>
    <w:pPr>
      <w:spacing w:after="0" w:line="240" w:lineRule="auto"/>
    </w:pPr>
    <w:tblPr>
      <w:tblStyleRowBandSize w:val="1"/>
      <w:tblStyleColBandSize w:val="1"/>
      <w:tblBorders>
        <w:top w:val="single" w:sz="2" w:space="0" w:color="9892C9" w:themeColor="accent6" w:themeTint="99"/>
        <w:bottom w:val="single" w:sz="2" w:space="0" w:color="9892C9" w:themeColor="accent6" w:themeTint="99"/>
        <w:insideH w:val="single" w:sz="2" w:space="0" w:color="9892C9" w:themeColor="accent6" w:themeTint="99"/>
        <w:insideV w:val="single" w:sz="2" w:space="0" w:color="9892C9" w:themeColor="accent6" w:themeTint="99"/>
      </w:tblBorders>
    </w:tblPr>
    <w:tblStylePr w:type="firstRow">
      <w:rPr>
        <w:b/>
        <w:bCs/>
      </w:rPr>
      <w:tblPr/>
      <w:tcPr>
        <w:tcBorders>
          <w:top w:val="nil"/>
          <w:bottom w:val="single" w:sz="12" w:space="0" w:color="9892C9" w:themeColor="accent6" w:themeTint="99"/>
          <w:insideH w:val="nil"/>
          <w:insideV w:val="nil"/>
        </w:tcBorders>
        <w:shd w:val="clear" w:color="auto" w:fill="FFFFFF" w:themeFill="background1"/>
      </w:tcPr>
    </w:tblStylePr>
    <w:tblStylePr w:type="lastRow">
      <w:rPr>
        <w:b/>
        <w:bCs/>
      </w:rPr>
      <w:tblPr/>
      <w:tcPr>
        <w:tcBorders>
          <w:top w:val="double" w:sz="2" w:space="0" w:color="9892C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AED" w:themeFill="accent6" w:themeFillTint="33"/>
      </w:tcPr>
    </w:tblStylePr>
    <w:tblStylePr w:type="band1Horz">
      <w:tblPr/>
      <w:tcPr>
        <w:shd w:val="clear" w:color="auto" w:fill="DCDAED" w:themeFill="accent6" w:themeFillTint="33"/>
      </w:tcPr>
    </w:tblStylePr>
  </w:style>
  <w:style w:type="table" w:customStyle="1" w:styleId="GridTable3">
    <w:name w:val="Grid Table 3"/>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pPr>
      <w:spacing w:after="0" w:line="240" w:lineRule="auto"/>
    </w:pPr>
    <w:tblPr>
      <w:tblStyleRowBandSize w:val="1"/>
      <w:tblStyleColBandSize w:val="1"/>
      <w:tblBorders>
        <w:top w:val="single" w:sz="4" w:space="0" w:color="F7A590" w:themeColor="accent1" w:themeTint="99"/>
        <w:left w:val="single" w:sz="4" w:space="0" w:color="F7A590" w:themeColor="accent1" w:themeTint="99"/>
        <w:bottom w:val="single" w:sz="4" w:space="0" w:color="F7A590" w:themeColor="accent1" w:themeTint="99"/>
        <w:right w:val="single" w:sz="4" w:space="0" w:color="F7A590" w:themeColor="accent1" w:themeTint="99"/>
        <w:insideH w:val="single" w:sz="4" w:space="0" w:color="F7A590" w:themeColor="accent1" w:themeTint="99"/>
        <w:insideV w:val="single" w:sz="4" w:space="0" w:color="F7A5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0D9" w:themeFill="accent1" w:themeFillTint="33"/>
      </w:tcPr>
    </w:tblStylePr>
    <w:tblStylePr w:type="band1Horz">
      <w:tblPr/>
      <w:tcPr>
        <w:shd w:val="clear" w:color="auto" w:fill="FCE0D9" w:themeFill="accent1" w:themeFillTint="33"/>
      </w:tcPr>
    </w:tblStylePr>
    <w:tblStylePr w:type="neCell">
      <w:tblPr/>
      <w:tcPr>
        <w:tcBorders>
          <w:bottom w:val="single" w:sz="4" w:space="0" w:color="F7A590" w:themeColor="accent1" w:themeTint="99"/>
        </w:tcBorders>
      </w:tcPr>
    </w:tblStylePr>
    <w:tblStylePr w:type="nwCell">
      <w:tblPr/>
      <w:tcPr>
        <w:tcBorders>
          <w:bottom w:val="single" w:sz="4" w:space="0" w:color="F7A590" w:themeColor="accent1" w:themeTint="99"/>
        </w:tcBorders>
      </w:tcPr>
    </w:tblStylePr>
    <w:tblStylePr w:type="seCell">
      <w:tblPr/>
      <w:tcPr>
        <w:tcBorders>
          <w:top w:val="single" w:sz="4" w:space="0" w:color="F7A590" w:themeColor="accent1" w:themeTint="99"/>
        </w:tcBorders>
      </w:tcPr>
    </w:tblStylePr>
    <w:tblStylePr w:type="swCell">
      <w:tblPr/>
      <w:tcPr>
        <w:tcBorders>
          <w:top w:val="single" w:sz="4" w:space="0" w:color="F7A590" w:themeColor="accent1" w:themeTint="99"/>
        </w:tcBorders>
      </w:tcPr>
    </w:tblStylePr>
  </w:style>
  <w:style w:type="table" w:customStyle="1" w:styleId="GridTable3Accent2">
    <w:name w:val="Grid Table 3 Accent 2"/>
    <w:basedOn w:val="TableNormal"/>
    <w:uiPriority w:val="48"/>
    <w:pPr>
      <w:spacing w:after="0" w:line="240" w:lineRule="auto"/>
    </w:p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insideV w:val="single" w:sz="4" w:space="0" w:color="FFD9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2" w:themeFillTint="33"/>
      </w:tcPr>
    </w:tblStylePr>
    <w:tblStylePr w:type="band1Horz">
      <w:tblPr/>
      <w:tcPr>
        <w:shd w:val="clear" w:color="auto" w:fill="FFF2CC" w:themeFill="accent2" w:themeFillTint="33"/>
      </w:tcPr>
    </w:tblStylePr>
    <w:tblStylePr w:type="neCell">
      <w:tblPr/>
      <w:tcPr>
        <w:tcBorders>
          <w:bottom w:val="single" w:sz="4" w:space="0" w:color="FFD966" w:themeColor="accent2" w:themeTint="99"/>
        </w:tcBorders>
      </w:tcPr>
    </w:tblStylePr>
    <w:tblStylePr w:type="nwCell">
      <w:tblPr/>
      <w:tcPr>
        <w:tcBorders>
          <w:bottom w:val="single" w:sz="4" w:space="0" w:color="FFD966" w:themeColor="accent2" w:themeTint="99"/>
        </w:tcBorders>
      </w:tcPr>
    </w:tblStylePr>
    <w:tblStylePr w:type="seCell">
      <w:tblPr/>
      <w:tcPr>
        <w:tcBorders>
          <w:top w:val="single" w:sz="4" w:space="0" w:color="FFD966" w:themeColor="accent2" w:themeTint="99"/>
        </w:tcBorders>
      </w:tcPr>
    </w:tblStylePr>
    <w:tblStylePr w:type="swCell">
      <w:tblPr/>
      <w:tcPr>
        <w:tcBorders>
          <w:top w:val="single" w:sz="4" w:space="0" w:color="FFD966" w:themeColor="accent2" w:themeTint="99"/>
        </w:tcBorders>
      </w:tcPr>
    </w:tblStylePr>
  </w:style>
  <w:style w:type="table" w:customStyle="1" w:styleId="GridTable3Accent3">
    <w:name w:val="Grid Table 3 Accent 3"/>
    <w:basedOn w:val="TableNormal"/>
    <w:uiPriority w:val="48"/>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customStyle="1" w:styleId="GridTable3Accent4">
    <w:name w:val="Grid Table 3 Accent 4"/>
    <w:basedOn w:val="TableNormal"/>
    <w:uiPriority w:val="48"/>
    <w:pPr>
      <w:spacing w:after="0" w:line="240" w:lineRule="auto"/>
    </w:pPr>
    <w:tblPr>
      <w:tblStyleRowBandSize w:val="1"/>
      <w:tblStyleColBandSize w:val="1"/>
      <w:tblBorders>
        <w:top w:val="single" w:sz="4" w:space="0" w:color="26ADFF" w:themeColor="accent4" w:themeTint="99"/>
        <w:left w:val="single" w:sz="4" w:space="0" w:color="26ADFF" w:themeColor="accent4" w:themeTint="99"/>
        <w:bottom w:val="single" w:sz="4" w:space="0" w:color="26ADFF" w:themeColor="accent4" w:themeTint="99"/>
        <w:right w:val="single" w:sz="4" w:space="0" w:color="26ADFF" w:themeColor="accent4" w:themeTint="99"/>
        <w:insideH w:val="single" w:sz="4" w:space="0" w:color="26ADFF" w:themeColor="accent4" w:themeTint="99"/>
        <w:insideV w:val="single" w:sz="4" w:space="0" w:color="26AD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E3FF" w:themeFill="accent4" w:themeFillTint="33"/>
      </w:tcPr>
    </w:tblStylePr>
    <w:tblStylePr w:type="band1Horz">
      <w:tblPr/>
      <w:tcPr>
        <w:shd w:val="clear" w:color="auto" w:fill="B6E3FF" w:themeFill="accent4" w:themeFillTint="33"/>
      </w:tcPr>
    </w:tblStylePr>
    <w:tblStylePr w:type="neCell">
      <w:tblPr/>
      <w:tcPr>
        <w:tcBorders>
          <w:bottom w:val="single" w:sz="4" w:space="0" w:color="26ADFF" w:themeColor="accent4" w:themeTint="99"/>
        </w:tcBorders>
      </w:tcPr>
    </w:tblStylePr>
    <w:tblStylePr w:type="nwCell">
      <w:tblPr/>
      <w:tcPr>
        <w:tcBorders>
          <w:bottom w:val="single" w:sz="4" w:space="0" w:color="26ADFF" w:themeColor="accent4" w:themeTint="99"/>
        </w:tcBorders>
      </w:tcPr>
    </w:tblStylePr>
    <w:tblStylePr w:type="seCell">
      <w:tblPr/>
      <w:tcPr>
        <w:tcBorders>
          <w:top w:val="single" w:sz="4" w:space="0" w:color="26ADFF" w:themeColor="accent4" w:themeTint="99"/>
        </w:tcBorders>
      </w:tcPr>
    </w:tblStylePr>
    <w:tblStylePr w:type="swCell">
      <w:tblPr/>
      <w:tcPr>
        <w:tcBorders>
          <w:top w:val="single" w:sz="4" w:space="0" w:color="26ADFF" w:themeColor="accent4" w:themeTint="99"/>
        </w:tcBorders>
      </w:tcPr>
    </w:tblStylePr>
  </w:style>
  <w:style w:type="table" w:customStyle="1" w:styleId="GridTable3Accent5">
    <w:name w:val="Grid Table 3 Accent 5"/>
    <w:basedOn w:val="TableNormal"/>
    <w:uiPriority w:val="48"/>
    <w:pPr>
      <w:spacing w:after="0" w:line="240" w:lineRule="auto"/>
    </w:pPr>
    <w:tblPr>
      <w:tblStyleRowBandSize w:val="1"/>
      <w:tblStyleColBandSize w:val="1"/>
      <w:tblBorders>
        <w:top w:val="single" w:sz="4" w:space="0" w:color="FF4040" w:themeColor="accent5" w:themeTint="99"/>
        <w:left w:val="single" w:sz="4" w:space="0" w:color="FF4040" w:themeColor="accent5" w:themeTint="99"/>
        <w:bottom w:val="single" w:sz="4" w:space="0" w:color="FF4040" w:themeColor="accent5" w:themeTint="99"/>
        <w:right w:val="single" w:sz="4" w:space="0" w:color="FF4040" w:themeColor="accent5" w:themeTint="99"/>
        <w:insideH w:val="single" w:sz="4" w:space="0" w:color="FF4040" w:themeColor="accent5" w:themeTint="99"/>
        <w:insideV w:val="single" w:sz="4" w:space="0" w:color="FF404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5" w:themeFillTint="33"/>
      </w:tcPr>
    </w:tblStylePr>
    <w:tblStylePr w:type="band1Horz">
      <w:tblPr/>
      <w:tcPr>
        <w:shd w:val="clear" w:color="auto" w:fill="FFBFBF" w:themeFill="accent5" w:themeFillTint="33"/>
      </w:tcPr>
    </w:tblStylePr>
    <w:tblStylePr w:type="neCell">
      <w:tblPr/>
      <w:tcPr>
        <w:tcBorders>
          <w:bottom w:val="single" w:sz="4" w:space="0" w:color="FF4040" w:themeColor="accent5" w:themeTint="99"/>
        </w:tcBorders>
      </w:tcPr>
    </w:tblStylePr>
    <w:tblStylePr w:type="nwCell">
      <w:tblPr/>
      <w:tcPr>
        <w:tcBorders>
          <w:bottom w:val="single" w:sz="4" w:space="0" w:color="FF4040" w:themeColor="accent5" w:themeTint="99"/>
        </w:tcBorders>
      </w:tcPr>
    </w:tblStylePr>
    <w:tblStylePr w:type="seCell">
      <w:tblPr/>
      <w:tcPr>
        <w:tcBorders>
          <w:top w:val="single" w:sz="4" w:space="0" w:color="FF4040" w:themeColor="accent5" w:themeTint="99"/>
        </w:tcBorders>
      </w:tcPr>
    </w:tblStylePr>
    <w:tblStylePr w:type="swCell">
      <w:tblPr/>
      <w:tcPr>
        <w:tcBorders>
          <w:top w:val="single" w:sz="4" w:space="0" w:color="FF4040" w:themeColor="accent5" w:themeTint="99"/>
        </w:tcBorders>
      </w:tcPr>
    </w:tblStylePr>
  </w:style>
  <w:style w:type="table" w:customStyle="1" w:styleId="GridTable3Accent6">
    <w:name w:val="Grid Table 3 Accent 6"/>
    <w:basedOn w:val="TableNormal"/>
    <w:uiPriority w:val="48"/>
    <w:pPr>
      <w:spacing w:after="0" w:line="240" w:lineRule="auto"/>
    </w:pPr>
    <w:tblPr>
      <w:tblStyleRowBandSize w:val="1"/>
      <w:tblStyleColBandSize w:val="1"/>
      <w:tblBorders>
        <w:top w:val="single" w:sz="4" w:space="0" w:color="9892C9" w:themeColor="accent6" w:themeTint="99"/>
        <w:left w:val="single" w:sz="4" w:space="0" w:color="9892C9" w:themeColor="accent6" w:themeTint="99"/>
        <w:bottom w:val="single" w:sz="4" w:space="0" w:color="9892C9" w:themeColor="accent6" w:themeTint="99"/>
        <w:right w:val="single" w:sz="4" w:space="0" w:color="9892C9" w:themeColor="accent6" w:themeTint="99"/>
        <w:insideH w:val="single" w:sz="4" w:space="0" w:color="9892C9" w:themeColor="accent6" w:themeTint="99"/>
        <w:insideV w:val="single" w:sz="4" w:space="0" w:color="9892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AED" w:themeFill="accent6" w:themeFillTint="33"/>
      </w:tcPr>
    </w:tblStylePr>
    <w:tblStylePr w:type="band1Horz">
      <w:tblPr/>
      <w:tcPr>
        <w:shd w:val="clear" w:color="auto" w:fill="DCDAED" w:themeFill="accent6" w:themeFillTint="33"/>
      </w:tcPr>
    </w:tblStylePr>
    <w:tblStylePr w:type="neCell">
      <w:tblPr/>
      <w:tcPr>
        <w:tcBorders>
          <w:bottom w:val="single" w:sz="4" w:space="0" w:color="9892C9" w:themeColor="accent6" w:themeTint="99"/>
        </w:tcBorders>
      </w:tcPr>
    </w:tblStylePr>
    <w:tblStylePr w:type="nwCell">
      <w:tblPr/>
      <w:tcPr>
        <w:tcBorders>
          <w:bottom w:val="single" w:sz="4" w:space="0" w:color="9892C9" w:themeColor="accent6" w:themeTint="99"/>
        </w:tcBorders>
      </w:tcPr>
    </w:tblStylePr>
    <w:tblStylePr w:type="seCell">
      <w:tblPr/>
      <w:tcPr>
        <w:tcBorders>
          <w:top w:val="single" w:sz="4" w:space="0" w:color="9892C9" w:themeColor="accent6" w:themeTint="99"/>
        </w:tcBorders>
      </w:tcPr>
    </w:tblStylePr>
    <w:tblStylePr w:type="swCell">
      <w:tblPr/>
      <w:tcPr>
        <w:tcBorders>
          <w:top w:val="single" w:sz="4" w:space="0" w:color="9892C9" w:themeColor="accent6" w:themeTint="99"/>
        </w:tcBorders>
      </w:tcPr>
    </w:tblStylePr>
  </w:style>
  <w:style w:type="table" w:customStyle="1" w:styleId="GridTable4">
    <w:name w:val="Grid Table 4"/>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pPr>
      <w:spacing w:after="0" w:line="240" w:lineRule="auto"/>
    </w:pPr>
    <w:tblPr>
      <w:tblStyleRowBandSize w:val="1"/>
      <w:tblStyleColBandSize w:val="1"/>
      <w:tblBorders>
        <w:top w:val="single" w:sz="4" w:space="0" w:color="F7A590" w:themeColor="accent1" w:themeTint="99"/>
        <w:left w:val="single" w:sz="4" w:space="0" w:color="F7A590" w:themeColor="accent1" w:themeTint="99"/>
        <w:bottom w:val="single" w:sz="4" w:space="0" w:color="F7A590" w:themeColor="accent1" w:themeTint="99"/>
        <w:right w:val="single" w:sz="4" w:space="0" w:color="F7A590" w:themeColor="accent1" w:themeTint="99"/>
        <w:insideH w:val="single" w:sz="4" w:space="0" w:color="F7A590" w:themeColor="accent1" w:themeTint="99"/>
        <w:insideV w:val="single" w:sz="4" w:space="0" w:color="F7A590" w:themeColor="accent1" w:themeTint="99"/>
      </w:tblBorders>
    </w:tblPr>
    <w:tblStylePr w:type="firstRow">
      <w:rPr>
        <w:b/>
        <w:bCs/>
        <w:color w:val="FFFFFF" w:themeColor="background1"/>
      </w:rPr>
      <w:tblPr/>
      <w:tcPr>
        <w:tcBorders>
          <w:top w:val="single" w:sz="4" w:space="0" w:color="F26A47" w:themeColor="accent1"/>
          <w:left w:val="single" w:sz="4" w:space="0" w:color="F26A47" w:themeColor="accent1"/>
          <w:bottom w:val="single" w:sz="4" w:space="0" w:color="F26A47" w:themeColor="accent1"/>
          <w:right w:val="single" w:sz="4" w:space="0" w:color="F26A47" w:themeColor="accent1"/>
          <w:insideH w:val="nil"/>
          <w:insideV w:val="nil"/>
        </w:tcBorders>
        <w:shd w:val="clear" w:color="auto" w:fill="F26A47" w:themeFill="accent1"/>
      </w:tcPr>
    </w:tblStylePr>
    <w:tblStylePr w:type="lastRow">
      <w:rPr>
        <w:b/>
        <w:bCs/>
      </w:rPr>
      <w:tblPr/>
      <w:tcPr>
        <w:tcBorders>
          <w:top w:val="double" w:sz="4" w:space="0" w:color="F26A47" w:themeColor="accent1"/>
        </w:tcBorders>
      </w:tcPr>
    </w:tblStylePr>
    <w:tblStylePr w:type="firstCol">
      <w:rPr>
        <w:b/>
        <w:bCs/>
      </w:rPr>
    </w:tblStylePr>
    <w:tblStylePr w:type="lastCol">
      <w:rPr>
        <w:b/>
        <w:bCs/>
      </w:rPr>
    </w:tblStylePr>
    <w:tblStylePr w:type="band1Vert">
      <w:tblPr/>
      <w:tcPr>
        <w:shd w:val="clear" w:color="auto" w:fill="FCE0D9" w:themeFill="accent1" w:themeFillTint="33"/>
      </w:tcPr>
    </w:tblStylePr>
    <w:tblStylePr w:type="band1Horz">
      <w:tblPr/>
      <w:tcPr>
        <w:shd w:val="clear" w:color="auto" w:fill="FCE0D9" w:themeFill="accent1" w:themeFillTint="33"/>
      </w:tcPr>
    </w:tblStylePr>
  </w:style>
  <w:style w:type="table" w:customStyle="1" w:styleId="GridTable4Accent2">
    <w:name w:val="Grid Table 4 Accent 2"/>
    <w:basedOn w:val="TableNormal"/>
    <w:uiPriority w:val="49"/>
    <w:pPr>
      <w:spacing w:after="0" w:line="240" w:lineRule="auto"/>
    </w:p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insideV w:val="single" w:sz="4" w:space="0" w:color="FFD966" w:themeColor="accent2" w:themeTint="99"/>
      </w:tblBorders>
    </w:tblPr>
    <w:tblStylePr w:type="firstRow">
      <w:rPr>
        <w:b/>
        <w:bCs/>
        <w:color w:val="FFFFFF" w:themeColor="background1"/>
      </w:rPr>
      <w:tblPr/>
      <w:tcPr>
        <w:tcBorders>
          <w:top w:val="single" w:sz="4" w:space="0" w:color="FFC000" w:themeColor="accent2"/>
          <w:left w:val="single" w:sz="4" w:space="0" w:color="FFC000" w:themeColor="accent2"/>
          <w:bottom w:val="single" w:sz="4" w:space="0" w:color="FFC000" w:themeColor="accent2"/>
          <w:right w:val="single" w:sz="4" w:space="0" w:color="FFC000" w:themeColor="accent2"/>
          <w:insideH w:val="nil"/>
          <w:insideV w:val="nil"/>
        </w:tcBorders>
        <w:shd w:val="clear" w:color="auto" w:fill="FFC000" w:themeFill="accent2"/>
      </w:tcPr>
    </w:tblStylePr>
    <w:tblStylePr w:type="lastRow">
      <w:rPr>
        <w:b/>
        <w:bCs/>
      </w:rPr>
      <w:tblPr/>
      <w:tcPr>
        <w:tcBorders>
          <w:top w:val="double" w:sz="4" w:space="0" w:color="FFC000" w:themeColor="accent2"/>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GridTable4Accent3">
    <w:name w:val="Grid Table 4 Accent 3"/>
    <w:basedOn w:val="TableNormal"/>
    <w:uiPriority w:val="49"/>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insideV w:val="nil"/>
        </w:tcBorders>
        <w:shd w:val="clear" w:color="auto" w:fill="00B050" w:themeFill="accent3"/>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customStyle="1" w:styleId="GridTable4Accent4">
    <w:name w:val="Grid Table 4 Accent 4"/>
    <w:basedOn w:val="TableNormal"/>
    <w:uiPriority w:val="49"/>
    <w:pPr>
      <w:spacing w:after="0" w:line="240" w:lineRule="auto"/>
    </w:pPr>
    <w:tblPr>
      <w:tblStyleRowBandSize w:val="1"/>
      <w:tblStyleColBandSize w:val="1"/>
      <w:tblBorders>
        <w:top w:val="single" w:sz="4" w:space="0" w:color="26ADFF" w:themeColor="accent4" w:themeTint="99"/>
        <w:left w:val="single" w:sz="4" w:space="0" w:color="26ADFF" w:themeColor="accent4" w:themeTint="99"/>
        <w:bottom w:val="single" w:sz="4" w:space="0" w:color="26ADFF" w:themeColor="accent4" w:themeTint="99"/>
        <w:right w:val="single" w:sz="4" w:space="0" w:color="26ADFF" w:themeColor="accent4" w:themeTint="99"/>
        <w:insideH w:val="single" w:sz="4" w:space="0" w:color="26ADFF" w:themeColor="accent4" w:themeTint="99"/>
        <w:insideV w:val="single" w:sz="4" w:space="0" w:color="26ADFF" w:themeColor="accent4" w:themeTint="99"/>
      </w:tblBorders>
    </w:tblPr>
    <w:tblStylePr w:type="firstRow">
      <w:rPr>
        <w:b/>
        <w:bCs/>
        <w:color w:val="FFFFFF" w:themeColor="background1"/>
      </w:rPr>
      <w:tblPr/>
      <w:tcPr>
        <w:tcBorders>
          <w:top w:val="single" w:sz="4" w:space="0" w:color="005D95" w:themeColor="accent4"/>
          <w:left w:val="single" w:sz="4" w:space="0" w:color="005D95" w:themeColor="accent4"/>
          <w:bottom w:val="single" w:sz="4" w:space="0" w:color="005D95" w:themeColor="accent4"/>
          <w:right w:val="single" w:sz="4" w:space="0" w:color="005D95" w:themeColor="accent4"/>
          <w:insideH w:val="nil"/>
          <w:insideV w:val="nil"/>
        </w:tcBorders>
        <w:shd w:val="clear" w:color="auto" w:fill="005D95" w:themeFill="accent4"/>
      </w:tcPr>
    </w:tblStylePr>
    <w:tblStylePr w:type="lastRow">
      <w:rPr>
        <w:b/>
        <w:bCs/>
      </w:rPr>
      <w:tblPr/>
      <w:tcPr>
        <w:tcBorders>
          <w:top w:val="double" w:sz="4" w:space="0" w:color="005D95" w:themeColor="accent4"/>
        </w:tcBorders>
      </w:tcPr>
    </w:tblStylePr>
    <w:tblStylePr w:type="firstCol">
      <w:rPr>
        <w:b/>
        <w:bCs/>
      </w:rPr>
    </w:tblStylePr>
    <w:tblStylePr w:type="lastCol">
      <w:rPr>
        <w:b/>
        <w:bCs/>
      </w:rPr>
    </w:tblStylePr>
    <w:tblStylePr w:type="band1Vert">
      <w:tblPr/>
      <w:tcPr>
        <w:shd w:val="clear" w:color="auto" w:fill="B6E3FF" w:themeFill="accent4" w:themeFillTint="33"/>
      </w:tcPr>
    </w:tblStylePr>
    <w:tblStylePr w:type="band1Horz">
      <w:tblPr/>
      <w:tcPr>
        <w:shd w:val="clear" w:color="auto" w:fill="B6E3FF" w:themeFill="accent4" w:themeFillTint="33"/>
      </w:tcPr>
    </w:tblStylePr>
  </w:style>
  <w:style w:type="table" w:customStyle="1" w:styleId="GridTable4Accent5">
    <w:name w:val="Grid Table 4 Accent 5"/>
    <w:basedOn w:val="TableNormal"/>
    <w:uiPriority w:val="49"/>
    <w:pPr>
      <w:spacing w:after="0" w:line="240" w:lineRule="auto"/>
    </w:pPr>
    <w:tblPr>
      <w:tblStyleRowBandSize w:val="1"/>
      <w:tblStyleColBandSize w:val="1"/>
      <w:tblBorders>
        <w:top w:val="single" w:sz="4" w:space="0" w:color="FF4040" w:themeColor="accent5" w:themeTint="99"/>
        <w:left w:val="single" w:sz="4" w:space="0" w:color="FF4040" w:themeColor="accent5" w:themeTint="99"/>
        <w:bottom w:val="single" w:sz="4" w:space="0" w:color="FF4040" w:themeColor="accent5" w:themeTint="99"/>
        <w:right w:val="single" w:sz="4" w:space="0" w:color="FF4040" w:themeColor="accent5" w:themeTint="99"/>
        <w:insideH w:val="single" w:sz="4" w:space="0" w:color="FF4040" w:themeColor="accent5" w:themeTint="99"/>
        <w:insideV w:val="single" w:sz="4" w:space="0" w:color="FF4040" w:themeColor="accent5" w:themeTint="99"/>
      </w:tblBorders>
    </w:tblPr>
    <w:tblStylePr w:type="firstRow">
      <w:rPr>
        <w:b/>
        <w:bCs/>
        <w:color w:val="FFFFFF" w:themeColor="background1"/>
      </w:rPr>
      <w:tblPr/>
      <w:tcPr>
        <w:tcBorders>
          <w:top w:val="single" w:sz="4" w:space="0" w:color="C00000" w:themeColor="accent5"/>
          <w:left w:val="single" w:sz="4" w:space="0" w:color="C00000" w:themeColor="accent5"/>
          <w:bottom w:val="single" w:sz="4" w:space="0" w:color="C00000" w:themeColor="accent5"/>
          <w:right w:val="single" w:sz="4" w:space="0" w:color="C00000" w:themeColor="accent5"/>
          <w:insideH w:val="nil"/>
          <w:insideV w:val="nil"/>
        </w:tcBorders>
        <w:shd w:val="clear" w:color="auto" w:fill="C00000" w:themeFill="accent5"/>
      </w:tcPr>
    </w:tblStylePr>
    <w:tblStylePr w:type="lastRow">
      <w:rPr>
        <w:b/>
        <w:bCs/>
      </w:rPr>
      <w:tblPr/>
      <w:tcPr>
        <w:tcBorders>
          <w:top w:val="double" w:sz="4" w:space="0" w:color="C00000" w:themeColor="accent5"/>
        </w:tcBorders>
      </w:tcPr>
    </w:tblStylePr>
    <w:tblStylePr w:type="firstCol">
      <w:rPr>
        <w:b/>
        <w:bCs/>
      </w:rPr>
    </w:tblStylePr>
    <w:tblStylePr w:type="lastCol">
      <w:rPr>
        <w:b/>
        <w:bCs/>
      </w:rPr>
    </w:tblStylePr>
    <w:tblStylePr w:type="band1Vert">
      <w:tblPr/>
      <w:tcPr>
        <w:shd w:val="clear" w:color="auto" w:fill="FFBFBF" w:themeFill="accent5" w:themeFillTint="33"/>
      </w:tcPr>
    </w:tblStylePr>
    <w:tblStylePr w:type="band1Horz">
      <w:tblPr/>
      <w:tcPr>
        <w:shd w:val="clear" w:color="auto" w:fill="FFBFBF" w:themeFill="accent5" w:themeFillTint="33"/>
      </w:tcPr>
    </w:tblStylePr>
  </w:style>
  <w:style w:type="table" w:customStyle="1" w:styleId="GridTable4Accent6">
    <w:name w:val="Grid Table 4 Accent 6"/>
    <w:basedOn w:val="TableNormal"/>
    <w:uiPriority w:val="49"/>
    <w:pPr>
      <w:spacing w:after="0" w:line="240" w:lineRule="auto"/>
    </w:pPr>
    <w:tblPr>
      <w:tblStyleRowBandSize w:val="1"/>
      <w:tblStyleColBandSize w:val="1"/>
      <w:tblBorders>
        <w:top w:val="single" w:sz="4" w:space="0" w:color="9892C9" w:themeColor="accent6" w:themeTint="99"/>
        <w:left w:val="single" w:sz="4" w:space="0" w:color="9892C9" w:themeColor="accent6" w:themeTint="99"/>
        <w:bottom w:val="single" w:sz="4" w:space="0" w:color="9892C9" w:themeColor="accent6" w:themeTint="99"/>
        <w:right w:val="single" w:sz="4" w:space="0" w:color="9892C9" w:themeColor="accent6" w:themeTint="99"/>
        <w:insideH w:val="single" w:sz="4" w:space="0" w:color="9892C9" w:themeColor="accent6" w:themeTint="99"/>
        <w:insideV w:val="single" w:sz="4" w:space="0" w:color="9892C9" w:themeColor="accent6" w:themeTint="99"/>
      </w:tblBorders>
    </w:tblPr>
    <w:tblStylePr w:type="firstRow">
      <w:rPr>
        <w:b/>
        <w:bCs/>
        <w:color w:val="FFFFFF" w:themeColor="background1"/>
      </w:rPr>
      <w:tblPr/>
      <w:tcPr>
        <w:tcBorders>
          <w:top w:val="single" w:sz="4" w:space="0" w:color="584FA1" w:themeColor="accent6"/>
          <w:left w:val="single" w:sz="4" w:space="0" w:color="584FA1" w:themeColor="accent6"/>
          <w:bottom w:val="single" w:sz="4" w:space="0" w:color="584FA1" w:themeColor="accent6"/>
          <w:right w:val="single" w:sz="4" w:space="0" w:color="584FA1" w:themeColor="accent6"/>
          <w:insideH w:val="nil"/>
          <w:insideV w:val="nil"/>
        </w:tcBorders>
        <w:shd w:val="clear" w:color="auto" w:fill="584FA1" w:themeFill="accent6"/>
      </w:tcPr>
    </w:tblStylePr>
    <w:tblStylePr w:type="lastRow">
      <w:rPr>
        <w:b/>
        <w:bCs/>
      </w:rPr>
      <w:tblPr/>
      <w:tcPr>
        <w:tcBorders>
          <w:top w:val="double" w:sz="4" w:space="0" w:color="584FA1" w:themeColor="accent6"/>
        </w:tcBorders>
      </w:tcPr>
    </w:tblStylePr>
    <w:tblStylePr w:type="firstCol">
      <w:rPr>
        <w:b/>
        <w:bCs/>
      </w:rPr>
    </w:tblStylePr>
    <w:tblStylePr w:type="lastCol">
      <w:rPr>
        <w:b/>
        <w:bCs/>
      </w:rPr>
    </w:tblStylePr>
    <w:tblStylePr w:type="band1Vert">
      <w:tblPr/>
      <w:tcPr>
        <w:shd w:val="clear" w:color="auto" w:fill="DCDAED" w:themeFill="accent6" w:themeFillTint="33"/>
      </w:tcPr>
    </w:tblStylePr>
    <w:tblStylePr w:type="band1Horz">
      <w:tblPr/>
      <w:tcPr>
        <w:shd w:val="clear" w:color="auto" w:fill="DCDAED" w:themeFill="accent6" w:themeFillTint="33"/>
      </w:tcPr>
    </w:tblStylePr>
  </w:style>
  <w:style w:type="table" w:customStyle="1" w:styleId="GridTable5Dark">
    <w:name w:val="Grid Table 5 Dark"/>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0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A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A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A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A47" w:themeFill="accent1"/>
      </w:tcPr>
    </w:tblStylePr>
    <w:tblStylePr w:type="band1Vert">
      <w:tblPr/>
      <w:tcPr>
        <w:shd w:val="clear" w:color="auto" w:fill="F9C3B5" w:themeFill="accent1" w:themeFillTint="66"/>
      </w:tcPr>
    </w:tblStylePr>
    <w:tblStylePr w:type="band1Horz">
      <w:tblPr/>
      <w:tcPr>
        <w:shd w:val="clear" w:color="auto" w:fill="F9C3B5" w:themeFill="accent1" w:themeFillTint="66"/>
      </w:tcPr>
    </w:tblStylePr>
  </w:style>
  <w:style w:type="table" w:customStyle="1" w:styleId="GridTable5DarkAccent2">
    <w:name w:val="Grid Table 5 Dark Accent 2"/>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2"/>
      </w:tcPr>
    </w:tblStylePr>
    <w:tblStylePr w:type="band1Vert">
      <w:tblPr/>
      <w:tcPr>
        <w:shd w:val="clear" w:color="auto" w:fill="FFE599" w:themeFill="accent2" w:themeFillTint="66"/>
      </w:tcPr>
    </w:tblStylePr>
    <w:tblStylePr w:type="band1Horz">
      <w:tblPr/>
      <w:tcPr>
        <w:shd w:val="clear" w:color="auto" w:fill="FFE599" w:themeFill="accent2" w:themeFillTint="66"/>
      </w:tcPr>
    </w:tblStylePr>
  </w:style>
  <w:style w:type="table" w:customStyle="1"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3"/>
      </w:tcPr>
    </w:tblStylePr>
    <w:tblStylePr w:type="band1Vert">
      <w:tblPr/>
      <w:tcPr>
        <w:shd w:val="clear" w:color="auto" w:fill="79FFB5" w:themeFill="accent3" w:themeFillTint="66"/>
      </w:tcPr>
    </w:tblStylePr>
    <w:tblStylePr w:type="band1Horz">
      <w:tblPr/>
      <w:tcPr>
        <w:shd w:val="clear" w:color="auto" w:fill="79FFB5" w:themeFill="accent3" w:themeFillTint="66"/>
      </w:tcPr>
    </w:tblStylePr>
  </w:style>
  <w:style w:type="table" w:customStyle="1" w:styleId="GridTable5DarkAccent4">
    <w:name w:val="Grid Table 5 Dark Accent 4"/>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E3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9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9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9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95" w:themeFill="accent4"/>
      </w:tcPr>
    </w:tblStylePr>
    <w:tblStylePr w:type="band1Vert">
      <w:tblPr/>
      <w:tcPr>
        <w:shd w:val="clear" w:color="auto" w:fill="6EC8FF" w:themeFill="accent4" w:themeFillTint="66"/>
      </w:tcPr>
    </w:tblStylePr>
    <w:tblStylePr w:type="band1Horz">
      <w:tblPr/>
      <w:tcPr>
        <w:shd w:val="clear" w:color="auto" w:fill="6EC8FF" w:themeFill="accent4" w:themeFillTint="66"/>
      </w:tcPr>
    </w:tblStylePr>
  </w:style>
  <w:style w:type="table" w:customStyle="1" w:styleId="GridTable5DarkAccent5">
    <w:name w:val="Grid Table 5 Dark Accent 5"/>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5"/>
      </w:tcPr>
    </w:tblStylePr>
    <w:tblStylePr w:type="band1Vert">
      <w:tblPr/>
      <w:tcPr>
        <w:shd w:val="clear" w:color="auto" w:fill="FF7F7F" w:themeFill="accent5" w:themeFillTint="66"/>
      </w:tcPr>
    </w:tblStylePr>
    <w:tblStylePr w:type="band1Horz">
      <w:tblPr/>
      <w:tcPr>
        <w:shd w:val="clear" w:color="auto" w:fill="FF7F7F" w:themeFill="accent5" w:themeFillTint="66"/>
      </w:tcPr>
    </w:tblStylePr>
  </w:style>
  <w:style w:type="table" w:customStyle="1" w:styleId="GridTable5DarkAccent6">
    <w:name w:val="Grid Table 5 Dark Accent 6"/>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A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4FA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4FA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4FA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4FA1" w:themeFill="accent6"/>
      </w:tcPr>
    </w:tblStylePr>
    <w:tblStylePr w:type="band1Vert">
      <w:tblPr/>
      <w:tcPr>
        <w:shd w:val="clear" w:color="auto" w:fill="BAB6DB" w:themeFill="accent6" w:themeFillTint="66"/>
      </w:tcPr>
    </w:tblStylePr>
    <w:tblStylePr w:type="band1Horz">
      <w:tblPr/>
      <w:tcPr>
        <w:shd w:val="clear" w:color="auto" w:fill="BAB6DB" w:themeFill="accent6" w:themeFillTint="66"/>
      </w:tcPr>
    </w:tblStylePr>
  </w:style>
  <w:style w:type="table" w:customStyle="1" w:styleId="GridTable6Colorful">
    <w:name w:val="Grid Table 6 Colorful"/>
    <w:basedOn w:val="TableNormal"/>
    <w:uiPriority w:val="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pPr>
      <w:spacing w:after="0" w:line="240" w:lineRule="auto"/>
    </w:pPr>
    <w:rPr>
      <w:color w:val="DA380F" w:themeColor="accent1" w:themeShade="BF"/>
    </w:rPr>
    <w:tblPr>
      <w:tblStyleRowBandSize w:val="1"/>
      <w:tblStyleColBandSize w:val="1"/>
      <w:tblBorders>
        <w:top w:val="single" w:sz="4" w:space="0" w:color="F7A590" w:themeColor="accent1" w:themeTint="99"/>
        <w:left w:val="single" w:sz="4" w:space="0" w:color="F7A590" w:themeColor="accent1" w:themeTint="99"/>
        <w:bottom w:val="single" w:sz="4" w:space="0" w:color="F7A590" w:themeColor="accent1" w:themeTint="99"/>
        <w:right w:val="single" w:sz="4" w:space="0" w:color="F7A590" w:themeColor="accent1" w:themeTint="99"/>
        <w:insideH w:val="single" w:sz="4" w:space="0" w:color="F7A590" w:themeColor="accent1" w:themeTint="99"/>
        <w:insideV w:val="single" w:sz="4" w:space="0" w:color="F7A590" w:themeColor="accent1" w:themeTint="99"/>
      </w:tblBorders>
    </w:tblPr>
    <w:tblStylePr w:type="firstRow">
      <w:rPr>
        <w:b/>
        <w:bCs/>
      </w:rPr>
      <w:tblPr/>
      <w:tcPr>
        <w:tcBorders>
          <w:bottom w:val="single" w:sz="12" w:space="0" w:color="F7A590" w:themeColor="accent1" w:themeTint="99"/>
        </w:tcBorders>
      </w:tcPr>
    </w:tblStylePr>
    <w:tblStylePr w:type="lastRow">
      <w:rPr>
        <w:b/>
        <w:bCs/>
      </w:rPr>
      <w:tblPr/>
      <w:tcPr>
        <w:tcBorders>
          <w:top w:val="double" w:sz="4" w:space="0" w:color="F7A590" w:themeColor="accent1" w:themeTint="99"/>
        </w:tcBorders>
      </w:tcPr>
    </w:tblStylePr>
    <w:tblStylePr w:type="firstCol">
      <w:rPr>
        <w:b/>
        <w:bCs/>
      </w:rPr>
    </w:tblStylePr>
    <w:tblStylePr w:type="lastCol">
      <w:rPr>
        <w:b/>
        <w:bCs/>
      </w:rPr>
    </w:tblStylePr>
    <w:tblStylePr w:type="band1Vert">
      <w:tblPr/>
      <w:tcPr>
        <w:shd w:val="clear" w:color="auto" w:fill="FCE0D9" w:themeFill="accent1" w:themeFillTint="33"/>
      </w:tcPr>
    </w:tblStylePr>
    <w:tblStylePr w:type="band1Horz">
      <w:tblPr/>
      <w:tcPr>
        <w:shd w:val="clear" w:color="auto" w:fill="FCE0D9" w:themeFill="accent1" w:themeFillTint="33"/>
      </w:tcPr>
    </w:tblStylePr>
  </w:style>
  <w:style w:type="table" w:customStyle="1" w:styleId="GridTable6ColorfulAccent2">
    <w:name w:val="Grid Table 6 Colorful Accent 2"/>
    <w:basedOn w:val="TableNormal"/>
    <w:uiPriority w:val="51"/>
    <w:pPr>
      <w:spacing w:after="0" w:line="240" w:lineRule="auto"/>
    </w:pPr>
    <w:rPr>
      <w:color w:val="BF8F00" w:themeColor="accent2" w:themeShade="BF"/>
    </w:r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insideV w:val="single" w:sz="4" w:space="0" w:color="FFD966" w:themeColor="accent2" w:themeTint="99"/>
      </w:tblBorders>
    </w:tblPr>
    <w:tblStylePr w:type="firstRow">
      <w:rPr>
        <w:b/>
        <w:bCs/>
      </w:rPr>
      <w:tblPr/>
      <w:tcPr>
        <w:tcBorders>
          <w:bottom w:val="single" w:sz="12" w:space="0" w:color="FFD966" w:themeColor="accent2" w:themeTint="99"/>
        </w:tcBorders>
      </w:tcPr>
    </w:tblStylePr>
    <w:tblStylePr w:type="lastRow">
      <w:rPr>
        <w:b/>
        <w:bCs/>
      </w:rPr>
      <w:tblPr/>
      <w:tcPr>
        <w:tcBorders>
          <w:top w:val="double" w:sz="4" w:space="0" w:color="FFD966" w:themeColor="accent2" w:themeTint="99"/>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GridTable6ColorfulAccent3">
    <w:name w:val="Grid Table 6 Colorful Accent 3"/>
    <w:basedOn w:val="TableNormal"/>
    <w:uiPriority w:val="51"/>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customStyle="1" w:styleId="GridTable6ColorfulAccent4">
    <w:name w:val="Grid Table 6 Colorful Accent 4"/>
    <w:basedOn w:val="TableNormal"/>
    <w:uiPriority w:val="51"/>
    <w:pPr>
      <w:spacing w:after="0" w:line="240" w:lineRule="auto"/>
    </w:pPr>
    <w:rPr>
      <w:color w:val="00456F" w:themeColor="accent4" w:themeShade="BF"/>
    </w:rPr>
    <w:tblPr>
      <w:tblStyleRowBandSize w:val="1"/>
      <w:tblStyleColBandSize w:val="1"/>
      <w:tblBorders>
        <w:top w:val="single" w:sz="4" w:space="0" w:color="26ADFF" w:themeColor="accent4" w:themeTint="99"/>
        <w:left w:val="single" w:sz="4" w:space="0" w:color="26ADFF" w:themeColor="accent4" w:themeTint="99"/>
        <w:bottom w:val="single" w:sz="4" w:space="0" w:color="26ADFF" w:themeColor="accent4" w:themeTint="99"/>
        <w:right w:val="single" w:sz="4" w:space="0" w:color="26ADFF" w:themeColor="accent4" w:themeTint="99"/>
        <w:insideH w:val="single" w:sz="4" w:space="0" w:color="26ADFF" w:themeColor="accent4" w:themeTint="99"/>
        <w:insideV w:val="single" w:sz="4" w:space="0" w:color="26ADFF" w:themeColor="accent4" w:themeTint="99"/>
      </w:tblBorders>
    </w:tblPr>
    <w:tblStylePr w:type="firstRow">
      <w:rPr>
        <w:b/>
        <w:bCs/>
      </w:rPr>
      <w:tblPr/>
      <w:tcPr>
        <w:tcBorders>
          <w:bottom w:val="single" w:sz="12" w:space="0" w:color="26ADFF" w:themeColor="accent4" w:themeTint="99"/>
        </w:tcBorders>
      </w:tcPr>
    </w:tblStylePr>
    <w:tblStylePr w:type="lastRow">
      <w:rPr>
        <w:b/>
        <w:bCs/>
      </w:rPr>
      <w:tblPr/>
      <w:tcPr>
        <w:tcBorders>
          <w:top w:val="double" w:sz="4" w:space="0" w:color="26ADFF" w:themeColor="accent4" w:themeTint="99"/>
        </w:tcBorders>
      </w:tcPr>
    </w:tblStylePr>
    <w:tblStylePr w:type="firstCol">
      <w:rPr>
        <w:b/>
        <w:bCs/>
      </w:rPr>
    </w:tblStylePr>
    <w:tblStylePr w:type="lastCol">
      <w:rPr>
        <w:b/>
        <w:bCs/>
      </w:rPr>
    </w:tblStylePr>
    <w:tblStylePr w:type="band1Vert">
      <w:tblPr/>
      <w:tcPr>
        <w:shd w:val="clear" w:color="auto" w:fill="B6E3FF" w:themeFill="accent4" w:themeFillTint="33"/>
      </w:tcPr>
    </w:tblStylePr>
    <w:tblStylePr w:type="band1Horz">
      <w:tblPr/>
      <w:tcPr>
        <w:shd w:val="clear" w:color="auto" w:fill="B6E3FF" w:themeFill="accent4" w:themeFillTint="33"/>
      </w:tcPr>
    </w:tblStylePr>
  </w:style>
  <w:style w:type="table" w:customStyle="1" w:styleId="GridTable6ColorfulAccent5">
    <w:name w:val="Grid Table 6 Colorful Accent 5"/>
    <w:basedOn w:val="TableNormal"/>
    <w:uiPriority w:val="51"/>
    <w:pPr>
      <w:spacing w:after="0" w:line="240" w:lineRule="auto"/>
    </w:pPr>
    <w:rPr>
      <w:color w:val="8F0000" w:themeColor="accent5" w:themeShade="BF"/>
    </w:rPr>
    <w:tblPr>
      <w:tblStyleRowBandSize w:val="1"/>
      <w:tblStyleColBandSize w:val="1"/>
      <w:tblBorders>
        <w:top w:val="single" w:sz="4" w:space="0" w:color="FF4040" w:themeColor="accent5" w:themeTint="99"/>
        <w:left w:val="single" w:sz="4" w:space="0" w:color="FF4040" w:themeColor="accent5" w:themeTint="99"/>
        <w:bottom w:val="single" w:sz="4" w:space="0" w:color="FF4040" w:themeColor="accent5" w:themeTint="99"/>
        <w:right w:val="single" w:sz="4" w:space="0" w:color="FF4040" w:themeColor="accent5" w:themeTint="99"/>
        <w:insideH w:val="single" w:sz="4" w:space="0" w:color="FF4040" w:themeColor="accent5" w:themeTint="99"/>
        <w:insideV w:val="single" w:sz="4" w:space="0" w:color="FF4040" w:themeColor="accent5" w:themeTint="99"/>
      </w:tblBorders>
    </w:tblPr>
    <w:tblStylePr w:type="firstRow">
      <w:rPr>
        <w:b/>
        <w:bCs/>
      </w:rPr>
      <w:tblPr/>
      <w:tcPr>
        <w:tcBorders>
          <w:bottom w:val="single" w:sz="12" w:space="0" w:color="FF4040" w:themeColor="accent5" w:themeTint="99"/>
        </w:tcBorders>
      </w:tcPr>
    </w:tblStylePr>
    <w:tblStylePr w:type="lastRow">
      <w:rPr>
        <w:b/>
        <w:bCs/>
      </w:rPr>
      <w:tblPr/>
      <w:tcPr>
        <w:tcBorders>
          <w:top w:val="double" w:sz="4" w:space="0" w:color="FF4040" w:themeColor="accent5" w:themeTint="99"/>
        </w:tcBorders>
      </w:tcPr>
    </w:tblStylePr>
    <w:tblStylePr w:type="firstCol">
      <w:rPr>
        <w:b/>
        <w:bCs/>
      </w:rPr>
    </w:tblStylePr>
    <w:tblStylePr w:type="lastCol">
      <w:rPr>
        <w:b/>
        <w:bCs/>
      </w:rPr>
    </w:tblStylePr>
    <w:tblStylePr w:type="band1Vert">
      <w:tblPr/>
      <w:tcPr>
        <w:shd w:val="clear" w:color="auto" w:fill="FFBFBF" w:themeFill="accent5" w:themeFillTint="33"/>
      </w:tcPr>
    </w:tblStylePr>
    <w:tblStylePr w:type="band1Horz">
      <w:tblPr/>
      <w:tcPr>
        <w:shd w:val="clear" w:color="auto" w:fill="FFBFBF" w:themeFill="accent5" w:themeFillTint="33"/>
      </w:tcPr>
    </w:tblStylePr>
  </w:style>
  <w:style w:type="table" w:customStyle="1" w:styleId="GridTable6ColorfulAccent6">
    <w:name w:val="Grid Table 6 Colorful Accent 6"/>
    <w:basedOn w:val="TableNormal"/>
    <w:uiPriority w:val="51"/>
    <w:pPr>
      <w:spacing w:after="0" w:line="240" w:lineRule="auto"/>
    </w:pPr>
    <w:rPr>
      <w:color w:val="413B78" w:themeColor="accent6" w:themeShade="BF"/>
    </w:rPr>
    <w:tblPr>
      <w:tblStyleRowBandSize w:val="1"/>
      <w:tblStyleColBandSize w:val="1"/>
      <w:tblBorders>
        <w:top w:val="single" w:sz="4" w:space="0" w:color="9892C9" w:themeColor="accent6" w:themeTint="99"/>
        <w:left w:val="single" w:sz="4" w:space="0" w:color="9892C9" w:themeColor="accent6" w:themeTint="99"/>
        <w:bottom w:val="single" w:sz="4" w:space="0" w:color="9892C9" w:themeColor="accent6" w:themeTint="99"/>
        <w:right w:val="single" w:sz="4" w:space="0" w:color="9892C9" w:themeColor="accent6" w:themeTint="99"/>
        <w:insideH w:val="single" w:sz="4" w:space="0" w:color="9892C9" w:themeColor="accent6" w:themeTint="99"/>
        <w:insideV w:val="single" w:sz="4" w:space="0" w:color="9892C9" w:themeColor="accent6" w:themeTint="99"/>
      </w:tblBorders>
    </w:tblPr>
    <w:tblStylePr w:type="firstRow">
      <w:rPr>
        <w:b/>
        <w:bCs/>
      </w:rPr>
      <w:tblPr/>
      <w:tcPr>
        <w:tcBorders>
          <w:bottom w:val="single" w:sz="12" w:space="0" w:color="9892C9" w:themeColor="accent6" w:themeTint="99"/>
        </w:tcBorders>
      </w:tcPr>
    </w:tblStylePr>
    <w:tblStylePr w:type="lastRow">
      <w:rPr>
        <w:b/>
        <w:bCs/>
      </w:rPr>
      <w:tblPr/>
      <w:tcPr>
        <w:tcBorders>
          <w:top w:val="double" w:sz="4" w:space="0" w:color="9892C9" w:themeColor="accent6" w:themeTint="99"/>
        </w:tcBorders>
      </w:tcPr>
    </w:tblStylePr>
    <w:tblStylePr w:type="firstCol">
      <w:rPr>
        <w:b/>
        <w:bCs/>
      </w:rPr>
    </w:tblStylePr>
    <w:tblStylePr w:type="lastCol">
      <w:rPr>
        <w:b/>
        <w:bCs/>
      </w:rPr>
    </w:tblStylePr>
    <w:tblStylePr w:type="band1Vert">
      <w:tblPr/>
      <w:tcPr>
        <w:shd w:val="clear" w:color="auto" w:fill="DCDAED" w:themeFill="accent6" w:themeFillTint="33"/>
      </w:tcPr>
    </w:tblStylePr>
    <w:tblStylePr w:type="band1Horz">
      <w:tblPr/>
      <w:tcPr>
        <w:shd w:val="clear" w:color="auto" w:fill="DCDAED" w:themeFill="accent6" w:themeFillTint="33"/>
      </w:tcPr>
    </w:tblStylePr>
  </w:style>
  <w:style w:type="table" w:customStyle="1" w:styleId="GridTable7Colorful">
    <w:name w:val="Grid Table 7 Colorful"/>
    <w:basedOn w:val="TableNormal"/>
    <w:uiPriority w:val="5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pPr>
      <w:spacing w:after="0" w:line="240" w:lineRule="auto"/>
    </w:pPr>
    <w:rPr>
      <w:color w:val="DA380F" w:themeColor="accent1" w:themeShade="BF"/>
    </w:rPr>
    <w:tblPr>
      <w:tblStyleRowBandSize w:val="1"/>
      <w:tblStyleColBandSize w:val="1"/>
      <w:tblBorders>
        <w:top w:val="single" w:sz="4" w:space="0" w:color="F7A590" w:themeColor="accent1" w:themeTint="99"/>
        <w:left w:val="single" w:sz="4" w:space="0" w:color="F7A590" w:themeColor="accent1" w:themeTint="99"/>
        <w:bottom w:val="single" w:sz="4" w:space="0" w:color="F7A590" w:themeColor="accent1" w:themeTint="99"/>
        <w:right w:val="single" w:sz="4" w:space="0" w:color="F7A590" w:themeColor="accent1" w:themeTint="99"/>
        <w:insideH w:val="single" w:sz="4" w:space="0" w:color="F7A590" w:themeColor="accent1" w:themeTint="99"/>
        <w:insideV w:val="single" w:sz="4" w:space="0" w:color="F7A5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0D9" w:themeFill="accent1" w:themeFillTint="33"/>
      </w:tcPr>
    </w:tblStylePr>
    <w:tblStylePr w:type="band1Horz">
      <w:tblPr/>
      <w:tcPr>
        <w:shd w:val="clear" w:color="auto" w:fill="FCE0D9" w:themeFill="accent1" w:themeFillTint="33"/>
      </w:tcPr>
    </w:tblStylePr>
    <w:tblStylePr w:type="neCell">
      <w:tblPr/>
      <w:tcPr>
        <w:tcBorders>
          <w:bottom w:val="single" w:sz="4" w:space="0" w:color="F7A590" w:themeColor="accent1" w:themeTint="99"/>
        </w:tcBorders>
      </w:tcPr>
    </w:tblStylePr>
    <w:tblStylePr w:type="nwCell">
      <w:tblPr/>
      <w:tcPr>
        <w:tcBorders>
          <w:bottom w:val="single" w:sz="4" w:space="0" w:color="F7A590" w:themeColor="accent1" w:themeTint="99"/>
        </w:tcBorders>
      </w:tcPr>
    </w:tblStylePr>
    <w:tblStylePr w:type="seCell">
      <w:tblPr/>
      <w:tcPr>
        <w:tcBorders>
          <w:top w:val="single" w:sz="4" w:space="0" w:color="F7A590" w:themeColor="accent1" w:themeTint="99"/>
        </w:tcBorders>
      </w:tcPr>
    </w:tblStylePr>
    <w:tblStylePr w:type="swCell">
      <w:tblPr/>
      <w:tcPr>
        <w:tcBorders>
          <w:top w:val="single" w:sz="4" w:space="0" w:color="F7A590" w:themeColor="accent1" w:themeTint="99"/>
        </w:tcBorders>
      </w:tcPr>
    </w:tblStylePr>
  </w:style>
  <w:style w:type="table" w:customStyle="1" w:styleId="GridTable7ColorfulAccent2">
    <w:name w:val="Grid Table 7 Colorful Accent 2"/>
    <w:basedOn w:val="TableNormal"/>
    <w:uiPriority w:val="52"/>
    <w:pPr>
      <w:spacing w:after="0" w:line="240" w:lineRule="auto"/>
    </w:pPr>
    <w:rPr>
      <w:color w:val="BF8F00" w:themeColor="accent2" w:themeShade="BF"/>
    </w:r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insideV w:val="single" w:sz="4" w:space="0" w:color="FFD9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2" w:themeFillTint="33"/>
      </w:tcPr>
    </w:tblStylePr>
    <w:tblStylePr w:type="band1Horz">
      <w:tblPr/>
      <w:tcPr>
        <w:shd w:val="clear" w:color="auto" w:fill="FFF2CC" w:themeFill="accent2" w:themeFillTint="33"/>
      </w:tcPr>
    </w:tblStylePr>
    <w:tblStylePr w:type="neCell">
      <w:tblPr/>
      <w:tcPr>
        <w:tcBorders>
          <w:bottom w:val="single" w:sz="4" w:space="0" w:color="FFD966" w:themeColor="accent2" w:themeTint="99"/>
        </w:tcBorders>
      </w:tcPr>
    </w:tblStylePr>
    <w:tblStylePr w:type="nwCell">
      <w:tblPr/>
      <w:tcPr>
        <w:tcBorders>
          <w:bottom w:val="single" w:sz="4" w:space="0" w:color="FFD966" w:themeColor="accent2" w:themeTint="99"/>
        </w:tcBorders>
      </w:tcPr>
    </w:tblStylePr>
    <w:tblStylePr w:type="seCell">
      <w:tblPr/>
      <w:tcPr>
        <w:tcBorders>
          <w:top w:val="single" w:sz="4" w:space="0" w:color="FFD966" w:themeColor="accent2" w:themeTint="99"/>
        </w:tcBorders>
      </w:tcPr>
    </w:tblStylePr>
    <w:tblStylePr w:type="swCell">
      <w:tblPr/>
      <w:tcPr>
        <w:tcBorders>
          <w:top w:val="single" w:sz="4" w:space="0" w:color="FFD966" w:themeColor="accent2" w:themeTint="99"/>
        </w:tcBorders>
      </w:tcPr>
    </w:tblStylePr>
  </w:style>
  <w:style w:type="table" w:customStyle="1" w:styleId="GridTable7ColorfulAccent3">
    <w:name w:val="Grid Table 7 Colorful Accent 3"/>
    <w:basedOn w:val="TableNormal"/>
    <w:uiPriority w:val="52"/>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customStyle="1" w:styleId="GridTable7ColorfulAccent4">
    <w:name w:val="Grid Table 7 Colorful Accent 4"/>
    <w:basedOn w:val="TableNormal"/>
    <w:uiPriority w:val="52"/>
    <w:pPr>
      <w:spacing w:after="0" w:line="240" w:lineRule="auto"/>
    </w:pPr>
    <w:rPr>
      <w:color w:val="00456F" w:themeColor="accent4" w:themeShade="BF"/>
    </w:rPr>
    <w:tblPr>
      <w:tblStyleRowBandSize w:val="1"/>
      <w:tblStyleColBandSize w:val="1"/>
      <w:tblBorders>
        <w:top w:val="single" w:sz="4" w:space="0" w:color="26ADFF" w:themeColor="accent4" w:themeTint="99"/>
        <w:left w:val="single" w:sz="4" w:space="0" w:color="26ADFF" w:themeColor="accent4" w:themeTint="99"/>
        <w:bottom w:val="single" w:sz="4" w:space="0" w:color="26ADFF" w:themeColor="accent4" w:themeTint="99"/>
        <w:right w:val="single" w:sz="4" w:space="0" w:color="26ADFF" w:themeColor="accent4" w:themeTint="99"/>
        <w:insideH w:val="single" w:sz="4" w:space="0" w:color="26ADFF" w:themeColor="accent4" w:themeTint="99"/>
        <w:insideV w:val="single" w:sz="4" w:space="0" w:color="26AD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E3FF" w:themeFill="accent4" w:themeFillTint="33"/>
      </w:tcPr>
    </w:tblStylePr>
    <w:tblStylePr w:type="band1Horz">
      <w:tblPr/>
      <w:tcPr>
        <w:shd w:val="clear" w:color="auto" w:fill="B6E3FF" w:themeFill="accent4" w:themeFillTint="33"/>
      </w:tcPr>
    </w:tblStylePr>
    <w:tblStylePr w:type="neCell">
      <w:tblPr/>
      <w:tcPr>
        <w:tcBorders>
          <w:bottom w:val="single" w:sz="4" w:space="0" w:color="26ADFF" w:themeColor="accent4" w:themeTint="99"/>
        </w:tcBorders>
      </w:tcPr>
    </w:tblStylePr>
    <w:tblStylePr w:type="nwCell">
      <w:tblPr/>
      <w:tcPr>
        <w:tcBorders>
          <w:bottom w:val="single" w:sz="4" w:space="0" w:color="26ADFF" w:themeColor="accent4" w:themeTint="99"/>
        </w:tcBorders>
      </w:tcPr>
    </w:tblStylePr>
    <w:tblStylePr w:type="seCell">
      <w:tblPr/>
      <w:tcPr>
        <w:tcBorders>
          <w:top w:val="single" w:sz="4" w:space="0" w:color="26ADFF" w:themeColor="accent4" w:themeTint="99"/>
        </w:tcBorders>
      </w:tcPr>
    </w:tblStylePr>
    <w:tblStylePr w:type="swCell">
      <w:tblPr/>
      <w:tcPr>
        <w:tcBorders>
          <w:top w:val="single" w:sz="4" w:space="0" w:color="26ADFF" w:themeColor="accent4" w:themeTint="99"/>
        </w:tcBorders>
      </w:tcPr>
    </w:tblStylePr>
  </w:style>
  <w:style w:type="table" w:customStyle="1" w:styleId="GridTable7ColorfulAccent5">
    <w:name w:val="Grid Table 7 Colorful Accent 5"/>
    <w:basedOn w:val="TableNormal"/>
    <w:uiPriority w:val="52"/>
    <w:pPr>
      <w:spacing w:after="0" w:line="240" w:lineRule="auto"/>
    </w:pPr>
    <w:rPr>
      <w:color w:val="8F0000" w:themeColor="accent5" w:themeShade="BF"/>
    </w:rPr>
    <w:tblPr>
      <w:tblStyleRowBandSize w:val="1"/>
      <w:tblStyleColBandSize w:val="1"/>
      <w:tblBorders>
        <w:top w:val="single" w:sz="4" w:space="0" w:color="FF4040" w:themeColor="accent5" w:themeTint="99"/>
        <w:left w:val="single" w:sz="4" w:space="0" w:color="FF4040" w:themeColor="accent5" w:themeTint="99"/>
        <w:bottom w:val="single" w:sz="4" w:space="0" w:color="FF4040" w:themeColor="accent5" w:themeTint="99"/>
        <w:right w:val="single" w:sz="4" w:space="0" w:color="FF4040" w:themeColor="accent5" w:themeTint="99"/>
        <w:insideH w:val="single" w:sz="4" w:space="0" w:color="FF4040" w:themeColor="accent5" w:themeTint="99"/>
        <w:insideV w:val="single" w:sz="4" w:space="0" w:color="FF404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5" w:themeFillTint="33"/>
      </w:tcPr>
    </w:tblStylePr>
    <w:tblStylePr w:type="band1Horz">
      <w:tblPr/>
      <w:tcPr>
        <w:shd w:val="clear" w:color="auto" w:fill="FFBFBF" w:themeFill="accent5" w:themeFillTint="33"/>
      </w:tcPr>
    </w:tblStylePr>
    <w:tblStylePr w:type="neCell">
      <w:tblPr/>
      <w:tcPr>
        <w:tcBorders>
          <w:bottom w:val="single" w:sz="4" w:space="0" w:color="FF4040" w:themeColor="accent5" w:themeTint="99"/>
        </w:tcBorders>
      </w:tcPr>
    </w:tblStylePr>
    <w:tblStylePr w:type="nwCell">
      <w:tblPr/>
      <w:tcPr>
        <w:tcBorders>
          <w:bottom w:val="single" w:sz="4" w:space="0" w:color="FF4040" w:themeColor="accent5" w:themeTint="99"/>
        </w:tcBorders>
      </w:tcPr>
    </w:tblStylePr>
    <w:tblStylePr w:type="seCell">
      <w:tblPr/>
      <w:tcPr>
        <w:tcBorders>
          <w:top w:val="single" w:sz="4" w:space="0" w:color="FF4040" w:themeColor="accent5" w:themeTint="99"/>
        </w:tcBorders>
      </w:tcPr>
    </w:tblStylePr>
    <w:tblStylePr w:type="swCell">
      <w:tblPr/>
      <w:tcPr>
        <w:tcBorders>
          <w:top w:val="single" w:sz="4" w:space="0" w:color="FF4040" w:themeColor="accent5" w:themeTint="99"/>
        </w:tcBorders>
      </w:tcPr>
    </w:tblStylePr>
  </w:style>
  <w:style w:type="table" w:customStyle="1" w:styleId="GridTable7ColorfulAccent6">
    <w:name w:val="Grid Table 7 Colorful Accent 6"/>
    <w:basedOn w:val="TableNormal"/>
    <w:uiPriority w:val="52"/>
    <w:pPr>
      <w:spacing w:after="0" w:line="240" w:lineRule="auto"/>
    </w:pPr>
    <w:rPr>
      <w:color w:val="413B78" w:themeColor="accent6" w:themeShade="BF"/>
    </w:rPr>
    <w:tblPr>
      <w:tblStyleRowBandSize w:val="1"/>
      <w:tblStyleColBandSize w:val="1"/>
      <w:tblBorders>
        <w:top w:val="single" w:sz="4" w:space="0" w:color="9892C9" w:themeColor="accent6" w:themeTint="99"/>
        <w:left w:val="single" w:sz="4" w:space="0" w:color="9892C9" w:themeColor="accent6" w:themeTint="99"/>
        <w:bottom w:val="single" w:sz="4" w:space="0" w:color="9892C9" w:themeColor="accent6" w:themeTint="99"/>
        <w:right w:val="single" w:sz="4" w:space="0" w:color="9892C9" w:themeColor="accent6" w:themeTint="99"/>
        <w:insideH w:val="single" w:sz="4" w:space="0" w:color="9892C9" w:themeColor="accent6" w:themeTint="99"/>
        <w:insideV w:val="single" w:sz="4" w:space="0" w:color="9892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AED" w:themeFill="accent6" w:themeFillTint="33"/>
      </w:tcPr>
    </w:tblStylePr>
    <w:tblStylePr w:type="band1Horz">
      <w:tblPr/>
      <w:tcPr>
        <w:shd w:val="clear" w:color="auto" w:fill="DCDAED" w:themeFill="accent6" w:themeFillTint="33"/>
      </w:tcPr>
    </w:tblStylePr>
    <w:tblStylePr w:type="neCell">
      <w:tblPr/>
      <w:tcPr>
        <w:tcBorders>
          <w:bottom w:val="single" w:sz="4" w:space="0" w:color="9892C9" w:themeColor="accent6" w:themeTint="99"/>
        </w:tcBorders>
      </w:tcPr>
    </w:tblStylePr>
    <w:tblStylePr w:type="nwCell">
      <w:tblPr/>
      <w:tcPr>
        <w:tcBorders>
          <w:bottom w:val="single" w:sz="4" w:space="0" w:color="9892C9" w:themeColor="accent6" w:themeTint="99"/>
        </w:tcBorders>
      </w:tcPr>
    </w:tblStylePr>
    <w:tblStylePr w:type="seCell">
      <w:tblPr/>
      <w:tcPr>
        <w:tcBorders>
          <w:top w:val="single" w:sz="4" w:space="0" w:color="9892C9" w:themeColor="accent6" w:themeTint="99"/>
        </w:tcBorders>
      </w:tcPr>
    </w:tblStylePr>
    <w:tblStylePr w:type="swCell">
      <w:tblPr/>
      <w:tcPr>
        <w:tcBorders>
          <w:top w:val="single" w:sz="4" w:space="0" w:color="9892C9" w:themeColor="accent6" w:themeTint="99"/>
        </w:tcBorders>
      </w:tcPr>
    </w:tblStylePr>
  </w:style>
  <w:style w:type="character" w:styleId="HTMLAcronym">
    <w:name w:val="HTML Acronym"/>
    <w:basedOn w:val="DefaultParagraphFont"/>
    <w:uiPriority w:val="99"/>
    <w:semiHidden/>
    <w:unhideWhenUsed/>
    <w:rPr>
      <w:noProof w:val="0"/>
    </w:rPr>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noProof w:val="0"/>
    </w:rPr>
  </w:style>
  <w:style w:type="character" w:styleId="HTMLCite">
    <w:name w:val="HTML Cite"/>
    <w:basedOn w:val="DefaultParagraphFont"/>
    <w:uiPriority w:val="99"/>
    <w:semiHidden/>
    <w:unhideWhenUsed/>
    <w:rPr>
      <w:i/>
      <w:iCs/>
      <w:noProof w:val="0"/>
    </w:rPr>
  </w:style>
  <w:style w:type="character" w:styleId="HTMLCode">
    <w:name w:val="HTML Code"/>
    <w:basedOn w:val="DefaultParagraphFont"/>
    <w:uiPriority w:val="99"/>
    <w:semiHidden/>
    <w:unhideWhenUsed/>
    <w:rPr>
      <w:rFonts w:ascii="Consolas" w:hAnsi="Consolas"/>
      <w:noProof w:val="0"/>
      <w:sz w:val="20"/>
      <w:szCs w:val="20"/>
    </w:rPr>
  </w:style>
  <w:style w:type="character" w:styleId="HTMLDefinition">
    <w:name w:val="HTML Definition"/>
    <w:basedOn w:val="DefaultParagraphFont"/>
    <w:uiPriority w:val="99"/>
    <w:semiHidden/>
    <w:unhideWhenUsed/>
    <w:rPr>
      <w:i/>
      <w:iCs/>
      <w:noProof w:val="0"/>
    </w:rPr>
  </w:style>
  <w:style w:type="character" w:styleId="HTMLKeyboard">
    <w:name w:val="HTML Keyboard"/>
    <w:basedOn w:val="DefaultParagraphFont"/>
    <w:uiPriority w:val="99"/>
    <w:semiHidden/>
    <w:unhideWhenUsed/>
    <w:rPr>
      <w:rFonts w:ascii="Consolas" w:hAnsi="Consolas"/>
      <w:noProof w:val="0"/>
      <w:sz w:val="20"/>
      <w:szCs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Pr>
      <w:rFonts w:ascii="Consolas" w:hAnsi="Consolas"/>
      <w:noProof w:val="0"/>
      <w:sz w:val="20"/>
      <w:szCs w:val="20"/>
    </w:rPr>
  </w:style>
  <w:style w:type="character" w:styleId="HTMLSample">
    <w:name w:val="HTML Sample"/>
    <w:basedOn w:val="DefaultParagraphFont"/>
    <w:uiPriority w:val="99"/>
    <w:semiHidden/>
    <w:unhideWhenUsed/>
    <w:rPr>
      <w:rFonts w:ascii="Consolas" w:hAnsi="Consolas"/>
      <w:noProof w:val="0"/>
      <w:sz w:val="24"/>
      <w:szCs w:val="24"/>
    </w:rPr>
  </w:style>
  <w:style w:type="character" w:styleId="HTMLTypewriter">
    <w:name w:val="HTML Typewriter"/>
    <w:basedOn w:val="DefaultParagraphFont"/>
    <w:uiPriority w:val="99"/>
    <w:semiHidden/>
    <w:unhideWhenUsed/>
    <w:rPr>
      <w:rFonts w:ascii="Consolas" w:hAnsi="Consolas"/>
      <w:noProof w:val="0"/>
      <w:sz w:val="20"/>
      <w:szCs w:val="20"/>
    </w:rPr>
  </w:style>
  <w:style w:type="character" w:styleId="HTMLVariable">
    <w:name w:val="HTML Variable"/>
    <w:basedOn w:val="DefaultParagraphFont"/>
    <w:uiPriority w:val="99"/>
    <w:semiHidden/>
    <w:unhideWhenUsed/>
    <w:rPr>
      <w:i/>
      <w:iCs/>
      <w:noProof w:val="0"/>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qFormat/>
    <w:rPr>
      <w:i/>
      <w:iCs/>
      <w:noProof w:val="0"/>
      <w:color w:val="F26A47" w:themeColor="accent1"/>
    </w:rPr>
  </w:style>
  <w:style w:type="character" w:styleId="IntenseReference">
    <w:name w:val="Intense Reference"/>
    <w:basedOn w:val="DefaultParagraphFont"/>
    <w:uiPriority w:val="32"/>
    <w:semiHidden/>
    <w:qFormat/>
    <w:rPr>
      <w:b/>
      <w:bCs/>
      <w:smallCaps/>
      <w:noProof w:val="0"/>
      <w:color w:val="F26A47" w:themeColor="accent1"/>
      <w:spacing w:val="5"/>
    </w:rPr>
  </w:style>
  <w:style w:type="table" w:styleId="LightGrid">
    <w:name w:val="Light Grid"/>
    <w:basedOn w:val="TableNormal"/>
    <w:uiPriority w:val="62"/>
    <w:semiHidden/>
    <w:unhideWhenUs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tblPr>
      <w:tblStyleRowBandSize w:val="1"/>
      <w:tblStyleColBandSize w:val="1"/>
      <w:tblBorders>
        <w:top w:val="single" w:sz="8" w:space="0" w:color="F26A47" w:themeColor="accent1"/>
        <w:left w:val="single" w:sz="8" w:space="0" w:color="F26A47" w:themeColor="accent1"/>
        <w:bottom w:val="single" w:sz="8" w:space="0" w:color="F26A47" w:themeColor="accent1"/>
        <w:right w:val="single" w:sz="8" w:space="0" w:color="F26A47" w:themeColor="accent1"/>
        <w:insideH w:val="single" w:sz="8" w:space="0" w:color="F26A47" w:themeColor="accent1"/>
        <w:insideV w:val="single" w:sz="8" w:space="0" w:color="F26A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A47" w:themeColor="accent1"/>
          <w:left w:val="single" w:sz="8" w:space="0" w:color="F26A47" w:themeColor="accent1"/>
          <w:bottom w:val="single" w:sz="18" w:space="0" w:color="F26A47" w:themeColor="accent1"/>
          <w:right w:val="single" w:sz="8" w:space="0" w:color="F26A47" w:themeColor="accent1"/>
          <w:insideH w:val="nil"/>
          <w:insideV w:val="single" w:sz="8" w:space="0" w:color="F26A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A47" w:themeColor="accent1"/>
          <w:left w:val="single" w:sz="8" w:space="0" w:color="F26A47" w:themeColor="accent1"/>
          <w:bottom w:val="single" w:sz="8" w:space="0" w:color="F26A47" w:themeColor="accent1"/>
          <w:right w:val="single" w:sz="8" w:space="0" w:color="F26A47" w:themeColor="accent1"/>
          <w:insideH w:val="nil"/>
          <w:insideV w:val="single" w:sz="8" w:space="0" w:color="F26A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A47" w:themeColor="accent1"/>
          <w:left w:val="single" w:sz="8" w:space="0" w:color="F26A47" w:themeColor="accent1"/>
          <w:bottom w:val="single" w:sz="8" w:space="0" w:color="F26A47" w:themeColor="accent1"/>
          <w:right w:val="single" w:sz="8" w:space="0" w:color="F26A47" w:themeColor="accent1"/>
        </w:tcBorders>
      </w:tcPr>
    </w:tblStylePr>
    <w:tblStylePr w:type="band1Vert">
      <w:tblPr/>
      <w:tcPr>
        <w:tcBorders>
          <w:top w:val="single" w:sz="8" w:space="0" w:color="F26A47" w:themeColor="accent1"/>
          <w:left w:val="single" w:sz="8" w:space="0" w:color="F26A47" w:themeColor="accent1"/>
          <w:bottom w:val="single" w:sz="8" w:space="0" w:color="F26A47" w:themeColor="accent1"/>
          <w:right w:val="single" w:sz="8" w:space="0" w:color="F26A47" w:themeColor="accent1"/>
        </w:tcBorders>
        <w:shd w:val="clear" w:color="auto" w:fill="FBD9D1" w:themeFill="accent1" w:themeFillTint="3F"/>
      </w:tcPr>
    </w:tblStylePr>
    <w:tblStylePr w:type="band1Horz">
      <w:tblPr/>
      <w:tcPr>
        <w:tcBorders>
          <w:top w:val="single" w:sz="8" w:space="0" w:color="F26A47" w:themeColor="accent1"/>
          <w:left w:val="single" w:sz="8" w:space="0" w:color="F26A47" w:themeColor="accent1"/>
          <w:bottom w:val="single" w:sz="8" w:space="0" w:color="F26A47" w:themeColor="accent1"/>
          <w:right w:val="single" w:sz="8" w:space="0" w:color="F26A47" w:themeColor="accent1"/>
          <w:insideV w:val="single" w:sz="8" w:space="0" w:color="F26A47" w:themeColor="accent1"/>
        </w:tcBorders>
        <w:shd w:val="clear" w:color="auto" w:fill="FBD9D1" w:themeFill="accent1" w:themeFillTint="3F"/>
      </w:tcPr>
    </w:tblStylePr>
    <w:tblStylePr w:type="band2Horz">
      <w:tblPr/>
      <w:tcPr>
        <w:tcBorders>
          <w:top w:val="single" w:sz="8" w:space="0" w:color="F26A47" w:themeColor="accent1"/>
          <w:left w:val="single" w:sz="8" w:space="0" w:color="F26A47" w:themeColor="accent1"/>
          <w:bottom w:val="single" w:sz="8" w:space="0" w:color="F26A47" w:themeColor="accent1"/>
          <w:right w:val="single" w:sz="8" w:space="0" w:color="F26A47" w:themeColor="accent1"/>
          <w:insideV w:val="single" w:sz="8" w:space="0" w:color="F26A47" w:themeColor="accent1"/>
        </w:tcBorders>
      </w:tcPr>
    </w:tblStylePr>
  </w:style>
  <w:style w:type="table" w:styleId="LightGrid-Accent2">
    <w:name w:val="Light Grid Accent 2"/>
    <w:basedOn w:val="TableNormal"/>
    <w:uiPriority w:val="62"/>
    <w:semiHidden/>
    <w:unhideWhenUsed/>
    <w:pPr>
      <w:spacing w:after="0" w:line="240" w:lineRule="auto"/>
    </w:pPr>
    <w:tblPr>
      <w:tblStyleRowBandSize w:val="1"/>
      <w:tblStyleColBandSize w:val="1"/>
      <w:tblBorders>
        <w:top w:val="single" w:sz="8" w:space="0" w:color="FFC000" w:themeColor="accent2"/>
        <w:left w:val="single" w:sz="8" w:space="0" w:color="FFC000" w:themeColor="accent2"/>
        <w:bottom w:val="single" w:sz="8" w:space="0" w:color="FFC000" w:themeColor="accent2"/>
        <w:right w:val="single" w:sz="8" w:space="0" w:color="FFC000" w:themeColor="accent2"/>
        <w:insideH w:val="single" w:sz="8" w:space="0" w:color="FFC000" w:themeColor="accent2"/>
        <w:insideV w:val="single" w:sz="8" w:space="0" w:color="FFC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2"/>
          <w:left w:val="single" w:sz="8" w:space="0" w:color="FFC000" w:themeColor="accent2"/>
          <w:bottom w:val="single" w:sz="18" w:space="0" w:color="FFC000" w:themeColor="accent2"/>
          <w:right w:val="single" w:sz="8" w:space="0" w:color="FFC000" w:themeColor="accent2"/>
          <w:insideH w:val="nil"/>
          <w:insideV w:val="single" w:sz="8" w:space="0" w:color="FFC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2"/>
          <w:left w:val="single" w:sz="8" w:space="0" w:color="FFC000" w:themeColor="accent2"/>
          <w:bottom w:val="single" w:sz="8" w:space="0" w:color="FFC000" w:themeColor="accent2"/>
          <w:right w:val="single" w:sz="8" w:space="0" w:color="FFC000" w:themeColor="accent2"/>
          <w:insideH w:val="nil"/>
          <w:insideV w:val="single" w:sz="8" w:space="0" w:color="FFC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2"/>
          <w:left w:val="single" w:sz="8" w:space="0" w:color="FFC000" w:themeColor="accent2"/>
          <w:bottom w:val="single" w:sz="8" w:space="0" w:color="FFC000" w:themeColor="accent2"/>
          <w:right w:val="single" w:sz="8" w:space="0" w:color="FFC000" w:themeColor="accent2"/>
        </w:tcBorders>
      </w:tcPr>
    </w:tblStylePr>
    <w:tblStylePr w:type="band1Vert">
      <w:tblPr/>
      <w:tcPr>
        <w:tcBorders>
          <w:top w:val="single" w:sz="8" w:space="0" w:color="FFC000" w:themeColor="accent2"/>
          <w:left w:val="single" w:sz="8" w:space="0" w:color="FFC000" w:themeColor="accent2"/>
          <w:bottom w:val="single" w:sz="8" w:space="0" w:color="FFC000" w:themeColor="accent2"/>
          <w:right w:val="single" w:sz="8" w:space="0" w:color="FFC000" w:themeColor="accent2"/>
        </w:tcBorders>
        <w:shd w:val="clear" w:color="auto" w:fill="FFEFC0" w:themeFill="accent2" w:themeFillTint="3F"/>
      </w:tcPr>
    </w:tblStylePr>
    <w:tblStylePr w:type="band1Horz">
      <w:tblPr/>
      <w:tcPr>
        <w:tcBorders>
          <w:top w:val="single" w:sz="8" w:space="0" w:color="FFC000" w:themeColor="accent2"/>
          <w:left w:val="single" w:sz="8" w:space="0" w:color="FFC000" w:themeColor="accent2"/>
          <w:bottom w:val="single" w:sz="8" w:space="0" w:color="FFC000" w:themeColor="accent2"/>
          <w:right w:val="single" w:sz="8" w:space="0" w:color="FFC000" w:themeColor="accent2"/>
          <w:insideV w:val="single" w:sz="8" w:space="0" w:color="FFC000" w:themeColor="accent2"/>
        </w:tcBorders>
        <w:shd w:val="clear" w:color="auto" w:fill="FFEFC0" w:themeFill="accent2" w:themeFillTint="3F"/>
      </w:tcPr>
    </w:tblStylePr>
    <w:tblStylePr w:type="band2Horz">
      <w:tblPr/>
      <w:tcPr>
        <w:tcBorders>
          <w:top w:val="single" w:sz="8" w:space="0" w:color="FFC000" w:themeColor="accent2"/>
          <w:left w:val="single" w:sz="8" w:space="0" w:color="FFC000" w:themeColor="accent2"/>
          <w:bottom w:val="single" w:sz="8" w:space="0" w:color="FFC000" w:themeColor="accent2"/>
          <w:right w:val="single" w:sz="8" w:space="0" w:color="FFC000" w:themeColor="accent2"/>
          <w:insideV w:val="single" w:sz="8" w:space="0" w:color="FFC000" w:themeColor="accent2"/>
        </w:tcBorders>
      </w:tcPr>
    </w:tblStylePr>
  </w:style>
  <w:style w:type="table" w:styleId="LightGrid-Accent3">
    <w:name w:val="Light Grid Accent 3"/>
    <w:basedOn w:val="TableNormal"/>
    <w:uiPriority w:val="62"/>
    <w:semiHidden/>
    <w:unhideWhenUsed/>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LightGrid-Accent4">
    <w:name w:val="Light Grid Accent 4"/>
    <w:basedOn w:val="TableNormal"/>
    <w:uiPriority w:val="62"/>
    <w:semiHidden/>
    <w:unhideWhenUsed/>
    <w:pPr>
      <w:spacing w:after="0" w:line="240" w:lineRule="auto"/>
    </w:pPr>
    <w:tblPr>
      <w:tblStyleRowBandSize w:val="1"/>
      <w:tblStyleColBandSize w:val="1"/>
      <w:tblBorders>
        <w:top w:val="single" w:sz="8" w:space="0" w:color="005D95" w:themeColor="accent4"/>
        <w:left w:val="single" w:sz="8" w:space="0" w:color="005D95" w:themeColor="accent4"/>
        <w:bottom w:val="single" w:sz="8" w:space="0" w:color="005D95" w:themeColor="accent4"/>
        <w:right w:val="single" w:sz="8" w:space="0" w:color="005D95" w:themeColor="accent4"/>
        <w:insideH w:val="single" w:sz="8" w:space="0" w:color="005D95" w:themeColor="accent4"/>
        <w:insideV w:val="single" w:sz="8" w:space="0" w:color="005D9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95" w:themeColor="accent4"/>
          <w:left w:val="single" w:sz="8" w:space="0" w:color="005D95" w:themeColor="accent4"/>
          <w:bottom w:val="single" w:sz="18" w:space="0" w:color="005D95" w:themeColor="accent4"/>
          <w:right w:val="single" w:sz="8" w:space="0" w:color="005D95" w:themeColor="accent4"/>
          <w:insideH w:val="nil"/>
          <w:insideV w:val="single" w:sz="8" w:space="0" w:color="005D9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95" w:themeColor="accent4"/>
          <w:left w:val="single" w:sz="8" w:space="0" w:color="005D95" w:themeColor="accent4"/>
          <w:bottom w:val="single" w:sz="8" w:space="0" w:color="005D95" w:themeColor="accent4"/>
          <w:right w:val="single" w:sz="8" w:space="0" w:color="005D95" w:themeColor="accent4"/>
          <w:insideH w:val="nil"/>
          <w:insideV w:val="single" w:sz="8" w:space="0" w:color="005D9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95" w:themeColor="accent4"/>
          <w:left w:val="single" w:sz="8" w:space="0" w:color="005D95" w:themeColor="accent4"/>
          <w:bottom w:val="single" w:sz="8" w:space="0" w:color="005D95" w:themeColor="accent4"/>
          <w:right w:val="single" w:sz="8" w:space="0" w:color="005D95" w:themeColor="accent4"/>
        </w:tcBorders>
      </w:tcPr>
    </w:tblStylePr>
    <w:tblStylePr w:type="band1Vert">
      <w:tblPr/>
      <w:tcPr>
        <w:tcBorders>
          <w:top w:val="single" w:sz="8" w:space="0" w:color="005D95" w:themeColor="accent4"/>
          <w:left w:val="single" w:sz="8" w:space="0" w:color="005D95" w:themeColor="accent4"/>
          <w:bottom w:val="single" w:sz="8" w:space="0" w:color="005D95" w:themeColor="accent4"/>
          <w:right w:val="single" w:sz="8" w:space="0" w:color="005D95" w:themeColor="accent4"/>
        </w:tcBorders>
        <w:shd w:val="clear" w:color="auto" w:fill="A5DDFF" w:themeFill="accent4" w:themeFillTint="3F"/>
      </w:tcPr>
    </w:tblStylePr>
    <w:tblStylePr w:type="band1Horz">
      <w:tblPr/>
      <w:tcPr>
        <w:tcBorders>
          <w:top w:val="single" w:sz="8" w:space="0" w:color="005D95" w:themeColor="accent4"/>
          <w:left w:val="single" w:sz="8" w:space="0" w:color="005D95" w:themeColor="accent4"/>
          <w:bottom w:val="single" w:sz="8" w:space="0" w:color="005D95" w:themeColor="accent4"/>
          <w:right w:val="single" w:sz="8" w:space="0" w:color="005D95" w:themeColor="accent4"/>
          <w:insideV w:val="single" w:sz="8" w:space="0" w:color="005D95" w:themeColor="accent4"/>
        </w:tcBorders>
        <w:shd w:val="clear" w:color="auto" w:fill="A5DDFF" w:themeFill="accent4" w:themeFillTint="3F"/>
      </w:tcPr>
    </w:tblStylePr>
    <w:tblStylePr w:type="band2Horz">
      <w:tblPr/>
      <w:tcPr>
        <w:tcBorders>
          <w:top w:val="single" w:sz="8" w:space="0" w:color="005D95" w:themeColor="accent4"/>
          <w:left w:val="single" w:sz="8" w:space="0" w:color="005D95" w:themeColor="accent4"/>
          <w:bottom w:val="single" w:sz="8" w:space="0" w:color="005D95" w:themeColor="accent4"/>
          <w:right w:val="single" w:sz="8" w:space="0" w:color="005D95" w:themeColor="accent4"/>
          <w:insideV w:val="single" w:sz="8" w:space="0" w:color="005D95" w:themeColor="accent4"/>
        </w:tcBorders>
      </w:tcPr>
    </w:tblStylePr>
  </w:style>
  <w:style w:type="table" w:styleId="LightGrid-Accent5">
    <w:name w:val="Light Grid Accent 5"/>
    <w:basedOn w:val="TableNormal"/>
    <w:uiPriority w:val="62"/>
    <w:semiHidden/>
    <w:unhideWhenUsed/>
    <w:pPr>
      <w:spacing w:after="0" w:line="240" w:lineRule="auto"/>
    </w:pPr>
    <w:tblPr>
      <w:tblStyleRowBandSize w:val="1"/>
      <w:tblStyleColBandSize w:val="1"/>
      <w:tblBorders>
        <w:top w:val="single" w:sz="8" w:space="0" w:color="C00000" w:themeColor="accent5"/>
        <w:left w:val="single" w:sz="8" w:space="0" w:color="C00000" w:themeColor="accent5"/>
        <w:bottom w:val="single" w:sz="8" w:space="0" w:color="C00000" w:themeColor="accent5"/>
        <w:right w:val="single" w:sz="8" w:space="0" w:color="C00000" w:themeColor="accent5"/>
        <w:insideH w:val="single" w:sz="8" w:space="0" w:color="C00000" w:themeColor="accent5"/>
        <w:insideV w:val="single" w:sz="8" w:space="0" w:color="C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5"/>
          <w:left w:val="single" w:sz="8" w:space="0" w:color="C00000" w:themeColor="accent5"/>
          <w:bottom w:val="single" w:sz="18" w:space="0" w:color="C00000" w:themeColor="accent5"/>
          <w:right w:val="single" w:sz="8" w:space="0" w:color="C00000" w:themeColor="accent5"/>
          <w:insideH w:val="nil"/>
          <w:insideV w:val="single" w:sz="8" w:space="0" w:color="C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5"/>
          <w:left w:val="single" w:sz="8" w:space="0" w:color="C00000" w:themeColor="accent5"/>
          <w:bottom w:val="single" w:sz="8" w:space="0" w:color="C00000" w:themeColor="accent5"/>
          <w:right w:val="single" w:sz="8" w:space="0" w:color="C00000" w:themeColor="accent5"/>
          <w:insideH w:val="nil"/>
          <w:insideV w:val="single" w:sz="8" w:space="0" w:color="C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5"/>
          <w:left w:val="single" w:sz="8" w:space="0" w:color="C00000" w:themeColor="accent5"/>
          <w:bottom w:val="single" w:sz="8" w:space="0" w:color="C00000" w:themeColor="accent5"/>
          <w:right w:val="single" w:sz="8" w:space="0" w:color="C00000" w:themeColor="accent5"/>
        </w:tcBorders>
      </w:tcPr>
    </w:tblStylePr>
    <w:tblStylePr w:type="band1Vert">
      <w:tblPr/>
      <w:tcPr>
        <w:tcBorders>
          <w:top w:val="single" w:sz="8" w:space="0" w:color="C00000" w:themeColor="accent5"/>
          <w:left w:val="single" w:sz="8" w:space="0" w:color="C00000" w:themeColor="accent5"/>
          <w:bottom w:val="single" w:sz="8" w:space="0" w:color="C00000" w:themeColor="accent5"/>
          <w:right w:val="single" w:sz="8" w:space="0" w:color="C00000" w:themeColor="accent5"/>
        </w:tcBorders>
        <w:shd w:val="clear" w:color="auto" w:fill="FFB0B0" w:themeFill="accent5" w:themeFillTint="3F"/>
      </w:tcPr>
    </w:tblStylePr>
    <w:tblStylePr w:type="band1Horz">
      <w:tblPr/>
      <w:tcPr>
        <w:tcBorders>
          <w:top w:val="single" w:sz="8" w:space="0" w:color="C00000" w:themeColor="accent5"/>
          <w:left w:val="single" w:sz="8" w:space="0" w:color="C00000" w:themeColor="accent5"/>
          <w:bottom w:val="single" w:sz="8" w:space="0" w:color="C00000" w:themeColor="accent5"/>
          <w:right w:val="single" w:sz="8" w:space="0" w:color="C00000" w:themeColor="accent5"/>
          <w:insideV w:val="single" w:sz="8" w:space="0" w:color="C00000" w:themeColor="accent5"/>
        </w:tcBorders>
        <w:shd w:val="clear" w:color="auto" w:fill="FFB0B0" w:themeFill="accent5" w:themeFillTint="3F"/>
      </w:tcPr>
    </w:tblStylePr>
    <w:tblStylePr w:type="band2Horz">
      <w:tblPr/>
      <w:tcPr>
        <w:tcBorders>
          <w:top w:val="single" w:sz="8" w:space="0" w:color="C00000" w:themeColor="accent5"/>
          <w:left w:val="single" w:sz="8" w:space="0" w:color="C00000" w:themeColor="accent5"/>
          <w:bottom w:val="single" w:sz="8" w:space="0" w:color="C00000" w:themeColor="accent5"/>
          <w:right w:val="single" w:sz="8" w:space="0" w:color="C00000" w:themeColor="accent5"/>
          <w:insideV w:val="single" w:sz="8" w:space="0" w:color="C00000" w:themeColor="accent5"/>
        </w:tcBorders>
      </w:tcPr>
    </w:tblStylePr>
  </w:style>
  <w:style w:type="table" w:styleId="LightGrid-Accent6">
    <w:name w:val="Light Grid Accent 6"/>
    <w:basedOn w:val="TableNormal"/>
    <w:uiPriority w:val="62"/>
    <w:semiHidden/>
    <w:unhideWhenUsed/>
    <w:pPr>
      <w:spacing w:after="0" w:line="240" w:lineRule="auto"/>
    </w:pPr>
    <w:tblPr>
      <w:tblStyleRowBandSize w:val="1"/>
      <w:tblStyleColBandSize w:val="1"/>
      <w:tblBorders>
        <w:top w:val="single" w:sz="8" w:space="0" w:color="584FA1" w:themeColor="accent6"/>
        <w:left w:val="single" w:sz="8" w:space="0" w:color="584FA1" w:themeColor="accent6"/>
        <w:bottom w:val="single" w:sz="8" w:space="0" w:color="584FA1" w:themeColor="accent6"/>
        <w:right w:val="single" w:sz="8" w:space="0" w:color="584FA1" w:themeColor="accent6"/>
        <w:insideH w:val="single" w:sz="8" w:space="0" w:color="584FA1" w:themeColor="accent6"/>
        <w:insideV w:val="single" w:sz="8" w:space="0" w:color="584F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4FA1" w:themeColor="accent6"/>
          <w:left w:val="single" w:sz="8" w:space="0" w:color="584FA1" w:themeColor="accent6"/>
          <w:bottom w:val="single" w:sz="18" w:space="0" w:color="584FA1" w:themeColor="accent6"/>
          <w:right w:val="single" w:sz="8" w:space="0" w:color="584FA1" w:themeColor="accent6"/>
          <w:insideH w:val="nil"/>
          <w:insideV w:val="single" w:sz="8" w:space="0" w:color="584F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4FA1" w:themeColor="accent6"/>
          <w:left w:val="single" w:sz="8" w:space="0" w:color="584FA1" w:themeColor="accent6"/>
          <w:bottom w:val="single" w:sz="8" w:space="0" w:color="584FA1" w:themeColor="accent6"/>
          <w:right w:val="single" w:sz="8" w:space="0" w:color="584FA1" w:themeColor="accent6"/>
          <w:insideH w:val="nil"/>
          <w:insideV w:val="single" w:sz="8" w:space="0" w:color="584F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4FA1" w:themeColor="accent6"/>
          <w:left w:val="single" w:sz="8" w:space="0" w:color="584FA1" w:themeColor="accent6"/>
          <w:bottom w:val="single" w:sz="8" w:space="0" w:color="584FA1" w:themeColor="accent6"/>
          <w:right w:val="single" w:sz="8" w:space="0" w:color="584FA1" w:themeColor="accent6"/>
        </w:tcBorders>
      </w:tcPr>
    </w:tblStylePr>
    <w:tblStylePr w:type="band1Vert">
      <w:tblPr/>
      <w:tcPr>
        <w:tcBorders>
          <w:top w:val="single" w:sz="8" w:space="0" w:color="584FA1" w:themeColor="accent6"/>
          <w:left w:val="single" w:sz="8" w:space="0" w:color="584FA1" w:themeColor="accent6"/>
          <w:bottom w:val="single" w:sz="8" w:space="0" w:color="584FA1" w:themeColor="accent6"/>
          <w:right w:val="single" w:sz="8" w:space="0" w:color="584FA1" w:themeColor="accent6"/>
        </w:tcBorders>
        <w:shd w:val="clear" w:color="auto" w:fill="D4D2E9" w:themeFill="accent6" w:themeFillTint="3F"/>
      </w:tcPr>
    </w:tblStylePr>
    <w:tblStylePr w:type="band1Horz">
      <w:tblPr/>
      <w:tcPr>
        <w:tcBorders>
          <w:top w:val="single" w:sz="8" w:space="0" w:color="584FA1" w:themeColor="accent6"/>
          <w:left w:val="single" w:sz="8" w:space="0" w:color="584FA1" w:themeColor="accent6"/>
          <w:bottom w:val="single" w:sz="8" w:space="0" w:color="584FA1" w:themeColor="accent6"/>
          <w:right w:val="single" w:sz="8" w:space="0" w:color="584FA1" w:themeColor="accent6"/>
          <w:insideV w:val="single" w:sz="8" w:space="0" w:color="584FA1" w:themeColor="accent6"/>
        </w:tcBorders>
        <w:shd w:val="clear" w:color="auto" w:fill="D4D2E9" w:themeFill="accent6" w:themeFillTint="3F"/>
      </w:tcPr>
    </w:tblStylePr>
    <w:tblStylePr w:type="band2Horz">
      <w:tblPr/>
      <w:tcPr>
        <w:tcBorders>
          <w:top w:val="single" w:sz="8" w:space="0" w:color="584FA1" w:themeColor="accent6"/>
          <w:left w:val="single" w:sz="8" w:space="0" w:color="584FA1" w:themeColor="accent6"/>
          <w:bottom w:val="single" w:sz="8" w:space="0" w:color="584FA1" w:themeColor="accent6"/>
          <w:right w:val="single" w:sz="8" w:space="0" w:color="584FA1" w:themeColor="accent6"/>
          <w:insideV w:val="single" w:sz="8" w:space="0" w:color="584FA1" w:themeColor="accent6"/>
        </w:tcBorders>
      </w:tcPr>
    </w:tblStylePr>
  </w:style>
  <w:style w:type="table" w:styleId="LightList">
    <w:name w:val="Light List"/>
    <w:basedOn w:val="TableNormal"/>
    <w:uiPriority w:val="61"/>
    <w:semiHidden/>
    <w:unhideWhenUs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tblPr>
      <w:tblStyleRowBandSize w:val="1"/>
      <w:tblStyleColBandSize w:val="1"/>
      <w:tblBorders>
        <w:top w:val="single" w:sz="8" w:space="0" w:color="F26A47" w:themeColor="accent1"/>
        <w:left w:val="single" w:sz="8" w:space="0" w:color="F26A47" w:themeColor="accent1"/>
        <w:bottom w:val="single" w:sz="8" w:space="0" w:color="F26A47" w:themeColor="accent1"/>
        <w:right w:val="single" w:sz="8" w:space="0" w:color="F26A47" w:themeColor="accent1"/>
      </w:tblBorders>
    </w:tblPr>
    <w:tblStylePr w:type="firstRow">
      <w:pPr>
        <w:spacing w:before="0" w:after="0" w:line="240" w:lineRule="auto"/>
      </w:pPr>
      <w:rPr>
        <w:b/>
        <w:bCs/>
        <w:color w:val="FFFFFF" w:themeColor="background1"/>
      </w:rPr>
      <w:tblPr/>
      <w:tcPr>
        <w:shd w:val="clear" w:color="auto" w:fill="F26A47" w:themeFill="accent1"/>
      </w:tcPr>
    </w:tblStylePr>
    <w:tblStylePr w:type="lastRow">
      <w:pPr>
        <w:spacing w:before="0" w:after="0" w:line="240" w:lineRule="auto"/>
      </w:pPr>
      <w:rPr>
        <w:b/>
        <w:bCs/>
      </w:rPr>
      <w:tblPr/>
      <w:tcPr>
        <w:tcBorders>
          <w:top w:val="double" w:sz="6" w:space="0" w:color="F26A47" w:themeColor="accent1"/>
          <w:left w:val="single" w:sz="8" w:space="0" w:color="F26A47" w:themeColor="accent1"/>
          <w:bottom w:val="single" w:sz="8" w:space="0" w:color="F26A47" w:themeColor="accent1"/>
          <w:right w:val="single" w:sz="8" w:space="0" w:color="F26A47" w:themeColor="accent1"/>
        </w:tcBorders>
      </w:tcPr>
    </w:tblStylePr>
    <w:tblStylePr w:type="firstCol">
      <w:rPr>
        <w:b/>
        <w:bCs/>
      </w:rPr>
    </w:tblStylePr>
    <w:tblStylePr w:type="lastCol">
      <w:rPr>
        <w:b/>
        <w:bCs/>
      </w:rPr>
    </w:tblStylePr>
    <w:tblStylePr w:type="band1Vert">
      <w:tblPr/>
      <w:tcPr>
        <w:tcBorders>
          <w:top w:val="single" w:sz="8" w:space="0" w:color="F26A47" w:themeColor="accent1"/>
          <w:left w:val="single" w:sz="8" w:space="0" w:color="F26A47" w:themeColor="accent1"/>
          <w:bottom w:val="single" w:sz="8" w:space="0" w:color="F26A47" w:themeColor="accent1"/>
          <w:right w:val="single" w:sz="8" w:space="0" w:color="F26A47" w:themeColor="accent1"/>
        </w:tcBorders>
      </w:tcPr>
    </w:tblStylePr>
    <w:tblStylePr w:type="band1Horz">
      <w:tblPr/>
      <w:tcPr>
        <w:tcBorders>
          <w:top w:val="single" w:sz="8" w:space="0" w:color="F26A47" w:themeColor="accent1"/>
          <w:left w:val="single" w:sz="8" w:space="0" w:color="F26A47" w:themeColor="accent1"/>
          <w:bottom w:val="single" w:sz="8" w:space="0" w:color="F26A47" w:themeColor="accent1"/>
          <w:right w:val="single" w:sz="8" w:space="0" w:color="F26A47" w:themeColor="accent1"/>
        </w:tcBorders>
      </w:tcPr>
    </w:tblStylePr>
  </w:style>
  <w:style w:type="table" w:styleId="LightList-Accent2">
    <w:name w:val="Light List Accent 2"/>
    <w:basedOn w:val="TableNormal"/>
    <w:uiPriority w:val="61"/>
    <w:semiHidden/>
    <w:unhideWhenUsed/>
    <w:pPr>
      <w:spacing w:after="0" w:line="240" w:lineRule="auto"/>
    </w:pPr>
    <w:tblPr>
      <w:tblStyleRowBandSize w:val="1"/>
      <w:tblStyleColBandSize w:val="1"/>
      <w:tblBorders>
        <w:top w:val="single" w:sz="8" w:space="0" w:color="FFC000" w:themeColor="accent2"/>
        <w:left w:val="single" w:sz="8" w:space="0" w:color="FFC000" w:themeColor="accent2"/>
        <w:bottom w:val="single" w:sz="8" w:space="0" w:color="FFC000" w:themeColor="accent2"/>
        <w:right w:val="single" w:sz="8" w:space="0" w:color="FFC000" w:themeColor="accent2"/>
      </w:tblBorders>
    </w:tblPr>
    <w:tblStylePr w:type="firstRow">
      <w:pPr>
        <w:spacing w:before="0" w:after="0" w:line="240" w:lineRule="auto"/>
      </w:pPr>
      <w:rPr>
        <w:b/>
        <w:bCs/>
        <w:color w:val="FFFFFF" w:themeColor="background1"/>
      </w:rPr>
      <w:tblPr/>
      <w:tcPr>
        <w:shd w:val="clear" w:color="auto" w:fill="FFC000" w:themeFill="accent2"/>
      </w:tcPr>
    </w:tblStylePr>
    <w:tblStylePr w:type="lastRow">
      <w:pPr>
        <w:spacing w:before="0" w:after="0" w:line="240" w:lineRule="auto"/>
      </w:pPr>
      <w:rPr>
        <w:b/>
        <w:bCs/>
      </w:rPr>
      <w:tblPr/>
      <w:tcPr>
        <w:tcBorders>
          <w:top w:val="double" w:sz="6" w:space="0" w:color="FFC000" w:themeColor="accent2"/>
          <w:left w:val="single" w:sz="8" w:space="0" w:color="FFC000" w:themeColor="accent2"/>
          <w:bottom w:val="single" w:sz="8" w:space="0" w:color="FFC000" w:themeColor="accent2"/>
          <w:right w:val="single" w:sz="8" w:space="0" w:color="FFC000" w:themeColor="accent2"/>
        </w:tcBorders>
      </w:tcPr>
    </w:tblStylePr>
    <w:tblStylePr w:type="firstCol">
      <w:rPr>
        <w:b/>
        <w:bCs/>
      </w:rPr>
    </w:tblStylePr>
    <w:tblStylePr w:type="lastCol">
      <w:rPr>
        <w:b/>
        <w:bCs/>
      </w:rPr>
    </w:tblStylePr>
    <w:tblStylePr w:type="band1Vert">
      <w:tblPr/>
      <w:tcPr>
        <w:tcBorders>
          <w:top w:val="single" w:sz="8" w:space="0" w:color="FFC000" w:themeColor="accent2"/>
          <w:left w:val="single" w:sz="8" w:space="0" w:color="FFC000" w:themeColor="accent2"/>
          <w:bottom w:val="single" w:sz="8" w:space="0" w:color="FFC000" w:themeColor="accent2"/>
          <w:right w:val="single" w:sz="8" w:space="0" w:color="FFC000" w:themeColor="accent2"/>
        </w:tcBorders>
      </w:tcPr>
    </w:tblStylePr>
    <w:tblStylePr w:type="band1Horz">
      <w:tblPr/>
      <w:tcPr>
        <w:tcBorders>
          <w:top w:val="single" w:sz="8" w:space="0" w:color="FFC000" w:themeColor="accent2"/>
          <w:left w:val="single" w:sz="8" w:space="0" w:color="FFC000" w:themeColor="accent2"/>
          <w:bottom w:val="single" w:sz="8" w:space="0" w:color="FFC000" w:themeColor="accent2"/>
          <w:right w:val="single" w:sz="8" w:space="0" w:color="FFC000" w:themeColor="accent2"/>
        </w:tcBorders>
      </w:tcPr>
    </w:tblStylePr>
  </w:style>
  <w:style w:type="table" w:styleId="LightList-Accent3">
    <w:name w:val="Light List Accent 3"/>
    <w:basedOn w:val="TableNormal"/>
    <w:uiPriority w:val="61"/>
    <w:semiHidden/>
    <w:unhideWhenUsed/>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table" w:styleId="LightList-Accent4">
    <w:name w:val="Light List Accent 4"/>
    <w:basedOn w:val="TableNormal"/>
    <w:uiPriority w:val="61"/>
    <w:semiHidden/>
    <w:unhideWhenUsed/>
    <w:pPr>
      <w:spacing w:after="0" w:line="240" w:lineRule="auto"/>
    </w:pPr>
    <w:tblPr>
      <w:tblStyleRowBandSize w:val="1"/>
      <w:tblStyleColBandSize w:val="1"/>
      <w:tblBorders>
        <w:top w:val="single" w:sz="8" w:space="0" w:color="005D95" w:themeColor="accent4"/>
        <w:left w:val="single" w:sz="8" w:space="0" w:color="005D95" w:themeColor="accent4"/>
        <w:bottom w:val="single" w:sz="8" w:space="0" w:color="005D95" w:themeColor="accent4"/>
        <w:right w:val="single" w:sz="8" w:space="0" w:color="005D95" w:themeColor="accent4"/>
      </w:tblBorders>
    </w:tblPr>
    <w:tblStylePr w:type="firstRow">
      <w:pPr>
        <w:spacing w:before="0" w:after="0" w:line="240" w:lineRule="auto"/>
      </w:pPr>
      <w:rPr>
        <w:b/>
        <w:bCs/>
        <w:color w:val="FFFFFF" w:themeColor="background1"/>
      </w:rPr>
      <w:tblPr/>
      <w:tcPr>
        <w:shd w:val="clear" w:color="auto" w:fill="005D95" w:themeFill="accent4"/>
      </w:tcPr>
    </w:tblStylePr>
    <w:tblStylePr w:type="lastRow">
      <w:pPr>
        <w:spacing w:before="0" w:after="0" w:line="240" w:lineRule="auto"/>
      </w:pPr>
      <w:rPr>
        <w:b/>
        <w:bCs/>
      </w:rPr>
      <w:tblPr/>
      <w:tcPr>
        <w:tcBorders>
          <w:top w:val="double" w:sz="6" w:space="0" w:color="005D95" w:themeColor="accent4"/>
          <w:left w:val="single" w:sz="8" w:space="0" w:color="005D95" w:themeColor="accent4"/>
          <w:bottom w:val="single" w:sz="8" w:space="0" w:color="005D95" w:themeColor="accent4"/>
          <w:right w:val="single" w:sz="8" w:space="0" w:color="005D95" w:themeColor="accent4"/>
        </w:tcBorders>
      </w:tcPr>
    </w:tblStylePr>
    <w:tblStylePr w:type="firstCol">
      <w:rPr>
        <w:b/>
        <w:bCs/>
      </w:rPr>
    </w:tblStylePr>
    <w:tblStylePr w:type="lastCol">
      <w:rPr>
        <w:b/>
        <w:bCs/>
      </w:rPr>
    </w:tblStylePr>
    <w:tblStylePr w:type="band1Vert">
      <w:tblPr/>
      <w:tcPr>
        <w:tcBorders>
          <w:top w:val="single" w:sz="8" w:space="0" w:color="005D95" w:themeColor="accent4"/>
          <w:left w:val="single" w:sz="8" w:space="0" w:color="005D95" w:themeColor="accent4"/>
          <w:bottom w:val="single" w:sz="8" w:space="0" w:color="005D95" w:themeColor="accent4"/>
          <w:right w:val="single" w:sz="8" w:space="0" w:color="005D95" w:themeColor="accent4"/>
        </w:tcBorders>
      </w:tcPr>
    </w:tblStylePr>
    <w:tblStylePr w:type="band1Horz">
      <w:tblPr/>
      <w:tcPr>
        <w:tcBorders>
          <w:top w:val="single" w:sz="8" w:space="0" w:color="005D95" w:themeColor="accent4"/>
          <w:left w:val="single" w:sz="8" w:space="0" w:color="005D95" w:themeColor="accent4"/>
          <w:bottom w:val="single" w:sz="8" w:space="0" w:color="005D95" w:themeColor="accent4"/>
          <w:right w:val="single" w:sz="8" w:space="0" w:color="005D95" w:themeColor="accent4"/>
        </w:tcBorders>
      </w:tcPr>
    </w:tblStylePr>
  </w:style>
  <w:style w:type="table" w:styleId="LightList-Accent5">
    <w:name w:val="Light List Accent 5"/>
    <w:basedOn w:val="TableNormal"/>
    <w:uiPriority w:val="61"/>
    <w:semiHidden/>
    <w:unhideWhenUsed/>
    <w:pPr>
      <w:spacing w:after="0" w:line="240" w:lineRule="auto"/>
    </w:pPr>
    <w:tblPr>
      <w:tblStyleRowBandSize w:val="1"/>
      <w:tblStyleColBandSize w:val="1"/>
      <w:tblBorders>
        <w:top w:val="single" w:sz="8" w:space="0" w:color="C00000" w:themeColor="accent5"/>
        <w:left w:val="single" w:sz="8" w:space="0" w:color="C00000" w:themeColor="accent5"/>
        <w:bottom w:val="single" w:sz="8" w:space="0" w:color="C00000" w:themeColor="accent5"/>
        <w:right w:val="single" w:sz="8" w:space="0" w:color="C00000" w:themeColor="accent5"/>
      </w:tblBorders>
    </w:tblPr>
    <w:tblStylePr w:type="firstRow">
      <w:pPr>
        <w:spacing w:before="0" w:after="0" w:line="240" w:lineRule="auto"/>
      </w:pPr>
      <w:rPr>
        <w:b/>
        <w:bCs/>
        <w:color w:val="FFFFFF" w:themeColor="background1"/>
      </w:rPr>
      <w:tblPr/>
      <w:tcPr>
        <w:shd w:val="clear" w:color="auto" w:fill="C00000" w:themeFill="accent5"/>
      </w:tcPr>
    </w:tblStylePr>
    <w:tblStylePr w:type="lastRow">
      <w:pPr>
        <w:spacing w:before="0" w:after="0" w:line="240" w:lineRule="auto"/>
      </w:pPr>
      <w:rPr>
        <w:b/>
        <w:bCs/>
      </w:rPr>
      <w:tblPr/>
      <w:tcPr>
        <w:tcBorders>
          <w:top w:val="double" w:sz="6" w:space="0" w:color="C00000" w:themeColor="accent5"/>
          <w:left w:val="single" w:sz="8" w:space="0" w:color="C00000" w:themeColor="accent5"/>
          <w:bottom w:val="single" w:sz="8" w:space="0" w:color="C00000" w:themeColor="accent5"/>
          <w:right w:val="single" w:sz="8" w:space="0" w:color="C00000" w:themeColor="accent5"/>
        </w:tcBorders>
      </w:tcPr>
    </w:tblStylePr>
    <w:tblStylePr w:type="firstCol">
      <w:rPr>
        <w:b/>
        <w:bCs/>
      </w:rPr>
    </w:tblStylePr>
    <w:tblStylePr w:type="lastCol">
      <w:rPr>
        <w:b/>
        <w:bCs/>
      </w:rPr>
    </w:tblStylePr>
    <w:tblStylePr w:type="band1Vert">
      <w:tblPr/>
      <w:tcPr>
        <w:tcBorders>
          <w:top w:val="single" w:sz="8" w:space="0" w:color="C00000" w:themeColor="accent5"/>
          <w:left w:val="single" w:sz="8" w:space="0" w:color="C00000" w:themeColor="accent5"/>
          <w:bottom w:val="single" w:sz="8" w:space="0" w:color="C00000" w:themeColor="accent5"/>
          <w:right w:val="single" w:sz="8" w:space="0" w:color="C00000" w:themeColor="accent5"/>
        </w:tcBorders>
      </w:tcPr>
    </w:tblStylePr>
    <w:tblStylePr w:type="band1Horz">
      <w:tblPr/>
      <w:tcPr>
        <w:tcBorders>
          <w:top w:val="single" w:sz="8" w:space="0" w:color="C00000" w:themeColor="accent5"/>
          <w:left w:val="single" w:sz="8" w:space="0" w:color="C00000" w:themeColor="accent5"/>
          <w:bottom w:val="single" w:sz="8" w:space="0" w:color="C00000" w:themeColor="accent5"/>
          <w:right w:val="single" w:sz="8" w:space="0" w:color="C00000" w:themeColor="accent5"/>
        </w:tcBorders>
      </w:tcPr>
    </w:tblStylePr>
  </w:style>
  <w:style w:type="table" w:styleId="LightList-Accent6">
    <w:name w:val="Light List Accent 6"/>
    <w:basedOn w:val="TableNormal"/>
    <w:uiPriority w:val="61"/>
    <w:semiHidden/>
    <w:unhideWhenUsed/>
    <w:pPr>
      <w:spacing w:after="0" w:line="240" w:lineRule="auto"/>
    </w:pPr>
    <w:tblPr>
      <w:tblStyleRowBandSize w:val="1"/>
      <w:tblStyleColBandSize w:val="1"/>
      <w:tblBorders>
        <w:top w:val="single" w:sz="8" w:space="0" w:color="584FA1" w:themeColor="accent6"/>
        <w:left w:val="single" w:sz="8" w:space="0" w:color="584FA1" w:themeColor="accent6"/>
        <w:bottom w:val="single" w:sz="8" w:space="0" w:color="584FA1" w:themeColor="accent6"/>
        <w:right w:val="single" w:sz="8" w:space="0" w:color="584FA1" w:themeColor="accent6"/>
      </w:tblBorders>
    </w:tblPr>
    <w:tblStylePr w:type="firstRow">
      <w:pPr>
        <w:spacing w:before="0" w:after="0" w:line="240" w:lineRule="auto"/>
      </w:pPr>
      <w:rPr>
        <w:b/>
        <w:bCs/>
        <w:color w:val="FFFFFF" w:themeColor="background1"/>
      </w:rPr>
      <w:tblPr/>
      <w:tcPr>
        <w:shd w:val="clear" w:color="auto" w:fill="584FA1" w:themeFill="accent6"/>
      </w:tcPr>
    </w:tblStylePr>
    <w:tblStylePr w:type="lastRow">
      <w:pPr>
        <w:spacing w:before="0" w:after="0" w:line="240" w:lineRule="auto"/>
      </w:pPr>
      <w:rPr>
        <w:b/>
        <w:bCs/>
      </w:rPr>
      <w:tblPr/>
      <w:tcPr>
        <w:tcBorders>
          <w:top w:val="double" w:sz="6" w:space="0" w:color="584FA1" w:themeColor="accent6"/>
          <w:left w:val="single" w:sz="8" w:space="0" w:color="584FA1" w:themeColor="accent6"/>
          <w:bottom w:val="single" w:sz="8" w:space="0" w:color="584FA1" w:themeColor="accent6"/>
          <w:right w:val="single" w:sz="8" w:space="0" w:color="584FA1" w:themeColor="accent6"/>
        </w:tcBorders>
      </w:tcPr>
    </w:tblStylePr>
    <w:tblStylePr w:type="firstCol">
      <w:rPr>
        <w:b/>
        <w:bCs/>
      </w:rPr>
    </w:tblStylePr>
    <w:tblStylePr w:type="lastCol">
      <w:rPr>
        <w:b/>
        <w:bCs/>
      </w:rPr>
    </w:tblStylePr>
    <w:tblStylePr w:type="band1Vert">
      <w:tblPr/>
      <w:tcPr>
        <w:tcBorders>
          <w:top w:val="single" w:sz="8" w:space="0" w:color="584FA1" w:themeColor="accent6"/>
          <w:left w:val="single" w:sz="8" w:space="0" w:color="584FA1" w:themeColor="accent6"/>
          <w:bottom w:val="single" w:sz="8" w:space="0" w:color="584FA1" w:themeColor="accent6"/>
          <w:right w:val="single" w:sz="8" w:space="0" w:color="584FA1" w:themeColor="accent6"/>
        </w:tcBorders>
      </w:tcPr>
    </w:tblStylePr>
    <w:tblStylePr w:type="band1Horz">
      <w:tblPr/>
      <w:tcPr>
        <w:tcBorders>
          <w:top w:val="single" w:sz="8" w:space="0" w:color="584FA1" w:themeColor="accent6"/>
          <w:left w:val="single" w:sz="8" w:space="0" w:color="584FA1" w:themeColor="accent6"/>
          <w:bottom w:val="single" w:sz="8" w:space="0" w:color="584FA1" w:themeColor="accent6"/>
          <w:right w:val="single" w:sz="8" w:space="0" w:color="584FA1" w:themeColor="accent6"/>
        </w:tcBorders>
      </w:tcPr>
    </w:tblStylePr>
  </w:style>
  <w:style w:type="table" w:styleId="LightShading">
    <w:name w:val="Light Shading"/>
    <w:basedOn w:val="TableNormal"/>
    <w:uiPriority w:val="60"/>
    <w:semiHidden/>
    <w:unhideWhenUs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after="0" w:line="240" w:lineRule="auto"/>
    </w:pPr>
    <w:rPr>
      <w:color w:val="DA380F" w:themeColor="accent1" w:themeShade="BF"/>
    </w:rPr>
    <w:tblPr>
      <w:tblStyleRowBandSize w:val="1"/>
      <w:tblStyleColBandSize w:val="1"/>
      <w:tblBorders>
        <w:top w:val="single" w:sz="8" w:space="0" w:color="F26A47" w:themeColor="accent1"/>
        <w:bottom w:val="single" w:sz="8" w:space="0" w:color="F26A47" w:themeColor="accent1"/>
      </w:tblBorders>
    </w:tblPr>
    <w:tblStylePr w:type="firstRow">
      <w:pPr>
        <w:spacing w:before="0" w:after="0" w:line="240" w:lineRule="auto"/>
      </w:pPr>
      <w:rPr>
        <w:b/>
        <w:bCs/>
      </w:rPr>
      <w:tblPr/>
      <w:tcPr>
        <w:tcBorders>
          <w:top w:val="single" w:sz="8" w:space="0" w:color="F26A47" w:themeColor="accent1"/>
          <w:left w:val="nil"/>
          <w:bottom w:val="single" w:sz="8" w:space="0" w:color="F26A47" w:themeColor="accent1"/>
          <w:right w:val="nil"/>
          <w:insideH w:val="nil"/>
          <w:insideV w:val="nil"/>
        </w:tcBorders>
      </w:tcPr>
    </w:tblStylePr>
    <w:tblStylePr w:type="lastRow">
      <w:pPr>
        <w:spacing w:before="0" w:after="0" w:line="240" w:lineRule="auto"/>
      </w:pPr>
      <w:rPr>
        <w:b/>
        <w:bCs/>
      </w:rPr>
      <w:tblPr/>
      <w:tcPr>
        <w:tcBorders>
          <w:top w:val="single" w:sz="8" w:space="0" w:color="F26A47" w:themeColor="accent1"/>
          <w:left w:val="nil"/>
          <w:bottom w:val="single" w:sz="8" w:space="0" w:color="F26A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D1" w:themeFill="accent1" w:themeFillTint="3F"/>
      </w:tcPr>
    </w:tblStylePr>
    <w:tblStylePr w:type="band1Horz">
      <w:tblPr/>
      <w:tcPr>
        <w:tcBorders>
          <w:left w:val="nil"/>
          <w:right w:val="nil"/>
          <w:insideH w:val="nil"/>
          <w:insideV w:val="nil"/>
        </w:tcBorders>
        <w:shd w:val="clear" w:color="auto" w:fill="FBD9D1" w:themeFill="accent1" w:themeFillTint="3F"/>
      </w:tcPr>
    </w:tblStylePr>
  </w:style>
  <w:style w:type="table" w:styleId="LightShading-Accent2">
    <w:name w:val="Light Shading Accent 2"/>
    <w:basedOn w:val="TableNormal"/>
    <w:uiPriority w:val="60"/>
    <w:semiHidden/>
    <w:unhideWhenUsed/>
    <w:pPr>
      <w:spacing w:after="0" w:line="240" w:lineRule="auto"/>
    </w:pPr>
    <w:rPr>
      <w:color w:val="BF8F00" w:themeColor="accent2" w:themeShade="BF"/>
    </w:rPr>
    <w:tblPr>
      <w:tblStyleRowBandSize w:val="1"/>
      <w:tblStyleColBandSize w:val="1"/>
      <w:tblBorders>
        <w:top w:val="single" w:sz="8" w:space="0" w:color="FFC000" w:themeColor="accent2"/>
        <w:bottom w:val="single" w:sz="8" w:space="0" w:color="FFC000" w:themeColor="accent2"/>
      </w:tblBorders>
    </w:tblPr>
    <w:tblStylePr w:type="firstRow">
      <w:pPr>
        <w:spacing w:before="0" w:after="0" w:line="240" w:lineRule="auto"/>
      </w:pPr>
      <w:rPr>
        <w:b/>
        <w:bCs/>
      </w:rPr>
      <w:tblPr/>
      <w:tcPr>
        <w:tcBorders>
          <w:top w:val="single" w:sz="8" w:space="0" w:color="FFC000" w:themeColor="accent2"/>
          <w:left w:val="nil"/>
          <w:bottom w:val="single" w:sz="8" w:space="0" w:color="FFC000" w:themeColor="accent2"/>
          <w:right w:val="nil"/>
          <w:insideH w:val="nil"/>
          <w:insideV w:val="nil"/>
        </w:tcBorders>
      </w:tcPr>
    </w:tblStylePr>
    <w:tblStylePr w:type="lastRow">
      <w:pPr>
        <w:spacing w:before="0" w:after="0" w:line="240" w:lineRule="auto"/>
      </w:pPr>
      <w:rPr>
        <w:b/>
        <w:bCs/>
      </w:rPr>
      <w:tblPr/>
      <w:tcPr>
        <w:tcBorders>
          <w:top w:val="single" w:sz="8" w:space="0" w:color="FFC000" w:themeColor="accent2"/>
          <w:left w:val="nil"/>
          <w:bottom w:val="single" w:sz="8" w:space="0" w:color="FFC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2" w:themeFillTint="3F"/>
      </w:tcPr>
    </w:tblStylePr>
    <w:tblStylePr w:type="band1Horz">
      <w:tblPr/>
      <w:tcPr>
        <w:tcBorders>
          <w:left w:val="nil"/>
          <w:right w:val="nil"/>
          <w:insideH w:val="nil"/>
          <w:insideV w:val="nil"/>
        </w:tcBorders>
        <w:shd w:val="clear" w:color="auto" w:fill="FFEFC0" w:themeFill="accent2" w:themeFillTint="3F"/>
      </w:tcPr>
    </w:tblStylePr>
  </w:style>
  <w:style w:type="table" w:styleId="LightShading-Accent3">
    <w:name w:val="Light Shading Accent 3"/>
    <w:basedOn w:val="TableNormal"/>
    <w:uiPriority w:val="60"/>
    <w:semiHidden/>
    <w:unhideWhenUsed/>
    <w:pPr>
      <w:spacing w:after="0"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LightShading-Accent4">
    <w:name w:val="Light Shading Accent 4"/>
    <w:basedOn w:val="TableNormal"/>
    <w:uiPriority w:val="60"/>
    <w:semiHidden/>
    <w:unhideWhenUsed/>
    <w:pPr>
      <w:spacing w:after="0" w:line="240" w:lineRule="auto"/>
    </w:pPr>
    <w:rPr>
      <w:color w:val="00456F" w:themeColor="accent4" w:themeShade="BF"/>
    </w:rPr>
    <w:tblPr>
      <w:tblStyleRowBandSize w:val="1"/>
      <w:tblStyleColBandSize w:val="1"/>
      <w:tblBorders>
        <w:top w:val="single" w:sz="8" w:space="0" w:color="005D95" w:themeColor="accent4"/>
        <w:bottom w:val="single" w:sz="8" w:space="0" w:color="005D95" w:themeColor="accent4"/>
      </w:tblBorders>
    </w:tblPr>
    <w:tblStylePr w:type="firstRow">
      <w:pPr>
        <w:spacing w:before="0" w:after="0" w:line="240" w:lineRule="auto"/>
      </w:pPr>
      <w:rPr>
        <w:b/>
        <w:bCs/>
      </w:rPr>
      <w:tblPr/>
      <w:tcPr>
        <w:tcBorders>
          <w:top w:val="single" w:sz="8" w:space="0" w:color="005D95" w:themeColor="accent4"/>
          <w:left w:val="nil"/>
          <w:bottom w:val="single" w:sz="8" w:space="0" w:color="005D95" w:themeColor="accent4"/>
          <w:right w:val="nil"/>
          <w:insideH w:val="nil"/>
          <w:insideV w:val="nil"/>
        </w:tcBorders>
      </w:tcPr>
    </w:tblStylePr>
    <w:tblStylePr w:type="lastRow">
      <w:pPr>
        <w:spacing w:before="0" w:after="0" w:line="240" w:lineRule="auto"/>
      </w:pPr>
      <w:rPr>
        <w:b/>
        <w:bCs/>
      </w:rPr>
      <w:tblPr/>
      <w:tcPr>
        <w:tcBorders>
          <w:top w:val="single" w:sz="8" w:space="0" w:color="005D95" w:themeColor="accent4"/>
          <w:left w:val="nil"/>
          <w:bottom w:val="single" w:sz="8" w:space="0" w:color="005D9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DFF" w:themeFill="accent4" w:themeFillTint="3F"/>
      </w:tcPr>
    </w:tblStylePr>
    <w:tblStylePr w:type="band1Horz">
      <w:tblPr/>
      <w:tcPr>
        <w:tcBorders>
          <w:left w:val="nil"/>
          <w:right w:val="nil"/>
          <w:insideH w:val="nil"/>
          <w:insideV w:val="nil"/>
        </w:tcBorders>
        <w:shd w:val="clear" w:color="auto" w:fill="A5DDFF" w:themeFill="accent4" w:themeFillTint="3F"/>
      </w:tcPr>
    </w:tblStylePr>
  </w:style>
  <w:style w:type="table" w:styleId="LightShading-Accent5">
    <w:name w:val="Light Shading Accent 5"/>
    <w:basedOn w:val="TableNormal"/>
    <w:uiPriority w:val="60"/>
    <w:semiHidden/>
    <w:unhideWhenUsed/>
    <w:pPr>
      <w:spacing w:after="0" w:line="240" w:lineRule="auto"/>
    </w:pPr>
    <w:rPr>
      <w:color w:val="8F0000" w:themeColor="accent5" w:themeShade="BF"/>
    </w:rPr>
    <w:tblPr>
      <w:tblStyleRowBandSize w:val="1"/>
      <w:tblStyleColBandSize w:val="1"/>
      <w:tblBorders>
        <w:top w:val="single" w:sz="8" w:space="0" w:color="C00000" w:themeColor="accent5"/>
        <w:bottom w:val="single" w:sz="8" w:space="0" w:color="C00000" w:themeColor="accent5"/>
      </w:tblBorders>
    </w:tblPr>
    <w:tblStylePr w:type="firstRow">
      <w:pPr>
        <w:spacing w:before="0" w:after="0" w:line="240" w:lineRule="auto"/>
      </w:pPr>
      <w:rPr>
        <w:b/>
        <w:bCs/>
      </w:rPr>
      <w:tblPr/>
      <w:tcPr>
        <w:tcBorders>
          <w:top w:val="single" w:sz="8" w:space="0" w:color="C00000" w:themeColor="accent5"/>
          <w:left w:val="nil"/>
          <w:bottom w:val="single" w:sz="8" w:space="0" w:color="C00000" w:themeColor="accent5"/>
          <w:right w:val="nil"/>
          <w:insideH w:val="nil"/>
          <w:insideV w:val="nil"/>
        </w:tcBorders>
      </w:tcPr>
    </w:tblStylePr>
    <w:tblStylePr w:type="lastRow">
      <w:pPr>
        <w:spacing w:before="0" w:after="0" w:line="240" w:lineRule="auto"/>
      </w:pPr>
      <w:rPr>
        <w:b/>
        <w:bCs/>
      </w:rPr>
      <w:tblPr/>
      <w:tcPr>
        <w:tcBorders>
          <w:top w:val="single" w:sz="8" w:space="0" w:color="C00000" w:themeColor="accent5"/>
          <w:left w:val="nil"/>
          <w:bottom w:val="single" w:sz="8" w:space="0" w:color="C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5" w:themeFillTint="3F"/>
      </w:tcPr>
    </w:tblStylePr>
    <w:tblStylePr w:type="band1Horz">
      <w:tblPr/>
      <w:tcPr>
        <w:tcBorders>
          <w:left w:val="nil"/>
          <w:right w:val="nil"/>
          <w:insideH w:val="nil"/>
          <w:insideV w:val="nil"/>
        </w:tcBorders>
        <w:shd w:val="clear" w:color="auto" w:fill="FFB0B0" w:themeFill="accent5" w:themeFillTint="3F"/>
      </w:tcPr>
    </w:tblStylePr>
  </w:style>
  <w:style w:type="table" w:styleId="LightShading-Accent6">
    <w:name w:val="Light Shading Accent 6"/>
    <w:basedOn w:val="TableNormal"/>
    <w:uiPriority w:val="60"/>
    <w:semiHidden/>
    <w:unhideWhenUsed/>
    <w:pPr>
      <w:spacing w:after="0" w:line="240" w:lineRule="auto"/>
    </w:pPr>
    <w:rPr>
      <w:color w:val="413B78" w:themeColor="accent6" w:themeShade="BF"/>
    </w:rPr>
    <w:tblPr>
      <w:tblStyleRowBandSize w:val="1"/>
      <w:tblStyleColBandSize w:val="1"/>
      <w:tblBorders>
        <w:top w:val="single" w:sz="8" w:space="0" w:color="584FA1" w:themeColor="accent6"/>
        <w:bottom w:val="single" w:sz="8" w:space="0" w:color="584FA1" w:themeColor="accent6"/>
      </w:tblBorders>
    </w:tblPr>
    <w:tblStylePr w:type="firstRow">
      <w:pPr>
        <w:spacing w:before="0" w:after="0" w:line="240" w:lineRule="auto"/>
      </w:pPr>
      <w:rPr>
        <w:b/>
        <w:bCs/>
      </w:rPr>
      <w:tblPr/>
      <w:tcPr>
        <w:tcBorders>
          <w:top w:val="single" w:sz="8" w:space="0" w:color="584FA1" w:themeColor="accent6"/>
          <w:left w:val="nil"/>
          <w:bottom w:val="single" w:sz="8" w:space="0" w:color="584FA1" w:themeColor="accent6"/>
          <w:right w:val="nil"/>
          <w:insideH w:val="nil"/>
          <w:insideV w:val="nil"/>
        </w:tcBorders>
      </w:tcPr>
    </w:tblStylePr>
    <w:tblStylePr w:type="lastRow">
      <w:pPr>
        <w:spacing w:before="0" w:after="0" w:line="240" w:lineRule="auto"/>
      </w:pPr>
      <w:rPr>
        <w:b/>
        <w:bCs/>
      </w:rPr>
      <w:tblPr/>
      <w:tcPr>
        <w:tcBorders>
          <w:top w:val="single" w:sz="8" w:space="0" w:color="584FA1" w:themeColor="accent6"/>
          <w:left w:val="nil"/>
          <w:bottom w:val="single" w:sz="8" w:space="0" w:color="584F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2E9" w:themeFill="accent6" w:themeFillTint="3F"/>
      </w:tcPr>
    </w:tblStylePr>
    <w:tblStylePr w:type="band1Horz">
      <w:tblPr/>
      <w:tcPr>
        <w:tcBorders>
          <w:left w:val="nil"/>
          <w:right w:val="nil"/>
          <w:insideH w:val="nil"/>
          <w:insideV w:val="nil"/>
        </w:tcBorders>
        <w:shd w:val="clear" w:color="auto" w:fill="D4D2E9" w:themeFill="accent6" w:themeFillTint="3F"/>
      </w:tcPr>
    </w:tblStylePr>
  </w:style>
  <w:style w:type="character" w:styleId="LineNumber">
    <w:name w:val="line number"/>
    <w:basedOn w:val="DefaultParagraphFont"/>
    <w:uiPriority w:val="99"/>
    <w:semiHidden/>
    <w:unhideWhenUsed/>
    <w:rPr>
      <w:noProof w:val="0"/>
    </w:rPr>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
    <w:name w:val="List Bullet"/>
    <w:basedOn w:val="Normal"/>
    <w:uiPriority w:val="99"/>
    <w:semiHidden/>
    <w:unhideWhenUsed/>
    <w:pPr>
      <w:numPr>
        <w:numId w:val="7"/>
      </w:numPr>
      <w:contextualSpacing/>
    </w:pPr>
  </w:style>
  <w:style w:type="paragraph" w:styleId="ListBullet2">
    <w:name w:val="List Bullet 2"/>
    <w:basedOn w:val="Normal"/>
    <w:uiPriority w:val="99"/>
    <w:semiHidden/>
    <w:unhideWhenUsed/>
    <w:pPr>
      <w:numPr>
        <w:numId w:val="8"/>
      </w:numPr>
      <w:contextualSpacing/>
    </w:pPr>
  </w:style>
  <w:style w:type="paragraph" w:styleId="ListBullet3">
    <w:name w:val="List Bullet 3"/>
    <w:basedOn w:val="Normal"/>
    <w:uiPriority w:val="99"/>
    <w:semiHidden/>
    <w:unhideWhenUsed/>
    <w:pPr>
      <w:numPr>
        <w:numId w:val="9"/>
      </w:numPr>
      <w:contextualSpacing/>
    </w:pPr>
  </w:style>
  <w:style w:type="paragraph" w:styleId="ListBullet4">
    <w:name w:val="List Bullet 4"/>
    <w:basedOn w:val="Normal"/>
    <w:uiPriority w:val="99"/>
    <w:semiHidden/>
    <w:unhideWhenUsed/>
    <w:pPr>
      <w:numPr>
        <w:numId w:val="10"/>
      </w:numPr>
      <w:contextualSpacing/>
    </w:pPr>
  </w:style>
  <w:style w:type="paragraph" w:styleId="ListBullet5">
    <w:name w:val="List Bullet 5"/>
    <w:basedOn w:val="Normal"/>
    <w:uiPriority w:val="99"/>
    <w:semiHidden/>
    <w:unhideWhenUsed/>
    <w:pPr>
      <w:numPr>
        <w:numId w:val="11"/>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
    <w:name w:val="List Number"/>
    <w:basedOn w:val="Normal"/>
    <w:uiPriority w:val="99"/>
    <w:semiHidden/>
    <w:unhideWhenUsed/>
    <w:pPr>
      <w:numPr>
        <w:numId w:val="12"/>
      </w:numPr>
      <w:contextualSpacing/>
    </w:pPr>
  </w:style>
  <w:style w:type="paragraph" w:styleId="ListNumber2">
    <w:name w:val="List Number 2"/>
    <w:basedOn w:val="Normal"/>
    <w:uiPriority w:val="99"/>
    <w:semiHidden/>
    <w:unhideWhenUsed/>
    <w:pPr>
      <w:numPr>
        <w:numId w:val="13"/>
      </w:numPr>
      <w:contextualSpacing/>
    </w:pPr>
  </w:style>
  <w:style w:type="paragraph" w:styleId="ListNumber3">
    <w:name w:val="List Number 3"/>
    <w:basedOn w:val="Normal"/>
    <w:uiPriority w:val="99"/>
    <w:semiHidden/>
    <w:unhideWhenUsed/>
    <w:pPr>
      <w:numPr>
        <w:numId w:val="14"/>
      </w:numPr>
      <w:contextualSpacing/>
    </w:pPr>
  </w:style>
  <w:style w:type="paragraph" w:styleId="ListNumber4">
    <w:name w:val="List Number 4"/>
    <w:basedOn w:val="Normal"/>
    <w:uiPriority w:val="99"/>
    <w:semiHidden/>
    <w:unhideWhenUsed/>
    <w:pPr>
      <w:numPr>
        <w:numId w:val="15"/>
      </w:numPr>
      <w:contextualSpacing/>
    </w:pPr>
  </w:style>
  <w:style w:type="paragraph" w:styleId="ListNumber5">
    <w:name w:val="List Number 5"/>
    <w:basedOn w:val="Normal"/>
    <w:uiPriority w:val="99"/>
    <w:semiHidden/>
    <w:unhideWhenUsed/>
    <w:pPr>
      <w:numPr>
        <w:numId w:val="16"/>
      </w:numPr>
      <w:contextualSpacing/>
    </w:pPr>
  </w:style>
  <w:style w:type="table" w:customStyle="1" w:styleId="ListTable1Light">
    <w:name w:val="List Table 1 Light"/>
    <w:basedOn w:val="TableNormal"/>
    <w:uiPriority w:val="4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pPr>
      <w:spacing w:after="0" w:line="240" w:lineRule="auto"/>
    </w:pPr>
    <w:tblPr>
      <w:tblStyleRowBandSize w:val="1"/>
      <w:tblStyleColBandSize w:val="1"/>
    </w:tblPr>
    <w:tblStylePr w:type="firstRow">
      <w:rPr>
        <w:b/>
        <w:bCs/>
      </w:rPr>
      <w:tblPr/>
      <w:tcPr>
        <w:tcBorders>
          <w:bottom w:val="single" w:sz="4" w:space="0" w:color="F7A590" w:themeColor="accent1" w:themeTint="99"/>
        </w:tcBorders>
      </w:tcPr>
    </w:tblStylePr>
    <w:tblStylePr w:type="lastRow">
      <w:rPr>
        <w:b/>
        <w:bCs/>
      </w:rPr>
      <w:tblPr/>
      <w:tcPr>
        <w:tcBorders>
          <w:top w:val="single" w:sz="4" w:space="0" w:color="F7A590" w:themeColor="accent1" w:themeTint="99"/>
        </w:tcBorders>
      </w:tcPr>
    </w:tblStylePr>
    <w:tblStylePr w:type="firstCol">
      <w:rPr>
        <w:b/>
        <w:bCs/>
      </w:rPr>
    </w:tblStylePr>
    <w:tblStylePr w:type="lastCol">
      <w:rPr>
        <w:b/>
        <w:bCs/>
      </w:rPr>
    </w:tblStylePr>
    <w:tblStylePr w:type="band1Vert">
      <w:tblPr/>
      <w:tcPr>
        <w:shd w:val="clear" w:color="auto" w:fill="FCE0D9" w:themeFill="accent1" w:themeFillTint="33"/>
      </w:tcPr>
    </w:tblStylePr>
    <w:tblStylePr w:type="band1Horz">
      <w:tblPr/>
      <w:tcPr>
        <w:shd w:val="clear" w:color="auto" w:fill="FCE0D9" w:themeFill="accent1" w:themeFillTint="33"/>
      </w:tcPr>
    </w:tblStylePr>
  </w:style>
  <w:style w:type="table" w:customStyle="1" w:styleId="ListTable1LightAccent2">
    <w:name w:val="List Table 1 Light Accent 2"/>
    <w:basedOn w:val="TableNormal"/>
    <w:uiPriority w:val="46"/>
    <w:pPr>
      <w:spacing w:after="0" w:line="240" w:lineRule="auto"/>
    </w:pPr>
    <w:tblPr>
      <w:tblStyleRowBandSize w:val="1"/>
      <w:tblStyleColBandSize w:val="1"/>
    </w:tblPr>
    <w:tblStylePr w:type="firstRow">
      <w:rPr>
        <w:b/>
        <w:bCs/>
      </w:rPr>
      <w:tblPr/>
      <w:tcPr>
        <w:tcBorders>
          <w:bottom w:val="single" w:sz="4" w:space="0" w:color="FFD966" w:themeColor="accent2" w:themeTint="99"/>
        </w:tcBorders>
      </w:tcPr>
    </w:tblStylePr>
    <w:tblStylePr w:type="lastRow">
      <w:rPr>
        <w:b/>
        <w:bCs/>
      </w:rPr>
      <w:tblPr/>
      <w:tcPr>
        <w:tcBorders>
          <w:top w:val="single" w:sz="4" w:space="0" w:color="FFD966" w:themeColor="accent2" w:themeTint="99"/>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ListTable1LightAccent3">
    <w:name w:val="List Table 1 Light Accent 3"/>
    <w:basedOn w:val="TableNormal"/>
    <w:uiPriority w:val="46"/>
    <w:pPr>
      <w:spacing w:after="0" w:line="240" w:lineRule="auto"/>
    </w:pPr>
    <w:tblPr>
      <w:tblStyleRowBandSize w:val="1"/>
      <w:tblStyleColBandSize w:val="1"/>
    </w:tblPr>
    <w:tblStylePr w:type="firstRow">
      <w:rPr>
        <w:b/>
        <w:bCs/>
      </w:rPr>
      <w:tblPr/>
      <w:tcPr>
        <w:tcBorders>
          <w:bottom w:val="single" w:sz="4" w:space="0" w:color="36FF90" w:themeColor="accent3" w:themeTint="99"/>
        </w:tcBorders>
      </w:tcPr>
    </w:tblStylePr>
    <w:tblStylePr w:type="lastRow">
      <w:rPr>
        <w:b/>
        <w:bCs/>
      </w:rPr>
      <w:tblPr/>
      <w:tcPr>
        <w:tcBorders>
          <w:top w:val="sing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customStyle="1" w:styleId="ListTable1LightAccent4">
    <w:name w:val="List Table 1 Light Accent 4"/>
    <w:basedOn w:val="TableNormal"/>
    <w:uiPriority w:val="46"/>
    <w:pPr>
      <w:spacing w:after="0" w:line="240" w:lineRule="auto"/>
    </w:pPr>
    <w:tblPr>
      <w:tblStyleRowBandSize w:val="1"/>
      <w:tblStyleColBandSize w:val="1"/>
    </w:tblPr>
    <w:tblStylePr w:type="firstRow">
      <w:rPr>
        <w:b/>
        <w:bCs/>
      </w:rPr>
      <w:tblPr/>
      <w:tcPr>
        <w:tcBorders>
          <w:bottom w:val="single" w:sz="4" w:space="0" w:color="26ADFF" w:themeColor="accent4" w:themeTint="99"/>
        </w:tcBorders>
      </w:tcPr>
    </w:tblStylePr>
    <w:tblStylePr w:type="lastRow">
      <w:rPr>
        <w:b/>
        <w:bCs/>
      </w:rPr>
      <w:tblPr/>
      <w:tcPr>
        <w:tcBorders>
          <w:top w:val="single" w:sz="4" w:space="0" w:color="26ADFF" w:themeColor="accent4" w:themeTint="99"/>
        </w:tcBorders>
      </w:tcPr>
    </w:tblStylePr>
    <w:tblStylePr w:type="firstCol">
      <w:rPr>
        <w:b/>
        <w:bCs/>
      </w:rPr>
    </w:tblStylePr>
    <w:tblStylePr w:type="lastCol">
      <w:rPr>
        <w:b/>
        <w:bCs/>
      </w:rPr>
    </w:tblStylePr>
    <w:tblStylePr w:type="band1Vert">
      <w:tblPr/>
      <w:tcPr>
        <w:shd w:val="clear" w:color="auto" w:fill="B6E3FF" w:themeFill="accent4" w:themeFillTint="33"/>
      </w:tcPr>
    </w:tblStylePr>
    <w:tblStylePr w:type="band1Horz">
      <w:tblPr/>
      <w:tcPr>
        <w:shd w:val="clear" w:color="auto" w:fill="B6E3FF" w:themeFill="accent4" w:themeFillTint="33"/>
      </w:tcPr>
    </w:tblStylePr>
  </w:style>
  <w:style w:type="table" w:customStyle="1" w:styleId="ListTable1LightAccent5">
    <w:name w:val="List Table 1 Light Accent 5"/>
    <w:basedOn w:val="TableNormal"/>
    <w:uiPriority w:val="46"/>
    <w:pPr>
      <w:spacing w:after="0" w:line="240" w:lineRule="auto"/>
    </w:pPr>
    <w:tblPr>
      <w:tblStyleRowBandSize w:val="1"/>
      <w:tblStyleColBandSize w:val="1"/>
    </w:tblPr>
    <w:tblStylePr w:type="firstRow">
      <w:rPr>
        <w:b/>
        <w:bCs/>
      </w:rPr>
      <w:tblPr/>
      <w:tcPr>
        <w:tcBorders>
          <w:bottom w:val="single" w:sz="4" w:space="0" w:color="FF4040" w:themeColor="accent5" w:themeTint="99"/>
        </w:tcBorders>
      </w:tcPr>
    </w:tblStylePr>
    <w:tblStylePr w:type="lastRow">
      <w:rPr>
        <w:b/>
        <w:bCs/>
      </w:rPr>
      <w:tblPr/>
      <w:tcPr>
        <w:tcBorders>
          <w:top w:val="single" w:sz="4" w:space="0" w:color="FF4040" w:themeColor="accent5" w:themeTint="99"/>
        </w:tcBorders>
      </w:tcPr>
    </w:tblStylePr>
    <w:tblStylePr w:type="firstCol">
      <w:rPr>
        <w:b/>
        <w:bCs/>
      </w:rPr>
    </w:tblStylePr>
    <w:tblStylePr w:type="lastCol">
      <w:rPr>
        <w:b/>
        <w:bCs/>
      </w:rPr>
    </w:tblStylePr>
    <w:tblStylePr w:type="band1Vert">
      <w:tblPr/>
      <w:tcPr>
        <w:shd w:val="clear" w:color="auto" w:fill="FFBFBF" w:themeFill="accent5" w:themeFillTint="33"/>
      </w:tcPr>
    </w:tblStylePr>
    <w:tblStylePr w:type="band1Horz">
      <w:tblPr/>
      <w:tcPr>
        <w:shd w:val="clear" w:color="auto" w:fill="FFBFBF" w:themeFill="accent5" w:themeFillTint="33"/>
      </w:tcPr>
    </w:tblStylePr>
  </w:style>
  <w:style w:type="table" w:customStyle="1" w:styleId="ListTable1LightAccent6">
    <w:name w:val="List Table 1 Light Accent 6"/>
    <w:basedOn w:val="TableNormal"/>
    <w:uiPriority w:val="46"/>
    <w:pPr>
      <w:spacing w:after="0" w:line="240" w:lineRule="auto"/>
    </w:pPr>
    <w:tblPr>
      <w:tblStyleRowBandSize w:val="1"/>
      <w:tblStyleColBandSize w:val="1"/>
    </w:tblPr>
    <w:tblStylePr w:type="firstRow">
      <w:rPr>
        <w:b/>
        <w:bCs/>
      </w:rPr>
      <w:tblPr/>
      <w:tcPr>
        <w:tcBorders>
          <w:bottom w:val="single" w:sz="4" w:space="0" w:color="9892C9" w:themeColor="accent6" w:themeTint="99"/>
        </w:tcBorders>
      </w:tcPr>
    </w:tblStylePr>
    <w:tblStylePr w:type="lastRow">
      <w:rPr>
        <w:b/>
        <w:bCs/>
      </w:rPr>
      <w:tblPr/>
      <w:tcPr>
        <w:tcBorders>
          <w:top w:val="single" w:sz="4" w:space="0" w:color="9892C9" w:themeColor="accent6" w:themeTint="99"/>
        </w:tcBorders>
      </w:tcPr>
    </w:tblStylePr>
    <w:tblStylePr w:type="firstCol">
      <w:rPr>
        <w:b/>
        <w:bCs/>
      </w:rPr>
    </w:tblStylePr>
    <w:tblStylePr w:type="lastCol">
      <w:rPr>
        <w:b/>
        <w:bCs/>
      </w:rPr>
    </w:tblStylePr>
    <w:tblStylePr w:type="band1Vert">
      <w:tblPr/>
      <w:tcPr>
        <w:shd w:val="clear" w:color="auto" w:fill="DCDAED" w:themeFill="accent6" w:themeFillTint="33"/>
      </w:tcPr>
    </w:tblStylePr>
    <w:tblStylePr w:type="band1Horz">
      <w:tblPr/>
      <w:tcPr>
        <w:shd w:val="clear" w:color="auto" w:fill="DCDAED" w:themeFill="accent6" w:themeFillTint="33"/>
      </w:tcPr>
    </w:tblStylePr>
  </w:style>
  <w:style w:type="table" w:customStyle="1" w:styleId="ListTable2">
    <w:name w:val="List Table 2"/>
    <w:basedOn w:val="TableNormal"/>
    <w:uiPriority w:val="4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pPr>
      <w:spacing w:after="0" w:line="240" w:lineRule="auto"/>
    </w:pPr>
    <w:tblPr>
      <w:tblStyleRowBandSize w:val="1"/>
      <w:tblStyleColBandSize w:val="1"/>
      <w:tblBorders>
        <w:top w:val="single" w:sz="4" w:space="0" w:color="F7A590" w:themeColor="accent1" w:themeTint="99"/>
        <w:bottom w:val="single" w:sz="4" w:space="0" w:color="F7A590" w:themeColor="accent1" w:themeTint="99"/>
        <w:insideH w:val="single" w:sz="4" w:space="0" w:color="F7A59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0D9" w:themeFill="accent1" w:themeFillTint="33"/>
      </w:tcPr>
    </w:tblStylePr>
    <w:tblStylePr w:type="band1Horz">
      <w:tblPr/>
      <w:tcPr>
        <w:shd w:val="clear" w:color="auto" w:fill="FCE0D9" w:themeFill="accent1" w:themeFillTint="33"/>
      </w:tcPr>
    </w:tblStylePr>
  </w:style>
  <w:style w:type="table" w:customStyle="1" w:styleId="ListTable2Accent2">
    <w:name w:val="List Table 2 Accent 2"/>
    <w:basedOn w:val="TableNormal"/>
    <w:uiPriority w:val="47"/>
    <w:pPr>
      <w:spacing w:after="0" w:line="240" w:lineRule="auto"/>
    </w:pPr>
    <w:tblPr>
      <w:tblStyleRowBandSize w:val="1"/>
      <w:tblStyleColBandSize w:val="1"/>
      <w:tblBorders>
        <w:top w:val="single" w:sz="4" w:space="0" w:color="FFD966" w:themeColor="accent2" w:themeTint="99"/>
        <w:bottom w:val="single" w:sz="4" w:space="0" w:color="FFD966" w:themeColor="accent2" w:themeTint="99"/>
        <w:insideH w:val="single" w:sz="4" w:space="0" w:color="FFD9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ListTable2Accent3">
    <w:name w:val="List Table 2 Accent 3"/>
    <w:basedOn w:val="TableNormal"/>
    <w:uiPriority w:val="47"/>
    <w:pPr>
      <w:spacing w:after="0" w:line="240" w:lineRule="auto"/>
    </w:pPr>
    <w:tblPr>
      <w:tblStyleRowBandSize w:val="1"/>
      <w:tblStyleColBandSize w:val="1"/>
      <w:tblBorders>
        <w:top w:val="single" w:sz="4" w:space="0" w:color="36FF90" w:themeColor="accent3" w:themeTint="99"/>
        <w:bottom w:val="single" w:sz="4" w:space="0" w:color="36FF90" w:themeColor="accent3" w:themeTint="99"/>
        <w:insideH w:val="single" w:sz="4" w:space="0" w:color="36FF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customStyle="1" w:styleId="ListTable2Accent4">
    <w:name w:val="List Table 2 Accent 4"/>
    <w:basedOn w:val="TableNormal"/>
    <w:uiPriority w:val="47"/>
    <w:pPr>
      <w:spacing w:after="0" w:line="240" w:lineRule="auto"/>
    </w:pPr>
    <w:tblPr>
      <w:tblStyleRowBandSize w:val="1"/>
      <w:tblStyleColBandSize w:val="1"/>
      <w:tblBorders>
        <w:top w:val="single" w:sz="4" w:space="0" w:color="26ADFF" w:themeColor="accent4" w:themeTint="99"/>
        <w:bottom w:val="single" w:sz="4" w:space="0" w:color="26ADFF" w:themeColor="accent4" w:themeTint="99"/>
        <w:insideH w:val="single" w:sz="4" w:space="0" w:color="26AD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E3FF" w:themeFill="accent4" w:themeFillTint="33"/>
      </w:tcPr>
    </w:tblStylePr>
    <w:tblStylePr w:type="band1Horz">
      <w:tblPr/>
      <w:tcPr>
        <w:shd w:val="clear" w:color="auto" w:fill="B6E3FF" w:themeFill="accent4" w:themeFillTint="33"/>
      </w:tcPr>
    </w:tblStylePr>
  </w:style>
  <w:style w:type="table" w:customStyle="1" w:styleId="ListTable2Accent5">
    <w:name w:val="List Table 2 Accent 5"/>
    <w:basedOn w:val="TableNormal"/>
    <w:uiPriority w:val="47"/>
    <w:pPr>
      <w:spacing w:after="0" w:line="240" w:lineRule="auto"/>
    </w:pPr>
    <w:tblPr>
      <w:tblStyleRowBandSize w:val="1"/>
      <w:tblStyleColBandSize w:val="1"/>
      <w:tblBorders>
        <w:top w:val="single" w:sz="4" w:space="0" w:color="FF4040" w:themeColor="accent5" w:themeTint="99"/>
        <w:bottom w:val="single" w:sz="4" w:space="0" w:color="FF4040" w:themeColor="accent5" w:themeTint="99"/>
        <w:insideH w:val="single" w:sz="4" w:space="0" w:color="FF404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FBF" w:themeFill="accent5" w:themeFillTint="33"/>
      </w:tcPr>
    </w:tblStylePr>
    <w:tblStylePr w:type="band1Horz">
      <w:tblPr/>
      <w:tcPr>
        <w:shd w:val="clear" w:color="auto" w:fill="FFBFBF" w:themeFill="accent5" w:themeFillTint="33"/>
      </w:tcPr>
    </w:tblStylePr>
  </w:style>
  <w:style w:type="table" w:customStyle="1" w:styleId="ListTable2Accent6">
    <w:name w:val="List Table 2 Accent 6"/>
    <w:basedOn w:val="TableNormal"/>
    <w:uiPriority w:val="47"/>
    <w:pPr>
      <w:spacing w:after="0" w:line="240" w:lineRule="auto"/>
    </w:pPr>
    <w:tblPr>
      <w:tblStyleRowBandSize w:val="1"/>
      <w:tblStyleColBandSize w:val="1"/>
      <w:tblBorders>
        <w:top w:val="single" w:sz="4" w:space="0" w:color="9892C9" w:themeColor="accent6" w:themeTint="99"/>
        <w:bottom w:val="single" w:sz="4" w:space="0" w:color="9892C9" w:themeColor="accent6" w:themeTint="99"/>
        <w:insideH w:val="single" w:sz="4" w:space="0" w:color="9892C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AED" w:themeFill="accent6" w:themeFillTint="33"/>
      </w:tcPr>
    </w:tblStylePr>
    <w:tblStylePr w:type="band1Horz">
      <w:tblPr/>
      <w:tcPr>
        <w:shd w:val="clear" w:color="auto" w:fill="DCDAED" w:themeFill="accent6" w:themeFillTint="33"/>
      </w:tcPr>
    </w:tblStylePr>
  </w:style>
  <w:style w:type="table" w:customStyle="1" w:styleId="ListTable3">
    <w:name w:val="List Table 3"/>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pPr>
      <w:spacing w:after="0" w:line="240" w:lineRule="auto"/>
    </w:pPr>
    <w:tblPr>
      <w:tblStyleRowBandSize w:val="1"/>
      <w:tblStyleColBandSize w:val="1"/>
      <w:tblBorders>
        <w:top w:val="single" w:sz="4" w:space="0" w:color="F26A47" w:themeColor="accent1"/>
        <w:left w:val="single" w:sz="4" w:space="0" w:color="F26A47" w:themeColor="accent1"/>
        <w:bottom w:val="single" w:sz="4" w:space="0" w:color="F26A47" w:themeColor="accent1"/>
        <w:right w:val="single" w:sz="4" w:space="0" w:color="F26A47" w:themeColor="accent1"/>
      </w:tblBorders>
    </w:tblPr>
    <w:tblStylePr w:type="firstRow">
      <w:rPr>
        <w:b/>
        <w:bCs/>
        <w:color w:val="FFFFFF" w:themeColor="background1"/>
      </w:rPr>
      <w:tblPr/>
      <w:tcPr>
        <w:shd w:val="clear" w:color="auto" w:fill="F26A47" w:themeFill="accent1"/>
      </w:tcPr>
    </w:tblStylePr>
    <w:tblStylePr w:type="lastRow">
      <w:rPr>
        <w:b/>
        <w:bCs/>
      </w:rPr>
      <w:tblPr/>
      <w:tcPr>
        <w:tcBorders>
          <w:top w:val="double" w:sz="4" w:space="0" w:color="F26A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A47" w:themeColor="accent1"/>
          <w:right w:val="single" w:sz="4" w:space="0" w:color="F26A47" w:themeColor="accent1"/>
        </w:tcBorders>
      </w:tcPr>
    </w:tblStylePr>
    <w:tblStylePr w:type="band1Horz">
      <w:tblPr/>
      <w:tcPr>
        <w:tcBorders>
          <w:top w:val="single" w:sz="4" w:space="0" w:color="F26A47" w:themeColor="accent1"/>
          <w:bottom w:val="single" w:sz="4" w:space="0" w:color="F26A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A47" w:themeColor="accent1"/>
          <w:left w:val="nil"/>
        </w:tcBorders>
      </w:tcPr>
    </w:tblStylePr>
    <w:tblStylePr w:type="swCell">
      <w:tblPr/>
      <w:tcPr>
        <w:tcBorders>
          <w:top w:val="double" w:sz="4" w:space="0" w:color="F26A47" w:themeColor="accent1"/>
          <w:right w:val="nil"/>
        </w:tcBorders>
      </w:tcPr>
    </w:tblStylePr>
  </w:style>
  <w:style w:type="table" w:customStyle="1" w:styleId="ListTable3Accent2">
    <w:name w:val="List Table 3 Accent 2"/>
    <w:basedOn w:val="TableNormal"/>
    <w:uiPriority w:val="48"/>
    <w:pPr>
      <w:spacing w:after="0" w:line="240" w:lineRule="auto"/>
    </w:pPr>
    <w:tblPr>
      <w:tblStyleRowBandSize w:val="1"/>
      <w:tblStyleColBandSize w:val="1"/>
      <w:tblBorders>
        <w:top w:val="single" w:sz="4" w:space="0" w:color="FFC000" w:themeColor="accent2"/>
        <w:left w:val="single" w:sz="4" w:space="0" w:color="FFC000" w:themeColor="accent2"/>
        <w:bottom w:val="single" w:sz="4" w:space="0" w:color="FFC000" w:themeColor="accent2"/>
        <w:right w:val="single" w:sz="4" w:space="0" w:color="FFC000" w:themeColor="accent2"/>
      </w:tblBorders>
    </w:tblPr>
    <w:tblStylePr w:type="firstRow">
      <w:rPr>
        <w:b/>
        <w:bCs/>
        <w:color w:val="FFFFFF" w:themeColor="background1"/>
      </w:rPr>
      <w:tblPr/>
      <w:tcPr>
        <w:shd w:val="clear" w:color="auto" w:fill="FFC000" w:themeFill="accent2"/>
      </w:tcPr>
    </w:tblStylePr>
    <w:tblStylePr w:type="lastRow">
      <w:rPr>
        <w:b/>
        <w:bCs/>
      </w:rPr>
      <w:tblPr/>
      <w:tcPr>
        <w:tcBorders>
          <w:top w:val="double" w:sz="4" w:space="0" w:color="FFC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2"/>
          <w:right w:val="single" w:sz="4" w:space="0" w:color="FFC000" w:themeColor="accent2"/>
        </w:tcBorders>
      </w:tcPr>
    </w:tblStylePr>
    <w:tblStylePr w:type="band1Horz">
      <w:tblPr/>
      <w:tcPr>
        <w:tcBorders>
          <w:top w:val="single" w:sz="4" w:space="0" w:color="FFC000" w:themeColor="accent2"/>
          <w:bottom w:val="single" w:sz="4" w:space="0" w:color="FFC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2"/>
          <w:left w:val="nil"/>
        </w:tcBorders>
      </w:tcPr>
    </w:tblStylePr>
    <w:tblStylePr w:type="swCell">
      <w:tblPr/>
      <w:tcPr>
        <w:tcBorders>
          <w:top w:val="double" w:sz="4" w:space="0" w:color="FFC000" w:themeColor="accent2"/>
          <w:right w:val="nil"/>
        </w:tcBorders>
      </w:tcPr>
    </w:tblStylePr>
  </w:style>
  <w:style w:type="table" w:customStyle="1" w:styleId="ListTable3Accent3">
    <w:name w:val="List Table 3 Accent 3"/>
    <w:basedOn w:val="TableNormal"/>
    <w:uiPriority w:val="48"/>
    <w:pPr>
      <w:spacing w:after="0" w:line="240" w:lineRule="auto"/>
    </w:pPr>
    <w:tblPr>
      <w:tblStyleRowBandSize w:val="1"/>
      <w:tblStyleColBandSize w:val="1"/>
      <w:tblBorders>
        <w:top w:val="single" w:sz="4" w:space="0" w:color="00B050" w:themeColor="accent3"/>
        <w:left w:val="single" w:sz="4" w:space="0" w:color="00B050" w:themeColor="accent3"/>
        <w:bottom w:val="single" w:sz="4" w:space="0" w:color="00B050" w:themeColor="accent3"/>
        <w:right w:val="single" w:sz="4" w:space="0" w:color="00B050" w:themeColor="accent3"/>
      </w:tblBorders>
    </w:tblPr>
    <w:tblStylePr w:type="firstRow">
      <w:rPr>
        <w:b/>
        <w:bCs/>
        <w:color w:val="FFFFFF" w:themeColor="background1"/>
      </w:rPr>
      <w:tblPr/>
      <w:tcPr>
        <w:shd w:val="clear" w:color="auto" w:fill="00B050" w:themeFill="accent3"/>
      </w:tcPr>
    </w:tblStylePr>
    <w:tblStylePr w:type="lastRow">
      <w:rPr>
        <w:b/>
        <w:bCs/>
      </w:rPr>
      <w:tblPr/>
      <w:tcPr>
        <w:tcBorders>
          <w:top w:val="double" w:sz="4" w:space="0" w:color="00B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3"/>
          <w:right w:val="single" w:sz="4" w:space="0" w:color="00B050" w:themeColor="accent3"/>
        </w:tcBorders>
      </w:tcPr>
    </w:tblStylePr>
    <w:tblStylePr w:type="band1Horz">
      <w:tblPr/>
      <w:tcPr>
        <w:tcBorders>
          <w:top w:val="single" w:sz="4" w:space="0" w:color="00B050" w:themeColor="accent3"/>
          <w:bottom w:val="single" w:sz="4" w:space="0" w:color="00B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3"/>
          <w:left w:val="nil"/>
        </w:tcBorders>
      </w:tcPr>
    </w:tblStylePr>
    <w:tblStylePr w:type="swCell">
      <w:tblPr/>
      <w:tcPr>
        <w:tcBorders>
          <w:top w:val="double" w:sz="4" w:space="0" w:color="00B050" w:themeColor="accent3"/>
          <w:right w:val="nil"/>
        </w:tcBorders>
      </w:tcPr>
    </w:tblStylePr>
  </w:style>
  <w:style w:type="table" w:customStyle="1" w:styleId="ListTable3Accent4">
    <w:name w:val="List Table 3 Accent 4"/>
    <w:basedOn w:val="TableNormal"/>
    <w:uiPriority w:val="48"/>
    <w:pPr>
      <w:spacing w:after="0" w:line="240" w:lineRule="auto"/>
    </w:pPr>
    <w:tblPr>
      <w:tblStyleRowBandSize w:val="1"/>
      <w:tblStyleColBandSize w:val="1"/>
      <w:tblBorders>
        <w:top w:val="single" w:sz="4" w:space="0" w:color="005D95" w:themeColor="accent4"/>
        <w:left w:val="single" w:sz="4" w:space="0" w:color="005D95" w:themeColor="accent4"/>
        <w:bottom w:val="single" w:sz="4" w:space="0" w:color="005D95" w:themeColor="accent4"/>
        <w:right w:val="single" w:sz="4" w:space="0" w:color="005D95" w:themeColor="accent4"/>
      </w:tblBorders>
    </w:tblPr>
    <w:tblStylePr w:type="firstRow">
      <w:rPr>
        <w:b/>
        <w:bCs/>
        <w:color w:val="FFFFFF" w:themeColor="background1"/>
      </w:rPr>
      <w:tblPr/>
      <w:tcPr>
        <w:shd w:val="clear" w:color="auto" w:fill="005D95" w:themeFill="accent4"/>
      </w:tcPr>
    </w:tblStylePr>
    <w:tblStylePr w:type="lastRow">
      <w:rPr>
        <w:b/>
        <w:bCs/>
      </w:rPr>
      <w:tblPr/>
      <w:tcPr>
        <w:tcBorders>
          <w:top w:val="double" w:sz="4" w:space="0" w:color="005D9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95" w:themeColor="accent4"/>
          <w:right w:val="single" w:sz="4" w:space="0" w:color="005D95" w:themeColor="accent4"/>
        </w:tcBorders>
      </w:tcPr>
    </w:tblStylePr>
    <w:tblStylePr w:type="band1Horz">
      <w:tblPr/>
      <w:tcPr>
        <w:tcBorders>
          <w:top w:val="single" w:sz="4" w:space="0" w:color="005D95" w:themeColor="accent4"/>
          <w:bottom w:val="single" w:sz="4" w:space="0" w:color="005D9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95" w:themeColor="accent4"/>
          <w:left w:val="nil"/>
        </w:tcBorders>
      </w:tcPr>
    </w:tblStylePr>
    <w:tblStylePr w:type="swCell">
      <w:tblPr/>
      <w:tcPr>
        <w:tcBorders>
          <w:top w:val="double" w:sz="4" w:space="0" w:color="005D95" w:themeColor="accent4"/>
          <w:right w:val="nil"/>
        </w:tcBorders>
      </w:tcPr>
    </w:tblStylePr>
  </w:style>
  <w:style w:type="table" w:customStyle="1" w:styleId="ListTable3Accent5">
    <w:name w:val="List Table 3 Accent 5"/>
    <w:basedOn w:val="TableNormal"/>
    <w:uiPriority w:val="48"/>
    <w:pPr>
      <w:spacing w:after="0" w:line="240" w:lineRule="auto"/>
    </w:pPr>
    <w:tblPr>
      <w:tblStyleRowBandSize w:val="1"/>
      <w:tblStyleColBandSize w:val="1"/>
      <w:tblBorders>
        <w:top w:val="single" w:sz="4" w:space="0" w:color="C00000" w:themeColor="accent5"/>
        <w:left w:val="single" w:sz="4" w:space="0" w:color="C00000" w:themeColor="accent5"/>
        <w:bottom w:val="single" w:sz="4" w:space="0" w:color="C00000" w:themeColor="accent5"/>
        <w:right w:val="single" w:sz="4" w:space="0" w:color="C00000" w:themeColor="accent5"/>
      </w:tblBorders>
    </w:tblPr>
    <w:tblStylePr w:type="firstRow">
      <w:rPr>
        <w:b/>
        <w:bCs/>
        <w:color w:val="FFFFFF" w:themeColor="background1"/>
      </w:rPr>
      <w:tblPr/>
      <w:tcPr>
        <w:shd w:val="clear" w:color="auto" w:fill="C00000" w:themeFill="accent5"/>
      </w:tcPr>
    </w:tblStylePr>
    <w:tblStylePr w:type="lastRow">
      <w:rPr>
        <w:b/>
        <w:bCs/>
      </w:rPr>
      <w:tblPr/>
      <w:tcPr>
        <w:tcBorders>
          <w:top w:val="double" w:sz="4" w:space="0" w:color="C000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0000" w:themeColor="accent5"/>
          <w:right w:val="single" w:sz="4" w:space="0" w:color="C00000" w:themeColor="accent5"/>
        </w:tcBorders>
      </w:tcPr>
    </w:tblStylePr>
    <w:tblStylePr w:type="band1Horz">
      <w:tblPr/>
      <w:tcPr>
        <w:tcBorders>
          <w:top w:val="single" w:sz="4" w:space="0" w:color="C00000" w:themeColor="accent5"/>
          <w:bottom w:val="single" w:sz="4" w:space="0" w:color="C000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0000" w:themeColor="accent5"/>
          <w:left w:val="nil"/>
        </w:tcBorders>
      </w:tcPr>
    </w:tblStylePr>
    <w:tblStylePr w:type="swCell">
      <w:tblPr/>
      <w:tcPr>
        <w:tcBorders>
          <w:top w:val="double" w:sz="4" w:space="0" w:color="C00000" w:themeColor="accent5"/>
          <w:right w:val="nil"/>
        </w:tcBorders>
      </w:tcPr>
    </w:tblStylePr>
  </w:style>
  <w:style w:type="table" w:customStyle="1" w:styleId="ListTable3Accent6">
    <w:name w:val="List Table 3 Accent 6"/>
    <w:basedOn w:val="TableNormal"/>
    <w:uiPriority w:val="48"/>
    <w:pPr>
      <w:spacing w:after="0" w:line="240" w:lineRule="auto"/>
    </w:pPr>
    <w:tblPr>
      <w:tblStyleRowBandSize w:val="1"/>
      <w:tblStyleColBandSize w:val="1"/>
      <w:tblBorders>
        <w:top w:val="single" w:sz="4" w:space="0" w:color="584FA1" w:themeColor="accent6"/>
        <w:left w:val="single" w:sz="4" w:space="0" w:color="584FA1" w:themeColor="accent6"/>
        <w:bottom w:val="single" w:sz="4" w:space="0" w:color="584FA1" w:themeColor="accent6"/>
        <w:right w:val="single" w:sz="4" w:space="0" w:color="584FA1" w:themeColor="accent6"/>
      </w:tblBorders>
    </w:tblPr>
    <w:tblStylePr w:type="firstRow">
      <w:rPr>
        <w:b/>
        <w:bCs/>
        <w:color w:val="FFFFFF" w:themeColor="background1"/>
      </w:rPr>
      <w:tblPr/>
      <w:tcPr>
        <w:shd w:val="clear" w:color="auto" w:fill="584FA1" w:themeFill="accent6"/>
      </w:tcPr>
    </w:tblStylePr>
    <w:tblStylePr w:type="lastRow">
      <w:rPr>
        <w:b/>
        <w:bCs/>
      </w:rPr>
      <w:tblPr/>
      <w:tcPr>
        <w:tcBorders>
          <w:top w:val="double" w:sz="4" w:space="0" w:color="584FA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4FA1" w:themeColor="accent6"/>
          <w:right w:val="single" w:sz="4" w:space="0" w:color="584FA1" w:themeColor="accent6"/>
        </w:tcBorders>
      </w:tcPr>
    </w:tblStylePr>
    <w:tblStylePr w:type="band1Horz">
      <w:tblPr/>
      <w:tcPr>
        <w:tcBorders>
          <w:top w:val="single" w:sz="4" w:space="0" w:color="584FA1" w:themeColor="accent6"/>
          <w:bottom w:val="single" w:sz="4" w:space="0" w:color="584FA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4FA1" w:themeColor="accent6"/>
          <w:left w:val="nil"/>
        </w:tcBorders>
      </w:tcPr>
    </w:tblStylePr>
    <w:tblStylePr w:type="swCell">
      <w:tblPr/>
      <w:tcPr>
        <w:tcBorders>
          <w:top w:val="double" w:sz="4" w:space="0" w:color="584FA1" w:themeColor="accent6"/>
          <w:right w:val="nil"/>
        </w:tcBorders>
      </w:tcPr>
    </w:tblStylePr>
  </w:style>
  <w:style w:type="table" w:customStyle="1" w:styleId="ListTable4">
    <w:name w:val="List Table 4"/>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pPr>
      <w:spacing w:after="0" w:line="240" w:lineRule="auto"/>
    </w:pPr>
    <w:tblPr>
      <w:tblStyleRowBandSize w:val="1"/>
      <w:tblStyleColBandSize w:val="1"/>
      <w:tblBorders>
        <w:top w:val="single" w:sz="4" w:space="0" w:color="F7A590" w:themeColor="accent1" w:themeTint="99"/>
        <w:left w:val="single" w:sz="4" w:space="0" w:color="F7A590" w:themeColor="accent1" w:themeTint="99"/>
        <w:bottom w:val="single" w:sz="4" w:space="0" w:color="F7A590" w:themeColor="accent1" w:themeTint="99"/>
        <w:right w:val="single" w:sz="4" w:space="0" w:color="F7A590" w:themeColor="accent1" w:themeTint="99"/>
        <w:insideH w:val="single" w:sz="4" w:space="0" w:color="F7A590" w:themeColor="accent1" w:themeTint="99"/>
      </w:tblBorders>
    </w:tblPr>
    <w:tblStylePr w:type="firstRow">
      <w:rPr>
        <w:b/>
        <w:bCs/>
        <w:color w:val="FFFFFF" w:themeColor="background1"/>
      </w:rPr>
      <w:tblPr/>
      <w:tcPr>
        <w:tcBorders>
          <w:top w:val="single" w:sz="4" w:space="0" w:color="F26A47" w:themeColor="accent1"/>
          <w:left w:val="single" w:sz="4" w:space="0" w:color="F26A47" w:themeColor="accent1"/>
          <w:bottom w:val="single" w:sz="4" w:space="0" w:color="F26A47" w:themeColor="accent1"/>
          <w:right w:val="single" w:sz="4" w:space="0" w:color="F26A47" w:themeColor="accent1"/>
          <w:insideH w:val="nil"/>
        </w:tcBorders>
        <w:shd w:val="clear" w:color="auto" w:fill="F26A47" w:themeFill="accent1"/>
      </w:tcPr>
    </w:tblStylePr>
    <w:tblStylePr w:type="lastRow">
      <w:rPr>
        <w:b/>
        <w:bCs/>
      </w:rPr>
      <w:tblPr/>
      <w:tcPr>
        <w:tcBorders>
          <w:top w:val="double" w:sz="4" w:space="0" w:color="F7A590" w:themeColor="accent1" w:themeTint="99"/>
        </w:tcBorders>
      </w:tcPr>
    </w:tblStylePr>
    <w:tblStylePr w:type="firstCol">
      <w:rPr>
        <w:b/>
        <w:bCs/>
      </w:rPr>
    </w:tblStylePr>
    <w:tblStylePr w:type="lastCol">
      <w:rPr>
        <w:b/>
        <w:bCs/>
      </w:rPr>
    </w:tblStylePr>
    <w:tblStylePr w:type="band1Vert">
      <w:tblPr/>
      <w:tcPr>
        <w:shd w:val="clear" w:color="auto" w:fill="FCE0D9" w:themeFill="accent1" w:themeFillTint="33"/>
      </w:tcPr>
    </w:tblStylePr>
    <w:tblStylePr w:type="band1Horz">
      <w:tblPr/>
      <w:tcPr>
        <w:shd w:val="clear" w:color="auto" w:fill="FCE0D9" w:themeFill="accent1" w:themeFillTint="33"/>
      </w:tcPr>
    </w:tblStylePr>
  </w:style>
  <w:style w:type="table" w:customStyle="1" w:styleId="ListTable4Accent2">
    <w:name w:val="List Table 4 Accent 2"/>
    <w:basedOn w:val="TableNormal"/>
    <w:uiPriority w:val="49"/>
    <w:pPr>
      <w:spacing w:after="0" w:line="240" w:lineRule="auto"/>
    </w:p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tblBorders>
    </w:tblPr>
    <w:tblStylePr w:type="firstRow">
      <w:rPr>
        <w:b/>
        <w:bCs/>
        <w:color w:val="FFFFFF" w:themeColor="background1"/>
      </w:rPr>
      <w:tblPr/>
      <w:tcPr>
        <w:tcBorders>
          <w:top w:val="single" w:sz="4" w:space="0" w:color="FFC000" w:themeColor="accent2"/>
          <w:left w:val="single" w:sz="4" w:space="0" w:color="FFC000" w:themeColor="accent2"/>
          <w:bottom w:val="single" w:sz="4" w:space="0" w:color="FFC000" w:themeColor="accent2"/>
          <w:right w:val="single" w:sz="4" w:space="0" w:color="FFC000" w:themeColor="accent2"/>
          <w:insideH w:val="nil"/>
        </w:tcBorders>
        <w:shd w:val="clear" w:color="auto" w:fill="FFC000" w:themeFill="accent2"/>
      </w:tcPr>
    </w:tblStylePr>
    <w:tblStylePr w:type="lastRow">
      <w:rPr>
        <w:b/>
        <w:bCs/>
      </w:rPr>
      <w:tblPr/>
      <w:tcPr>
        <w:tcBorders>
          <w:top w:val="double" w:sz="4" w:space="0" w:color="FFD966" w:themeColor="accent2" w:themeTint="99"/>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ListTable4Accent3">
    <w:name w:val="List Table 4 Accent 3"/>
    <w:basedOn w:val="TableNormal"/>
    <w:uiPriority w:val="49"/>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tcBorders>
        <w:shd w:val="clear" w:color="auto" w:fill="00B050" w:themeFill="accent3"/>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customStyle="1" w:styleId="ListTable4Accent4">
    <w:name w:val="List Table 4 Accent 4"/>
    <w:basedOn w:val="TableNormal"/>
    <w:uiPriority w:val="49"/>
    <w:pPr>
      <w:spacing w:after="0" w:line="240" w:lineRule="auto"/>
    </w:pPr>
    <w:tblPr>
      <w:tblStyleRowBandSize w:val="1"/>
      <w:tblStyleColBandSize w:val="1"/>
      <w:tblBorders>
        <w:top w:val="single" w:sz="4" w:space="0" w:color="26ADFF" w:themeColor="accent4" w:themeTint="99"/>
        <w:left w:val="single" w:sz="4" w:space="0" w:color="26ADFF" w:themeColor="accent4" w:themeTint="99"/>
        <w:bottom w:val="single" w:sz="4" w:space="0" w:color="26ADFF" w:themeColor="accent4" w:themeTint="99"/>
        <w:right w:val="single" w:sz="4" w:space="0" w:color="26ADFF" w:themeColor="accent4" w:themeTint="99"/>
        <w:insideH w:val="single" w:sz="4" w:space="0" w:color="26ADFF" w:themeColor="accent4" w:themeTint="99"/>
      </w:tblBorders>
    </w:tblPr>
    <w:tblStylePr w:type="firstRow">
      <w:rPr>
        <w:b/>
        <w:bCs/>
        <w:color w:val="FFFFFF" w:themeColor="background1"/>
      </w:rPr>
      <w:tblPr/>
      <w:tcPr>
        <w:tcBorders>
          <w:top w:val="single" w:sz="4" w:space="0" w:color="005D95" w:themeColor="accent4"/>
          <w:left w:val="single" w:sz="4" w:space="0" w:color="005D95" w:themeColor="accent4"/>
          <w:bottom w:val="single" w:sz="4" w:space="0" w:color="005D95" w:themeColor="accent4"/>
          <w:right w:val="single" w:sz="4" w:space="0" w:color="005D95" w:themeColor="accent4"/>
          <w:insideH w:val="nil"/>
        </w:tcBorders>
        <w:shd w:val="clear" w:color="auto" w:fill="005D95" w:themeFill="accent4"/>
      </w:tcPr>
    </w:tblStylePr>
    <w:tblStylePr w:type="lastRow">
      <w:rPr>
        <w:b/>
        <w:bCs/>
      </w:rPr>
      <w:tblPr/>
      <w:tcPr>
        <w:tcBorders>
          <w:top w:val="double" w:sz="4" w:space="0" w:color="26ADFF" w:themeColor="accent4" w:themeTint="99"/>
        </w:tcBorders>
      </w:tcPr>
    </w:tblStylePr>
    <w:tblStylePr w:type="firstCol">
      <w:rPr>
        <w:b/>
        <w:bCs/>
      </w:rPr>
    </w:tblStylePr>
    <w:tblStylePr w:type="lastCol">
      <w:rPr>
        <w:b/>
        <w:bCs/>
      </w:rPr>
    </w:tblStylePr>
    <w:tblStylePr w:type="band1Vert">
      <w:tblPr/>
      <w:tcPr>
        <w:shd w:val="clear" w:color="auto" w:fill="B6E3FF" w:themeFill="accent4" w:themeFillTint="33"/>
      </w:tcPr>
    </w:tblStylePr>
    <w:tblStylePr w:type="band1Horz">
      <w:tblPr/>
      <w:tcPr>
        <w:shd w:val="clear" w:color="auto" w:fill="B6E3FF" w:themeFill="accent4" w:themeFillTint="33"/>
      </w:tcPr>
    </w:tblStylePr>
  </w:style>
  <w:style w:type="table" w:customStyle="1" w:styleId="ListTable4Accent5">
    <w:name w:val="List Table 4 Accent 5"/>
    <w:basedOn w:val="TableNormal"/>
    <w:uiPriority w:val="49"/>
    <w:pPr>
      <w:spacing w:after="0" w:line="240" w:lineRule="auto"/>
    </w:pPr>
    <w:tblPr>
      <w:tblStyleRowBandSize w:val="1"/>
      <w:tblStyleColBandSize w:val="1"/>
      <w:tblBorders>
        <w:top w:val="single" w:sz="4" w:space="0" w:color="FF4040" w:themeColor="accent5" w:themeTint="99"/>
        <w:left w:val="single" w:sz="4" w:space="0" w:color="FF4040" w:themeColor="accent5" w:themeTint="99"/>
        <w:bottom w:val="single" w:sz="4" w:space="0" w:color="FF4040" w:themeColor="accent5" w:themeTint="99"/>
        <w:right w:val="single" w:sz="4" w:space="0" w:color="FF4040" w:themeColor="accent5" w:themeTint="99"/>
        <w:insideH w:val="single" w:sz="4" w:space="0" w:color="FF4040" w:themeColor="accent5" w:themeTint="99"/>
      </w:tblBorders>
    </w:tblPr>
    <w:tblStylePr w:type="firstRow">
      <w:rPr>
        <w:b/>
        <w:bCs/>
        <w:color w:val="FFFFFF" w:themeColor="background1"/>
      </w:rPr>
      <w:tblPr/>
      <w:tcPr>
        <w:tcBorders>
          <w:top w:val="single" w:sz="4" w:space="0" w:color="C00000" w:themeColor="accent5"/>
          <w:left w:val="single" w:sz="4" w:space="0" w:color="C00000" w:themeColor="accent5"/>
          <w:bottom w:val="single" w:sz="4" w:space="0" w:color="C00000" w:themeColor="accent5"/>
          <w:right w:val="single" w:sz="4" w:space="0" w:color="C00000" w:themeColor="accent5"/>
          <w:insideH w:val="nil"/>
        </w:tcBorders>
        <w:shd w:val="clear" w:color="auto" w:fill="C00000" w:themeFill="accent5"/>
      </w:tcPr>
    </w:tblStylePr>
    <w:tblStylePr w:type="lastRow">
      <w:rPr>
        <w:b/>
        <w:bCs/>
      </w:rPr>
      <w:tblPr/>
      <w:tcPr>
        <w:tcBorders>
          <w:top w:val="double" w:sz="4" w:space="0" w:color="FF4040" w:themeColor="accent5" w:themeTint="99"/>
        </w:tcBorders>
      </w:tcPr>
    </w:tblStylePr>
    <w:tblStylePr w:type="firstCol">
      <w:rPr>
        <w:b/>
        <w:bCs/>
      </w:rPr>
    </w:tblStylePr>
    <w:tblStylePr w:type="lastCol">
      <w:rPr>
        <w:b/>
        <w:bCs/>
      </w:rPr>
    </w:tblStylePr>
    <w:tblStylePr w:type="band1Vert">
      <w:tblPr/>
      <w:tcPr>
        <w:shd w:val="clear" w:color="auto" w:fill="FFBFBF" w:themeFill="accent5" w:themeFillTint="33"/>
      </w:tcPr>
    </w:tblStylePr>
    <w:tblStylePr w:type="band1Horz">
      <w:tblPr/>
      <w:tcPr>
        <w:shd w:val="clear" w:color="auto" w:fill="FFBFBF" w:themeFill="accent5" w:themeFillTint="33"/>
      </w:tcPr>
    </w:tblStylePr>
  </w:style>
  <w:style w:type="table" w:customStyle="1" w:styleId="ListTable4Accent6">
    <w:name w:val="List Table 4 Accent 6"/>
    <w:basedOn w:val="TableNormal"/>
    <w:uiPriority w:val="49"/>
    <w:pPr>
      <w:spacing w:after="0" w:line="240" w:lineRule="auto"/>
    </w:pPr>
    <w:tblPr>
      <w:tblStyleRowBandSize w:val="1"/>
      <w:tblStyleColBandSize w:val="1"/>
      <w:tblBorders>
        <w:top w:val="single" w:sz="4" w:space="0" w:color="9892C9" w:themeColor="accent6" w:themeTint="99"/>
        <w:left w:val="single" w:sz="4" w:space="0" w:color="9892C9" w:themeColor="accent6" w:themeTint="99"/>
        <w:bottom w:val="single" w:sz="4" w:space="0" w:color="9892C9" w:themeColor="accent6" w:themeTint="99"/>
        <w:right w:val="single" w:sz="4" w:space="0" w:color="9892C9" w:themeColor="accent6" w:themeTint="99"/>
        <w:insideH w:val="single" w:sz="4" w:space="0" w:color="9892C9" w:themeColor="accent6" w:themeTint="99"/>
      </w:tblBorders>
    </w:tblPr>
    <w:tblStylePr w:type="firstRow">
      <w:rPr>
        <w:b/>
        <w:bCs/>
        <w:color w:val="FFFFFF" w:themeColor="background1"/>
      </w:rPr>
      <w:tblPr/>
      <w:tcPr>
        <w:tcBorders>
          <w:top w:val="single" w:sz="4" w:space="0" w:color="584FA1" w:themeColor="accent6"/>
          <w:left w:val="single" w:sz="4" w:space="0" w:color="584FA1" w:themeColor="accent6"/>
          <w:bottom w:val="single" w:sz="4" w:space="0" w:color="584FA1" w:themeColor="accent6"/>
          <w:right w:val="single" w:sz="4" w:space="0" w:color="584FA1" w:themeColor="accent6"/>
          <w:insideH w:val="nil"/>
        </w:tcBorders>
        <w:shd w:val="clear" w:color="auto" w:fill="584FA1" w:themeFill="accent6"/>
      </w:tcPr>
    </w:tblStylePr>
    <w:tblStylePr w:type="lastRow">
      <w:rPr>
        <w:b/>
        <w:bCs/>
      </w:rPr>
      <w:tblPr/>
      <w:tcPr>
        <w:tcBorders>
          <w:top w:val="double" w:sz="4" w:space="0" w:color="9892C9" w:themeColor="accent6" w:themeTint="99"/>
        </w:tcBorders>
      </w:tcPr>
    </w:tblStylePr>
    <w:tblStylePr w:type="firstCol">
      <w:rPr>
        <w:b/>
        <w:bCs/>
      </w:rPr>
    </w:tblStylePr>
    <w:tblStylePr w:type="lastCol">
      <w:rPr>
        <w:b/>
        <w:bCs/>
      </w:rPr>
    </w:tblStylePr>
    <w:tblStylePr w:type="band1Vert">
      <w:tblPr/>
      <w:tcPr>
        <w:shd w:val="clear" w:color="auto" w:fill="DCDAED" w:themeFill="accent6" w:themeFillTint="33"/>
      </w:tcPr>
    </w:tblStylePr>
    <w:tblStylePr w:type="band1Horz">
      <w:tblPr/>
      <w:tcPr>
        <w:shd w:val="clear" w:color="auto" w:fill="DCDAED" w:themeFill="accent6" w:themeFillTint="33"/>
      </w:tcPr>
    </w:tblStylePr>
  </w:style>
  <w:style w:type="table" w:customStyle="1" w:styleId="ListTable5Dark">
    <w:name w:val="List Table 5 Dark"/>
    <w:basedOn w:val="TableNormal"/>
    <w:uiPriority w:val="5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pPr>
      <w:spacing w:after="0" w:line="240" w:lineRule="auto"/>
    </w:pPr>
    <w:rPr>
      <w:color w:val="FFFFFF" w:themeColor="background1"/>
    </w:rPr>
    <w:tblPr>
      <w:tblStyleRowBandSize w:val="1"/>
      <w:tblStyleColBandSize w:val="1"/>
      <w:tblBorders>
        <w:top w:val="single" w:sz="24" w:space="0" w:color="F26A47" w:themeColor="accent1"/>
        <w:left w:val="single" w:sz="24" w:space="0" w:color="F26A47" w:themeColor="accent1"/>
        <w:bottom w:val="single" w:sz="24" w:space="0" w:color="F26A47" w:themeColor="accent1"/>
        <w:right w:val="single" w:sz="24" w:space="0" w:color="F26A47" w:themeColor="accent1"/>
      </w:tblBorders>
    </w:tblPr>
    <w:tcPr>
      <w:shd w:val="clear" w:color="auto" w:fill="F26A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pPr>
      <w:spacing w:after="0" w:line="240" w:lineRule="auto"/>
    </w:pPr>
    <w:rPr>
      <w:color w:val="FFFFFF" w:themeColor="background1"/>
    </w:rPr>
    <w:tblPr>
      <w:tblStyleRowBandSize w:val="1"/>
      <w:tblStyleColBandSize w:val="1"/>
      <w:tblBorders>
        <w:top w:val="single" w:sz="24" w:space="0" w:color="FFC000" w:themeColor="accent2"/>
        <w:left w:val="single" w:sz="24" w:space="0" w:color="FFC000" w:themeColor="accent2"/>
        <w:bottom w:val="single" w:sz="24" w:space="0" w:color="FFC000" w:themeColor="accent2"/>
        <w:right w:val="single" w:sz="24" w:space="0" w:color="FFC000" w:themeColor="accent2"/>
      </w:tblBorders>
    </w:tblPr>
    <w:tcPr>
      <w:shd w:val="clear" w:color="auto" w:fill="FFC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pPr>
      <w:spacing w:after="0" w:line="240" w:lineRule="auto"/>
    </w:pPr>
    <w:rPr>
      <w:color w:val="FFFFFF" w:themeColor="background1"/>
    </w:rPr>
    <w:tblPr>
      <w:tblStyleRowBandSize w:val="1"/>
      <w:tblStyleColBandSize w:val="1"/>
      <w:tblBorders>
        <w:top w:val="single" w:sz="24" w:space="0" w:color="00B050" w:themeColor="accent3"/>
        <w:left w:val="single" w:sz="24" w:space="0" w:color="00B050" w:themeColor="accent3"/>
        <w:bottom w:val="single" w:sz="24" w:space="0" w:color="00B050" w:themeColor="accent3"/>
        <w:right w:val="single" w:sz="24" w:space="0" w:color="00B050" w:themeColor="accent3"/>
      </w:tblBorders>
    </w:tblPr>
    <w:tcPr>
      <w:shd w:val="clear" w:color="auto" w:fill="00B0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pPr>
      <w:spacing w:after="0" w:line="240" w:lineRule="auto"/>
    </w:pPr>
    <w:rPr>
      <w:color w:val="FFFFFF" w:themeColor="background1"/>
    </w:rPr>
    <w:tblPr>
      <w:tblStyleRowBandSize w:val="1"/>
      <w:tblStyleColBandSize w:val="1"/>
      <w:tblBorders>
        <w:top w:val="single" w:sz="24" w:space="0" w:color="005D95" w:themeColor="accent4"/>
        <w:left w:val="single" w:sz="24" w:space="0" w:color="005D95" w:themeColor="accent4"/>
        <w:bottom w:val="single" w:sz="24" w:space="0" w:color="005D95" w:themeColor="accent4"/>
        <w:right w:val="single" w:sz="24" w:space="0" w:color="005D95" w:themeColor="accent4"/>
      </w:tblBorders>
    </w:tblPr>
    <w:tcPr>
      <w:shd w:val="clear" w:color="auto" w:fill="005D9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pPr>
      <w:spacing w:after="0" w:line="240" w:lineRule="auto"/>
    </w:pPr>
    <w:rPr>
      <w:color w:val="FFFFFF" w:themeColor="background1"/>
    </w:rPr>
    <w:tblPr>
      <w:tblStyleRowBandSize w:val="1"/>
      <w:tblStyleColBandSize w:val="1"/>
      <w:tblBorders>
        <w:top w:val="single" w:sz="24" w:space="0" w:color="C00000" w:themeColor="accent5"/>
        <w:left w:val="single" w:sz="24" w:space="0" w:color="C00000" w:themeColor="accent5"/>
        <w:bottom w:val="single" w:sz="24" w:space="0" w:color="C00000" w:themeColor="accent5"/>
        <w:right w:val="single" w:sz="24" w:space="0" w:color="C00000" w:themeColor="accent5"/>
      </w:tblBorders>
    </w:tblPr>
    <w:tcPr>
      <w:shd w:val="clear" w:color="auto" w:fill="C000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pPr>
      <w:spacing w:after="0" w:line="240" w:lineRule="auto"/>
    </w:pPr>
    <w:rPr>
      <w:color w:val="FFFFFF" w:themeColor="background1"/>
    </w:rPr>
    <w:tblPr>
      <w:tblStyleRowBandSize w:val="1"/>
      <w:tblStyleColBandSize w:val="1"/>
      <w:tblBorders>
        <w:top w:val="single" w:sz="24" w:space="0" w:color="584FA1" w:themeColor="accent6"/>
        <w:left w:val="single" w:sz="24" w:space="0" w:color="584FA1" w:themeColor="accent6"/>
        <w:bottom w:val="single" w:sz="24" w:space="0" w:color="584FA1" w:themeColor="accent6"/>
        <w:right w:val="single" w:sz="24" w:space="0" w:color="584FA1" w:themeColor="accent6"/>
      </w:tblBorders>
    </w:tblPr>
    <w:tcPr>
      <w:shd w:val="clear" w:color="auto" w:fill="584FA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pPr>
      <w:spacing w:after="0" w:line="240" w:lineRule="auto"/>
    </w:pPr>
    <w:rPr>
      <w:color w:val="DA380F" w:themeColor="accent1" w:themeShade="BF"/>
    </w:rPr>
    <w:tblPr>
      <w:tblStyleRowBandSize w:val="1"/>
      <w:tblStyleColBandSize w:val="1"/>
      <w:tblBorders>
        <w:top w:val="single" w:sz="4" w:space="0" w:color="F26A47" w:themeColor="accent1"/>
        <w:bottom w:val="single" w:sz="4" w:space="0" w:color="F26A47" w:themeColor="accent1"/>
      </w:tblBorders>
    </w:tblPr>
    <w:tblStylePr w:type="firstRow">
      <w:rPr>
        <w:b/>
        <w:bCs/>
      </w:rPr>
      <w:tblPr/>
      <w:tcPr>
        <w:tcBorders>
          <w:bottom w:val="single" w:sz="4" w:space="0" w:color="F26A47" w:themeColor="accent1"/>
        </w:tcBorders>
      </w:tcPr>
    </w:tblStylePr>
    <w:tblStylePr w:type="lastRow">
      <w:rPr>
        <w:b/>
        <w:bCs/>
      </w:rPr>
      <w:tblPr/>
      <w:tcPr>
        <w:tcBorders>
          <w:top w:val="double" w:sz="4" w:space="0" w:color="F26A47" w:themeColor="accent1"/>
        </w:tcBorders>
      </w:tcPr>
    </w:tblStylePr>
    <w:tblStylePr w:type="firstCol">
      <w:rPr>
        <w:b/>
        <w:bCs/>
      </w:rPr>
    </w:tblStylePr>
    <w:tblStylePr w:type="lastCol">
      <w:rPr>
        <w:b/>
        <w:bCs/>
      </w:rPr>
    </w:tblStylePr>
    <w:tblStylePr w:type="band1Vert">
      <w:tblPr/>
      <w:tcPr>
        <w:shd w:val="clear" w:color="auto" w:fill="FCE0D9" w:themeFill="accent1" w:themeFillTint="33"/>
      </w:tcPr>
    </w:tblStylePr>
    <w:tblStylePr w:type="band1Horz">
      <w:tblPr/>
      <w:tcPr>
        <w:shd w:val="clear" w:color="auto" w:fill="FCE0D9" w:themeFill="accent1" w:themeFillTint="33"/>
      </w:tcPr>
    </w:tblStylePr>
  </w:style>
  <w:style w:type="table" w:customStyle="1" w:styleId="ListTable6ColorfulAccent2">
    <w:name w:val="List Table 6 Colorful Accent 2"/>
    <w:basedOn w:val="TableNormal"/>
    <w:uiPriority w:val="51"/>
    <w:pPr>
      <w:spacing w:after="0" w:line="240" w:lineRule="auto"/>
    </w:pPr>
    <w:rPr>
      <w:color w:val="BF8F00" w:themeColor="accent2" w:themeShade="BF"/>
    </w:rPr>
    <w:tblPr>
      <w:tblStyleRowBandSize w:val="1"/>
      <w:tblStyleColBandSize w:val="1"/>
      <w:tblBorders>
        <w:top w:val="single" w:sz="4" w:space="0" w:color="FFC000" w:themeColor="accent2"/>
        <w:bottom w:val="single" w:sz="4" w:space="0" w:color="FFC000" w:themeColor="accent2"/>
      </w:tblBorders>
    </w:tblPr>
    <w:tblStylePr w:type="firstRow">
      <w:rPr>
        <w:b/>
        <w:bCs/>
      </w:rPr>
      <w:tblPr/>
      <w:tcPr>
        <w:tcBorders>
          <w:bottom w:val="single" w:sz="4" w:space="0" w:color="FFC000" w:themeColor="accent2"/>
        </w:tcBorders>
      </w:tcPr>
    </w:tblStylePr>
    <w:tblStylePr w:type="lastRow">
      <w:rPr>
        <w:b/>
        <w:bCs/>
      </w:rPr>
      <w:tblPr/>
      <w:tcPr>
        <w:tcBorders>
          <w:top w:val="double" w:sz="4" w:space="0" w:color="FFC000" w:themeColor="accent2"/>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ListTable6ColorfulAccent3">
    <w:name w:val="List Table 6 Colorful Accent 3"/>
    <w:basedOn w:val="TableNormal"/>
    <w:uiPriority w:val="51"/>
    <w:pPr>
      <w:spacing w:after="0" w:line="240" w:lineRule="auto"/>
    </w:pPr>
    <w:rPr>
      <w:color w:val="00833B" w:themeColor="accent3" w:themeShade="BF"/>
    </w:rPr>
    <w:tblPr>
      <w:tblStyleRowBandSize w:val="1"/>
      <w:tblStyleColBandSize w:val="1"/>
      <w:tblBorders>
        <w:top w:val="single" w:sz="4" w:space="0" w:color="00B050" w:themeColor="accent3"/>
        <w:bottom w:val="single" w:sz="4" w:space="0" w:color="00B050" w:themeColor="accent3"/>
      </w:tblBorders>
    </w:tblPr>
    <w:tblStylePr w:type="firstRow">
      <w:rPr>
        <w:b/>
        <w:bCs/>
      </w:rPr>
      <w:tblPr/>
      <w:tcPr>
        <w:tcBorders>
          <w:bottom w:val="single" w:sz="4" w:space="0" w:color="00B050" w:themeColor="accent3"/>
        </w:tcBorders>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customStyle="1" w:styleId="ListTable6ColorfulAccent4">
    <w:name w:val="List Table 6 Colorful Accent 4"/>
    <w:basedOn w:val="TableNormal"/>
    <w:uiPriority w:val="51"/>
    <w:pPr>
      <w:spacing w:after="0" w:line="240" w:lineRule="auto"/>
    </w:pPr>
    <w:rPr>
      <w:color w:val="00456F" w:themeColor="accent4" w:themeShade="BF"/>
    </w:rPr>
    <w:tblPr>
      <w:tblStyleRowBandSize w:val="1"/>
      <w:tblStyleColBandSize w:val="1"/>
      <w:tblBorders>
        <w:top w:val="single" w:sz="4" w:space="0" w:color="005D95" w:themeColor="accent4"/>
        <w:bottom w:val="single" w:sz="4" w:space="0" w:color="005D95" w:themeColor="accent4"/>
      </w:tblBorders>
    </w:tblPr>
    <w:tblStylePr w:type="firstRow">
      <w:rPr>
        <w:b/>
        <w:bCs/>
      </w:rPr>
      <w:tblPr/>
      <w:tcPr>
        <w:tcBorders>
          <w:bottom w:val="single" w:sz="4" w:space="0" w:color="005D95" w:themeColor="accent4"/>
        </w:tcBorders>
      </w:tcPr>
    </w:tblStylePr>
    <w:tblStylePr w:type="lastRow">
      <w:rPr>
        <w:b/>
        <w:bCs/>
      </w:rPr>
      <w:tblPr/>
      <w:tcPr>
        <w:tcBorders>
          <w:top w:val="double" w:sz="4" w:space="0" w:color="005D95" w:themeColor="accent4"/>
        </w:tcBorders>
      </w:tcPr>
    </w:tblStylePr>
    <w:tblStylePr w:type="firstCol">
      <w:rPr>
        <w:b/>
        <w:bCs/>
      </w:rPr>
    </w:tblStylePr>
    <w:tblStylePr w:type="lastCol">
      <w:rPr>
        <w:b/>
        <w:bCs/>
      </w:rPr>
    </w:tblStylePr>
    <w:tblStylePr w:type="band1Vert">
      <w:tblPr/>
      <w:tcPr>
        <w:shd w:val="clear" w:color="auto" w:fill="B6E3FF" w:themeFill="accent4" w:themeFillTint="33"/>
      </w:tcPr>
    </w:tblStylePr>
    <w:tblStylePr w:type="band1Horz">
      <w:tblPr/>
      <w:tcPr>
        <w:shd w:val="clear" w:color="auto" w:fill="B6E3FF" w:themeFill="accent4" w:themeFillTint="33"/>
      </w:tcPr>
    </w:tblStylePr>
  </w:style>
  <w:style w:type="table" w:customStyle="1" w:styleId="ListTable6ColorfulAccent5">
    <w:name w:val="List Table 6 Colorful Accent 5"/>
    <w:basedOn w:val="TableNormal"/>
    <w:uiPriority w:val="51"/>
    <w:pPr>
      <w:spacing w:after="0" w:line="240" w:lineRule="auto"/>
    </w:pPr>
    <w:rPr>
      <w:color w:val="8F0000" w:themeColor="accent5" w:themeShade="BF"/>
    </w:rPr>
    <w:tblPr>
      <w:tblStyleRowBandSize w:val="1"/>
      <w:tblStyleColBandSize w:val="1"/>
      <w:tblBorders>
        <w:top w:val="single" w:sz="4" w:space="0" w:color="C00000" w:themeColor="accent5"/>
        <w:bottom w:val="single" w:sz="4" w:space="0" w:color="C00000" w:themeColor="accent5"/>
      </w:tblBorders>
    </w:tblPr>
    <w:tblStylePr w:type="firstRow">
      <w:rPr>
        <w:b/>
        <w:bCs/>
      </w:rPr>
      <w:tblPr/>
      <w:tcPr>
        <w:tcBorders>
          <w:bottom w:val="single" w:sz="4" w:space="0" w:color="C00000" w:themeColor="accent5"/>
        </w:tcBorders>
      </w:tcPr>
    </w:tblStylePr>
    <w:tblStylePr w:type="lastRow">
      <w:rPr>
        <w:b/>
        <w:bCs/>
      </w:rPr>
      <w:tblPr/>
      <w:tcPr>
        <w:tcBorders>
          <w:top w:val="double" w:sz="4" w:space="0" w:color="C00000" w:themeColor="accent5"/>
        </w:tcBorders>
      </w:tcPr>
    </w:tblStylePr>
    <w:tblStylePr w:type="firstCol">
      <w:rPr>
        <w:b/>
        <w:bCs/>
      </w:rPr>
    </w:tblStylePr>
    <w:tblStylePr w:type="lastCol">
      <w:rPr>
        <w:b/>
        <w:bCs/>
      </w:rPr>
    </w:tblStylePr>
    <w:tblStylePr w:type="band1Vert">
      <w:tblPr/>
      <w:tcPr>
        <w:shd w:val="clear" w:color="auto" w:fill="FFBFBF" w:themeFill="accent5" w:themeFillTint="33"/>
      </w:tcPr>
    </w:tblStylePr>
    <w:tblStylePr w:type="band1Horz">
      <w:tblPr/>
      <w:tcPr>
        <w:shd w:val="clear" w:color="auto" w:fill="FFBFBF" w:themeFill="accent5" w:themeFillTint="33"/>
      </w:tcPr>
    </w:tblStylePr>
  </w:style>
  <w:style w:type="table" w:customStyle="1" w:styleId="ListTable6ColorfulAccent6">
    <w:name w:val="List Table 6 Colorful Accent 6"/>
    <w:basedOn w:val="TableNormal"/>
    <w:uiPriority w:val="51"/>
    <w:pPr>
      <w:spacing w:after="0" w:line="240" w:lineRule="auto"/>
    </w:pPr>
    <w:rPr>
      <w:color w:val="413B78" w:themeColor="accent6" w:themeShade="BF"/>
    </w:rPr>
    <w:tblPr>
      <w:tblStyleRowBandSize w:val="1"/>
      <w:tblStyleColBandSize w:val="1"/>
      <w:tblBorders>
        <w:top w:val="single" w:sz="4" w:space="0" w:color="584FA1" w:themeColor="accent6"/>
        <w:bottom w:val="single" w:sz="4" w:space="0" w:color="584FA1" w:themeColor="accent6"/>
      </w:tblBorders>
    </w:tblPr>
    <w:tblStylePr w:type="firstRow">
      <w:rPr>
        <w:b/>
        <w:bCs/>
      </w:rPr>
      <w:tblPr/>
      <w:tcPr>
        <w:tcBorders>
          <w:bottom w:val="single" w:sz="4" w:space="0" w:color="584FA1" w:themeColor="accent6"/>
        </w:tcBorders>
      </w:tcPr>
    </w:tblStylePr>
    <w:tblStylePr w:type="lastRow">
      <w:rPr>
        <w:b/>
        <w:bCs/>
      </w:rPr>
      <w:tblPr/>
      <w:tcPr>
        <w:tcBorders>
          <w:top w:val="double" w:sz="4" w:space="0" w:color="584FA1" w:themeColor="accent6"/>
        </w:tcBorders>
      </w:tcPr>
    </w:tblStylePr>
    <w:tblStylePr w:type="firstCol">
      <w:rPr>
        <w:b/>
        <w:bCs/>
      </w:rPr>
    </w:tblStylePr>
    <w:tblStylePr w:type="lastCol">
      <w:rPr>
        <w:b/>
        <w:bCs/>
      </w:rPr>
    </w:tblStylePr>
    <w:tblStylePr w:type="band1Vert">
      <w:tblPr/>
      <w:tcPr>
        <w:shd w:val="clear" w:color="auto" w:fill="DCDAED" w:themeFill="accent6" w:themeFillTint="33"/>
      </w:tcPr>
    </w:tblStylePr>
    <w:tblStylePr w:type="band1Horz">
      <w:tblPr/>
      <w:tcPr>
        <w:shd w:val="clear" w:color="auto" w:fill="DCDAED" w:themeFill="accent6" w:themeFillTint="33"/>
      </w:tcPr>
    </w:tblStylePr>
  </w:style>
  <w:style w:type="table" w:customStyle="1" w:styleId="ListTable7Colorful">
    <w:name w:val="List Table 7 Colorful"/>
    <w:basedOn w:val="TableNormal"/>
    <w:uiPriority w:val="5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pPr>
      <w:spacing w:after="0" w:line="240" w:lineRule="auto"/>
    </w:pPr>
    <w:rPr>
      <w:color w:val="DA380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A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A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A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A47" w:themeColor="accent1"/>
        </w:tcBorders>
        <w:shd w:val="clear" w:color="auto" w:fill="FFFFFF" w:themeFill="background1"/>
      </w:tcPr>
    </w:tblStylePr>
    <w:tblStylePr w:type="band1Vert">
      <w:tblPr/>
      <w:tcPr>
        <w:shd w:val="clear" w:color="auto" w:fill="FCE0D9" w:themeFill="accent1" w:themeFillTint="33"/>
      </w:tcPr>
    </w:tblStylePr>
    <w:tblStylePr w:type="band1Horz">
      <w:tblPr/>
      <w:tcPr>
        <w:shd w:val="clear" w:color="auto" w:fill="FCE0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pPr>
      <w:spacing w:after="0" w:line="240" w:lineRule="auto"/>
    </w:pPr>
    <w:rPr>
      <w:color w:val="BF8F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2"/>
        </w:tcBorders>
        <w:shd w:val="clear" w:color="auto" w:fill="FFFFFF" w:themeFill="background1"/>
      </w:tcPr>
    </w:tblStylePr>
    <w:tblStylePr w:type="band1Vert">
      <w:tblPr/>
      <w:tcPr>
        <w:shd w:val="clear" w:color="auto" w:fill="FFF2CC" w:themeFill="accent2" w:themeFillTint="33"/>
      </w:tcPr>
    </w:tblStylePr>
    <w:tblStylePr w:type="band1Horz">
      <w:tblPr/>
      <w:tcPr>
        <w:shd w:val="clear" w:color="auto" w:fill="FFF2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pPr>
      <w:spacing w:after="0" w:line="240" w:lineRule="auto"/>
    </w:pPr>
    <w:rPr>
      <w:color w:val="0083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50" w:themeColor="accent3"/>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pPr>
      <w:spacing w:after="0" w:line="240" w:lineRule="auto"/>
    </w:pPr>
    <w:rPr>
      <w:color w:val="00456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9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9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9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95" w:themeColor="accent4"/>
        </w:tcBorders>
        <w:shd w:val="clear" w:color="auto" w:fill="FFFFFF" w:themeFill="background1"/>
      </w:tcPr>
    </w:tblStylePr>
    <w:tblStylePr w:type="band1Vert">
      <w:tblPr/>
      <w:tcPr>
        <w:shd w:val="clear" w:color="auto" w:fill="B6E3FF" w:themeFill="accent4" w:themeFillTint="33"/>
      </w:tcPr>
    </w:tblStylePr>
    <w:tblStylePr w:type="band1Horz">
      <w:tblPr/>
      <w:tcPr>
        <w:shd w:val="clear" w:color="auto" w:fill="B6E3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pPr>
      <w:spacing w:after="0" w:line="240" w:lineRule="auto"/>
    </w:pPr>
    <w:rPr>
      <w:color w:val="8F00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00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00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00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0000" w:themeColor="accent5"/>
        </w:tcBorders>
        <w:shd w:val="clear" w:color="auto" w:fill="FFFFFF" w:themeFill="background1"/>
      </w:tcPr>
    </w:tblStylePr>
    <w:tblStylePr w:type="band1Vert">
      <w:tblPr/>
      <w:tcPr>
        <w:shd w:val="clear" w:color="auto" w:fill="FFBFBF" w:themeFill="accent5" w:themeFillTint="33"/>
      </w:tcPr>
    </w:tblStylePr>
    <w:tblStylePr w:type="band1Horz">
      <w:tblPr/>
      <w:tcPr>
        <w:shd w:val="clear" w:color="auto" w:fill="FFBFB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pPr>
      <w:spacing w:after="0" w:line="240" w:lineRule="auto"/>
    </w:pPr>
    <w:rPr>
      <w:color w:val="413B7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4FA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4FA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4FA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4FA1" w:themeColor="accent6"/>
        </w:tcBorders>
        <w:shd w:val="clear" w:color="auto" w:fill="FFFFFF" w:themeFill="background1"/>
      </w:tcPr>
    </w:tblStylePr>
    <w:tblStylePr w:type="band1Vert">
      <w:tblPr/>
      <w:tcPr>
        <w:shd w:val="clear" w:color="auto" w:fill="DCDAED" w:themeFill="accent6" w:themeFillTint="33"/>
      </w:tcPr>
    </w:tblStylePr>
    <w:tblStylePr w:type="band1Horz">
      <w:tblPr/>
      <w:tcPr>
        <w:shd w:val="clear" w:color="auto" w:fill="DCDA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Pr>
      <w:rFonts w:ascii="Consolas" w:hAnsi="Consolas"/>
      <w:noProof w:val="0"/>
      <w:sz w:val="20"/>
      <w:szCs w:val="20"/>
    </w:rPr>
  </w:style>
  <w:style w:type="table" w:styleId="MediumGrid1">
    <w:name w:val="Medium Grid 1"/>
    <w:basedOn w:val="TableNormal"/>
    <w:uiPriority w:val="67"/>
    <w:semiHidden/>
    <w:unhideWhenUs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tblPr>
      <w:tblStyleRowBandSize w:val="1"/>
      <w:tblStyleColBandSize w:val="1"/>
      <w:tblBorders>
        <w:top w:val="single" w:sz="8" w:space="0" w:color="F58F75" w:themeColor="accent1" w:themeTint="BF"/>
        <w:left w:val="single" w:sz="8" w:space="0" w:color="F58F75" w:themeColor="accent1" w:themeTint="BF"/>
        <w:bottom w:val="single" w:sz="8" w:space="0" w:color="F58F75" w:themeColor="accent1" w:themeTint="BF"/>
        <w:right w:val="single" w:sz="8" w:space="0" w:color="F58F75" w:themeColor="accent1" w:themeTint="BF"/>
        <w:insideH w:val="single" w:sz="8" w:space="0" w:color="F58F75" w:themeColor="accent1" w:themeTint="BF"/>
        <w:insideV w:val="single" w:sz="8" w:space="0" w:color="F58F75" w:themeColor="accent1" w:themeTint="BF"/>
      </w:tblBorders>
    </w:tblPr>
    <w:tcPr>
      <w:shd w:val="clear" w:color="auto" w:fill="FBD9D1" w:themeFill="accent1" w:themeFillTint="3F"/>
    </w:tcPr>
    <w:tblStylePr w:type="firstRow">
      <w:rPr>
        <w:b/>
        <w:bCs/>
      </w:rPr>
    </w:tblStylePr>
    <w:tblStylePr w:type="lastRow">
      <w:rPr>
        <w:b/>
        <w:bCs/>
      </w:rPr>
      <w:tblPr/>
      <w:tcPr>
        <w:tcBorders>
          <w:top w:val="single" w:sz="18" w:space="0" w:color="F58F75" w:themeColor="accent1" w:themeTint="BF"/>
        </w:tcBorders>
      </w:tcPr>
    </w:tblStylePr>
    <w:tblStylePr w:type="firstCol">
      <w:rPr>
        <w:b/>
        <w:bCs/>
      </w:rPr>
    </w:tblStylePr>
    <w:tblStylePr w:type="lastCol">
      <w:rPr>
        <w:b/>
        <w:bCs/>
      </w:rPr>
    </w:tblStylePr>
    <w:tblStylePr w:type="band1Vert">
      <w:tblPr/>
      <w:tcPr>
        <w:shd w:val="clear" w:color="auto" w:fill="F8B4A3" w:themeFill="accent1" w:themeFillTint="7F"/>
      </w:tcPr>
    </w:tblStylePr>
    <w:tblStylePr w:type="band1Horz">
      <w:tblPr/>
      <w:tcPr>
        <w:shd w:val="clear" w:color="auto" w:fill="F8B4A3" w:themeFill="accent1" w:themeFillTint="7F"/>
      </w:tcPr>
    </w:tblStylePr>
  </w:style>
  <w:style w:type="table" w:styleId="MediumGrid1-Accent2">
    <w:name w:val="Medium Grid 1 Accent 2"/>
    <w:basedOn w:val="TableNormal"/>
    <w:uiPriority w:val="67"/>
    <w:semiHidden/>
    <w:unhideWhenUsed/>
    <w:pPr>
      <w:spacing w:after="0" w:line="240" w:lineRule="auto"/>
    </w:pPr>
    <w:tblPr>
      <w:tblStyleRowBandSize w:val="1"/>
      <w:tblStyleColBandSize w:val="1"/>
      <w:tblBorders>
        <w:top w:val="single" w:sz="8"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single" w:sz="8" w:space="0" w:color="FFCF40" w:themeColor="accent2" w:themeTint="BF"/>
        <w:insideV w:val="single" w:sz="8" w:space="0" w:color="FFCF40" w:themeColor="accent2" w:themeTint="BF"/>
      </w:tblBorders>
    </w:tblPr>
    <w:tcPr>
      <w:shd w:val="clear" w:color="auto" w:fill="FFEFC0" w:themeFill="accent2" w:themeFillTint="3F"/>
    </w:tcPr>
    <w:tblStylePr w:type="firstRow">
      <w:rPr>
        <w:b/>
        <w:bCs/>
      </w:rPr>
    </w:tblStylePr>
    <w:tblStylePr w:type="lastRow">
      <w:rPr>
        <w:b/>
        <w:bCs/>
      </w:rPr>
      <w:tblPr/>
      <w:tcPr>
        <w:tcBorders>
          <w:top w:val="single" w:sz="18" w:space="0" w:color="FFCF40" w:themeColor="accent2" w:themeTint="BF"/>
        </w:tcBorders>
      </w:tcPr>
    </w:tblStylePr>
    <w:tblStylePr w:type="firstCol">
      <w:rPr>
        <w:b/>
        <w:bCs/>
      </w:rPr>
    </w:tblStylePr>
    <w:tblStylePr w:type="lastCol">
      <w:rPr>
        <w:b/>
        <w:bCs/>
      </w:rPr>
    </w:tblStylePr>
    <w:tblStylePr w:type="band1Vert">
      <w:tblPr/>
      <w:tcPr>
        <w:shd w:val="clear" w:color="auto" w:fill="FFDF80" w:themeFill="accent2" w:themeFillTint="7F"/>
      </w:tcPr>
    </w:tblStylePr>
    <w:tblStylePr w:type="band1Horz">
      <w:tblPr/>
      <w:tcPr>
        <w:shd w:val="clear" w:color="auto" w:fill="FFDF80" w:themeFill="accent2" w:themeFillTint="7F"/>
      </w:tcPr>
    </w:tblStylePr>
  </w:style>
  <w:style w:type="table" w:styleId="MediumGrid1-Accent3">
    <w:name w:val="Medium Grid 1 Accent 3"/>
    <w:basedOn w:val="TableNormal"/>
    <w:uiPriority w:val="67"/>
    <w:semiHidden/>
    <w:unhideWhenUsed/>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MediumGrid1-Accent4">
    <w:name w:val="Medium Grid 1 Accent 4"/>
    <w:basedOn w:val="TableNormal"/>
    <w:uiPriority w:val="67"/>
    <w:semiHidden/>
    <w:unhideWhenUsed/>
    <w:pPr>
      <w:spacing w:after="0" w:line="240" w:lineRule="auto"/>
    </w:pPr>
    <w:tblPr>
      <w:tblStyleRowBandSize w:val="1"/>
      <w:tblStyleColBandSize w:val="1"/>
      <w:tblBorders>
        <w:top w:val="single" w:sz="8" w:space="0" w:color="0095EF" w:themeColor="accent4" w:themeTint="BF"/>
        <w:left w:val="single" w:sz="8" w:space="0" w:color="0095EF" w:themeColor="accent4" w:themeTint="BF"/>
        <w:bottom w:val="single" w:sz="8" w:space="0" w:color="0095EF" w:themeColor="accent4" w:themeTint="BF"/>
        <w:right w:val="single" w:sz="8" w:space="0" w:color="0095EF" w:themeColor="accent4" w:themeTint="BF"/>
        <w:insideH w:val="single" w:sz="8" w:space="0" w:color="0095EF" w:themeColor="accent4" w:themeTint="BF"/>
        <w:insideV w:val="single" w:sz="8" w:space="0" w:color="0095EF" w:themeColor="accent4" w:themeTint="BF"/>
      </w:tblBorders>
    </w:tblPr>
    <w:tcPr>
      <w:shd w:val="clear" w:color="auto" w:fill="A5DDFF" w:themeFill="accent4" w:themeFillTint="3F"/>
    </w:tcPr>
    <w:tblStylePr w:type="firstRow">
      <w:rPr>
        <w:b/>
        <w:bCs/>
      </w:rPr>
    </w:tblStylePr>
    <w:tblStylePr w:type="lastRow">
      <w:rPr>
        <w:b/>
        <w:bCs/>
      </w:rPr>
      <w:tblPr/>
      <w:tcPr>
        <w:tcBorders>
          <w:top w:val="single" w:sz="18" w:space="0" w:color="0095EF" w:themeColor="accent4" w:themeTint="BF"/>
        </w:tcBorders>
      </w:tcPr>
    </w:tblStylePr>
    <w:tblStylePr w:type="firstCol">
      <w:rPr>
        <w:b/>
        <w:bCs/>
      </w:rPr>
    </w:tblStylePr>
    <w:tblStylePr w:type="lastCol">
      <w:rPr>
        <w:b/>
        <w:bCs/>
      </w:rPr>
    </w:tblStylePr>
    <w:tblStylePr w:type="band1Vert">
      <w:tblPr/>
      <w:tcPr>
        <w:shd w:val="clear" w:color="auto" w:fill="4BBBFF" w:themeFill="accent4" w:themeFillTint="7F"/>
      </w:tcPr>
    </w:tblStylePr>
    <w:tblStylePr w:type="band1Horz">
      <w:tblPr/>
      <w:tcPr>
        <w:shd w:val="clear" w:color="auto" w:fill="4BBBFF" w:themeFill="accent4" w:themeFillTint="7F"/>
      </w:tcPr>
    </w:tblStylePr>
  </w:style>
  <w:style w:type="table" w:styleId="MediumGrid1-Accent5">
    <w:name w:val="Medium Grid 1 Accent 5"/>
    <w:basedOn w:val="TableNormal"/>
    <w:uiPriority w:val="67"/>
    <w:semiHidden/>
    <w:unhideWhenUsed/>
    <w:pPr>
      <w:spacing w:after="0" w:line="240" w:lineRule="auto"/>
    </w:pPr>
    <w:tblPr>
      <w:tblStyleRowBandSize w:val="1"/>
      <w:tblStyleColBandSize w:val="1"/>
      <w:tblBorders>
        <w:top w:val="single" w:sz="8" w:space="0" w:color="FF1010" w:themeColor="accent5" w:themeTint="BF"/>
        <w:left w:val="single" w:sz="8" w:space="0" w:color="FF1010" w:themeColor="accent5" w:themeTint="BF"/>
        <w:bottom w:val="single" w:sz="8" w:space="0" w:color="FF1010" w:themeColor="accent5" w:themeTint="BF"/>
        <w:right w:val="single" w:sz="8" w:space="0" w:color="FF1010" w:themeColor="accent5" w:themeTint="BF"/>
        <w:insideH w:val="single" w:sz="8" w:space="0" w:color="FF1010" w:themeColor="accent5" w:themeTint="BF"/>
        <w:insideV w:val="single" w:sz="8" w:space="0" w:color="FF1010" w:themeColor="accent5" w:themeTint="BF"/>
      </w:tblBorders>
    </w:tblPr>
    <w:tcPr>
      <w:shd w:val="clear" w:color="auto" w:fill="FFB0B0" w:themeFill="accent5" w:themeFillTint="3F"/>
    </w:tcPr>
    <w:tblStylePr w:type="firstRow">
      <w:rPr>
        <w:b/>
        <w:bCs/>
      </w:rPr>
    </w:tblStylePr>
    <w:tblStylePr w:type="lastRow">
      <w:rPr>
        <w:b/>
        <w:bCs/>
      </w:rPr>
      <w:tblPr/>
      <w:tcPr>
        <w:tcBorders>
          <w:top w:val="single" w:sz="18" w:space="0" w:color="FF1010" w:themeColor="accent5" w:themeTint="BF"/>
        </w:tcBorders>
      </w:tcPr>
    </w:tblStylePr>
    <w:tblStylePr w:type="firstCol">
      <w:rPr>
        <w:b/>
        <w:bCs/>
      </w:rPr>
    </w:tblStylePr>
    <w:tblStylePr w:type="lastCol">
      <w:rPr>
        <w:b/>
        <w:bCs/>
      </w:rPr>
    </w:tblStylePr>
    <w:tblStylePr w:type="band1Vert">
      <w:tblPr/>
      <w:tcPr>
        <w:shd w:val="clear" w:color="auto" w:fill="FF6060" w:themeFill="accent5" w:themeFillTint="7F"/>
      </w:tcPr>
    </w:tblStylePr>
    <w:tblStylePr w:type="band1Horz">
      <w:tblPr/>
      <w:tcPr>
        <w:shd w:val="clear" w:color="auto" w:fill="FF6060" w:themeFill="accent5" w:themeFillTint="7F"/>
      </w:tcPr>
    </w:tblStylePr>
  </w:style>
  <w:style w:type="table" w:styleId="MediumGrid1-Accent6">
    <w:name w:val="Medium Grid 1 Accent 6"/>
    <w:basedOn w:val="TableNormal"/>
    <w:uiPriority w:val="67"/>
    <w:semiHidden/>
    <w:unhideWhenUsed/>
    <w:pPr>
      <w:spacing w:after="0" w:line="240" w:lineRule="auto"/>
    </w:pPr>
    <w:tblPr>
      <w:tblStyleRowBandSize w:val="1"/>
      <w:tblStyleColBandSize w:val="1"/>
      <w:tblBorders>
        <w:top w:val="single" w:sz="8" w:space="0" w:color="7E77BC" w:themeColor="accent6" w:themeTint="BF"/>
        <w:left w:val="single" w:sz="8" w:space="0" w:color="7E77BC" w:themeColor="accent6" w:themeTint="BF"/>
        <w:bottom w:val="single" w:sz="8" w:space="0" w:color="7E77BC" w:themeColor="accent6" w:themeTint="BF"/>
        <w:right w:val="single" w:sz="8" w:space="0" w:color="7E77BC" w:themeColor="accent6" w:themeTint="BF"/>
        <w:insideH w:val="single" w:sz="8" w:space="0" w:color="7E77BC" w:themeColor="accent6" w:themeTint="BF"/>
        <w:insideV w:val="single" w:sz="8" w:space="0" w:color="7E77BC" w:themeColor="accent6" w:themeTint="BF"/>
      </w:tblBorders>
    </w:tblPr>
    <w:tcPr>
      <w:shd w:val="clear" w:color="auto" w:fill="D4D2E9" w:themeFill="accent6" w:themeFillTint="3F"/>
    </w:tcPr>
    <w:tblStylePr w:type="firstRow">
      <w:rPr>
        <w:b/>
        <w:bCs/>
      </w:rPr>
    </w:tblStylePr>
    <w:tblStylePr w:type="lastRow">
      <w:rPr>
        <w:b/>
        <w:bCs/>
      </w:rPr>
      <w:tblPr/>
      <w:tcPr>
        <w:tcBorders>
          <w:top w:val="single" w:sz="18" w:space="0" w:color="7E77BC" w:themeColor="accent6" w:themeTint="BF"/>
        </w:tcBorders>
      </w:tcPr>
    </w:tblStylePr>
    <w:tblStylePr w:type="firstCol">
      <w:rPr>
        <w:b/>
        <w:bCs/>
      </w:rPr>
    </w:tblStylePr>
    <w:tblStylePr w:type="lastCol">
      <w:rPr>
        <w:b/>
        <w:bCs/>
      </w:rPr>
    </w:tblStylePr>
    <w:tblStylePr w:type="band1Vert">
      <w:tblPr/>
      <w:tcPr>
        <w:shd w:val="clear" w:color="auto" w:fill="A9A4D2" w:themeFill="accent6" w:themeFillTint="7F"/>
      </w:tcPr>
    </w:tblStylePr>
    <w:tblStylePr w:type="band1Horz">
      <w:tblPr/>
      <w:tcPr>
        <w:shd w:val="clear" w:color="auto" w:fill="A9A4D2"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6A47" w:themeColor="accent1"/>
        <w:left w:val="single" w:sz="8" w:space="0" w:color="F26A47" w:themeColor="accent1"/>
        <w:bottom w:val="single" w:sz="8" w:space="0" w:color="F26A47" w:themeColor="accent1"/>
        <w:right w:val="single" w:sz="8" w:space="0" w:color="F26A47" w:themeColor="accent1"/>
        <w:insideH w:val="single" w:sz="8" w:space="0" w:color="F26A47" w:themeColor="accent1"/>
        <w:insideV w:val="single" w:sz="8" w:space="0" w:color="F26A47" w:themeColor="accent1"/>
      </w:tblBorders>
    </w:tblPr>
    <w:tcPr>
      <w:shd w:val="clear" w:color="auto" w:fill="FBD9D1" w:themeFill="accent1" w:themeFillTint="3F"/>
    </w:tcPr>
    <w:tblStylePr w:type="firstRow">
      <w:rPr>
        <w:b/>
        <w:bCs/>
        <w:color w:val="000000" w:themeColor="text1"/>
      </w:rPr>
      <w:tblPr/>
      <w:tcPr>
        <w:shd w:val="clear" w:color="auto" w:fill="FDF0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0D9" w:themeFill="accent1" w:themeFillTint="33"/>
      </w:tcPr>
    </w:tblStylePr>
    <w:tblStylePr w:type="band1Vert">
      <w:tblPr/>
      <w:tcPr>
        <w:shd w:val="clear" w:color="auto" w:fill="F8B4A3" w:themeFill="accent1" w:themeFillTint="7F"/>
      </w:tcPr>
    </w:tblStylePr>
    <w:tblStylePr w:type="band1Horz">
      <w:tblPr/>
      <w:tcPr>
        <w:tcBorders>
          <w:insideH w:val="single" w:sz="6" w:space="0" w:color="F26A47" w:themeColor="accent1"/>
          <w:insideV w:val="single" w:sz="6" w:space="0" w:color="F26A47" w:themeColor="accent1"/>
        </w:tcBorders>
        <w:shd w:val="clear" w:color="auto" w:fill="F8B4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2"/>
        <w:left w:val="single" w:sz="8" w:space="0" w:color="FFC000" w:themeColor="accent2"/>
        <w:bottom w:val="single" w:sz="8" w:space="0" w:color="FFC000" w:themeColor="accent2"/>
        <w:right w:val="single" w:sz="8" w:space="0" w:color="FFC000" w:themeColor="accent2"/>
        <w:insideH w:val="single" w:sz="8" w:space="0" w:color="FFC000" w:themeColor="accent2"/>
        <w:insideV w:val="single" w:sz="8" w:space="0" w:color="FFC000" w:themeColor="accent2"/>
      </w:tblBorders>
    </w:tblPr>
    <w:tcPr>
      <w:shd w:val="clear" w:color="auto" w:fill="FFEFC0" w:themeFill="accent2" w:themeFillTint="3F"/>
    </w:tcPr>
    <w:tblStylePr w:type="firstRow">
      <w:rPr>
        <w:b/>
        <w:bCs/>
        <w:color w:val="000000" w:themeColor="text1"/>
      </w:rPr>
      <w:tblPr/>
      <w:tcPr>
        <w:shd w:val="clear" w:color="auto" w:fill="FFF8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2" w:themeFillTint="33"/>
      </w:tcPr>
    </w:tblStylePr>
    <w:tblStylePr w:type="band1Vert">
      <w:tblPr/>
      <w:tcPr>
        <w:shd w:val="clear" w:color="auto" w:fill="FFDF80" w:themeFill="accent2" w:themeFillTint="7F"/>
      </w:tcPr>
    </w:tblStylePr>
    <w:tblStylePr w:type="band1Horz">
      <w:tblPr/>
      <w:tcPr>
        <w:tcBorders>
          <w:insideH w:val="single" w:sz="6" w:space="0" w:color="FFC000" w:themeColor="accent2"/>
          <w:insideV w:val="single" w:sz="6" w:space="0" w:color="FFC000" w:themeColor="accent2"/>
        </w:tcBorders>
        <w:shd w:val="clear" w:color="auto" w:fill="FFDF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95" w:themeColor="accent4"/>
        <w:left w:val="single" w:sz="8" w:space="0" w:color="005D95" w:themeColor="accent4"/>
        <w:bottom w:val="single" w:sz="8" w:space="0" w:color="005D95" w:themeColor="accent4"/>
        <w:right w:val="single" w:sz="8" w:space="0" w:color="005D95" w:themeColor="accent4"/>
        <w:insideH w:val="single" w:sz="8" w:space="0" w:color="005D95" w:themeColor="accent4"/>
        <w:insideV w:val="single" w:sz="8" w:space="0" w:color="005D95" w:themeColor="accent4"/>
      </w:tblBorders>
    </w:tblPr>
    <w:tcPr>
      <w:shd w:val="clear" w:color="auto" w:fill="A5DDFF" w:themeFill="accent4" w:themeFillTint="3F"/>
    </w:tcPr>
    <w:tblStylePr w:type="firstRow">
      <w:rPr>
        <w:b/>
        <w:bCs/>
        <w:color w:val="000000" w:themeColor="text1"/>
      </w:rPr>
      <w:tblPr/>
      <w:tcPr>
        <w:shd w:val="clear" w:color="auto" w:fill="DB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6E3FF" w:themeFill="accent4" w:themeFillTint="33"/>
      </w:tcPr>
    </w:tblStylePr>
    <w:tblStylePr w:type="band1Vert">
      <w:tblPr/>
      <w:tcPr>
        <w:shd w:val="clear" w:color="auto" w:fill="4BBBFF" w:themeFill="accent4" w:themeFillTint="7F"/>
      </w:tcPr>
    </w:tblStylePr>
    <w:tblStylePr w:type="band1Horz">
      <w:tblPr/>
      <w:tcPr>
        <w:tcBorders>
          <w:insideH w:val="single" w:sz="6" w:space="0" w:color="005D95" w:themeColor="accent4"/>
          <w:insideV w:val="single" w:sz="6" w:space="0" w:color="005D95" w:themeColor="accent4"/>
        </w:tcBorders>
        <w:shd w:val="clear" w:color="auto" w:fill="4B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0000" w:themeColor="accent5"/>
        <w:left w:val="single" w:sz="8" w:space="0" w:color="C00000" w:themeColor="accent5"/>
        <w:bottom w:val="single" w:sz="8" w:space="0" w:color="C00000" w:themeColor="accent5"/>
        <w:right w:val="single" w:sz="8" w:space="0" w:color="C00000" w:themeColor="accent5"/>
        <w:insideH w:val="single" w:sz="8" w:space="0" w:color="C00000" w:themeColor="accent5"/>
        <w:insideV w:val="single" w:sz="8" w:space="0" w:color="C00000" w:themeColor="accent5"/>
      </w:tblBorders>
    </w:tblPr>
    <w:tcPr>
      <w:shd w:val="clear" w:color="auto" w:fill="FFB0B0" w:themeFill="accent5" w:themeFillTint="3F"/>
    </w:tcPr>
    <w:tblStylePr w:type="firstRow">
      <w:rPr>
        <w:b/>
        <w:bCs/>
        <w:color w:val="000000" w:themeColor="text1"/>
      </w:rPr>
      <w:tblPr/>
      <w:tcPr>
        <w:shd w:val="clear" w:color="auto" w:fill="FFDFD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FBF" w:themeFill="accent5" w:themeFillTint="33"/>
      </w:tcPr>
    </w:tblStylePr>
    <w:tblStylePr w:type="band1Vert">
      <w:tblPr/>
      <w:tcPr>
        <w:shd w:val="clear" w:color="auto" w:fill="FF6060" w:themeFill="accent5" w:themeFillTint="7F"/>
      </w:tcPr>
    </w:tblStylePr>
    <w:tblStylePr w:type="band1Horz">
      <w:tblPr/>
      <w:tcPr>
        <w:tcBorders>
          <w:insideH w:val="single" w:sz="6" w:space="0" w:color="C00000" w:themeColor="accent5"/>
          <w:insideV w:val="single" w:sz="6" w:space="0" w:color="C00000" w:themeColor="accent5"/>
        </w:tcBorders>
        <w:shd w:val="clear" w:color="auto" w:fill="FF606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84FA1" w:themeColor="accent6"/>
        <w:left w:val="single" w:sz="8" w:space="0" w:color="584FA1" w:themeColor="accent6"/>
        <w:bottom w:val="single" w:sz="8" w:space="0" w:color="584FA1" w:themeColor="accent6"/>
        <w:right w:val="single" w:sz="8" w:space="0" w:color="584FA1" w:themeColor="accent6"/>
        <w:insideH w:val="single" w:sz="8" w:space="0" w:color="584FA1" w:themeColor="accent6"/>
        <w:insideV w:val="single" w:sz="8" w:space="0" w:color="584FA1" w:themeColor="accent6"/>
      </w:tblBorders>
    </w:tblPr>
    <w:tcPr>
      <w:shd w:val="clear" w:color="auto" w:fill="D4D2E9" w:themeFill="accent6" w:themeFillTint="3F"/>
    </w:tcPr>
    <w:tblStylePr w:type="firstRow">
      <w:rPr>
        <w:b/>
        <w:bCs/>
        <w:color w:val="000000" w:themeColor="text1"/>
      </w:rPr>
      <w:tblPr/>
      <w:tcPr>
        <w:shd w:val="clear" w:color="auto" w:fill="EDED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AED" w:themeFill="accent6" w:themeFillTint="33"/>
      </w:tcPr>
    </w:tblStylePr>
    <w:tblStylePr w:type="band1Vert">
      <w:tblPr/>
      <w:tcPr>
        <w:shd w:val="clear" w:color="auto" w:fill="A9A4D2" w:themeFill="accent6" w:themeFillTint="7F"/>
      </w:tcPr>
    </w:tblStylePr>
    <w:tblStylePr w:type="band1Horz">
      <w:tblPr/>
      <w:tcPr>
        <w:tcBorders>
          <w:insideH w:val="single" w:sz="6" w:space="0" w:color="584FA1" w:themeColor="accent6"/>
          <w:insideV w:val="single" w:sz="6" w:space="0" w:color="584FA1" w:themeColor="accent6"/>
        </w:tcBorders>
        <w:shd w:val="clear" w:color="auto" w:fill="A9A4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A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A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A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A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4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4A3" w:themeFill="accent1" w:themeFillTint="7F"/>
      </w:tcPr>
    </w:tblStylePr>
  </w:style>
  <w:style w:type="table" w:styleId="MediumGrid3-Accent2">
    <w:name w:val="Medium Grid 3 Accent 2"/>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2" w:themeFillTint="7F"/>
      </w:tcPr>
    </w:tblStylePr>
  </w:style>
  <w:style w:type="table" w:styleId="MediumGrid3-Accent3">
    <w:name w:val="Medium Grid 3 Accent 3"/>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MediumGrid3-Accent4">
    <w:name w:val="Medium Grid 3 Accent 4"/>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9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9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9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9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BBFF" w:themeFill="accent4" w:themeFillTint="7F"/>
      </w:tcPr>
    </w:tblStylePr>
  </w:style>
  <w:style w:type="table" w:styleId="MediumGrid3-Accent5">
    <w:name w:val="Medium Grid 3 Accent 5"/>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5" w:themeFillTint="7F"/>
      </w:tcPr>
    </w:tblStylePr>
  </w:style>
  <w:style w:type="table" w:styleId="MediumGrid3-Accent6">
    <w:name w:val="Medium Grid 3 Accent 6"/>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2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4F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4F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4F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4F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A4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A4D2"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F7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rPr>
    <w:tblPr>
      <w:tblStyleRowBandSize w:val="1"/>
      <w:tblStyleColBandSize w:val="1"/>
      <w:tblBorders>
        <w:top w:val="single" w:sz="8" w:space="0" w:color="F26A47" w:themeColor="accent1"/>
        <w:bottom w:val="single" w:sz="8" w:space="0" w:color="F26A47" w:themeColor="accent1"/>
      </w:tblBorders>
    </w:tblPr>
    <w:tblStylePr w:type="firstRow">
      <w:rPr>
        <w:rFonts w:asciiTheme="majorHAnsi" w:eastAsiaTheme="majorEastAsia" w:hAnsiTheme="majorHAnsi" w:cstheme="majorBidi"/>
      </w:rPr>
      <w:tblPr/>
      <w:tcPr>
        <w:tcBorders>
          <w:top w:val="nil"/>
          <w:bottom w:val="single" w:sz="8" w:space="0" w:color="F26A47" w:themeColor="accent1"/>
        </w:tcBorders>
      </w:tcPr>
    </w:tblStylePr>
    <w:tblStylePr w:type="lastRow">
      <w:rPr>
        <w:b/>
        <w:bCs/>
        <w:color w:val="203F79" w:themeColor="text2"/>
      </w:rPr>
      <w:tblPr/>
      <w:tcPr>
        <w:tcBorders>
          <w:top w:val="single" w:sz="8" w:space="0" w:color="F26A47" w:themeColor="accent1"/>
          <w:bottom w:val="single" w:sz="8" w:space="0" w:color="F26A47" w:themeColor="accent1"/>
        </w:tcBorders>
      </w:tcPr>
    </w:tblStylePr>
    <w:tblStylePr w:type="firstCol">
      <w:rPr>
        <w:b/>
        <w:bCs/>
      </w:rPr>
    </w:tblStylePr>
    <w:tblStylePr w:type="lastCol">
      <w:rPr>
        <w:b/>
        <w:bCs/>
      </w:rPr>
      <w:tblPr/>
      <w:tcPr>
        <w:tcBorders>
          <w:top w:val="single" w:sz="8" w:space="0" w:color="F26A47" w:themeColor="accent1"/>
          <w:bottom w:val="single" w:sz="8" w:space="0" w:color="F26A47" w:themeColor="accent1"/>
        </w:tcBorders>
      </w:tcPr>
    </w:tblStylePr>
    <w:tblStylePr w:type="band1Vert">
      <w:tblPr/>
      <w:tcPr>
        <w:shd w:val="clear" w:color="auto" w:fill="FBD9D1" w:themeFill="accent1" w:themeFillTint="3F"/>
      </w:tcPr>
    </w:tblStylePr>
    <w:tblStylePr w:type="band1Horz">
      <w:tblPr/>
      <w:tcPr>
        <w:shd w:val="clear" w:color="auto" w:fill="FBD9D1"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rPr>
    <w:tblPr>
      <w:tblStyleRowBandSize w:val="1"/>
      <w:tblStyleColBandSize w:val="1"/>
      <w:tblBorders>
        <w:top w:val="single" w:sz="8" w:space="0" w:color="FFC000" w:themeColor="accent2"/>
        <w:bottom w:val="single" w:sz="8" w:space="0" w:color="FFC000" w:themeColor="accent2"/>
      </w:tblBorders>
    </w:tblPr>
    <w:tblStylePr w:type="firstRow">
      <w:rPr>
        <w:rFonts w:asciiTheme="majorHAnsi" w:eastAsiaTheme="majorEastAsia" w:hAnsiTheme="majorHAnsi" w:cstheme="majorBidi"/>
      </w:rPr>
      <w:tblPr/>
      <w:tcPr>
        <w:tcBorders>
          <w:top w:val="nil"/>
          <w:bottom w:val="single" w:sz="8" w:space="0" w:color="FFC000" w:themeColor="accent2"/>
        </w:tcBorders>
      </w:tcPr>
    </w:tblStylePr>
    <w:tblStylePr w:type="lastRow">
      <w:rPr>
        <w:b/>
        <w:bCs/>
        <w:color w:val="203F79" w:themeColor="text2"/>
      </w:rPr>
      <w:tblPr/>
      <w:tcPr>
        <w:tcBorders>
          <w:top w:val="single" w:sz="8" w:space="0" w:color="FFC000" w:themeColor="accent2"/>
          <w:bottom w:val="single" w:sz="8" w:space="0" w:color="FFC000" w:themeColor="accent2"/>
        </w:tcBorders>
      </w:tcPr>
    </w:tblStylePr>
    <w:tblStylePr w:type="firstCol">
      <w:rPr>
        <w:b/>
        <w:bCs/>
      </w:rPr>
    </w:tblStylePr>
    <w:tblStylePr w:type="lastCol">
      <w:rPr>
        <w:b/>
        <w:bCs/>
      </w:rPr>
      <w:tblPr/>
      <w:tcPr>
        <w:tcBorders>
          <w:top w:val="single" w:sz="8" w:space="0" w:color="FFC000" w:themeColor="accent2"/>
          <w:bottom w:val="single" w:sz="8" w:space="0" w:color="FFC000" w:themeColor="accent2"/>
        </w:tcBorders>
      </w:tcPr>
    </w:tblStylePr>
    <w:tblStylePr w:type="band1Vert">
      <w:tblPr/>
      <w:tcPr>
        <w:shd w:val="clear" w:color="auto" w:fill="FFEFC0" w:themeFill="accent2" w:themeFillTint="3F"/>
      </w:tcPr>
    </w:tblStylePr>
    <w:tblStylePr w:type="band1Horz">
      <w:tblPr/>
      <w:tcPr>
        <w:shd w:val="clear" w:color="auto" w:fill="FFEFC0"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203F79"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rPr>
    <w:tblPr>
      <w:tblStyleRowBandSize w:val="1"/>
      <w:tblStyleColBandSize w:val="1"/>
      <w:tblBorders>
        <w:top w:val="single" w:sz="8" w:space="0" w:color="005D95" w:themeColor="accent4"/>
        <w:bottom w:val="single" w:sz="8" w:space="0" w:color="005D95" w:themeColor="accent4"/>
      </w:tblBorders>
    </w:tblPr>
    <w:tblStylePr w:type="firstRow">
      <w:rPr>
        <w:rFonts w:asciiTheme="majorHAnsi" w:eastAsiaTheme="majorEastAsia" w:hAnsiTheme="majorHAnsi" w:cstheme="majorBidi"/>
      </w:rPr>
      <w:tblPr/>
      <w:tcPr>
        <w:tcBorders>
          <w:top w:val="nil"/>
          <w:bottom w:val="single" w:sz="8" w:space="0" w:color="005D95" w:themeColor="accent4"/>
        </w:tcBorders>
      </w:tcPr>
    </w:tblStylePr>
    <w:tblStylePr w:type="lastRow">
      <w:rPr>
        <w:b/>
        <w:bCs/>
        <w:color w:val="203F79" w:themeColor="text2"/>
      </w:rPr>
      <w:tblPr/>
      <w:tcPr>
        <w:tcBorders>
          <w:top w:val="single" w:sz="8" w:space="0" w:color="005D95" w:themeColor="accent4"/>
          <w:bottom w:val="single" w:sz="8" w:space="0" w:color="005D95" w:themeColor="accent4"/>
        </w:tcBorders>
      </w:tcPr>
    </w:tblStylePr>
    <w:tblStylePr w:type="firstCol">
      <w:rPr>
        <w:b/>
        <w:bCs/>
      </w:rPr>
    </w:tblStylePr>
    <w:tblStylePr w:type="lastCol">
      <w:rPr>
        <w:b/>
        <w:bCs/>
      </w:rPr>
      <w:tblPr/>
      <w:tcPr>
        <w:tcBorders>
          <w:top w:val="single" w:sz="8" w:space="0" w:color="005D95" w:themeColor="accent4"/>
          <w:bottom w:val="single" w:sz="8" w:space="0" w:color="005D95" w:themeColor="accent4"/>
        </w:tcBorders>
      </w:tcPr>
    </w:tblStylePr>
    <w:tblStylePr w:type="band1Vert">
      <w:tblPr/>
      <w:tcPr>
        <w:shd w:val="clear" w:color="auto" w:fill="A5DDFF" w:themeFill="accent4" w:themeFillTint="3F"/>
      </w:tcPr>
    </w:tblStylePr>
    <w:tblStylePr w:type="band1Horz">
      <w:tblPr/>
      <w:tcPr>
        <w:shd w:val="clear" w:color="auto" w:fill="A5DDFF"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rPr>
    <w:tblPr>
      <w:tblStyleRowBandSize w:val="1"/>
      <w:tblStyleColBandSize w:val="1"/>
      <w:tblBorders>
        <w:top w:val="single" w:sz="8" w:space="0" w:color="C00000" w:themeColor="accent5"/>
        <w:bottom w:val="single" w:sz="8" w:space="0" w:color="C00000" w:themeColor="accent5"/>
      </w:tblBorders>
    </w:tblPr>
    <w:tblStylePr w:type="firstRow">
      <w:rPr>
        <w:rFonts w:asciiTheme="majorHAnsi" w:eastAsiaTheme="majorEastAsia" w:hAnsiTheme="majorHAnsi" w:cstheme="majorBidi"/>
      </w:rPr>
      <w:tblPr/>
      <w:tcPr>
        <w:tcBorders>
          <w:top w:val="nil"/>
          <w:bottom w:val="single" w:sz="8" w:space="0" w:color="C00000" w:themeColor="accent5"/>
        </w:tcBorders>
      </w:tcPr>
    </w:tblStylePr>
    <w:tblStylePr w:type="lastRow">
      <w:rPr>
        <w:b/>
        <w:bCs/>
        <w:color w:val="203F79" w:themeColor="text2"/>
      </w:rPr>
      <w:tblPr/>
      <w:tcPr>
        <w:tcBorders>
          <w:top w:val="single" w:sz="8" w:space="0" w:color="C00000" w:themeColor="accent5"/>
          <w:bottom w:val="single" w:sz="8" w:space="0" w:color="C00000" w:themeColor="accent5"/>
        </w:tcBorders>
      </w:tcPr>
    </w:tblStylePr>
    <w:tblStylePr w:type="firstCol">
      <w:rPr>
        <w:b/>
        <w:bCs/>
      </w:rPr>
    </w:tblStylePr>
    <w:tblStylePr w:type="lastCol">
      <w:rPr>
        <w:b/>
        <w:bCs/>
      </w:rPr>
      <w:tblPr/>
      <w:tcPr>
        <w:tcBorders>
          <w:top w:val="single" w:sz="8" w:space="0" w:color="C00000" w:themeColor="accent5"/>
          <w:bottom w:val="single" w:sz="8" w:space="0" w:color="C00000" w:themeColor="accent5"/>
        </w:tcBorders>
      </w:tcPr>
    </w:tblStylePr>
    <w:tblStylePr w:type="band1Vert">
      <w:tblPr/>
      <w:tcPr>
        <w:shd w:val="clear" w:color="auto" w:fill="FFB0B0" w:themeFill="accent5" w:themeFillTint="3F"/>
      </w:tcPr>
    </w:tblStylePr>
    <w:tblStylePr w:type="band1Horz">
      <w:tblPr/>
      <w:tcPr>
        <w:shd w:val="clear" w:color="auto" w:fill="FFB0B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rPr>
    <w:tblPr>
      <w:tblStyleRowBandSize w:val="1"/>
      <w:tblStyleColBandSize w:val="1"/>
      <w:tblBorders>
        <w:top w:val="single" w:sz="8" w:space="0" w:color="584FA1" w:themeColor="accent6"/>
        <w:bottom w:val="single" w:sz="8" w:space="0" w:color="584FA1" w:themeColor="accent6"/>
      </w:tblBorders>
    </w:tblPr>
    <w:tblStylePr w:type="firstRow">
      <w:rPr>
        <w:rFonts w:asciiTheme="majorHAnsi" w:eastAsiaTheme="majorEastAsia" w:hAnsiTheme="majorHAnsi" w:cstheme="majorBidi"/>
      </w:rPr>
      <w:tblPr/>
      <w:tcPr>
        <w:tcBorders>
          <w:top w:val="nil"/>
          <w:bottom w:val="single" w:sz="8" w:space="0" w:color="584FA1" w:themeColor="accent6"/>
        </w:tcBorders>
      </w:tcPr>
    </w:tblStylePr>
    <w:tblStylePr w:type="lastRow">
      <w:rPr>
        <w:b/>
        <w:bCs/>
        <w:color w:val="203F79" w:themeColor="text2"/>
      </w:rPr>
      <w:tblPr/>
      <w:tcPr>
        <w:tcBorders>
          <w:top w:val="single" w:sz="8" w:space="0" w:color="584FA1" w:themeColor="accent6"/>
          <w:bottom w:val="single" w:sz="8" w:space="0" w:color="584FA1" w:themeColor="accent6"/>
        </w:tcBorders>
      </w:tcPr>
    </w:tblStylePr>
    <w:tblStylePr w:type="firstCol">
      <w:rPr>
        <w:b/>
        <w:bCs/>
      </w:rPr>
    </w:tblStylePr>
    <w:tblStylePr w:type="lastCol">
      <w:rPr>
        <w:b/>
        <w:bCs/>
      </w:rPr>
      <w:tblPr/>
      <w:tcPr>
        <w:tcBorders>
          <w:top w:val="single" w:sz="8" w:space="0" w:color="584FA1" w:themeColor="accent6"/>
          <w:bottom w:val="single" w:sz="8" w:space="0" w:color="584FA1" w:themeColor="accent6"/>
        </w:tcBorders>
      </w:tcPr>
    </w:tblStylePr>
    <w:tblStylePr w:type="band1Vert">
      <w:tblPr/>
      <w:tcPr>
        <w:shd w:val="clear" w:color="auto" w:fill="D4D2E9" w:themeFill="accent6" w:themeFillTint="3F"/>
      </w:tcPr>
    </w:tblStylePr>
    <w:tblStylePr w:type="band1Horz">
      <w:tblPr/>
      <w:tcPr>
        <w:shd w:val="clear" w:color="auto" w:fill="D4D2E9"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6A47" w:themeColor="accent1"/>
        <w:left w:val="single" w:sz="8" w:space="0" w:color="F26A47" w:themeColor="accent1"/>
        <w:bottom w:val="single" w:sz="8" w:space="0" w:color="F26A47" w:themeColor="accent1"/>
        <w:right w:val="single" w:sz="8" w:space="0" w:color="F26A47" w:themeColor="accent1"/>
      </w:tblBorders>
    </w:tblPr>
    <w:tblStylePr w:type="firstRow">
      <w:rPr>
        <w:sz w:val="24"/>
        <w:szCs w:val="24"/>
      </w:rPr>
      <w:tblPr/>
      <w:tcPr>
        <w:tcBorders>
          <w:top w:val="nil"/>
          <w:left w:val="nil"/>
          <w:bottom w:val="single" w:sz="24" w:space="0" w:color="F26A4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A47" w:themeColor="accent1"/>
          <w:insideH w:val="nil"/>
          <w:insideV w:val="nil"/>
        </w:tcBorders>
        <w:shd w:val="clear" w:color="auto" w:fill="FFFFFF" w:themeFill="background1"/>
      </w:tcPr>
    </w:tblStylePr>
    <w:tblStylePr w:type="lastCol">
      <w:tblPr/>
      <w:tcPr>
        <w:tcBorders>
          <w:top w:val="nil"/>
          <w:left w:val="single" w:sz="8" w:space="0" w:color="F26A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D1" w:themeFill="accent1" w:themeFillTint="3F"/>
      </w:tcPr>
    </w:tblStylePr>
    <w:tblStylePr w:type="band1Horz">
      <w:tblPr/>
      <w:tcPr>
        <w:tcBorders>
          <w:top w:val="nil"/>
          <w:bottom w:val="nil"/>
          <w:insideH w:val="nil"/>
          <w:insideV w:val="nil"/>
        </w:tcBorders>
        <w:shd w:val="clear" w:color="auto" w:fill="FBD9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2"/>
        <w:left w:val="single" w:sz="8" w:space="0" w:color="FFC000" w:themeColor="accent2"/>
        <w:bottom w:val="single" w:sz="8" w:space="0" w:color="FFC000" w:themeColor="accent2"/>
        <w:right w:val="single" w:sz="8" w:space="0" w:color="FFC000" w:themeColor="accent2"/>
      </w:tblBorders>
    </w:tblPr>
    <w:tblStylePr w:type="firstRow">
      <w:rPr>
        <w:sz w:val="24"/>
        <w:szCs w:val="24"/>
      </w:rPr>
      <w:tblPr/>
      <w:tcPr>
        <w:tcBorders>
          <w:top w:val="nil"/>
          <w:left w:val="nil"/>
          <w:bottom w:val="single" w:sz="24" w:space="0" w:color="FFC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2"/>
          <w:insideH w:val="nil"/>
          <w:insideV w:val="nil"/>
        </w:tcBorders>
        <w:shd w:val="clear" w:color="auto" w:fill="FFFFFF" w:themeFill="background1"/>
      </w:tcPr>
    </w:tblStylePr>
    <w:tblStylePr w:type="lastCol">
      <w:tblPr/>
      <w:tcPr>
        <w:tcBorders>
          <w:top w:val="nil"/>
          <w:left w:val="single" w:sz="8" w:space="0" w:color="FFC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2" w:themeFillTint="3F"/>
      </w:tcPr>
    </w:tblStylePr>
    <w:tblStylePr w:type="band1Horz">
      <w:tblPr/>
      <w:tcPr>
        <w:tcBorders>
          <w:top w:val="nil"/>
          <w:bottom w:val="nil"/>
          <w:insideH w:val="nil"/>
          <w:insideV w:val="nil"/>
        </w:tcBorders>
        <w:shd w:val="clear" w:color="auto" w:fill="FFEF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95" w:themeColor="accent4"/>
        <w:left w:val="single" w:sz="8" w:space="0" w:color="005D95" w:themeColor="accent4"/>
        <w:bottom w:val="single" w:sz="8" w:space="0" w:color="005D95" w:themeColor="accent4"/>
        <w:right w:val="single" w:sz="8" w:space="0" w:color="005D95" w:themeColor="accent4"/>
      </w:tblBorders>
    </w:tblPr>
    <w:tblStylePr w:type="firstRow">
      <w:rPr>
        <w:sz w:val="24"/>
        <w:szCs w:val="24"/>
      </w:rPr>
      <w:tblPr/>
      <w:tcPr>
        <w:tcBorders>
          <w:top w:val="nil"/>
          <w:left w:val="nil"/>
          <w:bottom w:val="single" w:sz="24" w:space="0" w:color="005D9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95" w:themeColor="accent4"/>
          <w:insideH w:val="nil"/>
          <w:insideV w:val="nil"/>
        </w:tcBorders>
        <w:shd w:val="clear" w:color="auto" w:fill="FFFFFF" w:themeFill="background1"/>
      </w:tcPr>
    </w:tblStylePr>
    <w:tblStylePr w:type="lastCol">
      <w:tblPr/>
      <w:tcPr>
        <w:tcBorders>
          <w:top w:val="nil"/>
          <w:left w:val="single" w:sz="8" w:space="0" w:color="005D9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5DDFF" w:themeFill="accent4" w:themeFillTint="3F"/>
      </w:tcPr>
    </w:tblStylePr>
    <w:tblStylePr w:type="band1Horz">
      <w:tblPr/>
      <w:tcPr>
        <w:tcBorders>
          <w:top w:val="nil"/>
          <w:bottom w:val="nil"/>
          <w:insideH w:val="nil"/>
          <w:insideV w:val="nil"/>
        </w:tcBorders>
        <w:shd w:val="clear" w:color="auto" w:fill="A5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0000" w:themeColor="accent5"/>
        <w:left w:val="single" w:sz="8" w:space="0" w:color="C00000" w:themeColor="accent5"/>
        <w:bottom w:val="single" w:sz="8" w:space="0" w:color="C00000" w:themeColor="accent5"/>
        <w:right w:val="single" w:sz="8" w:space="0" w:color="C00000" w:themeColor="accent5"/>
      </w:tblBorders>
    </w:tblPr>
    <w:tblStylePr w:type="firstRow">
      <w:rPr>
        <w:sz w:val="24"/>
        <w:szCs w:val="24"/>
      </w:rPr>
      <w:tblPr/>
      <w:tcPr>
        <w:tcBorders>
          <w:top w:val="nil"/>
          <w:left w:val="nil"/>
          <w:bottom w:val="single" w:sz="24" w:space="0" w:color="C000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5"/>
          <w:insideH w:val="nil"/>
          <w:insideV w:val="nil"/>
        </w:tcBorders>
        <w:shd w:val="clear" w:color="auto" w:fill="FFFFFF" w:themeFill="background1"/>
      </w:tcPr>
    </w:tblStylePr>
    <w:tblStylePr w:type="lastCol">
      <w:tblPr/>
      <w:tcPr>
        <w:tcBorders>
          <w:top w:val="nil"/>
          <w:left w:val="single" w:sz="8" w:space="0" w:color="C000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5" w:themeFillTint="3F"/>
      </w:tcPr>
    </w:tblStylePr>
    <w:tblStylePr w:type="band1Horz">
      <w:tblPr/>
      <w:tcPr>
        <w:tcBorders>
          <w:top w:val="nil"/>
          <w:bottom w:val="nil"/>
          <w:insideH w:val="nil"/>
          <w:insideV w:val="nil"/>
        </w:tcBorders>
        <w:shd w:val="clear" w:color="auto" w:fill="FFB0B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84FA1" w:themeColor="accent6"/>
        <w:left w:val="single" w:sz="8" w:space="0" w:color="584FA1" w:themeColor="accent6"/>
        <w:bottom w:val="single" w:sz="8" w:space="0" w:color="584FA1" w:themeColor="accent6"/>
        <w:right w:val="single" w:sz="8" w:space="0" w:color="584FA1" w:themeColor="accent6"/>
      </w:tblBorders>
    </w:tblPr>
    <w:tblStylePr w:type="firstRow">
      <w:rPr>
        <w:sz w:val="24"/>
        <w:szCs w:val="24"/>
      </w:rPr>
      <w:tblPr/>
      <w:tcPr>
        <w:tcBorders>
          <w:top w:val="nil"/>
          <w:left w:val="nil"/>
          <w:bottom w:val="single" w:sz="24" w:space="0" w:color="584FA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4FA1" w:themeColor="accent6"/>
          <w:insideH w:val="nil"/>
          <w:insideV w:val="nil"/>
        </w:tcBorders>
        <w:shd w:val="clear" w:color="auto" w:fill="FFFFFF" w:themeFill="background1"/>
      </w:tcPr>
    </w:tblStylePr>
    <w:tblStylePr w:type="lastCol">
      <w:tblPr/>
      <w:tcPr>
        <w:tcBorders>
          <w:top w:val="nil"/>
          <w:left w:val="single" w:sz="8" w:space="0" w:color="584F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2E9" w:themeFill="accent6" w:themeFillTint="3F"/>
      </w:tcPr>
    </w:tblStylePr>
    <w:tblStylePr w:type="band1Horz">
      <w:tblPr/>
      <w:tcPr>
        <w:tcBorders>
          <w:top w:val="nil"/>
          <w:bottom w:val="nil"/>
          <w:insideH w:val="nil"/>
          <w:insideV w:val="nil"/>
        </w:tcBorders>
        <w:shd w:val="clear" w:color="auto" w:fill="D4D2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tblPr>
      <w:tblStyleRowBandSize w:val="1"/>
      <w:tblStyleColBandSize w:val="1"/>
      <w:tblBorders>
        <w:top w:val="single" w:sz="8" w:space="0" w:color="F58F75" w:themeColor="accent1" w:themeTint="BF"/>
        <w:left w:val="single" w:sz="8" w:space="0" w:color="F58F75" w:themeColor="accent1" w:themeTint="BF"/>
        <w:bottom w:val="single" w:sz="8" w:space="0" w:color="F58F75" w:themeColor="accent1" w:themeTint="BF"/>
        <w:right w:val="single" w:sz="8" w:space="0" w:color="F58F75" w:themeColor="accent1" w:themeTint="BF"/>
        <w:insideH w:val="single" w:sz="8" w:space="0" w:color="F58F75" w:themeColor="accent1" w:themeTint="BF"/>
      </w:tblBorders>
    </w:tblPr>
    <w:tblStylePr w:type="firstRow">
      <w:pPr>
        <w:spacing w:before="0" w:after="0" w:line="240" w:lineRule="auto"/>
      </w:pPr>
      <w:rPr>
        <w:b/>
        <w:bCs/>
        <w:color w:val="FFFFFF" w:themeColor="background1"/>
      </w:rPr>
      <w:tblPr/>
      <w:tcPr>
        <w:tcBorders>
          <w:top w:val="single" w:sz="8" w:space="0" w:color="F58F75" w:themeColor="accent1" w:themeTint="BF"/>
          <w:left w:val="single" w:sz="8" w:space="0" w:color="F58F75" w:themeColor="accent1" w:themeTint="BF"/>
          <w:bottom w:val="single" w:sz="8" w:space="0" w:color="F58F75" w:themeColor="accent1" w:themeTint="BF"/>
          <w:right w:val="single" w:sz="8" w:space="0" w:color="F58F75" w:themeColor="accent1" w:themeTint="BF"/>
          <w:insideH w:val="nil"/>
          <w:insideV w:val="nil"/>
        </w:tcBorders>
        <w:shd w:val="clear" w:color="auto" w:fill="F26A47" w:themeFill="accent1"/>
      </w:tcPr>
    </w:tblStylePr>
    <w:tblStylePr w:type="lastRow">
      <w:pPr>
        <w:spacing w:before="0" w:after="0" w:line="240" w:lineRule="auto"/>
      </w:pPr>
      <w:rPr>
        <w:b/>
        <w:bCs/>
      </w:rPr>
      <w:tblPr/>
      <w:tcPr>
        <w:tcBorders>
          <w:top w:val="double" w:sz="6" w:space="0" w:color="F58F75" w:themeColor="accent1" w:themeTint="BF"/>
          <w:left w:val="single" w:sz="8" w:space="0" w:color="F58F75" w:themeColor="accent1" w:themeTint="BF"/>
          <w:bottom w:val="single" w:sz="8" w:space="0" w:color="F58F75" w:themeColor="accent1" w:themeTint="BF"/>
          <w:right w:val="single" w:sz="8" w:space="0" w:color="F58F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9D1" w:themeFill="accent1" w:themeFillTint="3F"/>
      </w:tcPr>
    </w:tblStylePr>
    <w:tblStylePr w:type="band1Horz">
      <w:tblPr/>
      <w:tcPr>
        <w:tcBorders>
          <w:insideH w:val="nil"/>
          <w:insideV w:val="nil"/>
        </w:tcBorders>
        <w:shd w:val="clear" w:color="auto" w:fill="FBD9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tblPr>
      <w:tblStyleRowBandSize w:val="1"/>
      <w:tblStyleColBandSize w:val="1"/>
      <w:tblBorders>
        <w:top w:val="single" w:sz="8"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single" w:sz="8" w:space="0" w:color="FFCF40" w:themeColor="accent2" w:themeTint="BF"/>
      </w:tblBorders>
    </w:tblPr>
    <w:tblStylePr w:type="firstRow">
      <w:pPr>
        <w:spacing w:before="0" w:after="0" w:line="240" w:lineRule="auto"/>
      </w:pPr>
      <w:rPr>
        <w:b/>
        <w:bCs/>
        <w:color w:val="FFFFFF" w:themeColor="background1"/>
      </w:rPr>
      <w:tblPr/>
      <w:tcPr>
        <w:tcBorders>
          <w:top w:val="single" w:sz="8"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nil"/>
          <w:insideV w:val="nil"/>
        </w:tcBorders>
        <w:shd w:val="clear" w:color="auto" w:fill="FFC000" w:themeFill="accent2"/>
      </w:tcPr>
    </w:tblStylePr>
    <w:tblStylePr w:type="lastRow">
      <w:pPr>
        <w:spacing w:before="0" w:after="0" w:line="240" w:lineRule="auto"/>
      </w:pPr>
      <w:rPr>
        <w:b/>
        <w:bCs/>
      </w:rPr>
      <w:tblPr/>
      <w:tcPr>
        <w:tcBorders>
          <w:top w:val="double" w:sz="6"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2" w:themeFillTint="3F"/>
      </w:tcPr>
    </w:tblStylePr>
    <w:tblStylePr w:type="band1Horz">
      <w:tblPr/>
      <w:tcPr>
        <w:tcBorders>
          <w:insideH w:val="nil"/>
          <w:insideV w:val="nil"/>
        </w:tcBorders>
        <w:shd w:val="clear" w:color="auto" w:fill="FFEF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tblPr>
      <w:tblStyleRowBandSize w:val="1"/>
      <w:tblStyleColBandSize w:val="1"/>
      <w:tblBorders>
        <w:top w:val="single" w:sz="8" w:space="0" w:color="0095EF" w:themeColor="accent4" w:themeTint="BF"/>
        <w:left w:val="single" w:sz="8" w:space="0" w:color="0095EF" w:themeColor="accent4" w:themeTint="BF"/>
        <w:bottom w:val="single" w:sz="8" w:space="0" w:color="0095EF" w:themeColor="accent4" w:themeTint="BF"/>
        <w:right w:val="single" w:sz="8" w:space="0" w:color="0095EF" w:themeColor="accent4" w:themeTint="BF"/>
        <w:insideH w:val="single" w:sz="8" w:space="0" w:color="0095EF" w:themeColor="accent4" w:themeTint="BF"/>
      </w:tblBorders>
    </w:tblPr>
    <w:tblStylePr w:type="firstRow">
      <w:pPr>
        <w:spacing w:before="0" w:after="0" w:line="240" w:lineRule="auto"/>
      </w:pPr>
      <w:rPr>
        <w:b/>
        <w:bCs/>
        <w:color w:val="FFFFFF" w:themeColor="background1"/>
      </w:rPr>
      <w:tblPr/>
      <w:tcPr>
        <w:tcBorders>
          <w:top w:val="single" w:sz="8" w:space="0" w:color="0095EF" w:themeColor="accent4" w:themeTint="BF"/>
          <w:left w:val="single" w:sz="8" w:space="0" w:color="0095EF" w:themeColor="accent4" w:themeTint="BF"/>
          <w:bottom w:val="single" w:sz="8" w:space="0" w:color="0095EF" w:themeColor="accent4" w:themeTint="BF"/>
          <w:right w:val="single" w:sz="8" w:space="0" w:color="0095EF" w:themeColor="accent4" w:themeTint="BF"/>
          <w:insideH w:val="nil"/>
          <w:insideV w:val="nil"/>
        </w:tcBorders>
        <w:shd w:val="clear" w:color="auto" w:fill="005D95" w:themeFill="accent4"/>
      </w:tcPr>
    </w:tblStylePr>
    <w:tblStylePr w:type="lastRow">
      <w:pPr>
        <w:spacing w:before="0" w:after="0" w:line="240" w:lineRule="auto"/>
      </w:pPr>
      <w:rPr>
        <w:b/>
        <w:bCs/>
      </w:rPr>
      <w:tblPr/>
      <w:tcPr>
        <w:tcBorders>
          <w:top w:val="double" w:sz="6" w:space="0" w:color="0095EF" w:themeColor="accent4" w:themeTint="BF"/>
          <w:left w:val="single" w:sz="8" w:space="0" w:color="0095EF" w:themeColor="accent4" w:themeTint="BF"/>
          <w:bottom w:val="single" w:sz="8" w:space="0" w:color="0095EF" w:themeColor="accent4" w:themeTint="BF"/>
          <w:right w:val="single" w:sz="8" w:space="0" w:color="0095EF" w:themeColor="accent4" w:themeTint="BF"/>
          <w:insideH w:val="nil"/>
          <w:insideV w:val="nil"/>
        </w:tcBorders>
      </w:tcPr>
    </w:tblStylePr>
    <w:tblStylePr w:type="firstCol">
      <w:rPr>
        <w:b/>
        <w:bCs/>
      </w:rPr>
    </w:tblStylePr>
    <w:tblStylePr w:type="lastCol">
      <w:rPr>
        <w:b/>
        <w:bCs/>
      </w:rPr>
    </w:tblStylePr>
    <w:tblStylePr w:type="band1Vert">
      <w:tblPr/>
      <w:tcPr>
        <w:shd w:val="clear" w:color="auto" w:fill="A5DDFF" w:themeFill="accent4" w:themeFillTint="3F"/>
      </w:tcPr>
    </w:tblStylePr>
    <w:tblStylePr w:type="band1Horz">
      <w:tblPr/>
      <w:tcPr>
        <w:tcBorders>
          <w:insideH w:val="nil"/>
          <w:insideV w:val="nil"/>
        </w:tcBorders>
        <w:shd w:val="clear" w:color="auto" w:fill="A5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tblPr>
      <w:tblStyleRowBandSize w:val="1"/>
      <w:tblStyleColBandSize w:val="1"/>
      <w:tblBorders>
        <w:top w:val="single" w:sz="8" w:space="0" w:color="FF1010" w:themeColor="accent5" w:themeTint="BF"/>
        <w:left w:val="single" w:sz="8" w:space="0" w:color="FF1010" w:themeColor="accent5" w:themeTint="BF"/>
        <w:bottom w:val="single" w:sz="8" w:space="0" w:color="FF1010" w:themeColor="accent5" w:themeTint="BF"/>
        <w:right w:val="single" w:sz="8" w:space="0" w:color="FF1010" w:themeColor="accent5" w:themeTint="BF"/>
        <w:insideH w:val="single" w:sz="8" w:space="0" w:color="FF1010" w:themeColor="accent5" w:themeTint="BF"/>
      </w:tblBorders>
    </w:tblPr>
    <w:tblStylePr w:type="firstRow">
      <w:pPr>
        <w:spacing w:before="0" w:after="0" w:line="240" w:lineRule="auto"/>
      </w:pPr>
      <w:rPr>
        <w:b/>
        <w:bCs/>
        <w:color w:val="FFFFFF" w:themeColor="background1"/>
      </w:rPr>
      <w:tblPr/>
      <w:tcPr>
        <w:tcBorders>
          <w:top w:val="single" w:sz="8" w:space="0" w:color="FF1010" w:themeColor="accent5" w:themeTint="BF"/>
          <w:left w:val="single" w:sz="8" w:space="0" w:color="FF1010" w:themeColor="accent5" w:themeTint="BF"/>
          <w:bottom w:val="single" w:sz="8" w:space="0" w:color="FF1010" w:themeColor="accent5" w:themeTint="BF"/>
          <w:right w:val="single" w:sz="8" w:space="0" w:color="FF1010" w:themeColor="accent5" w:themeTint="BF"/>
          <w:insideH w:val="nil"/>
          <w:insideV w:val="nil"/>
        </w:tcBorders>
        <w:shd w:val="clear" w:color="auto" w:fill="C00000" w:themeFill="accent5"/>
      </w:tcPr>
    </w:tblStylePr>
    <w:tblStylePr w:type="lastRow">
      <w:pPr>
        <w:spacing w:before="0" w:after="0" w:line="240" w:lineRule="auto"/>
      </w:pPr>
      <w:rPr>
        <w:b/>
        <w:bCs/>
      </w:rPr>
      <w:tblPr/>
      <w:tcPr>
        <w:tcBorders>
          <w:top w:val="double" w:sz="6" w:space="0" w:color="FF1010" w:themeColor="accent5" w:themeTint="BF"/>
          <w:left w:val="single" w:sz="8" w:space="0" w:color="FF1010" w:themeColor="accent5" w:themeTint="BF"/>
          <w:bottom w:val="single" w:sz="8" w:space="0" w:color="FF1010" w:themeColor="accent5" w:themeTint="BF"/>
          <w:right w:val="single" w:sz="8" w:space="0" w:color="FF101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5" w:themeFillTint="3F"/>
      </w:tcPr>
    </w:tblStylePr>
    <w:tblStylePr w:type="band1Horz">
      <w:tblPr/>
      <w:tcPr>
        <w:tcBorders>
          <w:insideH w:val="nil"/>
          <w:insideV w:val="nil"/>
        </w:tcBorders>
        <w:shd w:val="clear" w:color="auto" w:fill="FFB0B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tblPr>
      <w:tblStyleRowBandSize w:val="1"/>
      <w:tblStyleColBandSize w:val="1"/>
      <w:tblBorders>
        <w:top w:val="single" w:sz="8" w:space="0" w:color="7E77BC" w:themeColor="accent6" w:themeTint="BF"/>
        <w:left w:val="single" w:sz="8" w:space="0" w:color="7E77BC" w:themeColor="accent6" w:themeTint="BF"/>
        <w:bottom w:val="single" w:sz="8" w:space="0" w:color="7E77BC" w:themeColor="accent6" w:themeTint="BF"/>
        <w:right w:val="single" w:sz="8" w:space="0" w:color="7E77BC" w:themeColor="accent6" w:themeTint="BF"/>
        <w:insideH w:val="single" w:sz="8" w:space="0" w:color="7E77BC" w:themeColor="accent6" w:themeTint="BF"/>
      </w:tblBorders>
    </w:tblPr>
    <w:tblStylePr w:type="firstRow">
      <w:pPr>
        <w:spacing w:before="0" w:after="0" w:line="240" w:lineRule="auto"/>
      </w:pPr>
      <w:rPr>
        <w:b/>
        <w:bCs/>
        <w:color w:val="FFFFFF" w:themeColor="background1"/>
      </w:rPr>
      <w:tblPr/>
      <w:tcPr>
        <w:tcBorders>
          <w:top w:val="single" w:sz="8" w:space="0" w:color="7E77BC" w:themeColor="accent6" w:themeTint="BF"/>
          <w:left w:val="single" w:sz="8" w:space="0" w:color="7E77BC" w:themeColor="accent6" w:themeTint="BF"/>
          <w:bottom w:val="single" w:sz="8" w:space="0" w:color="7E77BC" w:themeColor="accent6" w:themeTint="BF"/>
          <w:right w:val="single" w:sz="8" w:space="0" w:color="7E77BC" w:themeColor="accent6" w:themeTint="BF"/>
          <w:insideH w:val="nil"/>
          <w:insideV w:val="nil"/>
        </w:tcBorders>
        <w:shd w:val="clear" w:color="auto" w:fill="584FA1" w:themeFill="accent6"/>
      </w:tcPr>
    </w:tblStylePr>
    <w:tblStylePr w:type="lastRow">
      <w:pPr>
        <w:spacing w:before="0" w:after="0" w:line="240" w:lineRule="auto"/>
      </w:pPr>
      <w:rPr>
        <w:b/>
        <w:bCs/>
      </w:rPr>
      <w:tblPr/>
      <w:tcPr>
        <w:tcBorders>
          <w:top w:val="double" w:sz="6" w:space="0" w:color="7E77BC" w:themeColor="accent6" w:themeTint="BF"/>
          <w:left w:val="single" w:sz="8" w:space="0" w:color="7E77BC" w:themeColor="accent6" w:themeTint="BF"/>
          <w:bottom w:val="single" w:sz="8" w:space="0" w:color="7E77BC" w:themeColor="accent6" w:themeTint="BF"/>
          <w:right w:val="single" w:sz="8" w:space="0" w:color="7E77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4D2E9" w:themeFill="accent6" w:themeFillTint="3F"/>
      </w:tcPr>
    </w:tblStylePr>
    <w:tblStylePr w:type="band1Horz">
      <w:tblPr/>
      <w:tcPr>
        <w:tcBorders>
          <w:insideH w:val="nil"/>
          <w:insideV w:val="nil"/>
        </w:tcBorders>
        <w:shd w:val="clear" w:color="auto" w:fill="D4D2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A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6A47" w:themeFill="accent1"/>
      </w:tcPr>
    </w:tblStylePr>
    <w:tblStylePr w:type="lastCol">
      <w:rPr>
        <w:b/>
        <w:bCs/>
        <w:color w:val="FFFFFF" w:themeColor="background1"/>
      </w:rPr>
      <w:tblPr/>
      <w:tcPr>
        <w:tcBorders>
          <w:left w:val="nil"/>
          <w:right w:val="nil"/>
          <w:insideH w:val="nil"/>
          <w:insideV w:val="nil"/>
        </w:tcBorders>
        <w:shd w:val="clear" w:color="auto" w:fill="F26A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2"/>
      </w:tcPr>
    </w:tblStylePr>
    <w:tblStylePr w:type="lastCol">
      <w:rPr>
        <w:b/>
        <w:bCs/>
        <w:color w:val="FFFFFF" w:themeColor="background1"/>
      </w:rPr>
      <w:tblPr/>
      <w:tcPr>
        <w:tcBorders>
          <w:left w:val="nil"/>
          <w:right w:val="nil"/>
          <w:insideH w:val="nil"/>
          <w:insideV w:val="nil"/>
        </w:tcBorders>
        <w:shd w:val="clear" w:color="auto" w:fill="FFC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9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95" w:themeFill="accent4"/>
      </w:tcPr>
    </w:tblStylePr>
    <w:tblStylePr w:type="lastCol">
      <w:rPr>
        <w:b/>
        <w:bCs/>
        <w:color w:val="FFFFFF" w:themeColor="background1"/>
      </w:rPr>
      <w:tblPr/>
      <w:tcPr>
        <w:tcBorders>
          <w:left w:val="nil"/>
          <w:right w:val="nil"/>
          <w:insideH w:val="nil"/>
          <w:insideV w:val="nil"/>
        </w:tcBorders>
        <w:shd w:val="clear" w:color="auto" w:fill="005D9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0000" w:themeFill="accent5"/>
      </w:tcPr>
    </w:tblStylePr>
    <w:tblStylePr w:type="lastCol">
      <w:rPr>
        <w:b/>
        <w:bCs/>
        <w:color w:val="FFFFFF" w:themeColor="background1"/>
      </w:rPr>
      <w:tblPr/>
      <w:tcPr>
        <w:tcBorders>
          <w:left w:val="nil"/>
          <w:right w:val="nil"/>
          <w:insideH w:val="nil"/>
          <w:insideV w:val="nil"/>
        </w:tcBorders>
        <w:shd w:val="clear" w:color="auto" w:fill="C000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4F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4FA1" w:themeFill="accent6"/>
      </w:tcPr>
    </w:tblStylePr>
    <w:tblStylePr w:type="lastCol">
      <w:rPr>
        <w:b/>
        <w:bCs/>
        <w:color w:val="FFFFFF" w:themeColor="background1"/>
      </w:rPr>
      <w:tblPr/>
      <w:tcPr>
        <w:tcBorders>
          <w:left w:val="nil"/>
          <w:right w:val="nil"/>
          <w:insideH w:val="nil"/>
          <w:insideV w:val="nil"/>
        </w:tcBorders>
        <w:shd w:val="clear" w:color="auto" w:fill="584F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noProof w:val="0"/>
      <w:sz w:val="24"/>
      <w:szCs w:val="24"/>
      <w:shd w:val="pct20" w:color="auto" w:fill="auto"/>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rPr>
      <w:noProof w:val="0"/>
    </w:rPr>
  </w:style>
  <w:style w:type="character" w:styleId="PageNumber">
    <w:name w:val="page number"/>
    <w:basedOn w:val="DefaultParagraphFont"/>
    <w:uiPriority w:val="99"/>
    <w:semiHidden/>
    <w:unhideWhenUsed/>
    <w:rPr>
      <w:noProof w:val="0"/>
    </w:rPr>
  </w:style>
  <w:style w:type="character" w:styleId="PlaceholderText">
    <w:name w:val="Placeholder Text"/>
    <w:basedOn w:val="DefaultParagraphFont"/>
    <w:uiPriority w:val="99"/>
    <w:semiHidden/>
    <w:rPr>
      <w:noProof w:val="0"/>
      <w:color w:val="808080"/>
    </w:rPr>
  </w:style>
  <w:style w:type="table" w:customStyle="1"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Pr>
      <w:rFonts w:ascii="Consolas" w:hAnsi="Consolas"/>
      <w:noProof w:val="0"/>
      <w:sz w:val="21"/>
      <w:szCs w:val="21"/>
    </w:rPr>
  </w:style>
  <w:style w:type="paragraph" w:styleId="Quote">
    <w:name w:val="Quote"/>
    <w:basedOn w:val="Normal"/>
    <w:next w:val="Normal"/>
    <w:link w:val="QuoteChar"/>
    <w:uiPriority w:val="29"/>
    <w:semiHidden/>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Pr>
      <w:i/>
      <w:iCs/>
      <w:noProof w:val="0"/>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noProof w:val="0"/>
    </w:rPr>
  </w:style>
  <w:style w:type="paragraph" w:styleId="Signature">
    <w:name w:val="Signature"/>
    <w:basedOn w:val="Normal"/>
    <w:link w:val="SignatureChar"/>
    <w:uiPriority w:val="99"/>
    <w:semiHidden/>
    <w:unhideWhenUsed/>
    <w:pPr>
      <w:spacing w:after="0" w:line="240" w:lineRule="auto"/>
      <w:ind w:left="4252"/>
    </w:pPr>
  </w:style>
  <w:style w:type="character" w:customStyle="1" w:styleId="SignatureChar">
    <w:name w:val="Signature Char"/>
    <w:basedOn w:val="DefaultParagraphFont"/>
    <w:link w:val="Signature"/>
    <w:uiPriority w:val="99"/>
    <w:semiHidden/>
    <w:rPr>
      <w:noProof w:val="0"/>
    </w:rPr>
  </w:style>
  <w:style w:type="character" w:styleId="Strong">
    <w:name w:val="Strong"/>
    <w:basedOn w:val="DefaultParagraphFont"/>
    <w:uiPriority w:val="22"/>
    <w:semiHidden/>
    <w:qFormat/>
    <w:rPr>
      <w:b/>
      <w:bCs/>
      <w:noProof w:val="0"/>
    </w:rPr>
  </w:style>
  <w:style w:type="paragraph" w:styleId="Subtitle">
    <w:name w:val="Subtitle"/>
    <w:basedOn w:val="Normal"/>
    <w:next w:val="Normal"/>
    <w:link w:val="SubtitleChar"/>
    <w:uiPriority w:val="11"/>
    <w:semiHidden/>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Pr>
      <w:rFonts w:eastAsiaTheme="minorEastAsia"/>
      <w:noProof w:val="0"/>
      <w:color w:val="5A5A5A" w:themeColor="text1" w:themeTint="A5"/>
      <w:spacing w:val="15"/>
    </w:rPr>
  </w:style>
  <w:style w:type="character" w:styleId="SubtleEmphasis">
    <w:name w:val="Subtle Emphasis"/>
    <w:basedOn w:val="DefaultParagraphFont"/>
    <w:uiPriority w:val="19"/>
    <w:semiHidden/>
    <w:qFormat/>
    <w:rPr>
      <w:i/>
      <w:iCs/>
      <w:noProof w:val="0"/>
      <w:color w:val="404040" w:themeColor="text1" w:themeTint="BF"/>
    </w:rPr>
  </w:style>
  <w:style w:type="character" w:styleId="SubtleReference">
    <w:name w:val="Subtle Reference"/>
    <w:basedOn w:val="DefaultParagraphFont"/>
    <w:uiPriority w:val="31"/>
    <w:semiHidden/>
    <w:qFormat/>
    <w:rPr>
      <w:smallCaps/>
      <w:noProof w:val="0"/>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noProof w:val="0"/>
      <w:spacing w:val="-10"/>
      <w:kern w:val="28"/>
      <w:sz w:val="56"/>
      <w:szCs w:val="56"/>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rPr>
      <w:color w:val="DA380F" w:themeColor="accent1" w:themeShade="BF"/>
    </w:rPr>
  </w:style>
  <w:style w:type="paragraph" w:customStyle="1" w:styleId="Pagedecouverture">
    <w:name w:val="Page de couverture"/>
    <w:basedOn w:val="Normal"/>
    <w:next w:val="Normal"/>
    <w:semiHidden/>
    <w:pPr>
      <w:spacing w:after="0" w:line="240" w:lineRule="auto"/>
    </w:pPr>
    <w:rPr>
      <w:rFonts w:ascii="EC Square Sans Pro" w:hAnsi="EC Square Sans Pro" w:cs="Times New Roman"/>
      <w:sz w:val="20"/>
    </w:rPr>
  </w:style>
  <w:style w:type="paragraph" w:customStyle="1" w:styleId="FooterCoverPage">
    <w:name w:val="Footer Cover Page"/>
    <w:basedOn w:val="Normal"/>
    <w:link w:val="FooterCoverPageChar"/>
    <w:semiHidden/>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semiHidden/>
    <w:rPr>
      <w:rFonts w:ascii="Times New Roman" w:eastAsia="Times New Roman" w:hAnsi="Times New Roman" w:cs="Times New Roman"/>
      <w:sz w:val="24"/>
      <w:lang w:eastAsia="fr-BE"/>
    </w:r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color w:val="C00000"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val="0"/>
      <w:color w:val="C00000" w:themeColor="accent5"/>
      <w:sz w:val="52"/>
    </w:rPr>
  </w:style>
  <w:style w:type="character" w:customStyle="1" w:styleId="fnRef">
    <w:name w:val="fnRef"/>
    <w:uiPriority w:val="1"/>
    <w:semiHidden/>
    <w:rPr>
      <w:rFonts w:ascii="EC Square Sans Pro" w:hAnsi="EC Square Sans Pro"/>
      <w:b w:val="0"/>
      <w:i w:val="0"/>
      <w:noProof w:val="0"/>
      <w:bdr w:val="none" w:sz="0" w:space="0" w:color="auto"/>
      <w:shd w:val="clear" w:color="auto" w:fill="auto"/>
      <w:vertAlign w:val="baseline"/>
      <w:lang w:val="en-GB"/>
    </w:rPr>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Marker">
    <w:name w:val="Marker"/>
    <w:basedOn w:val="DefaultParagraphFont"/>
    <w:rPr>
      <w:noProof w:val="0"/>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lang w:eastAsia="fr-BE"/>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lang w:eastAsia="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lang w:eastAsia="fr-BE"/>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imes New Roman" w:hAnsi="Times New Roman" w:cs="Times New Roman"/>
      <w:sz w:val="28"/>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330134">
      <w:bodyDiv w:val="1"/>
      <w:marLeft w:val="0"/>
      <w:marRight w:val="0"/>
      <w:marTop w:val="0"/>
      <w:marBottom w:val="0"/>
      <w:divBdr>
        <w:top w:val="none" w:sz="0" w:space="0" w:color="auto"/>
        <w:left w:val="none" w:sz="0" w:space="0" w:color="auto"/>
        <w:bottom w:val="none" w:sz="0" w:space="0" w:color="auto"/>
        <w:right w:val="none" w:sz="0" w:space="0" w:color="auto"/>
      </w:divBdr>
    </w:div>
    <w:div w:id="420033440">
      <w:bodyDiv w:val="1"/>
      <w:marLeft w:val="0"/>
      <w:marRight w:val="0"/>
      <w:marTop w:val="0"/>
      <w:marBottom w:val="0"/>
      <w:divBdr>
        <w:top w:val="none" w:sz="0" w:space="0" w:color="auto"/>
        <w:left w:val="none" w:sz="0" w:space="0" w:color="auto"/>
        <w:bottom w:val="none" w:sz="0" w:space="0" w:color="auto"/>
        <w:right w:val="none" w:sz="0" w:space="0" w:color="auto"/>
      </w:divBdr>
    </w:div>
    <w:div w:id="668679953">
      <w:bodyDiv w:val="1"/>
      <w:marLeft w:val="0"/>
      <w:marRight w:val="0"/>
      <w:marTop w:val="0"/>
      <w:marBottom w:val="0"/>
      <w:divBdr>
        <w:top w:val="none" w:sz="0" w:space="0" w:color="auto"/>
        <w:left w:val="none" w:sz="0" w:space="0" w:color="auto"/>
        <w:bottom w:val="none" w:sz="0" w:space="0" w:color="auto"/>
        <w:right w:val="none" w:sz="0" w:space="0" w:color="auto"/>
      </w:divBdr>
    </w:div>
    <w:div w:id="974682731">
      <w:bodyDiv w:val="1"/>
      <w:marLeft w:val="0"/>
      <w:marRight w:val="0"/>
      <w:marTop w:val="0"/>
      <w:marBottom w:val="0"/>
      <w:divBdr>
        <w:top w:val="none" w:sz="0" w:space="0" w:color="auto"/>
        <w:left w:val="none" w:sz="0" w:space="0" w:color="auto"/>
        <w:bottom w:val="none" w:sz="0" w:space="0" w:color="auto"/>
        <w:right w:val="none" w:sz="0" w:space="0" w:color="auto"/>
      </w:divBdr>
    </w:div>
    <w:div w:id="1261059227">
      <w:bodyDiv w:val="1"/>
      <w:marLeft w:val="0"/>
      <w:marRight w:val="0"/>
      <w:marTop w:val="0"/>
      <w:marBottom w:val="0"/>
      <w:divBdr>
        <w:top w:val="none" w:sz="0" w:space="0" w:color="auto"/>
        <w:left w:val="none" w:sz="0" w:space="0" w:color="auto"/>
        <w:bottom w:val="none" w:sz="0" w:space="0" w:color="auto"/>
        <w:right w:val="none" w:sz="0" w:space="0" w:color="auto"/>
      </w:divBdr>
    </w:div>
    <w:div w:id="155145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image" Target="media/image6.png"/><Relationship Id="rId50" Type="http://schemas.openxmlformats.org/officeDocument/2006/relationships/header" Target="header16.xml"/><Relationship Id="rId55" Type="http://schemas.openxmlformats.org/officeDocument/2006/relationships/footer" Target="footer18.xml"/><Relationship Id="rId63" Type="http://schemas.openxmlformats.org/officeDocument/2006/relationships/header" Target="header23.xml"/><Relationship Id="rId68" Type="http://schemas.openxmlformats.org/officeDocument/2006/relationships/header" Target="header25.xml"/><Relationship Id="rId76" Type="http://schemas.microsoft.com/office/2011/relationships/people" Target="people.xml"/><Relationship Id="rId7" Type="http://schemas.microsoft.com/office/2007/relationships/stylesWithEffects" Target="stylesWithEffects.xml"/><Relationship Id="rId71" Type="http://schemas.openxmlformats.org/officeDocument/2006/relationships/footer" Target="footer26.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6b3b9628bc954371" Type="http://schemas.microsoft.com/office/2018/08/relationships/commentsExtensible" Target="commentsExtensible.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chart" Target="charts/chart2.xml"/><Relationship Id="rId53" Type="http://schemas.openxmlformats.org/officeDocument/2006/relationships/footer" Target="footer17.xml"/><Relationship Id="rId58" Type="http://schemas.openxmlformats.org/officeDocument/2006/relationships/footer" Target="footer19.xml"/><Relationship Id="rId66" Type="http://schemas.openxmlformats.org/officeDocument/2006/relationships/header" Target="header24.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image" Target="media/image8.jpeg"/><Relationship Id="rId57" Type="http://schemas.openxmlformats.org/officeDocument/2006/relationships/header" Target="header20.xml"/><Relationship Id="rId61" Type="http://schemas.openxmlformats.org/officeDocument/2006/relationships/footer" Target="footer21.xml"/><Relationship Id="R306fd7e4cc4f40f9"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chart" Target="charts/chart1.xml"/><Relationship Id="rId52" Type="http://schemas.openxmlformats.org/officeDocument/2006/relationships/footer" Target="footer16.xml"/><Relationship Id="rId60" Type="http://schemas.openxmlformats.org/officeDocument/2006/relationships/header" Target="header21.xml"/><Relationship Id="rId65" Type="http://schemas.openxmlformats.org/officeDocument/2006/relationships/footer" Target="footer23.xml"/><Relationship Id="rId73" Type="http://schemas.openxmlformats.org/officeDocument/2006/relationships/footer" Target="footer2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image" Target="media/image4.png"/><Relationship Id="rId48" Type="http://schemas.openxmlformats.org/officeDocument/2006/relationships/image" Target="media/image7.png"/><Relationship Id="rId56" Type="http://schemas.openxmlformats.org/officeDocument/2006/relationships/header" Target="header19.xml"/><Relationship Id="rId64" Type="http://schemas.openxmlformats.org/officeDocument/2006/relationships/footer" Target="footer22.xml"/><Relationship Id="rId69" Type="http://schemas.openxmlformats.org/officeDocument/2006/relationships/header" Target="header26.xml"/><Relationship Id="rId8" Type="http://schemas.openxmlformats.org/officeDocument/2006/relationships/settings" Target="settings.xml"/><Relationship Id="rId51" Type="http://schemas.openxmlformats.org/officeDocument/2006/relationships/header" Target="header17.xml"/><Relationship Id="rId72" Type="http://schemas.openxmlformats.org/officeDocument/2006/relationships/header" Target="header27.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image" Target="media/image5.png"/><Relationship Id="rId59" Type="http://schemas.openxmlformats.org/officeDocument/2006/relationships/footer" Target="footer20.xml"/><Relationship Id="rId67" Type="http://schemas.openxmlformats.org/officeDocument/2006/relationships/footer" Target="footer24.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header" Target="header18.xml"/><Relationship Id="rId62" Type="http://schemas.openxmlformats.org/officeDocument/2006/relationships/header" Target="header22.xml"/><Relationship Id="rId70" Type="http://schemas.openxmlformats.org/officeDocument/2006/relationships/footer" Target="footer25.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trategy/priorities-2019-2024/european-green-deal_en" TargetMode="External"/><Relationship Id="rId2" Type="http://schemas.openxmlformats.org/officeDocument/2006/relationships/hyperlink" Target="https://ec.europa.eu/info/files/political-guidelines-new-commission_en" TargetMode="External"/><Relationship Id="rId1" Type="http://schemas.openxmlformats.org/officeDocument/2006/relationships/hyperlink" Target="https://ec.europa.eu/info/about-european-commission/eu-budget/how-it-works/annual-lifecycle/assessment/parliaments-approval_en" TargetMode="External"/><Relationship Id="rId5" Type="http://schemas.openxmlformats.org/officeDocument/2006/relationships/hyperlink" Target="https://eur-lex.europa.eu/legal-content/EN/ALL/?uri=CELEX%3A32020R2092" TargetMode="External"/><Relationship Id="rId4" Type="http://schemas.openxmlformats.org/officeDocument/2006/relationships/hyperlink" Target="https://ec.europa.eu/environment/strategy/biodiversity-strategy-2030_en" TargetMode="External"/></Relationships>
</file>

<file path=word/_rels/header23.xml.rels><?xml version="1.0" encoding="UTF-8" standalone="yes"?>
<Relationships xmlns="http://schemas.openxmlformats.org/package/2006/relationships"><Relationship Id="rId1" Type="http://schemas.openxmlformats.org/officeDocument/2006/relationships/image" Target="media/image9.jpg"/></Relationships>
</file>

<file path=word/_rels/header25.xml.rels><?xml version="1.0" encoding="UTF-8" standalone="yes"?>
<Relationships xmlns="http://schemas.openxmlformats.org/package/2006/relationships"><Relationship Id="rId1" Type="http://schemas.openxmlformats.org/officeDocument/2006/relationships/image" Target="media/image10.jpg"/></Relationships>
</file>

<file path=word/_rels/header26.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net1.cec.eu.int\BUDG\03\U03\10%20-%20GRAPHIC%20DESIGN\210412_AMPR_Graphs\Client%20Docs\new_ampr_barchart.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file:///\\net1.cec.eu.int\BUDG\03\U03\10%20-%20GRAPHIC%20DESIGN\210412_AMPR_Graphs\Client%20Docs\Climate%20mainstreaming%202014-2020.xlsx" TargetMode="External"/><Relationship Id="rId1" Type="http://schemas.openxmlformats.org/officeDocument/2006/relationships/themeOverride" Target="../theme/themeOverride1.xml"/><Relationship Id="rId4"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32748399830432E-2"/>
          <c:y val="0.33862261782494579"/>
          <c:w val="0.94846729189852153"/>
          <c:h val="0.46104473353874242"/>
        </c:manualLayout>
      </c:layout>
      <c:barChart>
        <c:barDir val="bar"/>
        <c:grouping val="percentStacked"/>
        <c:varyColors val="0"/>
        <c:ser>
          <c:idx val="0"/>
          <c:order val="0"/>
          <c:tx>
            <c:strRef>
              <c:f>Sheet1!$J$3</c:f>
              <c:strCache>
                <c:ptCount val="1"/>
                <c:pt idx="0">
                  <c:v>100% on track</c:v>
                </c:pt>
              </c:strCache>
            </c:strRef>
          </c:tx>
          <c:spPr>
            <a:solidFill>
              <a:srgbClr val="00B050"/>
            </a:solidFill>
            <a:ln w="1270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3F08-441F-BA3C-164F9C5ED0CB}"/>
              </c:ext>
            </c:extLst>
          </c:dPt>
          <c:dPt>
            <c:idx val="1"/>
            <c:invertIfNegative val="0"/>
            <c:bubble3D val="0"/>
            <c:extLst xmlns:c16r2="http://schemas.microsoft.com/office/drawing/2015/06/chart">
              <c:ext xmlns:c16="http://schemas.microsoft.com/office/drawing/2014/chart" uri="{C3380CC4-5D6E-409C-BE32-E72D297353CC}">
                <c16:uniqueId val="{00000003-3F08-441F-BA3C-164F9C5ED0CB}"/>
              </c:ext>
            </c:extLst>
          </c:dPt>
          <c:dPt>
            <c:idx val="2"/>
            <c:invertIfNegative val="0"/>
            <c:bubble3D val="0"/>
            <c:extLst xmlns:c16r2="http://schemas.microsoft.com/office/drawing/2015/06/chart">
              <c:ext xmlns:c16="http://schemas.microsoft.com/office/drawing/2014/chart" uri="{C3380CC4-5D6E-409C-BE32-E72D297353CC}">
                <c16:uniqueId val="{00000005-3F08-441F-BA3C-164F9C5ED0CB}"/>
              </c:ext>
            </c:extLst>
          </c:dPt>
          <c:dPt>
            <c:idx val="3"/>
            <c:invertIfNegative val="0"/>
            <c:bubble3D val="0"/>
            <c:extLst xmlns:c16r2="http://schemas.microsoft.com/office/drawing/2015/06/chart">
              <c:ext xmlns:c16="http://schemas.microsoft.com/office/drawing/2014/chart" uri="{C3380CC4-5D6E-409C-BE32-E72D297353CC}">
                <c16:uniqueId val="{00000007-3F08-441F-BA3C-164F9C5ED0CB}"/>
              </c:ext>
            </c:extLst>
          </c:dPt>
          <c:dLbls>
            <c:dLbl>
              <c:idx val="0"/>
              <c:layout>
                <c:manualLayout>
                  <c:x val="-4.0479548802084438E-2"/>
                  <c:y val="-0.21805793471428503"/>
                </c:manualLayout>
              </c:layout>
              <c:tx>
                <c:rich>
                  <a:bodyPr/>
                  <a:lstStyle/>
                  <a:p>
                    <a:fld id="{DC503075-270A-4191-8373-5A47FFF6E74A}" type="VALUE">
                      <a:rPr lang="en-US"/>
                      <a:pPr/>
                      <a:t>[VALUE]</a:t>
                    </a:fld>
                    <a:r>
                      <a:rPr lang="en-US"/>
                      <a:t> of total budget</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3F08-441F-BA3C-164F9C5ED0C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Sheet1!$L$3</c:f>
              <c:numCache>
                <c:formatCode>0%</c:formatCode>
                <c:ptCount val="1"/>
                <c:pt idx="0">
                  <c:v>0.64</c:v>
                </c:pt>
              </c:numCache>
            </c:numRef>
          </c:val>
          <c:extLst xmlns:c16r2="http://schemas.microsoft.com/office/drawing/2015/06/chart">
            <c:ext xmlns:c16="http://schemas.microsoft.com/office/drawing/2014/chart" uri="{C3380CC4-5D6E-409C-BE32-E72D297353CC}">
              <c16:uniqueId val="{00000008-3F08-441F-BA3C-164F9C5ED0CB}"/>
            </c:ext>
          </c:extLst>
        </c:ser>
        <c:ser>
          <c:idx val="1"/>
          <c:order val="1"/>
          <c:tx>
            <c:strRef>
              <c:f>Sheet1!$J$4</c:f>
              <c:strCache>
                <c:ptCount val="1"/>
                <c:pt idx="0">
                  <c:v>75%-100% on track</c:v>
                </c:pt>
              </c:strCache>
            </c:strRef>
          </c:tx>
          <c:spPr>
            <a:solidFill>
              <a:srgbClr val="92D050"/>
            </a:solidFill>
            <a:ln w="12700">
              <a:solidFill>
                <a:schemeClr val="lt1"/>
              </a:solidFill>
            </a:ln>
            <a:effectLst/>
          </c:spPr>
          <c:invertIfNegative val="0"/>
          <c:dLbls>
            <c:dLbl>
              <c:idx val="0"/>
              <c:layout>
                <c:manualLayout>
                  <c:x val="-6.6487661424370278E-2"/>
                  <c:y val="-0.23156611822059719"/>
                </c:manualLayout>
              </c:layout>
              <c:tx>
                <c:rich>
                  <a:bodyPr/>
                  <a:lstStyle/>
                  <a:p>
                    <a:fld id="{637EC878-795B-4F4E-B06D-F485A75629C5}" type="VALUE">
                      <a:rPr lang="en-US"/>
                      <a:pPr/>
                      <a:t>[VALUE]</a:t>
                    </a:fld>
                    <a:r>
                      <a:rPr lang="en-US"/>
                      <a:t> of total budget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9-3F08-441F-BA3C-164F9C5ED0C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Sheet1!$L$4</c:f>
              <c:numCache>
                <c:formatCode>0%</c:formatCode>
                <c:ptCount val="1"/>
                <c:pt idx="0">
                  <c:v>0.28000000000000003</c:v>
                </c:pt>
              </c:numCache>
            </c:numRef>
          </c:val>
          <c:extLst xmlns:c16r2="http://schemas.microsoft.com/office/drawing/2015/06/chart">
            <c:ext xmlns:c16="http://schemas.microsoft.com/office/drawing/2014/chart" uri="{C3380CC4-5D6E-409C-BE32-E72D297353CC}">
              <c16:uniqueId val="{0000000A-3F08-441F-BA3C-164F9C5ED0CB}"/>
            </c:ext>
          </c:extLst>
        </c:ser>
        <c:ser>
          <c:idx val="2"/>
          <c:order val="2"/>
          <c:tx>
            <c:strRef>
              <c:f>Sheet1!$J$5</c:f>
              <c:strCache>
                <c:ptCount val="1"/>
                <c:pt idx="0">
                  <c:v>50%-75% on track</c:v>
                </c:pt>
              </c:strCache>
            </c:strRef>
          </c:tx>
          <c:spPr>
            <a:solidFill>
              <a:schemeClr val="accent3"/>
            </a:solidFill>
            <a:ln w="12700">
              <a:solidFill>
                <a:schemeClr val="lt1"/>
              </a:solidFill>
            </a:ln>
            <a:effectLst/>
          </c:spPr>
          <c:invertIfNegative val="0"/>
          <c:dLbls>
            <c:dLbl>
              <c:idx val="0"/>
              <c:layout>
                <c:manualLayout>
                  <c:x val="-3.0686612965094073E-2"/>
                  <c:y val="-0.235628681698151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3F08-441F-BA3C-164F9C5ED0C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Sheet1!$L$5</c:f>
              <c:numCache>
                <c:formatCode>0%</c:formatCode>
                <c:ptCount val="1"/>
                <c:pt idx="0">
                  <c:v>0.02</c:v>
                </c:pt>
              </c:numCache>
            </c:numRef>
          </c:val>
          <c:extLst xmlns:c16r2="http://schemas.microsoft.com/office/drawing/2015/06/chart">
            <c:ext xmlns:c16="http://schemas.microsoft.com/office/drawing/2014/chart" uri="{C3380CC4-5D6E-409C-BE32-E72D297353CC}">
              <c16:uniqueId val="{0000000C-3F08-441F-BA3C-164F9C5ED0CB}"/>
            </c:ext>
          </c:extLst>
        </c:ser>
        <c:ser>
          <c:idx val="3"/>
          <c:order val="3"/>
          <c:tx>
            <c:strRef>
              <c:f>Sheet1!$J$6</c:f>
              <c:strCache>
                <c:ptCount val="1"/>
                <c:pt idx="0">
                  <c:v>&lt; 50% on track</c:v>
                </c:pt>
              </c:strCache>
            </c:strRef>
          </c:tx>
          <c:spPr>
            <a:solidFill>
              <a:srgbClr val="F26A47"/>
            </a:solidFill>
            <a:ln w="12700">
              <a:solidFill>
                <a:schemeClr val="lt1"/>
              </a:solidFill>
            </a:ln>
            <a:effectLst/>
          </c:spPr>
          <c:invertIfNegative val="0"/>
          <c:dLbls>
            <c:dLbl>
              <c:idx val="0"/>
              <c:layout>
                <c:manualLayout>
                  <c:x val="5.1144354941823292E-3"/>
                  <c:y val="-0.1990656104001624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3F08-441F-BA3C-164F9C5ED0C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Sheet1!$L$6</c:f>
              <c:numCache>
                <c:formatCode>0%</c:formatCode>
                <c:ptCount val="1"/>
                <c:pt idx="0">
                  <c:v>0.06</c:v>
                </c:pt>
              </c:numCache>
            </c:numRef>
          </c:val>
          <c:extLst xmlns:c16r2="http://schemas.microsoft.com/office/drawing/2015/06/chart">
            <c:ext xmlns:c16="http://schemas.microsoft.com/office/drawing/2014/chart" uri="{C3380CC4-5D6E-409C-BE32-E72D297353CC}">
              <c16:uniqueId val="{0000000E-3F08-441F-BA3C-164F9C5ED0CB}"/>
            </c:ext>
          </c:extLst>
        </c:ser>
        <c:dLbls>
          <c:showLegendKey val="0"/>
          <c:showVal val="0"/>
          <c:showCatName val="0"/>
          <c:showSerName val="0"/>
          <c:showPercent val="0"/>
          <c:showBubbleSize val="0"/>
        </c:dLbls>
        <c:gapWidth val="100"/>
        <c:overlap val="100"/>
        <c:axId val="80171008"/>
        <c:axId val="80091008"/>
      </c:barChart>
      <c:valAx>
        <c:axId val="80091008"/>
        <c:scaling>
          <c:orientation val="minMax"/>
        </c:scaling>
        <c:delete val="1"/>
        <c:axPos val="b"/>
        <c:numFmt formatCode="0%" sourceLinked="1"/>
        <c:majorTickMark val="out"/>
        <c:minorTickMark val="none"/>
        <c:tickLblPos val="nextTo"/>
        <c:crossAx val="80171008"/>
        <c:crosses val="autoZero"/>
        <c:crossBetween val="between"/>
      </c:valAx>
      <c:catAx>
        <c:axId val="80171008"/>
        <c:scaling>
          <c:orientation val="minMax"/>
        </c:scaling>
        <c:delete val="1"/>
        <c:axPos val="l"/>
        <c:majorTickMark val="out"/>
        <c:minorTickMark val="none"/>
        <c:tickLblPos val="nextTo"/>
        <c:crossAx val="80091008"/>
        <c:crosses val="autoZero"/>
        <c:auto val="1"/>
        <c:lblAlgn val="ctr"/>
        <c:lblOffset val="100"/>
        <c:noMultiLvlLbl val="0"/>
      </c:catAx>
      <c:spPr>
        <a:noFill/>
        <a:ln w="6350">
          <a:solidFill>
            <a:schemeClr val="lt1"/>
          </a:solidFill>
        </a:ln>
        <a:effectLst/>
      </c:spPr>
    </c:plotArea>
    <c:legend>
      <c:legendPos val="r"/>
      <c:layout>
        <c:manualLayout>
          <c:xMode val="edge"/>
          <c:yMode val="edge"/>
          <c:x val="9.1097775399434297E-2"/>
          <c:y val="0.74355471870364032"/>
          <c:w val="0.79416259529782962"/>
          <c:h val="0.230414609938463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latin typeface="EC Square Sans Pro" panose="020B05060400000200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729442542270718E-2"/>
          <c:y val="0"/>
          <c:w val="0.96054111491545857"/>
          <c:h val="1"/>
        </c:manualLayout>
      </c:layout>
      <c:barChart>
        <c:barDir val="bar"/>
        <c:grouping val="percentStacked"/>
        <c:varyColors val="0"/>
        <c:ser>
          <c:idx val="0"/>
          <c:order val="0"/>
          <c:tx>
            <c:strRef>
              <c:f>AMPR2020!$B$48</c:f>
              <c:strCache>
                <c:ptCount val="1"/>
                <c:pt idx="0">
                  <c:v>Horizon 2020 – The Framework Programme for Research and Innovation - EUR 20 300 million</c:v>
                </c:pt>
              </c:strCache>
            </c:strRef>
          </c:tx>
          <c:spPr>
            <a:solidFill>
              <a:schemeClr val="accent1"/>
            </a:solidFill>
            <a:ln>
              <a:noFill/>
            </a:ln>
            <a:effectLst/>
          </c:spPr>
          <c:invertIfNegative val="0"/>
          <c:val>
            <c:numRef>
              <c:f>AMPR2020!$C$48:$J$48</c:f>
              <c:numCache>
                <c:formatCode>_-* #,##0_-;\-* #,##0_-;_-* "-"??_-;_-@_-</c:formatCode>
                <c:ptCount val="1"/>
                <c:pt idx="0">
                  <c:v>20300</c:v>
                </c:pt>
              </c:numCache>
            </c:numRef>
          </c:val>
          <c:extLst xmlns:c16r2="http://schemas.microsoft.com/office/drawing/2015/06/chart">
            <c:ext xmlns:c16="http://schemas.microsoft.com/office/drawing/2014/chart" uri="{C3380CC4-5D6E-409C-BE32-E72D297353CC}">
              <c16:uniqueId val="{00000000-7FF6-4360-9CA0-7F4A6BD87D26}"/>
            </c:ext>
          </c:extLst>
        </c:ser>
        <c:ser>
          <c:idx val="1"/>
          <c:order val="1"/>
          <c:tx>
            <c:strRef>
              <c:f>AMPR2020!$B$49</c:f>
              <c:strCache>
                <c:ptCount val="1"/>
                <c:pt idx="0">
                  <c:v>Connecting Europe Facility (CEF) - EUR 21 082 million</c:v>
                </c:pt>
              </c:strCache>
            </c:strRef>
          </c:tx>
          <c:spPr>
            <a:solidFill>
              <a:schemeClr val="accent2"/>
            </a:solidFill>
            <a:ln>
              <a:noFill/>
            </a:ln>
            <a:effectLst/>
          </c:spPr>
          <c:invertIfNegative val="0"/>
          <c:val>
            <c:numRef>
              <c:f>AMPR2020!$C$49:$J$49</c:f>
              <c:numCache>
                <c:formatCode>_-* #,##0_-;\-* #,##0_-;_-* "-"??_-;_-@_-</c:formatCode>
                <c:ptCount val="1"/>
                <c:pt idx="0">
                  <c:v>21082</c:v>
                </c:pt>
              </c:numCache>
            </c:numRef>
          </c:val>
          <c:extLst xmlns:c16r2="http://schemas.microsoft.com/office/drawing/2015/06/chart">
            <c:ext xmlns:c16="http://schemas.microsoft.com/office/drawing/2014/chart" uri="{C3380CC4-5D6E-409C-BE32-E72D297353CC}">
              <c16:uniqueId val="{00000001-7FF6-4360-9CA0-7F4A6BD87D26}"/>
            </c:ext>
          </c:extLst>
        </c:ser>
        <c:ser>
          <c:idx val="2"/>
          <c:order val="2"/>
          <c:tx>
            <c:strRef>
              <c:f>AMPR2020!$B$50</c:f>
              <c:strCache>
                <c:ptCount val="1"/>
                <c:pt idx="0">
                  <c:v>European Regional Development Fund (ERDF) - EUR 34 142 million</c:v>
                </c:pt>
              </c:strCache>
            </c:strRef>
          </c:tx>
          <c:spPr>
            <a:solidFill>
              <a:schemeClr val="accent3"/>
            </a:solidFill>
            <a:ln>
              <a:noFill/>
            </a:ln>
            <a:effectLst/>
          </c:spPr>
          <c:invertIfNegative val="0"/>
          <c:val>
            <c:numRef>
              <c:f>AMPR2020!$C$50:$J$50</c:f>
              <c:numCache>
                <c:formatCode>_-* #,##0_-;\-* #,##0_-;_-* "-"??_-;_-@_-</c:formatCode>
                <c:ptCount val="1"/>
                <c:pt idx="0">
                  <c:v>34141.978882000003</c:v>
                </c:pt>
              </c:numCache>
            </c:numRef>
          </c:val>
          <c:extLst xmlns:c16r2="http://schemas.microsoft.com/office/drawing/2015/06/chart">
            <c:ext xmlns:c16="http://schemas.microsoft.com/office/drawing/2014/chart" uri="{C3380CC4-5D6E-409C-BE32-E72D297353CC}">
              <c16:uniqueId val="{00000002-7FF6-4360-9CA0-7F4A6BD87D26}"/>
            </c:ext>
          </c:extLst>
        </c:ser>
        <c:ser>
          <c:idx val="3"/>
          <c:order val="3"/>
          <c:tx>
            <c:strRef>
              <c:f>AMPR2020!$B$51</c:f>
              <c:strCache>
                <c:ptCount val="1"/>
                <c:pt idx="0">
                  <c:v>Cohesion Fund (CF) - EUR 16 733 million</c:v>
                </c:pt>
              </c:strCache>
            </c:strRef>
          </c:tx>
          <c:spPr>
            <a:solidFill>
              <a:schemeClr val="accent4"/>
            </a:solidFill>
            <a:ln>
              <a:noFill/>
            </a:ln>
            <a:effectLst/>
          </c:spPr>
          <c:invertIfNegative val="0"/>
          <c:val>
            <c:numRef>
              <c:f>AMPR2020!$C$51:$J$51</c:f>
              <c:numCache>
                <c:formatCode>_-* #,##0_-;\-* #,##0_-;_-* "-"??_-;_-@_-</c:formatCode>
                <c:ptCount val="1"/>
                <c:pt idx="0">
                  <c:v>16732.942662239999</c:v>
                </c:pt>
              </c:numCache>
            </c:numRef>
          </c:val>
          <c:extLst xmlns:c16r2="http://schemas.microsoft.com/office/drawing/2015/06/chart">
            <c:ext xmlns:c16="http://schemas.microsoft.com/office/drawing/2014/chart" uri="{C3380CC4-5D6E-409C-BE32-E72D297353CC}">
              <c16:uniqueId val="{00000003-7FF6-4360-9CA0-7F4A6BD87D26}"/>
            </c:ext>
          </c:extLst>
        </c:ser>
        <c:ser>
          <c:idx val="4"/>
          <c:order val="4"/>
          <c:tx>
            <c:strRef>
              <c:f>AMPR2020!$B$52</c:f>
              <c:strCache>
                <c:ptCount val="1"/>
                <c:pt idx="0">
                  <c:v>European Social Fund (ESF) - EUR 5 477 million</c:v>
                </c:pt>
              </c:strCache>
            </c:strRef>
          </c:tx>
          <c:spPr>
            <a:solidFill>
              <a:schemeClr val="accent5"/>
            </a:solidFill>
            <a:ln>
              <a:noFill/>
            </a:ln>
            <a:effectLst/>
          </c:spPr>
          <c:invertIfNegative val="0"/>
          <c:val>
            <c:numRef>
              <c:f>AMPR2020!$C$52:$J$52</c:f>
              <c:numCache>
                <c:formatCode>_-* #,##0_-;\-* #,##0_-;_-* "-"??_-;_-@_-</c:formatCode>
                <c:ptCount val="1"/>
                <c:pt idx="0">
                  <c:v>5477</c:v>
                </c:pt>
              </c:numCache>
            </c:numRef>
          </c:val>
          <c:extLst xmlns:c16r2="http://schemas.microsoft.com/office/drawing/2015/06/chart">
            <c:ext xmlns:c16="http://schemas.microsoft.com/office/drawing/2014/chart" uri="{C3380CC4-5D6E-409C-BE32-E72D297353CC}">
              <c16:uniqueId val="{00000004-7FF6-4360-9CA0-7F4A6BD87D26}"/>
            </c:ext>
          </c:extLst>
        </c:ser>
        <c:ser>
          <c:idx val="5"/>
          <c:order val="5"/>
          <c:tx>
            <c:strRef>
              <c:f>AMPR2020!$B$53</c:f>
              <c:strCache>
                <c:ptCount val="1"/>
                <c:pt idx="0">
                  <c:v>European Agricultural Guarantee Fund (EAGF) - EUR 45 505 million</c:v>
                </c:pt>
              </c:strCache>
            </c:strRef>
          </c:tx>
          <c:spPr>
            <a:solidFill>
              <a:schemeClr val="accent6"/>
            </a:solidFill>
            <a:ln>
              <a:noFill/>
            </a:ln>
            <a:effectLst/>
          </c:spPr>
          <c:invertIfNegative val="0"/>
          <c:val>
            <c:numRef>
              <c:f>AMPR2020!$C$53:$J$53</c:f>
              <c:numCache>
                <c:formatCode>_-* #,##0_-;\-* #,##0_-;_-* "-"??_-;_-@_-</c:formatCode>
                <c:ptCount val="1"/>
                <c:pt idx="0">
                  <c:v>45505</c:v>
                </c:pt>
              </c:numCache>
            </c:numRef>
          </c:val>
          <c:extLst xmlns:c16r2="http://schemas.microsoft.com/office/drawing/2015/06/chart">
            <c:ext xmlns:c16="http://schemas.microsoft.com/office/drawing/2014/chart" uri="{C3380CC4-5D6E-409C-BE32-E72D297353CC}">
              <c16:uniqueId val="{00000005-7FF6-4360-9CA0-7F4A6BD87D26}"/>
            </c:ext>
          </c:extLst>
        </c:ser>
        <c:ser>
          <c:idx val="6"/>
          <c:order val="6"/>
          <c:tx>
            <c:strRef>
              <c:f>AMPR2020!$B$54</c:f>
              <c:strCache>
                <c:ptCount val="1"/>
                <c:pt idx="0">
                  <c:v>European Agricultural Fund for Rural Development (EAFRD) - EUR 57 694 million</c:v>
                </c:pt>
              </c:strCache>
            </c:strRef>
          </c:tx>
          <c:spPr>
            <a:solidFill>
              <a:schemeClr val="tx2"/>
            </a:solidFill>
            <a:ln>
              <a:noFill/>
            </a:ln>
            <a:effectLst/>
          </c:spPr>
          <c:invertIfNegative val="0"/>
          <c:val>
            <c:numRef>
              <c:f>AMPR2020!$C$54:$J$54</c:f>
              <c:numCache>
                <c:formatCode>_-* #,##0_-;\-* #,##0_-;_-* "-"??_-;_-@_-</c:formatCode>
                <c:ptCount val="1"/>
                <c:pt idx="0">
                  <c:v>57694</c:v>
                </c:pt>
              </c:numCache>
            </c:numRef>
          </c:val>
          <c:extLst xmlns:c16r2="http://schemas.microsoft.com/office/drawing/2015/06/chart">
            <c:ext xmlns:c16="http://schemas.microsoft.com/office/drawing/2014/chart" uri="{C3380CC4-5D6E-409C-BE32-E72D297353CC}">
              <c16:uniqueId val="{00000006-7FF6-4360-9CA0-7F4A6BD87D26}"/>
            </c:ext>
          </c:extLst>
        </c:ser>
        <c:ser>
          <c:idx val="7"/>
          <c:order val="7"/>
          <c:tx>
            <c:strRef>
              <c:f>AMPR2020!$B$55</c:f>
              <c:strCache>
                <c:ptCount val="1"/>
                <c:pt idx="0">
                  <c:v>Programme for the Environment and Climate Action (LIFE) - EUR 1 616 million</c:v>
                </c:pt>
              </c:strCache>
            </c:strRef>
          </c:tx>
          <c:spPr>
            <a:solidFill>
              <a:srgbClr val="997300"/>
            </a:solidFill>
            <a:ln>
              <a:noFill/>
            </a:ln>
            <a:effectLst/>
          </c:spPr>
          <c:invertIfNegative val="0"/>
          <c:val>
            <c:numRef>
              <c:f>AMPR2020!$C$55:$J$55</c:f>
              <c:numCache>
                <c:formatCode>_-* #,##0_-;\-* #,##0_-;_-* "-"??_-;_-@_-</c:formatCode>
                <c:ptCount val="1"/>
                <c:pt idx="0">
                  <c:v>1616</c:v>
                </c:pt>
              </c:numCache>
            </c:numRef>
          </c:val>
          <c:extLst xmlns:c16r2="http://schemas.microsoft.com/office/drawing/2015/06/chart">
            <c:ext xmlns:c16="http://schemas.microsoft.com/office/drawing/2014/chart" uri="{C3380CC4-5D6E-409C-BE32-E72D297353CC}">
              <c16:uniqueId val="{00000007-7FF6-4360-9CA0-7F4A6BD87D26}"/>
            </c:ext>
          </c:extLst>
        </c:ser>
        <c:ser>
          <c:idx val="8"/>
          <c:order val="8"/>
          <c:tx>
            <c:strRef>
              <c:f>AMPR2020!$B$56</c:f>
              <c:strCache>
                <c:ptCount val="1"/>
                <c:pt idx="0">
                  <c:v>Instrument for Pre-accession Assistance (IPA II) - EUR 1 606 million</c:v>
                </c:pt>
              </c:strCache>
            </c:strRef>
          </c:tx>
          <c:spPr>
            <a:solidFill>
              <a:srgbClr val="006A30"/>
            </a:solidFill>
            <a:ln>
              <a:noFill/>
            </a:ln>
            <a:effectLst/>
          </c:spPr>
          <c:invertIfNegative val="0"/>
          <c:val>
            <c:numRef>
              <c:f>AMPR2020!$C$56:$J$56</c:f>
              <c:numCache>
                <c:formatCode>_-* #,##0_-;\-* #,##0_-;_-* "-"??_-;_-@_-</c:formatCode>
                <c:ptCount val="1"/>
                <c:pt idx="0">
                  <c:v>1605.8</c:v>
                </c:pt>
              </c:numCache>
            </c:numRef>
          </c:val>
          <c:extLst xmlns:c16r2="http://schemas.microsoft.com/office/drawing/2015/06/chart">
            <c:ext xmlns:c16="http://schemas.microsoft.com/office/drawing/2014/chart" uri="{C3380CC4-5D6E-409C-BE32-E72D297353CC}">
              <c16:uniqueId val="{00000008-7FF6-4360-9CA0-7F4A6BD87D26}"/>
            </c:ext>
          </c:extLst>
        </c:ser>
        <c:ser>
          <c:idx val="9"/>
          <c:order val="9"/>
          <c:tx>
            <c:strRef>
              <c:f>AMPR2020!$B$57</c:f>
              <c:strCache>
                <c:ptCount val="1"/>
                <c:pt idx="0">
                  <c:v>European Neighbourhood Instrument (ENI) - EUR 2 082 million</c:v>
                </c:pt>
              </c:strCache>
            </c:strRef>
          </c:tx>
          <c:spPr>
            <a:solidFill>
              <a:srgbClr val="8EABE1"/>
            </a:solidFill>
            <a:ln>
              <a:noFill/>
            </a:ln>
            <a:effectLst/>
          </c:spPr>
          <c:invertIfNegative val="0"/>
          <c:val>
            <c:numRef>
              <c:f>AMPR2020!$C$57:$J$57</c:f>
              <c:numCache>
                <c:formatCode>_-* #,##0_-;\-* #,##0_-;_-* "-"??_-;_-@_-</c:formatCode>
                <c:ptCount val="1"/>
                <c:pt idx="0">
                  <c:v>2081.6999999999998</c:v>
                </c:pt>
              </c:numCache>
            </c:numRef>
          </c:val>
          <c:extLst xmlns:c16r2="http://schemas.microsoft.com/office/drawing/2015/06/chart">
            <c:ext xmlns:c16="http://schemas.microsoft.com/office/drawing/2014/chart" uri="{C3380CC4-5D6E-409C-BE32-E72D297353CC}">
              <c16:uniqueId val="{00000009-7FF6-4360-9CA0-7F4A6BD87D26}"/>
            </c:ext>
          </c:extLst>
        </c:ser>
        <c:ser>
          <c:idx val="10"/>
          <c:order val="10"/>
          <c:tx>
            <c:strRef>
              <c:f>AMPR2020!$B$58</c:f>
              <c:strCache>
                <c:ptCount val="1"/>
                <c:pt idx="0">
                  <c:v>Development Cooperation Instrument (DCI) - EUR 5 230 million</c:v>
                </c:pt>
              </c:strCache>
            </c:strRef>
          </c:tx>
          <c:spPr>
            <a:solidFill>
              <a:schemeClr val="accent5">
                <a:lumMod val="60000"/>
              </a:schemeClr>
            </a:solidFill>
            <a:ln>
              <a:noFill/>
            </a:ln>
            <a:effectLst/>
          </c:spPr>
          <c:invertIfNegative val="0"/>
          <c:dPt>
            <c:idx val="0"/>
            <c:invertIfNegative val="0"/>
            <c:bubble3D val="0"/>
            <c:spPr>
              <a:solidFill>
                <a:srgbClr val="730000"/>
              </a:solidFill>
              <a:ln>
                <a:noFill/>
              </a:ln>
              <a:effectLst/>
            </c:spPr>
            <c:extLst xmlns:c16r2="http://schemas.microsoft.com/office/drawing/2015/06/chart">
              <c:ext xmlns:c16="http://schemas.microsoft.com/office/drawing/2014/chart" uri="{C3380CC4-5D6E-409C-BE32-E72D297353CC}">
                <c16:uniqueId val="{0000000B-7FF6-4360-9CA0-7F4A6BD87D26}"/>
              </c:ext>
            </c:extLst>
          </c:dPt>
          <c:val>
            <c:numRef>
              <c:f>AMPR2020!$C$58:$J$58</c:f>
              <c:numCache>
                <c:formatCode>_-* #,##0_-;\-* #,##0_-;_-* "-"??_-;_-@_-</c:formatCode>
                <c:ptCount val="1"/>
                <c:pt idx="0">
                  <c:v>5230</c:v>
                </c:pt>
              </c:numCache>
            </c:numRef>
          </c:val>
          <c:extLst xmlns:c16r2="http://schemas.microsoft.com/office/drawing/2015/06/chart">
            <c:ext xmlns:c16="http://schemas.microsoft.com/office/drawing/2014/chart" uri="{C3380CC4-5D6E-409C-BE32-E72D297353CC}">
              <c16:uniqueId val="{0000000C-7FF6-4360-9CA0-7F4A6BD87D26}"/>
            </c:ext>
          </c:extLst>
        </c:ser>
        <c:ser>
          <c:idx val="11"/>
          <c:order val="11"/>
          <c:tx>
            <c:strRef>
              <c:f>AMPR2020!$B$59</c:f>
              <c:strCache>
                <c:ptCount val="1"/>
                <c:pt idx="0">
                  <c:v>Humanitarian Aid - EUR 1 060 million</c:v>
                </c:pt>
              </c:strCache>
            </c:strRef>
          </c:tx>
          <c:spPr>
            <a:solidFill>
              <a:srgbClr val="352F61"/>
            </a:solidFill>
            <a:ln>
              <a:noFill/>
            </a:ln>
            <a:effectLst/>
          </c:spPr>
          <c:invertIfNegative val="0"/>
          <c:val>
            <c:numRef>
              <c:f>AMPR2020!$C$59:$J$59</c:f>
              <c:numCache>
                <c:formatCode>_-* #,##0_-;\-* #,##0_-;_-* "-"??_-;_-@_-</c:formatCode>
                <c:ptCount val="1"/>
                <c:pt idx="0">
                  <c:v>1060</c:v>
                </c:pt>
              </c:numCache>
            </c:numRef>
          </c:val>
          <c:extLst xmlns:c16r2="http://schemas.microsoft.com/office/drawing/2015/06/chart">
            <c:ext xmlns:c16="http://schemas.microsoft.com/office/drawing/2014/chart" uri="{C3380CC4-5D6E-409C-BE32-E72D297353CC}">
              <c16:uniqueId val="{0000000D-7FF6-4360-9CA0-7F4A6BD87D26}"/>
            </c:ext>
          </c:extLst>
        </c:ser>
        <c:ser>
          <c:idx val="12"/>
          <c:order val="12"/>
          <c:tx>
            <c:strRef>
              <c:f>AMPR2020!$B$60</c:f>
              <c:strCache>
                <c:ptCount val="1"/>
                <c:pt idx="0">
                  <c:v>Others - EUR 3 486 million</c:v>
                </c:pt>
              </c:strCache>
            </c:strRef>
          </c:tx>
          <c:spPr>
            <a:solidFill>
              <a:srgbClr val="F5886C"/>
            </a:solidFill>
            <a:ln>
              <a:noFill/>
            </a:ln>
            <a:effectLst/>
          </c:spPr>
          <c:invertIfNegative val="0"/>
          <c:val>
            <c:numRef>
              <c:f>AMPR2020!$C$60:$J$60</c:f>
              <c:numCache>
                <c:formatCode>_-* #,##0_-;\-* #,##0_-;_-* "-"??_-;_-@_-</c:formatCode>
                <c:ptCount val="1"/>
                <c:pt idx="0">
                  <c:v>3572</c:v>
                </c:pt>
              </c:numCache>
            </c:numRef>
          </c:val>
          <c:extLst xmlns:c16r2="http://schemas.microsoft.com/office/drawing/2015/06/chart">
            <c:ext xmlns:c16="http://schemas.microsoft.com/office/drawing/2014/chart" uri="{C3380CC4-5D6E-409C-BE32-E72D297353CC}">
              <c16:uniqueId val="{0000000E-7FF6-4360-9CA0-7F4A6BD87D26}"/>
            </c:ext>
          </c:extLst>
        </c:ser>
        <c:dLbls>
          <c:showLegendKey val="0"/>
          <c:showVal val="0"/>
          <c:showCatName val="0"/>
          <c:showSerName val="0"/>
          <c:showPercent val="0"/>
          <c:showBubbleSize val="0"/>
        </c:dLbls>
        <c:gapWidth val="150"/>
        <c:overlap val="100"/>
        <c:axId val="97325824"/>
        <c:axId val="97327360"/>
      </c:barChart>
      <c:catAx>
        <c:axId val="97325824"/>
        <c:scaling>
          <c:orientation val="minMax"/>
        </c:scaling>
        <c:delete val="1"/>
        <c:axPos val="l"/>
        <c:numFmt formatCode="General" sourceLinked="1"/>
        <c:majorTickMark val="none"/>
        <c:minorTickMark val="none"/>
        <c:tickLblPos val="nextTo"/>
        <c:crossAx val="97327360"/>
        <c:crosses val="autoZero"/>
        <c:auto val="1"/>
        <c:lblAlgn val="ctr"/>
        <c:lblOffset val="100"/>
        <c:noMultiLvlLbl val="0"/>
      </c:catAx>
      <c:valAx>
        <c:axId val="97327360"/>
        <c:scaling>
          <c:orientation val="minMax"/>
        </c:scaling>
        <c:delete val="1"/>
        <c:axPos val="b"/>
        <c:numFmt formatCode="0%" sourceLinked="1"/>
        <c:majorTickMark val="none"/>
        <c:minorTickMark val="none"/>
        <c:tickLblPos val="nextTo"/>
        <c:crossAx val="97325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MPR_2020">
      <a:dk1>
        <a:sysClr val="windowText" lastClr="000000"/>
      </a:dk1>
      <a:lt1>
        <a:sysClr val="window" lastClr="FFFFFF"/>
      </a:lt1>
      <a:dk2>
        <a:srgbClr val="203F79"/>
      </a:dk2>
      <a:lt2>
        <a:srgbClr val="BFBFBF"/>
      </a:lt2>
      <a:accent1>
        <a:srgbClr val="F26A47"/>
      </a:accent1>
      <a:accent2>
        <a:srgbClr val="FFC000"/>
      </a:accent2>
      <a:accent3>
        <a:srgbClr val="00B050"/>
      </a:accent3>
      <a:accent4>
        <a:srgbClr val="005D95"/>
      </a:accent4>
      <a:accent5>
        <a:srgbClr val="C00000"/>
      </a:accent5>
      <a:accent6>
        <a:srgbClr val="584FA1"/>
      </a:accent6>
      <a:hlink>
        <a:srgbClr val="005D95"/>
      </a:hlink>
      <a:folHlink>
        <a:srgbClr val="005D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3">
    <a:dk1>
      <a:sysClr val="windowText" lastClr="000000"/>
    </a:dk1>
    <a:lt1>
      <a:sysClr val="window" lastClr="FFFFFF"/>
    </a:lt1>
    <a:dk2>
      <a:srgbClr val="203F79"/>
    </a:dk2>
    <a:lt2>
      <a:srgbClr val="BFBFBF"/>
    </a:lt2>
    <a:accent1>
      <a:srgbClr val="F26A47"/>
    </a:accent1>
    <a:accent2>
      <a:srgbClr val="FFC000"/>
    </a:accent2>
    <a:accent3>
      <a:srgbClr val="00B050"/>
    </a:accent3>
    <a:accent4>
      <a:srgbClr val="005D95"/>
    </a:accent4>
    <a:accent5>
      <a:srgbClr val="C00000"/>
    </a:accent5>
    <a:accent6>
      <a:srgbClr val="584FA1"/>
    </a:accent6>
    <a:hlink>
      <a:srgbClr val="F26A47"/>
    </a:hlink>
    <a:folHlink>
      <a:srgbClr val="F0BD98"/>
    </a:folHlink>
  </a:clrScheme>
  <a:fontScheme name="FONT EC Square">
    <a:majorFont>
      <a:latin typeface="EC Square Sans Pro"/>
      <a:ea typeface=""/>
      <a:cs typeface=""/>
    </a:majorFont>
    <a:minorFont>
      <a:latin typeface="EC Squar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Reference xmlns="a05a3f7d-1e55-44be-a55a-bee60eaef883" xsi:nil="true"/>
    <EC_Collab_Status xmlns="a05a3f7d-1e55-44be-a55a-bee60eaef883">Not Started</EC_Collab_Status>
    <EC_Collab_DocumentLanguage xmlns="a05a3f7d-1e55-44be-a55a-bee60eaef883">EN</EC_Collab_DocumentLanguag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189CB87B1E53E74D8E56C76F27A51955" ma:contentTypeVersion="0" ma:contentTypeDescription="Create a new document in this library." ma:contentTypeScope="" ma:versionID="568a1567bac000f9b107ffaf8516e243">
  <xsd:schema xmlns:xsd="http://www.w3.org/2001/XMLSchema" xmlns:xs="http://www.w3.org/2001/XMLSchema" xmlns:p="http://schemas.microsoft.com/office/2006/metadata/properties" xmlns:ns2="http://schemas.microsoft.com/sharepoint/v3/fields" xmlns:ns3="a05a3f7d-1e55-44be-a55a-bee60eaef883" targetNamespace="http://schemas.microsoft.com/office/2006/metadata/properties" ma:root="true" ma:fieldsID="fa7be7c49ca9f63535b72dbc21a70780" ns2:_="" ns3:_="">
    <xsd:import namespace="http://schemas.microsoft.com/sharepoint/v3/fields"/>
    <xsd:import namespace="a05a3f7d-1e55-44be-a55a-bee60eaef883"/>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05a3f7d-1e55-44be-a55a-bee60eaef883"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8283222-D039-44DC-B8B6-50D834233ED7}">
  <ds:schemaRefs>
    <ds:schemaRef ds:uri="http://schemas.microsoft.com/sharepoint/v3/contenttype/forms"/>
  </ds:schemaRefs>
</ds:datastoreItem>
</file>

<file path=customXml/itemProps2.xml><?xml version="1.0" encoding="utf-8"?>
<ds:datastoreItem xmlns:ds="http://schemas.openxmlformats.org/officeDocument/2006/customXml" ds:itemID="{EEE1ABD5-C277-47B0-B645-7BF8C0961AF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05a3f7d-1e55-44be-a55a-bee60eaef883"/>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E090EB7B-27A4-4C05-82BA-BA8C52D08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05a3f7d-1e55-44be-a55a-bee60eaef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8565D5-A585-4F27-9BB9-883079482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4630</Words>
  <Characters>25419</Characters>
  <Application>Microsoft Office Word</Application>
  <DocSecurity>0</DocSecurity>
  <Lines>385</Lines>
  <Paragraphs>121</Paragraphs>
  <ScaleCrop>false</ScaleCrop>
  <HeadingPairs>
    <vt:vector size="2" baseType="variant">
      <vt:variant>
        <vt:lpstr>Title</vt:lpstr>
      </vt:variant>
      <vt:variant>
        <vt:i4>1</vt:i4>
      </vt:variant>
    </vt:vector>
  </HeadingPairs>
  <TitlesOfParts>
    <vt:vector size="1" baseType="lpstr">
      <vt:lpstr>Annual Management and Performance Report for the EU Budget – Financial year 2020</vt:lpstr>
    </vt:vector>
  </TitlesOfParts>
  <Manager/>
  <Company/>
  <LinksUpToDate>false</LinksUpToDate>
  <CharactersWithSpaces>29928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Management and Performance Report for the EU Budget – Financial year 2020</dc:title>
  <dc:subject/>
  <dc:creator/>
  <cp:keywords/>
  <dc:description/>
  <cp:lastModifiedBy>DIGIT/C6</cp:lastModifiedBy>
  <cp:revision>55</cp:revision>
  <cp:lastPrinted>2021-05-20T21:42:00Z</cp:lastPrinted>
  <dcterms:created xsi:type="dcterms:W3CDTF">2021-06-07T17:27:00Z</dcterms:created>
  <dcterms:modified xsi:type="dcterms:W3CDTF">2021-06-09T20:18:00Z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CP-003</vt:lpwstr>
  </property>
  <property fmtid="{D5CDD505-2E9C-101B-9397-08002B2CF9AE}" pid="7" name="Last edited using">
    <vt:lpwstr>LW 7.0.1, Build 20200226</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_LW_INVALIDATED_ContentTypeId">
    <vt:lpwstr>0x010100258AA79CEB83498886A3A08681123250002A8B6320416C0D48ADF356C4A2D11BE3</vt:lpwstr>
  </property>
  <property fmtid="{D5CDD505-2E9C-101B-9397-08002B2CF9AE}" pid="10" name="_LW_INVALIDATED__LW_INVALIDATED__LW_INVALIDATED__LW_INVALIDATED__LW_INVALIDATED__LW_INVALIDATED__LW_INVALIDATED_ContentTypeId">
    <vt:lpwstr>0x010100258AA79CEB83498886A3A08681123250002A8B6320416C0D48ADF356C4A2D11BE3</vt:lpwstr>
  </property>
  <property fmtid="{D5CDD505-2E9C-101B-9397-08002B2CF9AE}" pid="11" name="_LW_INVALIDATED__LW_INVALIDATED__LW_INVALIDATED__LW_INVALIDATED_ContentTypeId">
    <vt:lpwstr>0x010100258AA79CEB83498886A3A0868112325000189CB87B1E53E74D8E56C76F27A51955</vt:lpwstr>
  </property>
</Properties>
</file>