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alt="05A03147-8F86-47FD-A5D0-C043560A38CC" style="width:455.25pt;height:310.5pt">
            <v:imagedata r:id="rId9" o:title=""/>
          </v:shape>
        </w:pict>
      </w:r>
    </w:p>
    <w:bookmarkEnd w:id="0"/>
    <w:p>
      <w:pPr>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jc w:val="center"/>
        <w:rPr>
          <w:rFonts w:ascii="Times New Roman Bold" w:hAnsi="Times New Roman Bold" w:cs="Times New Roman"/>
          <w:b/>
          <w:smallCaps/>
          <w:noProof/>
          <w:sz w:val="26"/>
          <w:szCs w:val="26"/>
          <w:u w:val="single"/>
        </w:rPr>
      </w:pPr>
      <w:bookmarkStart w:id="1" w:name="_GoBack"/>
      <w:bookmarkEnd w:id="1"/>
      <w:r>
        <w:rPr>
          <w:rFonts w:ascii="Times New Roman Bold" w:hAnsi="Times New Roman Bold"/>
          <w:b/>
          <w:smallCaps/>
          <w:noProof/>
          <w:sz w:val="26"/>
          <w:szCs w:val="26"/>
          <w:u w:val="single"/>
        </w:rPr>
        <w:lastRenderedPageBreak/>
        <w:t>EXPOSÉ DES MOTIFS</w:t>
      </w:r>
    </w:p>
    <w:p>
      <w:pPr>
        <w:spacing w:before="360"/>
        <w:rPr>
          <w:rFonts w:ascii="Times New Roman" w:hAnsi="Times New Roman" w:cs="Times New Roman"/>
          <w:b/>
          <w:noProof/>
          <w:sz w:val="24"/>
          <w:szCs w:val="24"/>
        </w:rPr>
      </w:pPr>
      <w:r>
        <w:rPr>
          <w:rFonts w:ascii="Times New Roman" w:hAnsi="Times New Roman"/>
          <w:b/>
          <w:noProof/>
          <w:sz w:val="24"/>
          <w:szCs w:val="24"/>
        </w:rPr>
        <w:t>1.</w:t>
      </w:r>
      <w:r>
        <w:rPr>
          <w:rFonts w:ascii="Times New Roman" w:hAnsi="Times New Roman"/>
          <w:b/>
          <w:noProof/>
          <w:sz w:val="24"/>
          <w:szCs w:val="24"/>
        </w:rPr>
        <w:tab/>
        <w:t>BASE JURIDIQUE ET OBJECTIFS DU RAPPORT</w:t>
      </w:r>
    </w:p>
    <w:p>
      <w:pPr>
        <w:jc w:val="both"/>
        <w:rPr>
          <w:rFonts w:ascii="Times New Roman" w:hAnsi="Times New Roman" w:cs="Times New Roman"/>
          <w:noProof/>
          <w:sz w:val="24"/>
          <w:szCs w:val="24"/>
        </w:rPr>
      </w:pPr>
      <w:r>
        <w:rPr>
          <w:rFonts w:ascii="Times New Roman" w:hAnsi="Times New Roman"/>
          <w:noProof/>
          <w:sz w:val="24"/>
          <w:szCs w:val="24"/>
        </w:rPr>
        <w:t>Le Parlement européen et le Conseil ont arrêté, par voie de règlement, le statut des fonctionnaires et le régime applicable aux autres agents de l’Union (ci-après le «</w:t>
      </w:r>
      <w:r>
        <w:rPr>
          <w:rFonts w:ascii="Times New Roman" w:hAnsi="Times New Roman"/>
          <w:b/>
          <w:noProof/>
          <w:sz w:val="24"/>
          <w:szCs w:val="24"/>
        </w:rPr>
        <w:t>RAA</w:t>
      </w:r>
      <w:r>
        <w:rPr>
          <w:rFonts w:ascii="Times New Roman" w:hAnsi="Times New Roman"/>
          <w:noProof/>
          <w:sz w:val="24"/>
          <w:szCs w:val="24"/>
        </w:rPr>
        <w:t>»), conformément à l’article 336 du traité sur le fonctionnement de l’Union européenne.</w:t>
      </w:r>
    </w:p>
    <w:p>
      <w:pPr>
        <w:jc w:val="both"/>
        <w:rPr>
          <w:rFonts w:ascii="Times New Roman" w:hAnsi="Times New Roman" w:cs="Times New Roman"/>
          <w:noProof/>
          <w:sz w:val="24"/>
          <w:szCs w:val="24"/>
        </w:rPr>
      </w:pPr>
      <w:r>
        <w:rPr>
          <w:rFonts w:ascii="Times New Roman" w:hAnsi="Times New Roman"/>
          <w:noProof/>
          <w:sz w:val="24"/>
          <w:szCs w:val="24"/>
        </w:rPr>
        <w:t>Bien que ces actes législatifs réglementent les relations juridiques entre les institutions, organes et organismes et leur personnel de manière détaillée, ils ne sont pas exhaustifs, car ils prévoient expressément que les premiers soient habilités à adopter des règles d’exécution supplémentaires sur un certain nombre de sujets.</w:t>
      </w:r>
    </w:p>
    <w:p>
      <w:pPr>
        <w:jc w:val="both"/>
        <w:rPr>
          <w:rFonts w:ascii="Times New Roman" w:hAnsi="Times New Roman" w:cs="Times New Roman"/>
          <w:noProof/>
          <w:sz w:val="24"/>
          <w:szCs w:val="24"/>
        </w:rPr>
      </w:pPr>
      <w:r>
        <w:rPr>
          <w:rFonts w:ascii="Times New Roman" w:hAnsi="Times New Roman"/>
          <w:noProof/>
          <w:sz w:val="24"/>
          <w:szCs w:val="24"/>
        </w:rPr>
        <w:t xml:space="preserve">Dans le cadre de la </w:t>
      </w:r>
      <w:r>
        <w:rPr>
          <w:rFonts w:ascii="Times New Roman" w:hAnsi="Times New Roman"/>
          <w:b/>
          <w:noProof/>
          <w:sz w:val="24"/>
          <w:szCs w:val="24"/>
        </w:rPr>
        <w:t>réforme du statut des fonctionnaires opérée en 2014</w:t>
      </w:r>
      <w:r>
        <w:rPr>
          <w:rFonts w:ascii="Times New Roman" w:hAnsi="Times New Roman"/>
          <w:noProof/>
          <w:sz w:val="24"/>
          <w:szCs w:val="24"/>
        </w:rPr>
        <w:t xml:space="preserve">, les colégislateurs ont introduit des mécanismes visant à améliorer </w:t>
      </w:r>
      <w:r>
        <w:rPr>
          <w:rFonts w:ascii="Times New Roman" w:hAnsi="Times New Roman"/>
          <w:b/>
          <w:noProof/>
          <w:sz w:val="24"/>
          <w:szCs w:val="24"/>
        </w:rPr>
        <w:t>le respect</w:t>
      </w:r>
      <w:r>
        <w:rPr>
          <w:rFonts w:ascii="Times New Roman" w:hAnsi="Times New Roman"/>
          <w:noProof/>
          <w:sz w:val="24"/>
          <w:szCs w:val="24"/>
        </w:rPr>
        <w:t xml:space="preserve"> du cadre législatif et à renforcer l’efficacité de </w:t>
      </w:r>
      <w:r>
        <w:rPr>
          <w:rFonts w:ascii="Times New Roman" w:hAnsi="Times New Roman"/>
          <w:b/>
          <w:noProof/>
          <w:sz w:val="24"/>
          <w:szCs w:val="24"/>
        </w:rPr>
        <w:t>la gouvernance</w:t>
      </w:r>
      <w:r>
        <w:rPr>
          <w:rFonts w:ascii="Times New Roman" w:hAnsi="Times New Roman"/>
          <w:noProof/>
          <w:sz w:val="24"/>
          <w:szCs w:val="24"/>
        </w:rPr>
        <w:t>, tout en permettant aux institutions, organes et organismes de disposer d’une certaine autonomie pour appliquer le statut et le RAA à leur personnel.</w:t>
      </w:r>
    </w:p>
    <w:p>
      <w:pPr>
        <w:jc w:val="both"/>
        <w:rPr>
          <w:rFonts w:ascii="Times New Roman" w:hAnsi="Times New Roman" w:cs="Times New Roman"/>
          <w:noProof/>
          <w:sz w:val="24"/>
          <w:szCs w:val="24"/>
        </w:rPr>
      </w:pPr>
      <w:r>
        <w:rPr>
          <w:rFonts w:ascii="Times New Roman" w:hAnsi="Times New Roman"/>
          <w:noProof/>
          <w:sz w:val="24"/>
          <w:szCs w:val="24"/>
        </w:rPr>
        <w:t xml:space="preserve">Depuis cette réforme, </w:t>
      </w:r>
      <w:r>
        <w:rPr>
          <w:rFonts w:ascii="Times New Roman" w:hAnsi="Times New Roman"/>
          <w:b/>
          <w:noProof/>
          <w:sz w:val="24"/>
          <w:szCs w:val="24"/>
        </w:rPr>
        <w:t>l’article 110, paragraphe 6, du statut des fonctionnaires</w:t>
      </w:r>
      <w:r>
        <w:rPr>
          <w:rStyle w:val="FootnoteReference"/>
          <w:rFonts w:ascii="Times New Roman" w:hAnsi="Times New Roman" w:cs="Times New Roman"/>
          <w:noProof/>
          <w:sz w:val="24"/>
          <w:szCs w:val="24"/>
        </w:rPr>
        <w:footnoteReference w:id="1"/>
      </w:r>
      <w:r>
        <w:rPr>
          <w:rFonts w:ascii="Times New Roman" w:hAnsi="Times New Roman"/>
          <w:noProof/>
          <w:sz w:val="24"/>
          <w:szCs w:val="24"/>
        </w:rPr>
        <w:t xml:space="preserve"> exige que, tous les trois ans, la Commission présente un rapport sur les règles d’exécution du statut adoptées par l’autorité investie du pouvoir de nomination de chaque institution. Cette obligation concerne les institutions telles qu’elles sont définies conformément à l’article 13 du traité sur l’Union européenne et aux articles 1</w:t>
      </w:r>
      <w:r>
        <w:rPr>
          <w:rFonts w:ascii="Times New Roman" w:hAnsi="Times New Roman"/>
          <w:noProof/>
          <w:sz w:val="24"/>
          <w:szCs w:val="24"/>
          <w:vertAlign w:val="superscript"/>
        </w:rPr>
        <w:t>er</w:t>
      </w:r>
      <w:r>
        <w:rPr>
          <w:rFonts w:ascii="Times New Roman" w:hAnsi="Times New Roman"/>
          <w:noProof/>
          <w:sz w:val="24"/>
          <w:szCs w:val="24"/>
        </w:rPr>
        <w:t>, 1</w:t>
      </w:r>
      <w:r>
        <w:rPr>
          <w:rFonts w:ascii="Times New Roman" w:hAnsi="Times New Roman"/>
          <w:noProof/>
          <w:sz w:val="24"/>
          <w:szCs w:val="24"/>
          <w:vertAlign w:val="superscript"/>
        </w:rPr>
        <w:t>er</w:t>
      </w:r>
      <w:r>
        <w:rPr>
          <w:rFonts w:ascii="Times New Roman" w:hAnsi="Times New Roman"/>
          <w:noProof/>
          <w:sz w:val="24"/>
          <w:szCs w:val="24"/>
        </w:rPr>
        <w:t> </w:t>
      </w:r>
      <w:r>
        <w:rPr>
          <w:rFonts w:ascii="Times New Roman" w:hAnsi="Times New Roman"/>
          <w:i/>
          <w:iCs/>
          <w:noProof/>
          <w:sz w:val="24"/>
          <w:szCs w:val="24"/>
        </w:rPr>
        <w:t>bis</w:t>
      </w:r>
      <w:r>
        <w:rPr>
          <w:rFonts w:ascii="Times New Roman" w:hAnsi="Times New Roman"/>
          <w:noProof/>
          <w:sz w:val="24"/>
          <w:szCs w:val="24"/>
        </w:rPr>
        <w:t xml:space="preserve"> et 1</w:t>
      </w:r>
      <w:r>
        <w:rPr>
          <w:rFonts w:ascii="Times New Roman" w:hAnsi="Times New Roman"/>
          <w:noProof/>
          <w:sz w:val="24"/>
          <w:szCs w:val="24"/>
          <w:vertAlign w:val="superscript"/>
        </w:rPr>
        <w:t>er</w:t>
      </w:r>
      <w:r>
        <w:rPr>
          <w:rFonts w:ascii="Times New Roman" w:hAnsi="Times New Roman"/>
          <w:noProof/>
          <w:sz w:val="24"/>
          <w:szCs w:val="24"/>
        </w:rPr>
        <w:t> </w:t>
      </w:r>
      <w:r>
        <w:rPr>
          <w:rFonts w:ascii="Times New Roman" w:hAnsi="Times New Roman"/>
          <w:i/>
          <w:iCs/>
          <w:noProof/>
          <w:sz w:val="24"/>
          <w:szCs w:val="24"/>
        </w:rPr>
        <w:t>ter</w:t>
      </w:r>
      <w:r>
        <w:rPr>
          <w:rFonts w:ascii="Times New Roman" w:hAnsi="Times New Roman"/>
          <w:noProof/>
          <w:sz w:val="24"/>
          <w:szCs w:val="24"/>
        </w:rPr>
        <w:t xml:space="preserve"> du statut (ci-après dénommées collectivement les «</w:t>
      </w:r>
      <w:r>
        <w:rPr>
          <w:rFonts w:ascii="Times New Roman" w:hAnsi="Times New Roman"/>
          <w:b/>
          <w:noProof/>
          <w:sz w:val="24"/>
          <w:szCs w:val="24"/>
        </w:rPr>
        <w:t>institutions</w:t>
      </w:r>
      <w:r>
        <w:rPr>
          <w:rFonts w:ascii="Times New Roman" w:hAnsi="Times New Roman"/>
          <w:noProof/>
          <w:sz w:val="24"/>
          <w:szCs w:val="24"/>
        </w:rPr>
        <w:t>»), ainsi que les organismes et agences de l’Union, au sens de l’article 1</w:t>
      </w:r>
      <w:r>
        <w:rPr>
          <w:rFonts w:ascii="Times New Roman" w:hAnsi="Times New Roman"/>
          <w:noProof/>
          <w:sz w:val="24"/>
          <w:szCs w:val="24"/>
          <w:vertAlign w:val="superscript"/>
        </w:rPr>
        <w:t>er</w:t>
      </w:r>
      <w:r>
        <w:rPr>
          <w:rFonts w:ascii="Times New Roman" w:hAnsi="Times New Roman"/>
          <w:noProof/>
          <w:sz w:val="24"/>
          <w:szCs w:val="24"/>
        </w:rPr>
        <w:t> </w:t>
      </w:r>
      <w:r>
        <w:rPr>
          <w:rFonts w:ascii="Times New Roman" w:hAnsi="Times New Roman"/>
          <w:i/>
          <w:iCs/>
          <w:noProof/>
          <w:sz w:val="24"/>
          <w:szCs w:val="24"/>
        </w:rPr>
        <w:t>bis</w:t>
      </w:r>
      <w:r>
        <w:rPr>
          <w:rFonts w:ascii="Times New Roman" w:hAnsi="Times New Roman"/>
          <w:noProof/>
          <w:sz w:val="24"/>
          <w:szCs w:val="24"/>
        </w:rPr>
        <w:t>, paragraphe 2, du statut (ci-après dénommés les «</w:t>
      </w:r>
      <w:r>
        <w:rPr>
          <w:rFonts w:ascii="Times New Roman" w:hAnsi="Times New Roman"/>
          <w:b/>
          <w:noProof/>
          <w:sz w:val="24"/>
          <w:szCs w:val="24"/>
        </w:rPr>
        <w:t>agences</w:t>
      </w:r>
      <w:r>
        <w:rPr>
          <w:rFonts w:ascii="Times New Roman" w:hAnsi="Times New Roman"/>
          <w:noProof/>
          <w:sz w:val="24"/>
          <w:szCs w:val="24"/>
        </w:rPr>
        <w:t>»)</w:t>
      </w:r>
      <w:r>
        <w:rPr>
          <w:rStyle w:val="FootnoteReference"/>
          <w:rFonts w:ascii="Times New Roman" w:hAnsi="Times New Roman" w:cs="Times New Roman"/>
          <w:noProof/>
          <w:sz w:val="24"/>
          <w:szCs w:val="24"/>
        </w:rPr>
        <w:footnoteReference w:id="2"/>
      </w:r>
      <w:r>
        <w:rPr>
          <w:rFonts w:ascii="Times New Roman" w:hAnsi="Times New Roman"/>
          <w:noProof/>
          <w:sz w:val="24"/>
          <w:szCs w:val="24"/>
        </w:rPr>
        <w:t>.</w:t>
      </w:r>
    </w:p>
    <w:p>
      <w:pPr>
        <w:jc w:val="both"/>
        <w:rPr>
          <w:rFonts w:ascii="Times New Roman" w:hAnsi="Times New Roman" w:cs="Times New Roman"/>
          <w:noProof/>
          <w:sz w:val="24"/>
          <w:szCs w:val="24"/>
        </w:rPr>
      </w:pPr>
      <w:r>
        <w:rPr>
          <w:rFonts w:ascii="Times New Roman" w:hAnsi="Times New Roman"/>
          <w:noProof/>
          <w:sz w:val="24"/>
          <w:szCs w:val="24"/>
        </w:rPr>
        <w:t xml:space="preserve">Le présent rapport est le deuxième du genre et porte sur la période allant du </w:t>
      </w:r>
      <w:r>
        <w:rPr>
          <w:rFonts w:ascii="Times New Roman" w:hAnsi="Times New Roman"/>
          <w:b/>
          <w:noProof/>
          <w:sz w:val="24"/>
          <w:szCs w:val="24"/>
        </w:rPr>
        <w:t>1</w:t>
      </w:r>
      <w:r>
        <w:rPr>
          <w:rFonts w:ascii="Times New Roman" w:hAnsi="Times New Roman"/>
          <w:b/>
          <w:noProof/>
          <w:sz w:val="24"/>
          <w:szCs w:val="24"/>
          <w:vertAlign w:val="superscript"/>
        </w:rPr>
        <w:t>er</w:t>
      </w:r>
      <w:r>
        <w:rPr>
          <w:rFonts w:ascii="Times New Roman" w:hAnsi="Times New Roman"/>
          <w:b/>
          <w:noProof/>
          <w:sz w:val="24"/>
          <w:szCs w:val="24"/>
        </w:rPr>
        <w:t> janvier 2017 au 31 décembre 2019</w:t>
      </w:r>
      <w:r>
        <w:rPr>
          <w:rFonts w:ascii="Times New Roman" w:hAnsi="Times New Roman"/>
          <w:noProof/>
          <w:sz w:val="24"/>
          <w:szCs w:val="24"/>
        </w:rPr>
        <w:t>. Le premier rapport a été publié en 2017</w:t>
      </w:r>
      <w:r>
        <w:rPr>
          <w:rStyle w:val="FootnoteReference"/>
          <w:rFonts w:ascii="Times New Roman" w:hAnsi="Times New Roman" w:cs="Times New Roman"/>
          <w:noProof/>
          <w:sz w:val="24"/>
          <w:szCs w:val="24"/>
        </w:rPr>
        <w:footnoteReference w:id="3"/>
      </w:r>
      <w:r>
        <w:rPr>
          <w:rFonts w:ascii="Times New Roman" w:hAnsi="Times New Roman"/>
          <w:noProof/>
          <w:sz w:val="24"/>
          <w:szCs w:val="24"/>
        </w:rPr>
        <w:t xml:space="preserve">. </w:t>
      </w:r>
    </w:p>
    <w:p>
      <w:pPr>
        <w:jc w:val="both"/>
        <w:rPr>
          <w:rFonts w:ascii="Times New Roman" w:hAnsi="Times New Roman" w:cs="Times New Roman"/>
          <w:b/>
          <w:noProof/>
          <w:sz w:val="24"/>
          <w:szCs w:val="24"/>
        </w:rPr>
      </w:pPr>
      <w:r>
        <w:rPr>
          <w:rFonts w:ascii="Times New Roman" w:hAnsi="Times New Roman"/>
          <w:noProof/>
          <w:sz w:val="24"/>
          <w:szCs w:val="24"/>
        </w:rPr>
        <w:t>Avec le registre sur les règles d’exécution tenu par la Cour de justice de l’Union européenne</w:t>
      </w:r>
      <w:r>
        <w:rPr>
          <w:rStyle w:val="FootnoteReference"/>
          <w:rFonts w:ascii="Times New Roman" w:hAnsi="Times New Roman" w:cs="Times New Roman"/>
          <w:noProof/>
          <w:sz w:val="24"/>
          <w:szCs w:val="24"/>
        </w:rPr>
        <w:footnoteReference w:id="4"/>
      </w:r>
      <w:r>
        <w:rPr>
          <w:rFonts w:ascii="Times New Roman" w:hAnsi="Times New Roman"/>
          <w:noProof/>
          <w:sz w:val="24"/>
          <w:szCs w:val="24"/>
        </w:rPr>
        <w:t xml:space="preserve">, le présent rapport constitue un outil qui garantit la </w:t>
      </w:r>
      <w:r>
        <w:rPr>
          <w:rFonts w:ascii="Times New Roman" w:hAnsi="Times New Roman"/>
          <w:b/>
          <w:noProof/>
          <w:sz w:val="24"/>
          <w:szCs w:val="24"/>
        </w:rPr>
        <w:t>transparence</w:t>
      </w:r>
      <w:r>
        <w:rPr>
          <w:rFonts w:ascii="Times New Roman" w:hAnsi="Times New Roman"/>
          <w:noProof/>
          <w:sz w:val="24"/>
          <w:szCs w:val="24"/>
        </w:rPr>
        <w:t xml:space="preserve"> et favorise une </w:t>
      </w:r>
      <w:r>
        <w:rPr>
          <w:rFonts w:ascii="Times New Roman" w:hAnsi="Times New Roman"/>
          <w:b/>
          <w:noProof/>
          <w:sz w:val="24"/>
          <w:szCs w:val="24"/>
        </w:rPr>
        <w:t>application cohérente du statut</w:t>
      </w:r>
      <w:r>
        <w:rPr>
          <w:rStyle w:val="FootnoteReference"/>
          <w:rFonts w:ascii="Times New Roman" w:hAnsi="Times New Roman" w:cs="Times New Roman"/>
          <w:b/>
          <w:noProof/>
          <w:sz w:val="24"/>
          <w:szCs w:val="24"/>
        </w:rPr>
        <w:footnoteReference w:id="5"/>
      </w:r>
      <w:r>
        <w:rPr>
          <w:rFonts w:ascii="Times New Roman" w:hAnsi="Times New Roman"/>
          <w:noProof/>
          <w:sz w:val="24"/>
          <w:szCs w:val="24"/>
        </w:rPr>
        <w:t xml:space="preserve">, tout en rendant les règles </w:t>
      </w:r>
      <w:r>
        <w:rPr>
          <w:rFonts w:ascii="Times New Roman" w:hAnsi="Times New Roman"/>
          <w:b/>
          <w:noProof/>
          <w:sz w:val="24"/>
          <w:szCs w:val="24"/>
        </w:rPr>
        <w:t>accessibles aux citoyens</w:t>
      </w:r>
      <w:r>
        <w:rPr>
          <w:rFonts w:ascii="Times New Roman" w:hAnsi="Times New Roman"/>
          <w:noProof/>
          <w:sz w:val="24"/>
          <w:szCs w:val="24"/>
        </w:rPr>
        <w:t xml:space="preserve"> de l’Union européenne.</w:t>
      </w:r>
    </w:p>
    <w:p>
      <w:pPr>
        <w:jc w:val="both"/>
        <w:rPr>
          <w:rFonts w:ascii="Times New Roman" w:hAnsi="Times New Roman" w:cs="Times New Roman"/>
          <w:b/>
          <w:noProof/>
          <w:sz w:val="24"/>
          <w:szCs w:val="24"/>
        </w:rPr>
      </w:pPr>
      <w:r>
        <w:rPr>
          <w:rFonts w:ascii="Times New Roman" w:hAnsi="Times New Roman"/>
          <w:b/>
          <w:noProof/>
          <w:sz w:val="24"/>
          <w:szCs w:val="24"/>
        </w:rPr>
        <w:t>2.</w:t>
      </w:r>
      <w:r>
        <w:rPr>
          <w:rFonts w:ascii="Times New Roman" w:hAnsi="Times New Roman"/>
          <w:b/>
          <w:noProof/>
          <w:sz w:val="24"/>
          <w:szCs w:val="24"/>
        </w:rPr>
        <w:tab/>
        <w:t>COLLECTE D’INFORMATIONS POUR LE RAPPORT</w:t>
      </w:r>
    </w:p>
    <w:p>
      <w:pPr>
        <w:jc w:val="both"/>
        <w:rPr>
          <w:rFonts w:ascii="Times New Roman" w:hAnsi="Times New Roman" w:cs="Times New Roman"/>
          <w:noProof/>
          <w:sz w:val="24"/>
          <w:szCs w:val="24"/>
        </w:rPr>
      </w:pPr>
      <w:r>
        <w:rPr>
          <w:rFonts w:ascii="Times New Roman" w:hAnsi="Times New Roman"/>
          <w:noProof/>
          <w:sz w:val="24"/>
          <w:szCs w:val="24"/>
        </w:rPr>
        <w:lastRenderedPageBreak/>
        <w:t>En vue d’établir le rapport, la Commission a demandé à toutes les institutions de mettre à jour la liste des règles d’exécution constituée aux fins du rapport de 2014-2016. Premièrement, les institutions ont été priées de vérifier que les informations figurant dans le rapport de 2014-2016 étaient correctes et complètes. Deuxièmement, les institutions ont été invitées à mettre à jour la liste afin de tenir compte de toutes les décisions d’exécution du statut et du RAA prises par les institutions qui étaient en vigueur durant la période allant du 1</w:t>
      </w:r>
      <w:r>
        <w:rPr>
          <w:rFonts w:ascii="Times New Roman" w:hAnsi="Times New Roman"/>
          <w:noProof/>
          <w:sz w:val="24"/>
          <w:szCs w:val="24"/>
          <w:vertAlign w:val="superscript"/>
        </w:rPr>
        <w:t>er</w:t>
      </w:r>
      <w:r>
        <w:rPr>
          <w:rFonts w:ascii="Times New Roman" w:hAnsi="Times New Roman"/>
          <w:noProof/>
          <w:sz w:val="24"/>
          <w:szCs w:val="24"/>
        </w:rPr>
        <w:t xml:space="preserve"> janvier 2017 au 31 décembre 2019. </w:t>
      </w:r>
    </w:p>
    <w:p>
      <w:pPr>
        <w:jc w:val="both"/>
        <w:rPr>
          <w:rFonts w:ascii="Times New Roman" w:hAnsi="Times New Roman" w:cs="Times New Roman"/>
          <w:noProof/>
          <w:sz w:val="24"/>
          <w:szCs w:val="24"/>
        </w:rPr>
      </w:pPr>
      <w:r>
        <w:rPr>
          <w:rFonts w:ascii="Times New Roman" w:hAnsi="Times New Roman"/>
          <w:noProof/>
          <w:sz w:val="24"/>
          <w:szCs w:val="24"/>
        </w:rPr>
        <w:t xml:space="preserve">La Commission a ensuite comparé les informations communiquées aux règles consignées dans le registre tenu par la Cour de justice de l’Union européenne. </w:t>
      </w:r>
    </w:p>
    <w:p>
      <w:pPr>
        <w:jc w:val="both"/>
        <w:rPr>
          <w:rFonts w:ascii="Times New Roman" w:hAnsi="Times New Roman" w:cs="Times New Roman"/>
          <w:noProof/>
          <w:sz w:val="24"/>
          <w:szCs w:val="24"/>
        </w:rPr>
      </w:pPr>
      <w:r>
        <w:rPr>
          <w:rFonts w:ascii="Times New Roman" w:hAnsi="Times New Roman"/>
          <w:noProof/>
          <w:sz w:val="24"/>
          <w:szCs w:val="24"/>
        </w:rPr>
        <w:t>Les informations sur les agences ont été réunies à partir des informations transmises par les agences aux services compétents de la Commission aux fins du rapport de 2014-2016 et, au cours de la période 2017-2019, dans le cadre de la procédure prévue à l’article 110, paragraphe 2, du statut</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 xml:space="preserve">. Les informations qui avaient été recueillies dans des registres exhaustifs ont ensuite été vérifiées par les services de la Commission susmentionnés et, si nécessaire, ont fait l’objet d’une double vérification auprès des agences concernées.   </w:t>
      </w:r>
    </w:p>
    <w:p>
      <w:pPr>
        <w:jc w:val="both"/>
        <w:rPr>
          <w:rFonts w:ascii="Times New Roman" w:hAnsi="Times New Roman" w:cs="Times New Roman"/>
          <w:noProof/>
          <w:sz w:val="24"/>
          <w:szCs w:val="24"/>
        </w:rPr>
      </w:pPr>
      <w:r>
        <w:rPr>
          <w:rFonts w:ascii="Times New Roman" w:hAnsi="Times New Roman"/>
          <w:noProof/>
          <w:sz w:val="24"/>
          <w:szCs w:val="24"/>
        </w:rPr>
        <w:t>Cet exercice de collecte s’est achevé le 23 juin 2020.</w:t>
      </w:r>
    </w:p>
    <w:p>
      <w:pPr>
        <w:rPr>
          <w:rFonts w:ascii="Times New Roman" w:hAnsi="Times New Roman" w:cs="Times New Roman"/>
          <w:b/>
          <w:noProof/>
          <w:sz w:val="24"/>
          <w:szCs w:val="24"/>
        </w:rPr>
      </w:pPr>
      <w:r>
        <w:rPr>
          <w:rFonts w:ascii="Times New Roman" w:hAnsi="Times New Roman"/>
          <w:b/>
          <w:noProof/>
          <w:sz w:val="24"/>
          <w:szCs w:val="24"/>
        </w:rPr>
        <w:t>3.</w:t>
      </w:r>
      <w:r>
        <w:rPr>
          <w:rFonts w:ascii="Times New Roman" w:hAnsi="Times New Roman"/>
          <w:b/>
          <w:noProof/>
          <w:sz w:val="24"/>
          <w:szCs w:val="24"/>
        </w:rPr>
        <w:tab/>
        <w:t>PRINCIPAUX ÉLÉMENTS DU RAPPORT</w:t>
      </w:r>
    </w:p>
    <w:p>
      <w:pPr>
        <w:jc w:val="both"/>
        <w:rPr>
          <w:rFonts w:ascii="Times New Roman" w:hAnsi="Times New Roman" w:cs="Times New Roman"/>
          <w:b/>
          <w:i/>
          <w:noProof/>
          <w:sz w:val="24"/>
          <w:szCs w:val="24"/>
        </w:rPr>
      </w:pPr>
      <w:r>
        <w:rPr>
          <w:rFonts w:ascii="Times New Roman" w:hAnsi="Times New Roman"/>
          <w:b/>
          <w:i/>
          <w:noProof/>
          <w:sz w:val="24"/>
          <w:szCs w:val="24"/>
        </w:rPr>
        <w:t>Présentation des règles d’exécution</w:t>
      </w:r>
    </w:p>
    <w:p>
      <w:pPr>
        <w:jc w:val="both"/>
        <w:rPr>
          <w:rFonts w:ascii="Times New Roman" w:hAnsi="Times New Roman" w:cs="Times New Roman"/>
          <w:noProof/>
          <w:sz w:val="24"/>
          <w:szCs w:val="24"/>
        </w:rPr>
      </w:pPr>
      <w:r>
        <w:rPr>
          <w:rFonts w:ascii="Times New Roman" w:hAnsi="Times New Roman"/>
          <w:noProof/>
          <w:sz w:val="24"/>
          <w:szCs w:val="24"/>
        </w:rPr>
        <w:t xml:space="preserve">Le titre 1 décrit les mécanismes permettant de garantir une application cohérente du statut en donnant un aperçu des différents types de règles qui peuvent être adoptées soit par une autorité investie du pouvoir de nomination pour exécuter le statut des fonctionnaires, soit par une autorité habilitée à conclure des contrats d’engagement pour exécuter le RAA. </w:t>
      </w:r>
    </w:p>
    <w:p>
      <w:pPr>
        <w:jc w:val="both"/>
        <w:rPr>
          <w:rFonts w:ascii="Times New Roman" w:hAnsi="Times New Roman" w:cs="Times New Roman"/>
          <w:b/>
          <w:i/>
          <w:noProof/>
          <w:sz w:val="24"/>
          <w:szCs w:val="24"/>
        </w:rPr>
      </w:pPr>
      <w:r>
        <w:rPr>
          <w:rFonts w:ascii="Times New Roman" w:hAnsi="Times New Roman"/>
          <w:b/>
          <w:i/>
          <w:noProof/>
          <w:sz w:val="24"/>
          <w:szCs w:val="24"/>
        </w:rPr>
        <w:t>Évaluation quantitative/transparence</w:t>
      </w:r>
    </w:p>
    <w:p>
      <w:pPr>
        <w:jc w:val="both"/>
        <w:rPr>
          <w:rFonts w:ascii="Times New Roman" w:hAnsi="Times New Roman" w:cs="Times New Roman"/>
          <w:noProof/>
          <w:sz w:val="24"/>
          <w:szCs w:val="24"/>
        </w:rPr>
      </w:pPr>
      <w:r>
        <w:rPr>
          <w:rFonts w:ascii="Times New Roman" w:hAnsi="Times New Roman"/>
          <w:noProof/>
          <w:sz w:val="24"/>
          <w:szCs w:val="24"/>
        </w:rPr>
        <w:t>Le titre 2 dresse une liste exhaustive de toutes les règles d’exécution adoptées par les autorités investies du pouvoir de nomination, afin de présenter de manière claire et transparente la situation actuelle au sein de toutes les institutions et agences.</w:t>
      </w:r>
    </w:p>
    <w:p>
      <w:pPr>
        <w:jc w:val="both"/>
        <w:rPr>
          <w:rFonts w:ascii="Times New Roman" w:hAnsi="Times New Roman" w:cs="Times New Roman"/>
          <w:noProof/>
          <w:sz w:val="24"/>
          <w:szCs w:val="24"/>
        </w:rPr>
      </w:pPr>
      <w:r>
        <w:rPr>
          <w:rFonts w:ascii="Times New Roman" w:hAnsi="Times New Roman"/>
          <w:noProof/>
          <w:sz w:val="24"/>
          <w:szCs w:val="24"/>
        </w:rPr>
        <w:t>En accord avec les dix institutions concernées, la Commission a notamment dressé des tableaux qui détaillent la situation dans chacune d’elles entre le 1</w:t>
      </w:r>
      <w:r>
        <w:rPr>
          <w:rFonts w:ascii="Times New Roman" w:hAnsi="Times New Roman"/>
          <w:noProof/>
          <w:sz w:val="24"/>
          <w:szCs w:val="24"/>
          <w:vertAlign w:val="superscript"/>
        </w:rPr>
        <w:t>er</w:t>
      </w:r>
      <w:r>
        <w:rPr>
          <w:rFonts w:ascii="Times New Roman" w:hAnsi="Times New Roman"/>
          <w:noProof/>
          <w:sz w:val="24"/>
          <w:szCs w:val="24"/>
        </w:rPr>
        <w:t> janvier 2017 et le 31 décembre 2019. Sur la base de ceux-ci, la Commission a établi un tableau général qui donne un aperçu de la situation dans toutes les institutions.</w:t>
      </w:r>
    </w:p>
    <w:p>
      <w:pPr>
        <w:jc w:val="both"/>
        <w:rPr>
          <w:rFonts w:ascii="Times New Roman" w:hAnsi="Times New Roman" w:cs="Times New Roman"/>
          <w:noProof/>
          <w:sz w:val="24"/>
          <w:szCs w:val="24"/>
        </w:rPr>
      </w:pPr>
      <w:r>
        <w:rPr>
          <w:rFonts w:ascii="Times New Roman" w:hAnsi="Times New Roman"/>
          <w:noProof/>
          <w:sz w:val="24"/>
          <w:szCs w:val="24"/>
        </w:rPr>
        <w:t>Ces tableaux indiquent l’objet des règles adoptées par les différentes autorités investies du pouvoir de nomination ou autorités habilitées à conclure des contrats d’engagement et la mesure dans laquelle chaque autorité a utilisé son pouvoir d’adoption de règles.</w:t>
      </w:r>
    </w:p>
    <w:p>
      <w:pPr>
        <w:jc w:val="both"/>
        <w:rPr>
          <w:rFonts w:ascii="Times New Roman" w:hAnsi="Times New Roman" w:cs="Times New Roman"/>
          <w:noProof/>
          <w:sz w:val="24"/>
          <w:szCs w:val="24"/>
        </w:rPr>
      </w:pPr>
      <w:r>
        <w:rPr>
          <w:rFonts w:ascii="Times New Roman" w:hAnsi="Times New Roman"/>
          <w:noProof/>
          <w:sz w:val="24"/>
          <w:szCs w:val="24"/>
        </w:rPr>
        <w:t>Un autre tableau général donne une vue d’ensemble des règles applicables dans les agences au 31 décembre 2019. Il indique les mécanismes actuels qui influent sur la manière dont les règles d’exécution du statut sont adoptées dans les agences, et place ainsi la gouvernance des RH au sein des agences dans son contexte plus large. Dans le même temps, il donne un aperçu de l’évolution du paysage existant des règles d’exécution dans les 51 agences et du degré de convergence des règles.</w:t>
      </w:r>
    </w:p>
    <w:p>
      <w:pPr>
        <w:jc w:val="both"/>
        <w:rPr>
          <w:rFonts w:ascii="Times New Roman" w:hAnsi="Times New Roman" w:cs="Times New Roman"/>
          <w:noProof/>
          <w:sz w:val="24"/>
          <w:szCs w:val="24"/>
        </w:rPr>
      </w:pPr>
      <w:r>
        <w:rPr>
          <w:rFonts w:ascii="Times New Roman" w:hAnsi="Times New Roman"/>
          <w:noProof/>
          <w:sz w:val="24"/>
          <w:szCs w:val="24"/>
        </w:rPr>
        <w:t>Des observations sont faites sur les principaux changements intervenus depuis la dernière période de référence en ce qui concerne le nombre et le type de règles adoptées dans toutes les institutions et agences.</w:t>
      </w:r>
    </w:p>
    <w:p>
      <w:pPr>
        <w:jc w:val="both"/>
        <w:rPr>
          <w:rFonts w:ascii="Times New Roman" w:hAnsi="Times New Roman" w:cs="Times New Roman"/>
          <w:b/>
          <w:i/>
          <w:noProof/>
          <w:sz w:val="24"/>
          <w:szCs w:val="24"/>
        </w:rPr>
      </w:pPr>
      <w:r>
        <w:rPr>
          <w:rFonts w:ascii="Times New Roman" w:hAnsi="Times New Roman"/>
          <w:b/>
          <w:i/>
          <w:noProof/>
          <w:sz w:val="24"/>
          <w:szCs w:val="24"/>
        </w:rPr>
        <w:t>Évaluation qualitative/respect</w:t>
      </w:r>
    </w:p>
    <w:p>
      <w:pPr>
        <w:jc w:val="both"/>
        <w:rPr>
          <w:rFonts w:ascii="Times New Roman" w:hAnsi="Times New Roman" w:cs="Times New Roman"/>
          <w:noProof/>
          <w:sz w:val="24"/>
          <w:szCs w:val="24"/>
        </w:rPr>
      </w:pPr>
      <w:r>
        <w:rPr>
          <w:rFonts w:ascii="Times New Roman" w:hAnsi="Times New Roman"/>
          <w:noProof/>
          <w:sz w:val="24"/>
          <w:szCs w:val="24"/>
        </w:rPr>
        <w:t xml:space="preserve">Le rapport présente la manière dont les autorités investies du pouvoir de nomination ou les autorités habilitées à conclure des contrats d’engagement se sont conformées au cadre établi par le statut des fonctionnaires et le RAA, en accordant une attention particulière aux sujets pour lesquels les autorités n’ont pas (encore) utilisé leur pouvoir d’adoption de règles. </w:t>
      </w:r>
    </w:p>
    <w:p>
      <w:pPr>
        <w:jc w:val="both"/>
        <w:rPr>
          <w:rFonts w:ascii="Times New Roman" w:hAnsi="Times New Roman" w:cs="Times New Roman"/>
          <w:noProof/>
          <w:sz w:val="24"/>
          <w:szCs w:val="24"/>
        </w:rPr>
      </w:pPr>
      <w:r>
        <w:rPr>
          <w:rFonts w:ascii="Times New Roman" w:hAnsi="Times New Roman"/>
          <w:noProof/>
          <w:sz w:val="24"/>
          <w:szCs w:val="24"/>
        </w:rPr>
        <w:t xml:space="preserve">Le rapport examine également les domaines dans lesquels les institutions et les agences semblent à la traîne pour se conformer au cadre statutaire prévu dans le statut et le RAA, en ce qui concerne le respect de l’exigence d’adopter des règles d’exécution et le choix de la procédure. </w:t>
      </w:r>
    </w:p>
    <w:p>
      <w:pPr>
        <w:jc w:val="both"/>
        <w:rPr>
          <w:rFonts w:ascii="Times New Roman" w:hAnsi="Times New Roman" w:cs="Times New Roman"/>
          <w:noProof/>
          <w:sz w:val="24"/>
          <w:szCs w:val="24"/>
        </w:rPr>
      </w:pPr>
      <w:r>
        <w:rPr>
          <w:rFonts w:ascii="Times New Roman" w:hAnsi="Times New Roman"/>
          <w:noProof/>
          <w:sz w:val="24"/>
          <w:szCs w:val="24"/>
        </w:rPr>
        <w:t xml:space="preserve">Le rapport examine aussi les principaux changements par rapport à la précédente période de référence, notamment en ce qui concerne les nouveaux sujets couverts par les règles adoptées et le degré de convergence entre les institutions sur les sujets de ces règles.  </w:t>
      </w:r>
    </w:p>
    <w:p>
      <w:pPr>
        <w:jc w:val="both"/>
        <w:rPr>
          <w:rFonts w:ascii="Times New Roman" w:hAnsi="Times New Roman" w:cs="Times New Roman"/>
          <w:noProof/>
          <w:sz w:val="24"/>
          <w:szCs w:val="24"/>
        </w:rPr>
      </w:pPr>
      <w:r>
        <w:rPr>
          <w:rFonts w:ascii="Times New Roman" w:hAnsi="Times New Roman"/>
          <w:noProof/>
          <w:sz w:val="24"/>
          <w:szCs w:val="24"/>
        </w:rPr>
        <w:t>Enfin, il donne un aperçu de la présentation des règles d’exécution dans le registre tenu par la Cour de justice de l’Union européenne et les évolutions depuis la dernière période de référence.</w:t>
      </w:r>
    </w:p>
    <w:p>
      <w:pPr>
        <w:rPr>
          <w:rFonts w:ascii="Times New Roman" w:hAnsi="Times New Roman" w:cs="Times New Roman"/>
          <w:b/>
          <w:noProof/>
          <w:sz w:val="24"/>
          <w:szCs w:val="24"/>
        </w:rPr>
      </w:pPr>
      <w:r>
        <w:rPr>
          <w:rFonts w:ascii="Times New Roman" w:hAnsi="Times New Roman"/>
          <w:b/>
          <w:noProof/>
          <w:sz w:val="24"/>
          <w:szCs w:val="24"/>
        </w:rPr>
        <w:t>4.</w:t>
      </w:r>
      <w:r>
        <w:rPr>
          <w:rFonts w:ascii="Times New Roman" w:hAnsi="Times New Roman"/>
          <w:b/>
          <w:noProof/>
          <w:sz w:val="24"/>
          <w:szCs w:val="24"/>
        </w:rPr>
        <w:tab/>
        <w:t>PERSPECTIVES</w:t>
      </w:r>
    </w:p>
    <w:p>
      <w:pPr>
        <w:jc w:val="both"/>
        <w:rPr>
          <w:rFonts w:ascii="Times New Roman" w:hAnsi="Times New Roman" w:cs="Times New Roman"/>
          <w:noProof/>
          <w:sz w:val="24"/>
          <w:szCs w:val="24"/>
        </w:rPr>
      </w:pPr>
      <w:r>
        <w:rPr>
          <w:rFonts w:ascii="Times New Roman" w:hAnsi="Times New Roman"/>
          <w:noProof/>
          <w:sz w:val="24"/>
          <w:szCs w:val="24"/>
        </w:rPr>
        <w:t>La Commission devra présenter le prochain rapport prévu à l’article 110, paragraphe 6, du statut dans trois ans. Celui-ci couvrira les règles d’exécution en vigueur entre le 1</w:t>
      </w:r>
      <w:r>
        <w:rPr>
          <w:rFonts w:ascii="Times New Roman" w:hAnsi="Times New Roman"/>
          <w:noProof/>
          <w:sz w:val="24"/>
          <w:szCs w:val="24"/>
          <w:vertAlign w:val="superscript"/>
        </w:rPr>
        <w:t>er</w:t>
      </w:r>
      <w:r>
        <w:rPr>
          <w:rFonts w:ascii="Times New Roman" w:hAnsi="Times New Roman"/>
          <w:noProof/>
          <w:sz w:val="24"/>
          <w:szCs w:val="24"/>
        </w:rPr>
        <w:t> janvier 2020 et le 31 décembre 2022.</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rPr>
      </w:pPr>
      <w:r>
        <w:rPr>
          <w:rFonts w:ascii="Times New Roman" w:hAnsi="Times New Roman"/>
          <w:noProof/>
        </w:rPr>
        <w:t>La Commission a élaboré le présent rapport sur la base de données mises à disposition par les institutions et les agences. Ce sont les institutions et agences concernées qui sont responsables de l’exhaustivité et de l’exactitude de ces données.</w:t>
      </w:r>
    </w:p>
    <w:p>
      <w:pPr>
        <w:jc w:val="both"/>
        <w:rPr>
          <w:rFonts w:ascii="Times New Roman" w:hAnsi="Times New Roman" w:cs="Times New Roman"/>
          <w:noProof/>
          <w:sz w:val="24"/>
          <w:szCs w:val="24"/>
        </w:rPr>
      </w:pPr>
    </w:p>
    <w:sdt>
      <w:sdtPr>
        <w:rPr>
          <w:rFonts w:ascii="Times New Roman" w:eastAsiaTheme="minorHAnsi" w:hAnsi="Times New Roman" w:cs="Times New Roman"/>
          <w:b w:val="0"/>
          <w:bCs w:val="0"/>
          <w:noProof/>
          <w:color w:val="auto"/>
          <w:sz w:val="22"/>
          <w:szCs w:val="22"/>
          <w:lang w:eastAsia="en-US"/>
        </w:rPr>
        <w:id w:val="461463876"/>
        <w:docPartObj>
          <w:docPartGallery w:val="Table of Contents"/>
          <w:docPartUnique/>
        </w:docPartObj>
      </w:sdtPr>
      <w:sdtContent>
        <w:p>
          <w:pPr>
            <w:pStyle w:val="TOCHeading"/>
            <w:jc w:val="center"/>
            <w:rPr>
              <w:rFonts w:ascii="Times New Roman" w:hAnsi="Times New Roman" w:cs="Times New Roman"/>
              <w:noProof/>
            </w:rPr>
          </w:pPr>
          <w:r>
            <w:rPr>
              <w:rFonts w:ascii="Times New Roman" w:hAnsi="Times New Roman"/>
              <w:noProof/>
            </w:rPr>
            <w:t>Table des matières</w:t>
          </w:r>
        </w:p>
        <w:p>
          <w:pPr>
            <w:rPr>
              <w:rFonts w:ascii="Times New Roman" w:hAnsi="Times New Roman" w:cs="Times New Roman"/>
              <w:noProof/>
              <w:lang w:val="en-US" w:eastAsia="ja-JP"/>
            </w:rPr>
          </w:pPr>
        </w:p>
        <w:p>
          <w:pPr>
            <w:pStyle w:val="TOC1"/>
            <w:rPr>
              <w:rFonts w:eastAsiaTheme="minorEastAsia"/>
              <w:b w:val="0"/>
              <w:lang w:val="en-US"/>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hyperlink w:anchor="_Toc69825796" w:history="1">
            <w:r>
              <w:rPr>
                <w:rStyle w:val="Hyperlink"/>
                <w:rFonts w:ascii="Times New Roman" w:hAnsi="Times New Roman"/>
              </w:rPr>
              <w:t>TITRE 1.</w:t>
            </w:r>
            <w:r>
              <w:rPr>
                <w:rFonts w:eastAsiaTheme="minorEastAsia"/>
                <w:b w:val="0"/>
                <w:lang w:val="en-US"/>
              </w:rPr>
              <w:tab/>
            </w:r>
            <w:r>
              <w:rPr>
                <w:rStyle w:val="Hyperlink"/>
                <w:rFonts w:ascii="Times New Roman" w:hAnsi="Times New Roman"/>
              </w:rPr>
              <w:t>PRÉSENTATION DES RÈGLES D’EXÉCUTION</w:t>
            </w:r>
            <w:r>
              <w:rPr>
                <w:webHidden/>
              </w:rPr>
              <w:tab/>
            </w:r>
            <w:r>
              <w:rPr>
                <w:webHidden/>
              </w:rPr>
              <w:fldChar w:fldCharType="begin"/>
            </w:r>
            <w:r>
              <w:rPr>
                <w:webHidden/>
              </w:rPr>
              <w:instrText xml:space="preserve"> PAGEREF _Toc69825796 \h </w:instrText>
            </w:r>
            <w:r>
              <w:rPr>
                <w:webHidden/>
              </w:rPr>
            </w:r>
            <w:r>
              <w:rPr>
                <w:webHidden/>
              </w:rPr>
              <w:fldChar w:fldCharType="separate"/>
            </w:r>
            <w:r>
              <w:rPr>
                <w:webHidden/>
              </w:rPr>
              <w:t>5</w:t>
            </w:r>
            <w:r>
              <w:rPr>
                <w:webHidden/>
              </w:rPr>
              <w:fldChar w:fldCharType="end"/>
            </w:r>
          </w:hyperlink>
        </w:p>
        <w:p>
          <w:pPr>
            <w:pStyle w:val="TOC2"/>
            <w:tabs>
              <w:tab w:val="left" w:pos="660"/>
              <w:tab w:val="right" w:leader="dot" w:pos="9062"/>
            </w:tabs>
            <w:rPr>
              <w:rFonts w:eastAsiaTheme="minorEastAsia"/>
              <w:noProof/>
              <w:lang w:val="en-US"/>
            </w:rPr>
          </w:pPr>
          <w:hyperlink w:anchor="_Toc69825797" w:history="1">
            <w:r>
              <w:rPr>
                <w:rStyle w:val="Hyperlink"/>
                <w:rFonts w:ascii="Times New Roman" w:hAnsi="Times New Roman"/>
                <w:noProof/>
              </w:rPr>
              <w:t>a)</w:t>
            </w:r>
            <w:r>
              <w:rPr>
                <w:rFonts w:eastAsiaTheme="minorEastAsia"/>
                <w:noProof/>
                <w:lang w:val="en-US"/>
              </w:rPr>
              <w:tab/>
            </w:r>
            <w:r>
              <w:rPr>
                <w:rStyle w:val="Hyperlink"/>
                <w:rFonts w:ascii="Times New Roman" w:hAnsi="Times New Roman"/>
                <w:noProof/>
              </w:rPr>
              <w:t>Règles arrêtées d’un commun accord entre les institutions de l’Union</w:t>
            </w:r>
            <w:r>
              <w:rPr>
                <w:noProof/>
                <w:webHidden/>
              </w:rPr>
              <w:tab/>
            </w:r>
            <w:r>
              <w:rPr>
                <w:noProof/>
                <w:webHidden/>
              </w:rPr>
              <w:fldChar w:fldCharType="begin"/>
            </w:r>
            <w:r>
              <w:rPr>
                <w:noProof/>
                <w:webHidden/>
              </w:rPr>
              <w:instrText xml:space="preserve"> PAGEREF _Toc69825797 \h </w:instrText>
            </w:r>
            <w:r>
              <w:rPr>
                <w:noProof/>
                <w:webHidden/>
              </w:rPr>
            </w:r>
            <w:r>
              <w:rPr>
                <w:noProof/>
                <w:webHidden/>
              </w:rPr>
              <w:fldChar w:fldCharType="separate"/>
            </w:r>
            <w:r>
              <w:rPr>
                <w:noProof/>
                <w:webHidden/>
              </w:rPr>
              <w:t>5</w:t>
            </w:r>
            <w:r>
              <w:rPr>
                <w:noProof/>
                <w:webHidden/>
              </w:rPr>
              <w:fldChar w:fldCharType="end"/>
            </w:r>
          </w:hyperlink>
        </w:p>
        <w:p>
          <w:pPr>
            <w:pStyle w:val="TOC2"/>
            <w:tabs>
              <w:tab w:val="left" w:pos="660"/>
              <w:tab w:val="right" w:leader="dot" w:pos="9062"/>
            </w:tabs>
            <w:rPr>
              <w:rFonts w:eastAsiaTheme="minorEastAsia"/>
              <w:noProof/>
              <w:lang w:val="en-US"/>
            </w:rPr>
          </w:pPr>
          <w:hyperlink w:anchor="_Toc69825798" w:history="1">
            <w:r>
              <w:rPr>
                <w:rStyle w:val="Hyperlink"/>
                <w:rFonts w:ascii="Times New Roman" w:hAnsi="Times New Roman"/>
                <w:noProof/>
              </w:rPr>
              <w:t>b)</w:t>
            </w:r>
            <w:r>
              <w:rPr>
                <w:rFonts w:eastAsiaTheme="minorEastAsia"/>
                <w:noProof/>
                <w:lang w:val="en-US"/>
              </w:rPr>
              <w:tab/>
            </w:r>
            <w:r>
              <w:rPr>
                <w:rStyle w:val="Hyperlink"/>
                <w:rFonts w:ascii="Times New Roman" w:hAnsi="Times New Roman"/>
                <w:noProof/>
              </w:rPr>
              <w:t>Dispositions générales d’exécution</w:t>
            </w:r>
            <w:r>
              <w:rPr>
                <w:noProof/>
                <w:webHidden/>
              </w:rPr>
              <w:tab/>
            </w:r>
            <w:r>
              <w:rPr>
                <w:noProof/>
                <w:webHidden/>
              </w:rPr>
              <w:fldChar w:fldCharType="begin"/>
            </w:r>
            <w:r>
              <w:rPr>
                <w:noProof/>
                <w:webHidden/>
              </w:rPr>
              <w:instrText xml:space="preserve"> PAGEREF _Toc69825798 \h </w:instrText>
            </w:r>
            <w:r>
              <w:rPr>
                <w:noProof/>
                <w:webHidden/>
              </w:rPr>
            </w:r>
            <w:r>
              <w:rPr>
                <w:noProof/>
                <w:webHidden/>
              </w:rPr>
              <w:fldChar w:fldCharType="separate"/>
            </w:r>
            <w:r>
              <w:rPr>
                <w:noProof/>
                <w:webHidden/>
              </w:rPr>
              <w:t>6</w:t>
            </w:r>
            <w:r>
              <w:rPr>
                <w:noProof/>
                <w:webHidden/>
              </w:rPr>
              <w:fldChar w:fldCharType="end"/>
            </w:r>
          </w:hyperlink>
        </w:p>
        <w:p>
          <w:pPr>
            <w:pStyle w:val="TOC2"/>
            <w:tabs>
              <w:tab w:val="left" w:pos="660"/>
              <w:tab w:val="right" w:leader="dot" w:pos="9062"/>
            </w:tabs>
            <w:rPr>
              <w:rFonts w:eastAsiaTheme="minorEastAsia"/>
              <w:noProof/>
              <w:lang w:val="en-US"/>
            </w:rPr>
          </w:pPr>
          <w:hyperlink w:anchor="_Toc69825799" w:history="1">
            <w:r>
              <w:rPr>
                <w:rStyle w:val="Hyperlink"/>
                <w:rFonts w:ascii="Times New Roman" w:hAnsi="Times New Roman"/>
                <w:noProof/>
              </w:rPr>
              <w:t>c)</w:t>
            </w:r>
            <w:r>
              <w:rPr>
                <w:rFonts w:eastAsiaTheme="minorEastAsia"/>
                <w:noProof/>
                <w:lang w:val="en-US"/>
              </w:rPr>
              <w:tab/>
            </w:r>
            <w:r>
              <w:rPr>
                <w:rStyle w:val="Hyperlink"/>
                <w:rFonts w:ascii="Times New Roman" w:hAnsi="Times New Roman"/>
                <w:noProof/>
              </w:rPr>
              <w:t>Autres règles d’exécution</w:t>
            </w:r>
            <w:r>
              <w:rPr>
                <w:noProof/>
                <w:webHidden/>
              </w:rPr>
              <w:tab/>
            </w:r>
            <w:r>
              <w:rPr>
                <w:noProof/>
                <w:webHidden/>
              </w:rPr>
              <w:fldChar w:fldCharType="begin"/>
            </w:r>
            <w:r>
              <w:rPr>
                <w:noProof/>
                <w:webHidden/>
              </w:rPr>
              <w:instrText xml:space="preserve"> PAGEREF _Toc69825799 \h </w:instrText>
            </w:r>
            <w:r>
              <w:rPr>
                <w:noProof/>
                <w:webHidden/>
              </w:rPr>
            </w:r>
            <w:r>
              <w:rPr>
                <w:noProof/>
                <w:webHidden/>
              </w:rPr>
              <w:fldChar w:fldCharType="separate"/>
            </w:r>
            <w:r>
              <w:rPr>
                <w:noProof/>
                <w:webHidden/>
              </w:rPr>
              <w:t>8</w:t>
            </w:r>
            <w:r>
              <w:rPr>
                <w:noProof/>
                <w:webHidden/>
              </w:rPr>
              <w:fldChar w:fldCharType="end"/>
            </w:r>
          </w:hyperlink>
        </w:p>
        <w:p>
          <w:pPr>
            <w:pStyle w:val="TOC1"/>
            <w:rPr>
              <w:rFonts w:eastAsiaTheme="minorEastAsia"/>
              <w:b w:val="0"/>
              <w:lang w:val="en-US"/>
            </w:rPr>
          </w:pPr>
          <w:hyperlink w:anchor="_Toc69825800" w:history="1">
            <w:r>
              <w:rPr>
                <w:rStyle w:val="Hyperlink"/>
                <w:rFonts w:ascii="Times New Roman" w:hAnsi="Times New Roman"/>
              </w:rPr>
              <w:t>TITRE 2.</w:t>
            </w:r>
            <w:r>
              <w:rPr>
                <w:rFonts w:eastAsiaTheme="minorEastAsia"/>
                <w:b w:val="0"/>
                <w:lang w:val="en-US"/>
              </w:rPr>
              <w:tab/>
            </w:r>
            <w:r>
              <w:rPr>
                <w:rStyle w:val="Hyperlink"/>
                <w:rFonts w:ascii="Times New Roman" w:hAnsi="Times New Roman"/>
              </w:rPr>
              <w:t>ÉVALUATION QUANTITATIVE/TRANSPARENCE</w:t>
            </w:r>
            <w:r>
              <w:rPr>
                <w:webHidden/>
              </w:rPr>
              <w:tab/>
            </w:r>
            <w:r>
              <w:rPr>
                <w:webHidden/>
              </w:rPr>
              <w:fldChar w:fldCharType="begin"/>
            </w:r>
            <w:r>
              <w:rPr>
                <w:webHidden/>
              </w:rPr>
              <w:instrText xml:space="preserve"> PAGEREF _Toc69825800 \h </w:instrText>
            </w:r>
            <w:r>
              <w:rPr>
                <w:webHidden/>
              </w:rPr>
            </w:r>
            <w:r>
              <w:rPr>
                <w:webHidden/>
              </w:rPr>
              <w:fldChar w:fldCharType="separate"/>
            </w:r>
            <w:r>
              <w:rPr>
                <w:webHidden/>
              </w:rPr>
              <w:t>11</w:t>
            </w:r>
            <w:r>
              <w:rPr>
                <w:webHidden/>
              </w:rPr>
              <w:fldChar w:fldCharType="end"/>
            </w:r>
          </w:hyperlink>
        </w:p>
        <w:p>
          <w:pPr>
            <w:pStyle w:val="TOC2"/>
            <w:tabs>
              <w:tab w:val="left" w:pos="660"/>
              <w:tab w:val="right" w:leader="dot" w:pos="9062"/>
            </w:tabs>
            <w:rPr>
              <w:rFonts w:eastAsiaTheme="minorEastAsia"/>
              <w:noProof/>
              <w:lang w:val="en-US"/>
            </w:rPr>
          </w:pPr>
          <w:hyperlink w:anchor="_Toc69825801" w:history="1">
            <w:r>
              <w:rPr>
                <w:rStyle w:val="Hyperlink"/>
                <w:rFonts w:ascii="Times New Roman" w:hAnsi="Times New Roman"/>
                <w:noProof/>
              </w:rPr>
              <w:t>a)</w:t>
            </w:r>
            <w:r>
              <w:rPr>
                <w:rFonts w:eastAsiaTheme="minorEastAsia"/>
                <w:noProof/>
                <w:lang w:val="en-US"/>
              </w:rPr>
              <w:tab/>
            </w:r>
            <w:r>
              <w:rPr>
                <w:rStyle w:val="Hyperlink"/>
                <w:rFonts w:ascii="Times New Roman" w:hAnsi="Times New Roman"/>
                <w:noProof/>
              </w:rPr>
              <w:t>Règles d’exécution dans les institutions</w:t>
            </w:r>
            <w:r>
              <w:rPr>
                <w:noProof/>
                <w:webHidden/>
              </w:rPr>
              <w:tab/>
            </w:r>
            <w:r>
              <w:rPr>
                <w:noProof/>
                <w:webHidden/>
              </w:rPr>
              <w:fldChar w:fldCharType="begin"/>
            </w:r>
            <w:r>
              <w:rPr>
                <w:noProof/>
                <w:webHidden/>
              </w:rPr>
              <w:instrText xml:space="preserve"> PAGEREF _Toc69825801 \h </w:instrText>
            </w:r>
            <w:r>
              <w:rPr>
                <w:noProof/>
                <w:webHidden/>
              </w:rPr>
            </w:r>
            <w:r>
              <w:rPr>
                <w:noProof/>
                <w:webHidden/>
              </w:rPr>
              <w:fldChar w:fldCharType="separate"/>
            </w:r>
            <w:r>
              <w:rPr>
                <w:noProof/>
                <w:webHidden/>
              </w:rPr>
              <w:t>11</w:t>
            </w:r>
            <w:r>
              <w:rPr>
                <w:noProof/>
                <w:webHidden/>
              </w:rPr>
              <w:fldChar w:fldCharType="end"/>
            </w:r>
          </w:hyperlink>
        </w:p>
        <w:p>
          <w:pPr>
            <w:pStyle w:val="TOC2"/>
            <w:tabs>
              <w:tab w:val="left" w:pos="660"/>
              <w:tab w:val="right" w:leader="dot" w:pos="9062"/>
            </w:tabs>
            <w:rPr>
              <w:rFonts w:eastAsiaTheme="minorEastAsia"/>
              <w:noProof/>
              <w:lang w:val="en-US"/>
            </w:rPr>
          </w:pPr>
          <w:hyperlink w:anchor="_Toc69825802" w:history="1">
            <w:r>
              <w:rPr>
                <w:rStyle w:val="Hyperlink"/>
                <w:rFonts w:ascii="Times New Roman" w:hAnsi="Times New Roman"/>
                <w:noProof/>
              </w:rPr>
              <w:t>b)</w:t>
            </w:r>
            <w:r>
              <w:rPr>
                <w:rFonts w:eastAsiaTheme="minorEastAsia"/>
                <w:noProof/>
                <w:lang w:val="en-US"/>
              </w:rPr>
              <w:tab/>
            </w:r>
            <w:r>
              <w:rPr>
                <w:rStyle w:val="Hyperlink"/>
                <w:rFonts w:ascii="Times New Roman" w:hAnsi="Times New Roman"/>
                <w:noProof/>
              </w:rPr>
              <w:t>Règles d’exécution dans les agences</w:t>
            </w:r>
            <w:r>
              <w:rPr>
                <w:noProof/>
                <w:webHidden/>
              </w:rPr>
              <w:tab/>
            </w:r>
            <w:r>
              <w:rPr>
                <w:noProof/>
                <w:webHidden/>
              </w:rPr>
              <w:fldChar w:fldCharType="begin"/>
            </w:r>
            <w:r>
              <w:rPr>
                <w:noProof/>
                <w:webHidden/>
              </w:rPr>
              <w:instrText xml:space="preserve"> PAGEREF _Toc69825802 \h </w:instrText>
            </w:r>
            <w:r>
              <w:rPr>
                <w:noProof/>
                <w:webHidden/>
              </w:rPr>
            </w:r>
            <w:r>
              <w:rPr>
                <w:noProof/>
                <w:webHidden/>
              </w:rPr>
              <w:fldChar w:fldCharType="separate"/>
            </w:r>
            <w:r>
              <w:rPr>
                <w:noProof/>
                <w:webHidden/>
              </w:rPr>
              <w:t>13</w:t>
            </w:r>
            <w:r>
              <w:rPr>
                <w:noProof/>
                <w:webHidden/>
              </w:rPr>
              <w:fldChar w:fldCharType="end"/>
            </w:r>
          </w:hyperlink>
        </w:p>
        <w:p>
          <w:pPr>
            <w:pStyle w:val="TOC1"/>
            <w:rPr>
              <w:rFonts w:eastAsiaTheme="minorEastAsia"/>
              <w:b w:val="0"/>
              <w:lang w:val="en-US"/>
            </w:rPr>
          </w:pPr>
          <w:hyperlink w:anchor="_Toc69825803" w:history="1">
            <w:r>
              <w:rPr>
                <w:rStyle w:val="Hyperlink"/>
                <w:rFonts w:ascii="Times New Roman" w:hAnsi="Times New Roman"/>
              </w:rPr>
              <w:t>TITRE 3.</w:t>
            </w:r>
            <w:r>
              <w:rPr>
                <w:rFonts w:eastAsiaTheme="minorEastAsia"/>
                <w:b w:val="0"/>
                <w:lang w:val="en-US"/>
              </w:rPr>
              <w:tab/>
            </w:r>
            <w:r>
              <w:rPr>
                <w:rStyle w:val="Hyperlink"/>
                <w:rFonts w:ascii="Times New Roman" w:hAnsi="Times New Roman"/>
              </w:rPr>
              <w:t>ÉVALUATION QUALITATIVE/RESPECT</w:t>
            </w:r>
            <w:r>
              <w:rPr>
                <w:webHidden/>
              </w:rPr>
              <w:tab/>
            </w:r>
            <w:r>
              <w:rPr>
                <w:webHidden/>
              </w:rPr>
              <w:fldChar w:fldCharType="begin"/>
            </w:r>
            <w:r>
              <w:rPr>
                <w:webHidden/>
              </w:rPr>
              <w:instrText xml:space="preserve"> PAGEREF _Toc69825803 \h </w:instrText>
            </w:r>
            <w:r>
              <w:rPr>
                <w:webHidden/>
              </w:rPr>
            </w:r>
            <w:r>
              <w:rPr>
                <w:webHidden/>
              </w:rPr>
              <w:fldChar w:fldCharType="separate"/>
            </w:r>
            <w:r>
              <w:rPr>
                <w:webHidden/>
              </w:rPr>
              <w:t>18</w:t>
            </w:r>
            <w:r>
              <w:rPr>
                <w:webHidden/>
              </w:rPr>
              <w:fldChar w:fldCharType="end"/>
            </w:r>
          </w:hyperlink>
        </w:p>
        <w:p>
          <w:pPr>
            <w:pStyle w:val="TOC2"/>
            <w:tabs>
              <w:tab w:val="left" w:pos="660"/>
              <w:tab w:val="right" w:leader="dot" w:pos="9062"/>
            </w:tabs>
            <w:rPr>
              <w:rFonts w:eastAsiaTheme="minorEastAsia"/>
              <w:noProof/>
              <w:lang w:val="en-US"/>
            </w:rPr>
          </w:pPr>
          <w:hyperlink w:anchor="_Toc69825804" w:history="1">
            <w:r>
              <w:rPr>
                <w:rStyle w:val="Hyperlink"/>
                <w:rFonts w:ascii="Times New Roman" w:hAnsi="Times New Roman"/>
                <w:noProof/>
              </w:rPr>
              <w:t>a)</w:t>
            </w:r>
            <w:r>
              <w:rPr>
                <w:rFonts w:eastAsiaTheme="minorEastAsia"/>
                <w:noProof/>
                <w:lang w:val="en-US"/>
              </w:rPr>
              <w:tab/>
            </w:r>
            <w:r>
              <w:rPr>
                <w:rStyle w:val="Hyperlink"/>
                <w:rFonts w:ascii="Times New Roman" w:hAnsi="Times New Roman"/>
                <w:noProof/>
              </w:rPr>
              <w:t>Respect du statut des fonctionnaires et du régime applicable aux autres agents</w:t>
            </w:r>
            <w:r>
              <w:rPr>
                <w:noProof/>
                <w:webHidden/>
              </w:rPr>
              <w:tab/>
            </w:r>
            <w:r>
              <w:rPr>
                <w:noProof/>
                <w:webHidden/>
              </w:rPr>
              <w:fldChar w:fldCharType="begin"/>
            </w:r>
            <w:r>
              <w:rPr>
                <w:noProof/>
                <w:webHidden/>
              </w:rPr>
              <w:instrText xml:space="preserve"> PAGEREF _Toc69825804 \h </w:instrText>
            </w:r>
            <w:r>
              <w:rPr>
                <w:noProof/>
                <w:webHidden/>
              </w:rPr>
            </w:r>
            <w:r>
              <w:rPr>
                <w:noProof/>
                <w:webHidden/>
              </w:rPr>
              <w:fldChar w:fldCharType="separate"/>
            </w:r>
            <w:r>
              <w:rPr>
                <w:noProof/>
                <w:webHidden/>
              </w:rPr>
              <w:t>18</w:t>
            </w:r>
            <w:r>
              <w:rPr>
                <w:noProof/>
                <w:webHidden/>
              </w:rPr>
              <w:fldChar w:fldCharType="end"/>
            </w:r>
          </w:hyperlink>
        </w:p>
        <w:p>
          <w:pPr>
            <w:pStyle w:val="TOC2"/>
            <w:tabs>
              <w:tab w:val="left" w:pos="660"/>
              <w:tab w:val="right" w:leader="dot" w:pos="9062"/>
            </w:tabs>
            <w:rPr>
              <w:rFonts w:eastAsiaTheme="minorEastAsia"/>
              <w:noProof/>
              <w:lang w:val="en-US"/>
            </w:rPr>
          </w:pPr>
          <w:hyperlink w:anchor="_Toc69825805" w:history="1">
            <w:r>
              <w:rPr>
                <w:rStyle w:val="Hyperlink"/>
                <w:rFonts w:ascii="Times New Roman" w:hAnsi="Times New Roman"/>
                <w:noProof/>
              </w:rPr>
              <w:t>b)</w:t>
            </w:r>
            <w:r>
              <w:rPr>
                <w:rFonts w:eastAsiaTheme="minorEastAsia"/>
                <w:noProof/>
                <w:lang w:val="en-US"/>
              </w:rPr>
              <w:tab/>
            </w:r>
            <w:r>
              <w:rPr>
                <w:rStyle w:val="Hyperlink"/>
                <w:rFonts w:ascii="Times New Roman" w:hAnsi="Times New Roman"/>
                <w:noProof/>
              </w:rPr>
              <w:t>Le registre tenu par la Cour de justice de l’Union européenne</w:t>
            </w:r>
            <w:r>
              <w:rPr>
                <w:noProof/>
                <w:webHidden/>
              </w:rPr>
              <w:tab/>
            </w:r>
            <w:r>
              <w:rPr>
                <w:noProof/>
                <w:webHidden/>
              </w:rPr>
              <w:fldChar w:fldCharType="begin"/>
            </w:r>
            <w:r>
              <w:rPr>
                <w:noProof/>
                <w:webHidden/>
              </w:rPr>
              <w:instrText xml:space="preserve"> PAGEREF _Toc69825805 \h </w:instrText>
            </w:r>
            <w:r>
              <w:rPr>
                <w:noProof/>
                <w:webHidden/>
              </w:rPr>
            </w:r>
            <w:r>
              <w:rPr>
                <w:noProof/>
                <w:webHidden/>
              </w:rPr>
              <w:fldChar w:fldCharType="separate"/>
            </w:r>
            <w:r>
              <w:rPr>
                <w:noProof/>
                <w:webHidden/>
              </w:rPr>
              <w:t>28</w:t>
            </w:r>
            <w:r>
              <w:rPr>
                <w:noProof/>
                <w:webHidden/>
              </w:rPr>
              <w:fldChar w:fldCharType="end"/>
            </w:r>
          </w:hyperlink>
        </w:p>
        <w:p>
          <w:pPr>
            <w:pStyle w:val="TOC1"/>
            <w:rPr>
              <w:rFonts w:eastAsiaTheme="minorEastAsia"/>
              <w:b w:val="0"/>
              <w:lang w:val="en-US"/>
            </w:rPr>
          </w:pPr>
          <w:hyperlink w:anchor="_Toc69825806" w:history="1">
            <w:r>
              <w:rPr>
                <w:rStyle w:val="Hyperlink"/>
                <w:rFonts w:ascii="Times New Roman" w:hAnsi="Times New Roman"/>
              </w:rPr>
              <w:t>TITRE 4.</w:t>
            </w:r>
            <w:r>
              <w:rPr>
                <w:rFonts w:eastAsiaTheme="minorEastAsia"/>
                <w:b w:val="0"/>
                <w:lang w:val="en-US"/>
              </w:rPr>
              <w:tab/>
            </w:r>
            <w:r>
              <w:rPr>
                <w:rStyle w:val="Hyperlink"/>
                <w:rFonts w:ascii="Times New Roman" w:hAnsi="Times New Roman"/>
              </w:rPr>
              <w:t>RÉCAPITULATIF</w:t>
            </w:r>
            <w:r>
              <w:rPr>
                <w:webHidden/>
              </w:rPr>
              <w:tab/>
            </w:r>
            <w:r>
              <w:rPr>
                <w:webHidden/>
              </w:rPr>
              <w:fldChar w:fldCharType="begin"/>
            </w:r>
            <w:r>
              <w:rPr>
                <w:webHidden/>
              </w:rPr>
              <w:instrText xml:space="preserve"> PAGEREF _Toc69825806 \h </w:instrText>
            </w:r>
            <w:r>
              <w:rPr>
                <w:webHidden/>
              </w:rPr>
            </w:r>
            <w:r>
              <w:rPr>
                <w:webHidden/>
              </w:rPr>
              <w:fldChar w:fldCharType="separate"/>
            </w:r>
            <w:r>
              <w:rPr>
                <w:webHidden/>
              </w:rPr>
              <w:t>31</w:t>
            </w:r>
            <w:r>
              <w:rPr>
                <w:webHidden/>
              </w:rPr>
              <w:fldChar w:fldCharType="end"/>
            </w:r>
          </w:hyperlink>
        </w:p>
        <w:p>
          <w:pPr>
            <w:rPr>
              <w:rFonts w:ascii="Times New Roman" w:hAnsi="Times New Roman" w:cs="Times New Roman"/>
              <w:noProof/>
            </w:rPr>
          </w:pPr>
          <w:r>
            <w:rPr>
              <w:rFonts w:ascii="Times New Roman" w:hAnsi="Times New Roman" w:cs="Times New Roman"/>
              <w:b/>
              <w:bCs/>
              <w:noProof/>
            </w:rPr>
            <w:fldChar w:fldCharType="end"/>
          </w:r>
        </w:p>
      </w:sdtContent>
    </w:sdt>
    <w:p>
      <w:pPr>
        <w:rPr>
          <w:rFonts w:ascii="Times New Roman" w:hAnsi="Times New Roman" w:cs="Times New Roman"/>
          <w:b/>
          <w:noProof/>
          <w:sz w:val="24"/>
          <w:szCs w:val="24"/>
        </w:rPr>
      </w:pPr>
      <w:r>
        <w:rPr>
          <w:noProof/>
        </w:rPr>
        <w:br w:type="page"/>
      </w:r>
    </w:p>
    <w:p>
      <w:pPr>
        <w:pStyle w:val="Heading1"/>
        <w:rPr>
          <w:rFonts w:ascii="Times New Roman" w:hAnsi="Times New Roman" w:cs="Times New Roman"/>
          <w:noProof/>
        </w:rPr>
      </w:pPr>
      <w:bookmarkStart w:id="2" w:name="_Toc69825796"/>
      <w:r>
        <w:rPr>
          <w:rFonts w:ascii="Times New Roman" w:hAnsi="Times New Roman"/>
          <w:noProof/>
        </w:rPr>
        <w:t>TITRE 1.</w:t>
      </w:r>
      <w:r>
        <w:rPr>
          <w:rFonts w:ascii="Times New Roman" w:hAnsi="Times New Roman"/>
          <w:noProof/>
        </w:rPr>
        <w:tab/>
        <w:t>PRÉSENTATION DES RÈGLES D’EXÉCUTION</w:t>
      </w:r>
      <w:bookmarkEnd w:id="2"/>
    </w:p>
    <w:p>
      <w:pPr>
        <w:rPr>
          <w:rFonts w:ascii="Times New Roman" w:hAnsi="Times New Roman" w:cs="Times New Roman"/>
          <w:b/>
          <w:noProof/>
          <w:sz w:val="24"/>
          <w:szCs w:val="24"/>
        </w:rPr>
      </w:pPr>
    </w:p>
    <w:p>
      <w:pPr>
        <w:pBdr>
          <w:top w:val="double" w:sz="4" w:space="1" w:color="auto"/>
          <w:left w:val="double" w:sz="4" w:space="4" w:color="auto"/>
          <w:bottom w:val="double" w:sz="4" w:space="7" w:color="auto"/>
          <w:right w:val="double" w:sz="4" w:space="4" w:color="auto"/>
        </w:pBdr>
        <w:jc w:val="center"/>
        <w:rPr>
          <w:rFonts w:ascii="Times New Roman" w:hAnsi="Times New Roman" w:cs="Times New Roman"/>
          <w:b/>
          <w:i/>
          <w:noProof/>
          <w:sz w:val="24"/>
          <w:szCs w:val="24"/>
        </w:rPr>
      </w:pPr>
      <w:r>
        <w:rPr>
          <w:rFonts w:ascii="Times New Roman" w:hAnsi="Times New Roman"/>
          <w:b/>
          <w:i/>
          <w:noProof/>
          <w:sz w:val="24"/>
          <w:szCs w:val="24"/>
        </w:rPr>
        <w:t>MÉCANISMES VISANT À GARANTIR UNE APPLICATION COHÉRENTE DU STATUT</w:t>
      </w:r>
    </w:p>
    <w:p>
      <w:pPr>
        <w:pBdr>
          <w:top w:val="double" w:sz="4" w:space="1" w:color="auto"/>
          <w:left w:val="double" w:sz="4" w:space="4" w:color="auto"/>
          <w:bottom w:val="double" w:sz="4" w:space="7" w:color="auto"/>
          <w:right w:val="double" w:sz="4" w:space="4" w:color="auto"/>
        </w:pBdr>
        <w:jc w:val="both"/>
        <w:rPr>
          <w:rFonts w:ascii="Times New Roman" w:hAnsi="Times New Roman" w:cs="Times New Roman"/>
          <w:b/>
          <w:i/>
          <w:noProof/>
          <w:sz w:val="24"/>
          <w:szCs w:val="24"/>
        </w:rPr>
      </w:pPr>
      <w:r>
        <w:rPr>
          <w:rFonts w:ascii="Times New Roman" w:hAnsi="Times New Roman"/>
          <w:b/>
          <w:i/>
          <w:noProof/>
          <w:sz w:val="24"/>
          <w:szCs w:val="24"/>
        </w:rPr>
        <w:t>→ Quel est le système prévu par le statut pour son exécution?</w:t>
      </w:r>
    </w:p>
    <w:p>
      <w:pPr>
        <w:pBdr>
          <w:top w:val="double" w:sz="4" w:space="1" w:color="auto"/>
          <w:left w:val="double" w:sz="4" w:space="4" w:color="auto"/>
          <w:bottom w:val="double" w:sz="4" w:space="7" w:color="auto"/>
          <w:right w:val="double" w:sz="4" w:space="4" w:color="auto"/>
        </w:pBdr>
        <w:jc w:val="both"/>
        <w:rPr>
          <w:rFonts w:ascii="Times New Roman" w:hAnsi="Times New Roman" w:cs="Times New Roman"/>
          <w:b/>
          <w:i/>
          <w:noProof/>
          <w:sz w:val="24"/>
          <w:szCs w:val="24"/>
        </w:rPr>
      </w:pPr>
      <w:r>
        <w:rPr>
          <w:rFonts w:ascii="Times New Roman" w:hAnsi="Times New Roman"/>
          <w:b/>
          <w:i/>
          <w:noProof/>
          <w:sz w:val="24"/>
          <w:szCs w:val="24"/>
        </w:rPr>
        <w:t>→ Comment le statut assure-t-il une application cohérente de ses dispositions?</w:t>
      </w:r>
    </w:p>
    <w:p>
      <w:pPr>
        <w:jc w:val="both"/>
        <w:rPr>
          <w:rFonts w:ascii="Times New Roman" w:hAnsi="Times New Roman" w:cs="Times New Roman"/>
          <w:noProof/>
          <w:sz w:val="24"/>
          <w:szCs w:val="24"/>
        </w:rPr>
      </w:pPr>
      <w:r>
        <w:rPr>
          <w:rFonts w:ascii="Times New Roman" w:hAnsi="Times New Roman"/>
          <w:noProof/>
          <w:sz w:val="24"/>
          <w:szCs w:val="24"/>
        </w:rPr>
        <w:t>Ce titre présente les différents types de règles d’exécution du statut au sens de l’article 110 du statut.</w:t>
      </w:r>
    </w:p>
    <w:p>
      <w:pPr>
        <w:jc w:val="both"/>
        <w:rPr>
          <w:rFonts w:ascii="Times New Roman" w:hAnsi="Times New Roman" w:cs="Times New Roman"/>
          <w:noProof/>
          <w:sz w:val="24"/>
          <w:szCs w:val="24"/>
        </w:rPr>
      </w:pPr>
      <w:r>
        <w:rPr>
          <w:rFonts w:ascii="Times New Roman" w:hAnsi="Times New Roman"/>
          <w:noProof/>
          <w:sz w:val="24"/>
          <w:szCs w:val="24"/>
        </w:rPr>
        <w:t xml:space="preserve">Ces règles partagent toutes la même caractéristique, à savoir qu’elles ne concernent pas le grand public. Par conséquent, elles ne sont pas publiées au </w:t>
      </w:r>
      <w:r>
        <w:rPr>
          <w:rFonts w:ascii="Times New Roman" w:hAnsi="Times New Roman"/>
          <w:i/>
          <w:iCs/>
          <w:noProof/>
          <w:sz w:val="24"/>
          <w:szCs w:val="24"/>
        </w:rPr>
        <w:t>Journal officiel de l’Union européenne</w:t>
      </w:r>
      <w:r>
        <w:rPr>
          <w:rFonts w:ascii="Times New Roman" w:hAnsi="Times New Roman"/>
          <w:noProof/>
          <w:sz w:val="24"/>
          <w:szCs w:val="24"/>
        </w:rPr>
        <w:t>. Toutefois, pour être applicables aux membres du personnel concernés, ces règles doivent être portées à la connaissance du personnel conformément à l’article 110, paragraphe 4, du statut.</w:t>
      </w:r>
    </w:p>
    <w:p>
      <w:pPr>
        <w:jc w:val="both"/>
        <w:rPr>
          <w:rFonts w:ascii="Times New Roman" w:hAnsi="Times New Roman" w:cs="Times New Roman"/>
          <w:noProof/>
          <w:sz w:val="24"/>
          <w:szCs w:val="24"/>
        </w:rPr>
      </w:pPr>
      <w:r>
        <w:rPr>
          <w:rFonts w:ascii="Times New Roman" w:hAnsi="Times New Roman"/>
          <w:noProof/>
          <w:sz w:val="24"/>
          <w:szCs w:val="24"/>
        </w:rPr>
        <w:t>Il convient de noter d’emblée que le cadre législatif est resté inchangé depuis l’adoption du rapport de 2014-2016. Étant donné que les colégislateurs n’ont pas introduit de nouveaux types de règles d’exécution, le présent rapport suivra la même présentation que le précédent rapport. Dans le même temps, la liste des règles présentées ci-dessous a été légèrement révisée par rapport à l’aperçu donné dans le rapport de 2014-2016, à la suite d’un nouvel exercice de vérification et afin de tenir compte de la jurisprudence récente de la Cour de justice de l’Union européenne.</w:t>
      </w:r>
      <w:r>
        <w:rPr>
          <w:rStyle w:val="FootnoteReference"/>
          <w:rFonts w:ascii="Times New Roman" w:hAnsi="Times New Roman"/>
          <w:noProof/>
          <w:sz w:val="24"/>
          <w:szCs w:val="24"/>
        </w:rPr>
        <w:t xml:space="preserve"> </w:t>
      </w:r>
      <w:r>
        <w:rPr>
          <w:rFonts w:ascii="Times New Roman" w:hAnsi="Times New Roman"/>
          <w:noProof/>
          <w:sz w:val="24"/>
          <w:szCs w:val="24"/>
        </w:rPr>
        <w:t xml:space="preserve">Ces révisions sont surlignées en </w:t>
      </w:r>
      <w:r>
        <w:rPr>
          <w:rFonts w:ascii="Times New Roman" w:hAnsi="Times New Roman"/>
          <w:b/>
          <w:noProof/>
          <w:sz w:val="24"/>
          <w:szCs w:val="24"/>
        </w:rPr>
        <w:t>caractères gras</w:t>
      </w:r>
      <w:r>
        <w:rPr>
          <w:rFonts w:ascii="Times New Roman" w:hAnsi="Times New Roman"/>
          <w:noProof/>
          <w:sz w:val="24"/>
          <w:szCs w:val="24"/>
        </w:rPr>
        <w:t xml:space="preserve"> dans les listes ci-dessous.</w:t>
      </w:r>
      <w:r>
        <w:rPr>
          <w:rFonts w:ascii="Times New Roman" w:hAnsi="Times New Roman"/>
          <w:b/>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Le rapport porte sur les règles suivantes</w:t>
      </w:r>
      <w:r>
        <w:rPr>
          <w:rStyle w:val="FootnoteReference"/>
          <w:rFonts w:ascii="Times New Roman" w:hAnsi="Times New Roman" w:cs="Times New Roman"/>
          <w:noProof/>
          <w:sz w:val="24"/>
          <w:szCs w:val="24"/>
        </w:rPr>
        <w:footnoteReference w:id="7"/>
      </w:r>
      <w:r>
        <w:rPr>
          <w:rFonts w:ascii="Times New Roman" w:hAnsi="Times New Roman"/>
          <w:noProof/>
          <w:sz w:val="24"/>
          <w:szCs w:val="24"/>
        </w:rPr>
        <w:t>:</w:t>
      </w:r>
    </w:p>
    <w:p>
      <w:pPr>
        <w:pStyle w:val="Heading2"/>
        <w:spacing w:before="360" w:after="240"/>
        <w:rPr>
          <w:rFonts w:ascii="Times New Roman" w:hAnsi="Times New Roman" w:cs="Times New Roman"/>
          <w:noProof/>
        </w:rPr>
      </w:pPr>
      <w:bookmarkStart w:id="3" w:name="_Toc69825797"/>
      <w:r>
        <w:rPr>
          <w:rFonts w:ascii="Times New Roman" w:hAnsi="Times New Roman"/>
          <w:noProof/>
        </w:rPr>
        <w:t>a)</w:t>
      </w:r>
      <w:r>
        <w:rPr>
          <w:rFonts w:ascii="Times New Roman" w:hAnsi="Times New Roman"/>
          <w:noProof/>
        </w:rPr>
        <w:tab/>
        <w:t>Règles arrêtées d’un commun accord entre les institutions de l’Union</w:t>
      </w:r>
      <w:bookmarkEnd w:id="3"/>
    </w:p>
    <w:p>
      <w:pPr>
        <w:jc w:val="both"/>
        <w:rPr>
          <w:rFonts w:ascii="Times New Roman" w:hAnsi="Times New Roman" w:cs="Times New Roman"/>
          <w:noProof/>
          <w:sz w:val="24"/>
          <w:szCs w:val="24"/>
        </w:rPr>
      </w:pPr>
      <w:r>
        <w:rPr>
          <w:rFonts w:ascii="Times New Roman" w:hAnsi="Times New Roman"/>
          <w:noProof/>
          <w:sz w:val="24"/>
          <w:szCs w:val="24"/>
        </w:rPr>
        <w:t>Le statut des fonctionnaires et le RAA prévoient, pour l’application de certaines dispositions, l’adoption de règles arrêtées d’un commun accord entre les institutions de l’Union</w:t>
      </w:r>
      <w:r>
        <w:rPr>
          <w:rStyle w:val="FootnoteReference"/>
          <w:rFonts w:ascii="Times New Roman" w:hAnsi="Times New Roman" w:cs="Times New Roman"/>
          <w:noProof/>
          <w:sz w:val="24"/>
          <w:szCs w:val="24"/>
        </w:rPr>
        <w:footnoteReference w:id="8"/>
      </w:r>
      <w:r>
        <w:rPr>
          <w:rFonts w:ascii="Times New Roman" w:hAnsi="Times New Roman"/>
          <w:noProof/>
          <w:sz w:val="24"/>
          <w:szCs w:val="24"/>
        </w:rPr>
        <w:t>. Cela concerne les sujets suivants:</w:t>
      </w:r>
    </w:p>
    <w:p>
      <w:pPr>
        <w:jc w:val="both"/>
        <w:rPr>
          <w:rFonts w:ascii="Times New Roman" w:hAnsi="Times New Roman" w:cs="Times New Roman"/>
          <w:noProof/>
          <w:sz w:val="24"/>
          <w:szCs w:val="24"/>
        </w:rPr>
      </w:pPr>
    </w:p>
    <w:p>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
          <w:noProof/>
          <w:sz w:val="24"/>
          <w:szCs w:val="24"/>
        </w:rPr>
      </w:pPr>
      <w:r>
        <w:rPr>
          <w:rFonts w:ascii="Times New Roman" w:hAnsi="Times New Roman"/>
          <w:b/>
          <w:i/>
          <w:noProof/>
          <w:sz w:val="24"/>
          <w:szCs w:val="24"/>
        </w:rPr>
        <w:t>Statut des fonctionnaires</w:t>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noProof/>
          <w:sz w:val="20"/>
          <w:szCs w:val="20"/>
        </w:rPr>
      </w:pPr>
      <w:r>
        <w:rPr>
          <w:rFonts w:ascii="Times New Roman" w:hAnsi="Times New Roman"/>
          <w:b/>
          <w:noProof/>
          <w:sz w:val="20"/>
          <w:szCs w:val="20"/>
        </w:rPr>
        <w:t>Article 9</w:t>
      </w:r>
      <w:r>
        <w:rPr>
          <w:rFonts w:ascii="Times New Roman" w:hAnsi="Times New Roman"/>
          <w:noProof/>
          <w:sz w:val="20"/>
          <w:szCs w:val="20"/>
        </w:rPr>
        <w:t xml:space="preserve"> + annexe II, article 2</w:t>
      </w:r>
      <w:r>
        <w:rPr>
          <w:rFonts w:ascii="Times New Roman" w:hAnsi="Times New Roman"/>
          <w:noProof/>
          <w:sz w:val="20"/>
          <w:szCs w:val="20"/>
        </w:rPr>
        <w:tab/>
        <w:t>Modalités de constitution de la commission paritaire commune (Coparco)</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Article 10, paragraphe 1</w:t>
      </w:r>
      <w:r>
        <w:rPr>
          <w:rFonts w:ascii="Times New Roman" w:hAnsi="Times New Roman"/>
          <w:noProof/>
          <w:sz w:val="20"/>
          <w:szCs w:val="20"/>
        </w:rPr>
        <w:tab/>
      </w:r>
      <w:r>
        <w:rPr>
          <w:rFonts w:ascii="Times New Roman" w:hAnsi="Times New Roman"/>
          <w:noProof/>
          <w:sz w:val="20"/>
          <w:szCs w:val="20"/>
        </w:rPr>
        <w:tab/>
        <w:t>Modalités de composition du comité du statut</w:t>
      </w:r>
    </w:p>
    <w:p>
      <w:pPr>
        <w:pBdr>
          <w:top w:val="single" w:sz="4" w:space="1" w:color="auto"/>
          <w:left w:val="single" w:sz="4" w:space="4" w:color="auto"/>
          <w:bottom w:val="single" w:sz="4" w:space="1" w:color="auto"/>
          <w:right w:val="single" w:sz="4" w:space="4" w:color="auto"/>
        </w:pBdr>
        <w:ind w:left="2880" w:hanging="2880"/>
        <w:jc w:val="both"/>
        <w:rPr>
          <w:rFonts w:ascii="Times New Roman" w:hAnsi="Times New Roman" w:cs="Times New Roman"/>
          <w:noProof/>
          <w:sz w:val="20"/>
          <w:szCs w:val="20"/>
        </w:rPr>
      </w:pPr>
      <w:r>
        <w:rPr>
          <w:rFonts w:ascii="Times New Roman" w:hAnsi="Times New Roman"/>
          <w:noProof/>
          <w:sz w:val="20"/>
          <w:szCs w:val="20"/>
        </w:rPr>
        <w:t>Article 37, point b)</w:t>
      </w:r>
      <w:r>
        <w:rPr>
          <w:rFonts w:ascii="Times New Roman" w:hAnsi="Times New Roman"/>
          <w:noProof/>
          <w:sz w:val="20"/>
          <w:szCs w:val="20"/>
        </w:rPr>
        <w:tab/>
        <w:t>Règles communes sur l’établissement d’une liste d’organismes consacrés à la poursuite des intérêts de l’Union</w:t>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noProof/>
          <w:sz w:val="20"/>
          <w:szCs w:val="20"/>
        </w:rPr>
      </w:pPr>
      <w:r>
        <w:rPr>
          <w:rFonts w:ascii="Times New Roman" w:hAnsi="Times New Roman"/>
          <w:noProof/>
          <w:sz w:val="20"/>
          <w:szCs w:val="20"/>
        </w:rPr>
        <w:t>Article 45, paragraphe 2</w:t>
      </w:r>
      <w:r>
        <w:rPr>
          <w:rFonts w:ascii="Times New Roman" w:hAnsi="Times New Roman"/>
          <w:noProof/>
          <w:sz w:val="20"/>
          <w:szCs w:val="20"/>
        </w:rPr>
        <w:tab/>
      </w:r>
      <w:r>
        <w:rPr>
          <w:rFonts w:ascii="Times New Roman" w:hAnsi="Times New Roman"/>
          <w:noProof/>
          <w:sz w:val="20"/>
          <w:szCs w:val="20"/>
        </w:rPr>
        <w:tab/>
        <w:t>Capacité à travailler dans une troisième langue avant la première promotion</w:t>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noProof/>
          <w:sz w:val="20"/>
          <w:szCs w:val="20"/>
        </w:rPr>
      </w:pPr>
      <w:r>
        <w:rPr>
          <w:rFonts w:ascii="Times New Roman" w:hAnsi="Times New Roman"/>
          <w:noProof/>
          <w:sz w:val="20"/>
          <w:szCs w:val="20"/>
        </w:rPr>
        <w:t>Article 57</w:t>
      </w:r>
      <w:r>
        <w:rPr>
          <w:rFonts w:ascii="Times New Roman" w:hAnsi="Times New Roman"/>
          <w:noProof/>
          <w:sz w:val="20"/>
          <w:szCs w:val="20"/>
        </w:rPr>
        <w:tab/>
      </w:r>
      <w:r>
        <w:rPr>
          <w:rFonts w:ascii="Times New Roman" w:hAnsi="Times New Roman"/>
          <w:noProof/>
          <w:sz w:val="20"/>
          <w:szCs w:val="20"/>
        </w:rPr>
        <w:tab/>
      </w:r>
      <w:r>
        <w:rPr>
          <w:rFonts w:ascii="Times New Roman" w:hAnsi="Times New Roman"/>
          <w:noProof/>
          <w:sz w:val="20"/>
          <w:szCs w:val="20"/>
        </w:rPr>
        <w:tab/>
        <w:t>Congé annuel</w:t>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noProof/>
          <w:sz w:val="20"/>
          <w:szCs w:val="20"/>
        </w:rPr>
      </w:pPr>
      <w:r>
        <w:rPr>
          <w:rFonts w:ascii="Times New Roman" w:hAnsi="Times New Roman"/>
          <w:noProof/>
          <w:sz w:val="20"/>
          <w:szCs w:val="20"/>
        </w:rPr>
        <w:t>Article 61</w:t>
      </w:r>
      <w:r>
        <w:rPr>
          <w:rFonts w:ascii="Times New Roman" w:hAnsi="Times New Roman"/>
          <w:noProof/>
          <w:sz w:val="20"/>
          <w:szCs w:val="20"/>
        </w:rPr>
        <w:tab/>
      </w:r>
      <w:r>
        <w:rPr>
          <w:rFonts w:ascii="Times New Roman" w:hAnsi="Times New Roman"/>
          <w:noProof/>
          <w:sz w:val="20"/>
          <w:szCs w:val="20"/>
        </w:rPr>
        <w:tab/>
      </w:r>
      <w:r>
        <w:rPr>
          <w:rFonts w:ascii="Times New Roman" w:hAnsi="Times New Roman"/>
          <w:noProof/>
          <w:sz w:val="20"/>
          <w:szCs w:val="20"/>
        </w:rPr>
        <w:tab/>
        <w:t>Liste des jours fériés</w:t>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noProof/>
          <w:sz w:val="20"/>
          <w:szCs w:val="20"/>
        </w:rPr>
      </w:pPr>
      <w:r>
        <w:rPr>
          <w:rFonts w:ascii="Times New Roman" w:hAnsi="Times New Roman"/>
          <w:noProof/>
          <w:sz w:val="20"/>
          <w:szCs w:val="20"/>
        </w:rPr>
        <w:t>Article 72, paragraphe 1</w:t>
      </w:r>
      <w:r>
        <w:rPr>
          <w:rFonts w:ascii="Times New Roman" w:hAnsi="Times New Roman"/>
          <w:noProof/>
          <w:sz w:val="20"/>
          <w:szCs w:val="20"/>
        </w:rPr>
        <w:tab/>
      </w:r>
      <w:r>
        <w:rPr>
          <w:rFonts w:ascii="Times New Roman" w:hAnsi="Times New Roman"/>
          <w:noProof/>
          <w:sz w:val="20"/>
          <w:szCs w:val="20"/>
        </w:rPr>
        <w:tab/>
        <w:t>Assurance maladie</w:t>
      </w:r>
    </w:p>
    <w:p>
      <w:pPr>
        <w:pBdr>
          <w:top w:val="single" w:sz="4" w:space="1" w:color="auto"/>
          <w:left w:val="single" w:sz="4" w:space="4" w:color="auto"/>
          <w:bottom w:val="single" w:sz="4" w:space="1" w:color="auto"/>
          <w:right w:val="single" w:sz="4" w:space="4" w:color="auto"/>
        </w:pBdr>
        <w:ind w:left="2880" w:hanging="2880"/>
        <w:jc w:val="both"/>
        <w:rPr>
          <w:rFonts w:ascii="Times New Roman" w:hAnsi="Times New Roman" w:cs="Times New Roman"/>
          <w:noProof/>
          <w:sz w:val="20"/>
          <w:szCs w:val="20"/>
        </w:rPr>
      </w:pPr>
      <w:r>
        <w:rPr>
          <w:rFonts w:ascii="Times New Roman" w:hAnsi="Times New Roman"/>
          <w:noProof/>
          <w:sz w:val="20"/>
          <w:szCs w:val="20"/>
        </w:rPr>
        <w:t>Article 73, paragraphe 1</w:t>
      </w:r>
      <w:r>
        <w:rPr>
          <w:rFonts w:ascii="Times New Roman" w:hAnsi="Times New Roman"/>
          <w:noProof/>
          <w:sz w:val="20"/>
          <w:szCs w:val="20"/>
        </w:rPr>
        <w:tab/>
        <w:t>Assurance contre les risques de maladie professionnelle et les risques d’accident</w:t>
      </w:r>
    </w:p>
    <w:p>
      <w:pPr>
        <w:pBdr>
          <w:top w:val="single" w:sz="4" w:space="1" w:color="auto"/>
          <w:left w:val="single" w:sz="4" w:space="4" w:color="auto"/>
          <w:bottom w:val="single" w:sz="4" w:space="1" w:color="auto"/>
          <w:right w:val="single" w:sz="4" w:space="4" w:color="auto"/>
        </w:pBdr>
        <w:ind w:left="2880" w:hanging="2880"/>
        <w:jc w:val="both"/>
        <w:rPr>
          <w:rFonts w:ascii="Times New Roman" w:hAnsi="Times New Roman" w:cs="Times New Roman"/>
          <w:noProof/>
          <w:sz w:val="20"/>
          <w:szCs w:val="20"/>
        </w:rPr>
      </w:pPr>
      <w:r>
        <w:rPr>
          <w:rFonts w:ascii="Times New Roman" w:hAnsi="Times New Roman"/>
          <w:noProof/>
          <w:sz w:val="20"/>
          <w:szCs w:val="20"/>
        </w:rPr>
        <w:t>Article 76 </w:t>
      </w:r>
      <w:r>
        <w:rPr>
          <w:rFonts w:ascii="Times New Roman" w:hAnsi="Times New Roman"/>
          <w:i/>
          <w:iCs/>
          <w:noProof/>
          <w:sz w:val="20"/>
          <w:szCs w:val="20"/>
        </w:rPr>
        <w:t>bis</w:t>
      </w:r>
      <w:r>
        <w:rPr>
          <w:rFonts w:ascii="Times New Roman" w:hAnsi="Times New Roman"/>
          <w:noProof/>
          <w:sz w:val="20"/>
          <w:szCs w:val="20"/>
        </w:rPr>
        <w:tab/>
        <w:t>Aide complétant la pension du conjoint survivant affecté d’une maladie grave ou prolongée ou souffrant d’un handicap</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 xml:space="preserve">Annexe VII, </w:t>
      </w:r>
      <w:r>
        <w:rPr>
          <w:rFonts w:ascii="Times New Roman" w:hAnsi="Times New Roman"/>
          <w:noProof/>
          <w:sz w:val="20"/>
          <w:szCs w:val="20"/>
        </w:rPr>
        <w:br/>
        <w:t>article 17, paragraphe 2</w:t>
      </w:r>
      <w:r>
        <w:rPr>
          <w:rFonts w:ascii="Times New Roman" w:hAnsi="Times New Roman"/>
          <w:noProof/>
          <w:sz w:val="20"/>
          <w:szCs w:val="20"/>
        </w:rPr>
        <w:tab/>
      </w:r>
      <w:r>
        <w:rPr>
          <w:rFonts w:ascii="Times New Roman" w:hAnsi="Times New Roman"/>
          <w:noProof/>
          <w:sz w:val="20"/>
          <w:szCs w:val="20"/>
        </w:rPr>
        <w:tab/>
        <w:t>Transfert régulier spécial d’une partie de la rémunération</w:t>
      </w:r>
    </w:p>
    <w:p>
      <w:pPr>
        <w:pBdr>
          <w:top w:val="single" w:sz="4" w:space="1" w:color="auto"/>
          <w:left w:val="single" w:sz="4" w:space="4" w:color="auto"/>
          <w:bottom w:val="single" w:sz="4" w:space="1" w:color="auto"/>
          <w:right w:val="single" w:sz="4" w:space="4" w:color="auto"/>
        </w:pBdr>
        <w:ind w:left="1440" w:hanging="1440"/>
        <w:jc w:val="center"/>
        <w:rPr>
          <w:rFonts w:ascii="Times New Roman" w:hAnsi="Times New Roman" w:cs="Times New Roman"/>
          <w:b/>
          <w:i/>
          <w:noProof/>
          <w:sz w:val="24"/>
          <w:szCs w:val="24"/>
        </w:rPr>
      </w:pPr>
      <w:r>
        <w:rPr>
          <w:rFonts w:ascii="Times New Roman" w:hAnsi="Times New Roman"/>
          <w:b/>
          <w:i/>
          <w:noProof/>
          <w:sz w:val="24"/>
          <w:szCs w:val="24"/>
        </w:rPr>
        <w:t>Régime applicable aux autres agents</w:t>
      </w:r>
    </w:p>
    <w:p>
      <w:pPr>
        <w:pBdr>
          <w:top w:val="single" w:sz="4" w:space="1" w:color="auto"/>
          <w:left w:val="single" w:sz="4" w:space="4" w:color="auto"/>
          <w:bottom w:val="single" w:sz="4" w:space="1" w:color="auto"/>
          <w:right w:val="single" w:sz="4" w:space="4" w:color="auto"/>
        </w:pBdr>
        <w:ind w:left="2880" w:hanging="2880"/>
        <w:jc w:val="both"/>
        <w:rPr>
          <w:rFonts w:ascii="Times New Roman" w:hAnsi="Times New Roman" w:cs="Times New Roman"/>
          <w:noProof/>
          <w:sz w:val="24"/>
          <w:szCs w:val="24"/>
        </w:rPr>
      </w:pPr>
      <w:r>
        <w:rPr>
          <w:rFonts w:ascii="Times New Roman" w:hAnsi="Times New Roman"/>
          <w:noProof/>
          <w:sz w:val="20"/>
          <w:szCs w:val="20"/>
        </w:rPr>
        <w:t>Article 28 </w:t>
      </w:r>
      <w:r>
        <w:rPr>
          <w:rFonts w:ascii="Times New Roman" w:hAnsi="Times New Roman"/>
          <w:i/>
          <w:iCs/>
          <w:noProof/>
          <w:sz w:val="20"/>
          <w:szCs w:val="20"/>
        </w:rPr>
        <w:t>bis</w:t>
      </w:r>
      <w:r>
        <w:rPr>
          <w:rFonts w:ascii="Times New Roman" w:hAnsi="Times New Roman"/>
          <w:noProof/>
          <w:sz w:val="20"/>
          <w:szCs w:val="20"/>
        </w:rPr>
        <w:t>, paragraphe 10</w:t>
      </w:r>
      <w:r>
        <w:rPr>
          <w:rFonts w:ascii="Times New Roman" w:hAnsi="Times New Roman"/>
          <w:noProof/>
          <w:sz w:val="20"/>
          <w:szCs w:val="20"/>
        </w:rPr>
        <w:tab/>
        <w:t>Modalités d’application des dispositions relatives à l’octroi d’une allocation de chômage aux agents temporaires</w:t>
      </w:r>
    </w:p>
    <w:p>
      <w:pPr>
        <w:pStyle w:val="Heading2"/>
        <w:spacing w:before="360" w:after="240"/>
        <w:rPr>
          <w:rFonts w:ascii="Times New Roman" w:hAnsi="Times New Roman" w:cs="Times New Roman"/>
          <w:noProof/>
        </w:rPr>
      </w:pPr>
      <w:bookmarkStart w:id="4" w:name="_Toc69825798"/>
      <w:r>
        <w:rPr>
          <w:rFonts w:ascii="Times New Roman" w:hAnsi="Times New Roman"/>
          <w:noProof/>
        </w:rPr>
        <w:t>b)</w:t>
      </w:r>
      <w:r>
        <w:rPr>
          <w:rFonts w:ascii="Times New Roman" w:hAnsi="Times New Roman"/>
          <w:noProof/>
        </w:rPr>
        <w:tab/>
        <w:t>Dispositions générales d’exécution</w:t>
      </w:r>
      <w:bookmarkEnd w:id="4"/>
    </w:p>
    <w:p>
      <w:pPr>
        <w:jc w:val="both"/>
        <w:rPr>
          <w:rFonts w:ascii="Times New Roman" w:hAnsi="Times New Roman" w:cs="Times New Roman"/>
          <w:noProof/>
          <w:sz w:val="24"/>
          <w:szCs w:val="24"/>
        </w:rPr>
      </w:pPr>
      <w:r>
        <w:rPr>
          <w:rFonts w:ascii="Times New Roman" w:hAnsi="Times New Roman"/>
          <w:noProof/>
          <w:sz w:val="24"/>
          <w:szCs w:val="24"/>
        </w:rPr>
        <w:t>Le statut des fonctionnaires et le RAA confient respectivement aux autorités investies du pouvoir de nomination et aux autorités habilitées à conclure des contrats d’engagement des pouvoirs spécifiques pour adopter des dispositions générales d’exécution. Cela concerne les sujets suivants</w:t>
      </w:r>
      <w:r>
        <w:rPr>
          <w:rStyle w:val="FootnoteReference"/>
          <w:rFonts w:ascii="Times New Roman" w:hAnsi="Times New Roman" w:cs="Times New Roman"/>
          <w:noProof/>
          <w:sz w:val="24"/>
          <w:szCs w:val="24"/>
        </w:rPr>
        <w:footnoteReference w:id="9"/>
      </w:r>
      <w:r>
        <w:rPr>
          <w:rFonts w:ascii="Times New Roman" w:hAnsi="Times New Roman"/>
          <w:noProof/>
          <w:sz w:val="24"/>
          <w:szCs w:val="24"/>
        </w:rPr>
        <w:t>:</w:t>
      </w:r>
    </w:p>
    <w:p>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
          <w:noProof/>
          <w:sz w:val="24"/>
          <w:szCs w:val="24"/>
        </w:rPr>
      </w:pPr>
      <w:r>
        <w:rPr>
          <w:rFonts w:ascii="Times New Roman" w:hAnsi="Times New Roman"/>
          <w:b/>
          <w:i/>
          <w:noProof/>
          <w:sz w:val="24"/>
          <w:szCs w:val="24"/>
        </w:rPr>
        <w:t>Statut des fonctionnaires</w:t>
      </w:r>
    </w:p>
    <w:p>
      <w:pPr>
        <w:pBdr>
          <w:top w:val="single" w:sz="4" w:space="1" w:color="auto"/>
          <w:left w:val="single" w:sz="4" w:space="4" w:color="auto"/>
          <w:bottom w:val="single" w:sz="4" w:space="1" w:color="auto"/>
          <w:right w:val="single" w:sz="4" w:space="4" w:color="auto"/>
        </w:pBdr>
        <w:ind w:left="2880" w:hanging="2880"/>
        <w:jc w:val="both"/>
        <w:rPr>
          <w:rFonts w:ascii="Times New Roman" w:hAnsi="Times New Roman" w:cs="Times New Roman"/>
          <w:noProof/>
          <w:sz w:val="20"/>
          <w:szCs w:val="20"/>
        </w:rPr>
      </w:pPr>
      <w:r>
        <w:rPr>
          <w:rFonts w:ascii="Times New Roman" w:hAnsi="Times New Roman"/>
          <w:noProof/>
          <w:sz w:val="20"/>
          <w:szCs w:val="20"/>
        </w:rPr>
        <w:t>Article 27, paragraphe 2</w:t>
      </w:r>
      <w:r>
        <w:rPr>
          <w:rFonts w:ascii="Times New Roman" w:hAnsi="Times New Roman"/>
          <w:noProof/>
          <w:sz w:val="20"/>
          <w:szCs w:val="20"/>
        </w:rPr>
        <w:tab/>
        <w:t>Mesures appropriées en cas de constat d’un déséquilibre important entre nationalités parmi les fonctionnaires</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Article 32, paragraphe 2</w:t>
      </w:r>
      <w:r>
        <w:rPr>
          <w:rFonts w:ascii="Times New Roman" w:hAnsi="Times New Roman"/>
          <w:noProof/>
          <w:sz w:val="20"/>
          <w:szCs w:val="20"/>
        </w:rPr>
        <w:tab/>
      </w:r>
      <w:r>
        <w:rPr>
          <w:rFonts w:ascii="Times New Roman" w:hAnsi="Times New Roman"/>
          <w:noProof/>
          <w:sz w:val="20"/>
          <w:szCs w:val="20"/>
        </w:rPr>
        <w:tab/>
        <w:t>Classement en échelon lors du recrutement</w:t>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noProof/>
          <w:sz w:val="20"/>
          <w:szCs w:val="20"/>
        </w:rPr>
      </w:pPr>
      <w:r>
        <w:rPr>
          <w:rFonts w:ascii="Times New Roman" w:hAnsi="Times New Roman"/>
          <w:noProof/>
          <w:sz w:val="20"/>
          <w:szCs w:val="20"/>
        </w:rPr>
        <w:t>Article 42 </w:t>
      </w:r>
      <w:r>
        <w:rPr>
          <w:rFonts w:ascii="Times New Roman" w:hAnsi="Times New Roman"/>
          <w:i/>
          <w:iCs/>
          <w:noProof/>
          <w:sz w:val="20"/>
          <w:szCs w:val="20"/>
        </w:rPr>
        <w:t>bis</w:t>
      </w:r>
      <w:r>
        <w:rPr>
          <w:rFonts w:ascii="Times New Roman" w:hAnsi="Times New Roman"/>
          <w:noProof/>
          <w:sz w:val="20"/>
          <w:szCs w:val="20"/>
        </w:rPr>
        <w:tab/>
      </w:r>
      <w:r>
        <w:rPr>
          <w:rFonts w:ascii="Times New Roman" w:hAnsi="Times New Roman"/>
          <w:noProof/>
          <w:sz w:val="20"/>
          <w:szCs w:val="20"/>
        </w:rPr>
        <w:tab/>
      </w:r>
      <w:r>
        <w:rPr>
          <w:rFonts w:ascii="Times New Roman" w:hAnsi="Times New Roman"/>
          <w:noProof/>
          <w:sz w:val="20"/>
          <w:szCs w:val="20"/>
        </w:rPr>
        <w:tab/>
        <w:t>Congé parental, parents isolés</w:t>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noProof/>
          <w:sz w:val="20"/>
          <w:szCs w:val="20"/>
        </w:rPr>
      </w:pPr>
      <w:r>
        <w:rPr>
          <w:rFonts w:ascii="Times New Roman" w:hAnsi="Times New Roman"/>
          <w:noProof/>
          <w:sz w:val="20"/>
          <w:szCs w:val="20"/>
        </w:rPr>
        <w:t>Article 43</w:t>
      </w:r>
      <w:r>
        <w:rPr>
          <w:rFonts w:ascii="Times New Roman" w:hAnsi="Times New Roman"/>
          <w:noProof/>
          <w:sz w:val="20"/>
          <w:szCs w:val="20"/>
        </w:rPr>
        <w:tab/>
      </w:r>
      <w:r>
        <w:rPr>
          <w:rFonts w:ascii="Times New Roman" w:hAnsi="Times New Roman"/>
          <w:noProof/>
          <w:sz w:val="20"/>
          <w:szCs w:val="20"/>
        </w:rPr>
        <w:tab/>
      </w:r>
      <w:r>
        <w:rPr>
          <w:rFonts w:ascii="Times New Roman" w:hAnsi="Times New Roman"/>
          <w:noProof/>
          <w:sz w:val="20"/>
          <w:szCs w:val="20"/>
        </w:rPr>
        <w:tab/>
        <w:t>Rapport annuel sur la compétence, le rendement et la conduite dans le service</w:t>
      </w:r>
    </w:p>
    <w:p>
      <w:pPr>
        <w:pBdr>
          <w:top w:val="single" w:sz="4" w:space="1" w:color="auto"/>
          <w:left w:val="single" w:sz="4" w:space="4" w:color="auto"/>
          <w:bottom w:val="single" w:sz="4" w:space="1" w:color="auto"/>
          <w:right w:val="single" w:sz="4" w:space="4" w:color="auto"/>
        </w:pBdr>
        <w:ind w:left="2880" w:hanging="2880"/>
        <w:jc w:val="both"/>
        <w:rPr>
          <w:rFonts w:ascii="Times New Roman" w:hAnsi="Times New Roman" w:cs="Times New Roman"/>
          <w:noProof/>
          <w:sz w:val="20"/>
          <w:szCs w:val="20"/>
        </w:rPr>
      </w:pPr>
      <w:r>
        <w:rPr>
          <w:rFonts w:ascii="Times New Roman" w:hAnsi="Times New Roman"/>
          <w:noProof/>
          <w:sz w:val="20"/>
          <w:szCs w:val="20"/>
        </w:rPr>
        <w:t>Article 45 </w:t>
      </w:r>
      <w:r>
        <w:rPr>
          <w:rFonts w:ascii="Times New Roman" w:hAnsi="Times New Roman"/>
          <w:i/>
          <w:iCs/>
          <w:noProof/>
          <w:sz w:val="20"/>
          <w:szCs w:val="20"/>
        </w:rPr>
        <w:t>bis</w:t>
      </w:r>
      <w:r>
        <w:rPr>
          <w:rFonts w:ascii="Times New Roman" w:hAnsi="Times New Roman"/>
          <w:noProof/>
          <w:sz w:val="20"/>
          <w:szCs w:val="20"/>
        </w:rPr>
        <w:t>, paragraphe 5</w:t>
      </w:r>
      <w:r>
        <w:rPr>
          <w:rFonts w:ascii="Times New Roman" w:hAnsi="Times New Roman"/>
          <w:noProof/>
          <w:sz w:val="20"/>
          <w:szCs w:val="20"/>
        </w:rPr>
        <w:tab/>
        <w:t>Nomination d’un fonctionnaire du groupe de fonctions AST à un emploi du groupe de fonctions AD</w:t>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noProof/>
          <w:sz w:val="20"/>
          <w:szCs w:val="20"/>
        </w:rPr>
      </w:pPr>
      <w:r>
        <w:rPr>
          <w:rFonts w:ascii="Times New Roman" w:hAnsi="Times New Roman"/>
          <w:noProof/>
          <w:sz w:val="20"/>
          <w:szCs w:val="20"/>
        </w:rPr>
        <w:t>Article 72, paragraphe 1</w:t>
      </w:r>
      <w:r>
        <w:rPr>
          <w:rFonts w:ascii="Times New Roman" w:hAnsi="Times New Roman"/>
          <w:noProof/>
          <w:sz w:val="20"/>
          <w:szCs w:val="20"/>
        </w:rPr>
        <w:tab/>
      </w:r>
      <w:r>
        <w:rPr>
          <w:rFonts w:ascii="Times New Roman" w:hAnsi="Times New Roman"/>
          <w:noProof/>
          <w:sz w:val="20"/>
          <w:szCs w:val="20"/>
        </w:rPr>
        <w:tab/>
        <w:t>Remboursement des frais médicaux</w:t>
      </w:r>
    </w:p>
    <w:p>
      <w:pPr>
        <w:pBdr>
          <w:top w:val="single" w:sz="4" w:space="1" w:color="auto"/>
          <w:left w:val="single" w:sz="4" w:space="4" w:color="auto"/>
          <w:bottom w:val="single" w:sz="4" w:space="1" w:color="auto"/>
          <w:right w:val="single" w:sz="4" w:space="4" w:color="auto"/>
        </w:pBdr>
        <w:rPr>
          <w:rFonts w:ascii="Times New Roman" w:hAnsi="Times New Roman" w:cs="Times New Roman"/>
          <w:noProof/>
          <w:sz w:val="20"/>
          <w:szCs w:val="20"/>
        </w:rPr>
      </w:pPr>
      <w:r>
        <w:rPr>
          <w:rFonts w:ascii="Times New Roman" w:hAnsi="Times New Roman"/>
          <w:noProof/>
          <w:sz w:val="20"/>
          <w:szCs w:val="20"/>
        </w:rPr>
        <w:t xml:space="preserve">Annexe VII, article 3, </w:t>
      </w:r>
      <w:r>
        <w:rPr>
          <w:rFonts w:ascii="Times New Roman" w:hAnsi="Times New Roman"/>
          <w:noProof/>
          <w:sz w:val="20"/>
          <w:szCs w:val="20"/>
        </w:rPr>
        <w:br/>
        <w:t>paragraphe 1</w:t>
      </w:r>
      <w:r>
        <w:rPr>
          <w:rFonts w:ascii="Times New Roman" w:hAnsi="Times New Roman"/>
          <w:noProof/>
          <w:sz w:val="20"/>
          <w:szCs w:val="20"/>
        </w:rPr>
        <w:tab/>
      </w:r>
      <w:r>
        <w:rPr>
          <w:rFonts w:ascii="Times New Roman" w:hAnsi="Times New Roman"/>
          <w:noProof/>
          <w:sz w:val="20"/>
          <w:szCs w:val="20"/>
        </w:rPr>
        <w:tab/>
      </w:r>
      <w:r>
        <w:rPr>
          <w:rFonts w:ascii="Times New Roman" w:hAnsi="Times New Roman"/>
          <w:noProof/>
          <w:sz w:val="20"/>
          <w:szCs w:val="20"/>
        </w:rPr>
        <w:tab/>
        <w:t>Allocation scolaire</w:t>
      </w:r>
    </w:p>
    <w:p>
      <w:pPr>
        <w:pBdr>
          <w:top w:val="single" w:sz="4" w:space="1" w:color="auto"/>
          <w:left w:val="single" w:sz="4" w:space="4" w:color="auto"/>
          <w:bottom w:val="single" w:sz="4" w:space="1" w:color="auto"/>
          <w:right w:val="single" w:sz="4" w:space="4" w:color="auto"/>
        </w:pBdr>
        <w:rPr>
          <w:rFonts w:ascii="Times New Roman" w:hAnsi="Times New Roman" w:cs="Times New Roman"/>
          <w:noProof/>
          <w:sz w:val="20"/>
          <w:szCs w:val="20"/>
        </w:rPr>
      </w:pPr>
      <w:r>
        <w:rPr>
          <w:rFonts w:ascii="Times New Roman" w:hAnsi="Times New Roman"/>
          <w:noProof/>
          <w:sz w:val="20"/>
          <w:szCs w:val="20"/>
        </w:rPr>
        <w:t xml:space="preserve">Annexe VII, article 9, </w:t>
      </w:r>
      <w:r>
        <w:rPr>
          <w:rFonts w:ascii="Times New Roman" w:hAnsi="Times New Roman"/>
          <w:noProof/>
          <w:sz w:val="20"/>
          <w:szCs w:val="20"/>
        </w:rPr>
        <w:br/>
        <w:t>paragraphe 1</w:t>
      </w:r>
      <w:r>
        <w:rPr>
          <w:rFonts w:ascii="Times New Roman" w:hAnsi="Times New Roman"/>
          <w:noProof/>
          <w:sz w:val="20"/>
          <w:szCs w:val="20"/>
        </w:rPr>
        <w:tab/>
      </w:r>
      <w:r>
        <w:rPr>
          <w:rFonts w:ascii="Times New Roman" w:hAnsi="Times New Roman"/>
          <w:noProof/>
          <w:sz w:val="20"/>
          <w:szCs w:val="20"/>
        </w:rPr>
        <w:tab/>
      </w:r>
      <w:r>
        <w:rPr>
          <w:rFonts w:ascii="Times New Roman" w:hAnsi="Times New Roman"/>
          <w:noProof/>
          <w:sz w:val="20"/>
          <w:szCs w:val="20"/>
        </w:rPr>
        <w:tab/>
        <w:t>Frais de déménagement</w:t>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noProof/>
          <w:sz w:val="20"/>
          <w:szCs w:val="20"/>
        </w:rPr>
      </w:pPr>
      <w:r>
        <w:rPr>
          <w:rFonts w:ascii="Times New Roman" w:hAnsi="Times New Roman"/>
          <w:noProof/>
          <w:sz w:val="20"/>
          <w:szCs w:val="20"/>
        </w:rPr>
        <w:t>Annexe VII, article 13 </w:t>
      </w:r>
      <w:r>
        <w:rPr>
          <w:rFonts w:ascii="Times New Roman" w:hAnsi="Times New Roman"/>
          <w:i/>
          <w:iCs/>
          <w:noProof/>
          <w:sz w:val="20"/>
          <w:szCs w:val="20"/>
        </w:rPr>
        <w:t>bis</w:t>
      </w:r>
      <w:r>
        <w:rPr>
          <w:rFonts w:ascii="Times New Roman" w:hAnsi="Times New Roman"/>
          <w:noProof/>
          <w:sz w:val="20"/>
          <w:szCs w:val="20"/>
        </w:rPr>
        <w:tab/>
      </w:r>
      <w:r>
        <w:rPr>
          <w:rFonts w:ascii="Times New Roman" w:hAnsi="Times New Roman"/>
          <w:noProof/>
          <w:sz w:val="20"/>
          <w:szCs w:val="20"/>
        </w:rPr>
        <w:tab/>
        <w:t>Frais de mission</w:t>
      </w:r>
    </w:p>
    <w:p>
      <w:pPr>
        <w:pBdr>
          <w:top w:val="single" w:sz="4" w:space="1" w:color="auto"/>
          <w:left w:val="single" w:sz="4" w:space="4" w:color="auto"/>
          <w:bottom w:val="single" w:sz="4" w:space="1" w:color="auto"/>
          <w:right w:val="single" w:sz="4" w:space="4" w:color="auto"/>
        </w:pBdr>
        <w:rPr>
          <w:rFonts w:ascii="Times New Roman" w:hAnsi="Times New Roman" w:cs="Times New Roman"/>
          <w:noProof/>
          <w:sz w:val="20"/>
          <w:szCs w:val="20"/>
        </w:rPr>
      </w:pPr>
      <w:r>
        <w:rPr>
          <w:rFonts w:ascii="Times New Roman" w:hAnsi="Times New Roman"/>
          <w:noProof/>
          <w:sz w:val="20"/>
          <w:szCs w:val="20"/>
        </w:rPr>
        <w:t xml:space="preserve">Annexe VIII, article 11, </w:t>
      </w:r>
      <w:r>
        <w:rPr>
          <w:rFonts w:ascii="Times New Roman" w:hAnsi="Times New Roman"/>
          <w:noProof/>
          <w:sz w:val="20"/>
          <w:szCs w:val="20"/>
        </w:rPr>
        <w:br/>
        <w:t>paragraphe 2</w:t>
      </w:r>
      <w:r>
        <w:rPr>
          <w:rFonts w:ascii="Times New Roman" w:hAnsi="Times New Roman"/>
          <w:noProof/>
          <w:sz w:val="20"/>
          <w:szCs w:val="20"/>
        </w:rPr>
        <w:tab/>
      </w:r>
      <w:r>
        <w:rPr>
          <w:rFonts w:ascii="Times New Roman" w:hAnsi="Times New Roman"/>
          <w:noProof/>
          <w:sz w:val="20"/>
          <w:szCs w:val="20"/>
        </w:rPr>
        <w:tab/>
      </w:r>
      <w:r>
        <w:rPr>
          <w:rFonts w:ascii="Times New Roman" w:hAnsi="Times New Roman"/>
          <w:noProof/>
          <w:sz w:val="20"/>
          <w:szCs w:val="20"/>
        </w:rPr>
        <w:tab/>
        <w:t>Transfert IN des droits à pension</w:t>
      </w:r>
    </w:p>
    <w:p>
      <w:pPr>
        <w:pBdr>
          <w:top w:val="single" w:sz="4" w:space="1" w:color="auto"/>
          <w:left w:val="single" w:sz="4" w:space="4" w:color="auto"/>
          <w:bottom w:val="single" w:sz="4" w:space="1" w:color="auto"/>
          <w:right w:val="single" w:sz="4" w:space="4" w:color="auto"/>
        </w:pBdr>
        <w:rPr>
          <w:rFonts w:ascii="Times New Roman" w:hAnsi="Times New Roman" w:cs="Times New Roman"/>
          <w:noProof/>
          <w:sz w:val="20"/>
          <w:szCs w:val="20"/>
        </w:rPr>
      </w:pPr>
      <w:r>
        <w:rPr>
          <w:rFonts w:ascii="Times New Roman" w:hAnsi="Times New Roman"/>
          <w:noProof/>
          <w:sz w:val="20"/>
          <w:szCs w:val="20"/>
        </w:rPr>
        <w:t xml:space="preserve">Annexe IX, article 2, </w:t>
      </w:r>
      <w:r>
        <w:rPr>
          <w:rFonts w:ascii="Times New Roman" w:hAnsi="Times New Roman"/>
          <w:noProof/>
          <w:sz w:val="20"/>
          <w:szCs w:val="20"/>
        </w:rPr>
        <w:br/>
        <w:t>paragraphe 3</w:t>
      </w:r>
      <w:r>
        <w:rPr>
          <w:rFonts w:ascii="Times New Roman" w:hAnsi="Times New Roman"/>
          <w:noProof/>
          <w:sz w:val="20"/>
          <w:szCs w:val="20"/>
        </w:rPr>
        <w:tab/>
      </w:r>
      <w:r>
        <w:rPr>
          <w:rFonts w:ascii="Times New Roman" w:hAnsi="Times New Roman"/>
          <w:noProof/>
          <w:sz w:val="20"/>
          <w:szCs w:val="20"/>
        </w:rPr>
        <w:tab/>
      </w:r>
      <w:r>
        <w:rPr>
          <w:rFonts w:ascii="Times New Roman" w:hAnsi="Times New Roman"/>
          <w:noProof/>
          <w:sz w:val="20"/>
          <w:szCs w:val="20"/>
        </w:rPr>
        <w:tab/>
        <w:t>Enquêtes administratives</w:t>
      </w:r>
    </w:p>
    <w:p>
      <w:pPr>
        <w:pBdr>
          <w:top w:val="single" w:sz="4" w:space="1" w:color="auto"/>
          <w:left w:val="single" w:sz="4" w:space="4" w:color="auto"/>
          <w:bottom w:val="single" w:sz="4" w:space="1" w:color="auto"/>
          <w:right w:val="single" w:sz="4" w:space="4" w:color="auto"/>
        </w:pBdr>
        <w:ind w:left="2880" w:hanging="2880"/>
        <w:jc w:val="both"/>
        <w:rPr>
          <w:rFonts w:ascii="Times New Roman" w:hAnsi="Times New Roman" w:cs="Times New Roman"/>
          <w:noProof/>
          <w:sz w:val="20"/>
          <w:szCs w:val="20"/>
        </w:rPr>
      </w:pPr>
      <w:r>
        <w:rPr>
          <w:rFonts w:ascii="Times New Roman" w:hAnsi="Times New Roman"/>
          <w:noProof/>
          <w:sz w:val="20"/>
          <w:szCs w:val="20"/>
        </w:rPr>
        <w:t>Annexe X, article 3</w:t>
      </w:r>
      <w:r>
        <w:rPr>
          <w:rStyle w:val="FootnoteReference"/>
          <w:rFonts w:ascii="Times New Roman" w:hAnsi="Times New Roman" w:cs="Times New Roman"/>
          <w:noProof/>
          <w:sz w:val="20"/>
          <w:szCs w:val="20"/>
        </w:rPr>
        <w:footnoteReference w:id="10"/>
      </w:r>
      <w:r>
        <w:rPr>
          <w:rFonts w:ascii="Times New Roman" w:hAnsi="Times New Roman"/>
          <w:noProof/>
          <w:sz w:val="20"/>
          <w:szCs w:val="20"/>
        </w:rPr>
        <w:tab/>
        <w:t>Application exceptionnelle de l’annexe X aux fonctionnaires temporairement réaffectés au siège</w:t>
      </w:r>
    </w:p>
    <w:p>
      <w:pPr>
        <w:pBdr>
          <w:top w:val="single" w:sz="4" w:space="1" w:color="auto"/>
          <w:left w:val="single" w:sz="4" w:space="4" w:color="auto"/>
          <w:bottom w:val="single" w:sz="4" w:space="1" w:color="auto"/>
          <w:right w:val="single" w:sz="4" w:space="4" w:color="auto"/>
        </w:pBdr>
        <w:ind w:left="1440" w:hanging="1440"/>
        <w:jc w:val="center"/>
        <w:rPr>
          <w:rFonts w:ascii="Times New Roman" w:hAnsi="Times New Roman" w:cs="Times New Roman"/>
          <w:b/>
          <w:i/>
          <w:noProof/>
          <w:sz w:val="24"/>
          <w:szCs w:val="24"/>
        </w:rPr>
      </w:pPr>
      <w:r>
        <w:rPr>
          <w:rFonts w:ascii="Times New Roman" w:hAnsi="Times New Roman"/>
          <w:b/>
          <w:i/>
          <w:noProof/>
          <w:sz w:val="24"/>
          <w:szCs w:val="24"/>
        </w:rPr>
        <w:t>Régime applicable aux autres agents</w:t>
      </w:r>
    </w:p>
    <w:p>
      <w:pPr>
        <w:pBdr>
          <w:top w:val="single" w:sz="4" w:space="1" w:color="auto"/>
          <w:left w:val="single" w:sz="4" w:space="4" w:color="auto"/>
          <w:bottom w:val="single" w:sz="4" w:space="1" w:color="auto"/>
          <w:right w:val="single" w:sz="4" w:space="4" w:color="auto"/>
        </w:pBdr>
        <w:ind w:left="2880" w:hanging="2880"/>
        <w:jc w:val="both"/>
        <w:rPr>
          <w:rFonts w:ascii="Times New Roman" w:hAnsi="Times New Roman" w:cs="Times New Roman"/>
          <w:noProof/>
          <w:sz w:val="20"/>
          <w:szCs w:val="20"/>
        </w:rPr>
      </w:pPr>
      <w:r>
        <w:rPr>
          <w:rFonts w:ascii="Times New Roman" w:hAnsi="Times New Roman"/>
          <w:noProof/>
          <w:sz w:val="20"/>
          <w:szCs w:val="20"/>
        </w:rPr>
        <w:t>Article 12, paragraphe 1</w:t>
      </w:r>
      <w:r>
        <w:rPr>
          <w:rFonts w:ascii="Times New Roman" w:hAnsi="Times New Roman"/>
          <w:noProof/>
          <w:sz w:val="20"/>
          <w:szCs w:val="20"/>
        </w:rPr>
        <w:tab/>
        <w:t>Mesures appropriées en cas de constat d’un déséquilibre important entre nationalités parmi les agents temporaires</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Article 12, paragraphe 5</w:t>
      </w:r>
      <w:r>
        <w:rPr>
          <w:rFonts w:ascii="Times New Roman" w:hAnsi="Times New Roman"/>
          <w:noProof/>
          <w:sz w:val="20"/>
          <w:szCs w:val="20"/>
        </w:rPr>
        <w:tab/>
      </w:r>
      <w:r>
        <w:rPr>
          <w:rFonts w:ascii="Times New Roman" w:hAnsi="Times New Roman"/>
          <w:noProof/>
          <w:sz w:val="20"/>
          <w:szCs w:val="20"/>
        </w:rPr>
        <w:tab/>
        <w:t>Procédures de recrutement du personnel temporaire</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Article 54</w:t>
      </w:r>
      <w:r>
        <w:rPr>
          <w:rFonts w:ascii="Times New Roman" w:hAnsi="Times New Roman"/>
          <w:noProof/>
          <w:sz w:val="20"/>
          <w:szCs w:val="20"/>
        </w:rPr>
        <w:tab/>
      </w:r>
      <w:r>
        <w:rPr>
          <w:rFonts w:ascii="Times New Roman" w:hAnsi="Times New Roman"/>
          <w:noProof/>
          <w:sz w:val="20"/>
          <w:szCs w:val="20"/>
        </w:rPr>
        <w:tab/>
      </w:r>
      <w:r>
        <w:rPr>
          <w:rFonts w:ascii="Times New Roman" w:hAnsi="Times New Roman"/>
          <w:noProof/>
          <w:sz w:val="20"/>
          <w:szCs w:val="20"/>
        </w:rPr>
        <w:tab/>
        <w:t>Reclassement des agents temporaires visés à l’article 2, point f)</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Article 56</w:t>
      </w:r>
      <w:r>
        <w:rPr>
          <w:rFonts w:ascii="Times New Roman" w:hAnsi="Times New Roman"/>
          <w:noProof/>
          <w:sz w:val="20"/>
          <w:szCs w:val="20"/>
        </w:rPr>
        <w:tab/>
      </w:r>
      <w:r>
        <w:rPr>
          <w:rFonts w:ascii="Times New Roman" w:hAnsi="Times New Roman"/>
          <w:noProof/>
          <w:sz w:val="20"/>
          <w:szCs w:val="20"/>
        </w:rPr>
        <w:tab/>
      </w:r>
      <w:r>
        <w:rPr>
          <w:rFonts w:ascii="Times New Roman" w:hAnsi="Times New Roman"/>
          <w:noProof/>
          <w:sz w:val="20"/>
          <w:szCs w:val="20"/>
        </w:rPr>
        <w:tab/>
        <w:t>Engagement et emploi des agents temporaires visés à l’article 2, point f)</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Article 79</w:t>
      </w:r>
      <w:r>
        <w:rPr>
          <w:rFonts w:ascii="Times New Roman" w:hAnsi="Times New Roman"/>
          <w:noProof/>
          <w:sz w:val="20"/>
          <w:szCs w:val="20"/>
        </w:rPr>
        <w:tab/>
      </w:r>
      <w:r>
        <w:rPr>
          <w:rFonts w:ascii="Times New Roman" w:hAnsi="Times New Roman"/>
          <w:noProof/>
          <w:sz w:val="20"/>
          <w:szCs w:val="20"/>
        </w:rPr>
        <w:tab/>
      </w:r>
      <w:r>
        <w:rPr>
          <w:rFonts w:ascii="Times New Roman" w:hAnsi="Times New Roman"/>
          <w:noProof/>
          <w:sz w:val="20"/>
          <w:szCs w:val="20"/>
        </w:rPr>
        <w:tab/>
        <w:t>Recours aux agents contractuels</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Article 82, paragraphe 6</w:t>
      </w:r>
      <w:r>
        <w:rPr>
          <w:rFonts w:ascii="Times New Roman" w:hAnsi="Times New Roman"/>
          <w:noProof/>
          <w:sz w:val="20"/>
          <w:szCs w:val="20"/>
        </w:rPr>
        <w:tab/>
      </w:r>
      <w:r>
        <w:rPr>
          <w:rFonts w:ascii="Times New Roman" w:hAnsi="Times New Roman"/>
          <w:noProof/>
          <w:sz w:val="20"/>
          <w:szCs w:val="20"/>
        </w:rPr>
        <w:tab/>
        <w:t>Recrutement des agents contractuels</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Article 86, paragraphe 1</w:t>
      </w:r>
      <w:r>
        <w:rPr>
          <w:rFonts w:ascii="Times New Roman" w:hAnsi="Times New Roman"/>
          <w:noProof/>
          <w:sz w:val="20"/>
          <w:szCs w:val="20"/>
        </w:rPr>
        <w:tab/>
      </w:r>
      <w:r>
        <w:rPr>
          <w:rFonts w:ascii="Times New Roman" w:hAnsi="Times New Roman"/>
          <w:noProof/>
          <w:sz w:val="20"/>
          <w:szCs w:val="20"/>
        </w:rPr>
        <w:tab/>
        <w:t>Classement en grade des agents contractuels</w:t>
      </w:r>
    </w:p>
    <w:p>
      <w:pPr>
        <w:jc w:val="both"/>
        <w:rPr>
          <w:rFonts w:ascii="Times New Roman" w:hAnsi="Times New Roman" w:cs="Times New Roman"/>
          <w:noProof/>
          <w:sz w:val="24"/>
          <w:szCs w:val="24"/>
        </w:rPr>
      </w:pPr>
      <w:r>
        <w:rPr>
          <w:rFonts w:ascii="Times New Roman" w:hAnsi="Times New Roman"/>
          <w:noProof/>
          <w:sz w:val="24"/>
          <w:szCs w:val="24"/>
        </w:rPr>
        <w:t>Contrairement à ce qui est le cas pour les règles arrêtées d’un commun accord entre les institutions, le contenu des dispositions générales d’exécution est déterminé par chaque institution</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xml:space="preserve"> en application du principe d’autonomie de chaque institution en qualité d’employeur reconnu par l’article 13, paragraphe 2, du traité sur l’Union européenne et par l’article 298 du traité sur le fonctionnement de l’Union européenne</w:t>
      </w:r>
      <w:r>
        <w:rPr>
          <w:rStyle w:val="FootnoteReference"/>
          <w:rFonts w:ascii="Times New Roman" w:hAnsi="Times New Roman" w:cs="Times New Roman"/>
          <w:noProof/>
          <w:sz w:val="24"/>
          <w:szCs w:val="24"/>
        </w:rPr>
        <w:footnoteReference w:id="12"/>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Les dispositions générales d’exécution sont arrêtées par l’autorité compétente de chaque institution après consultation de son comité du personnel et avis du comité du statut, conformément à l’article 110, paragraphe 1, du statut des fonctionnaires et à l’article 141, premier alinéa, du RAA</w:t>
      </w:r>
      <w:r>
        <w:rPr>
          <w:rStyle w:val="FootnoteReference"/>
          <w:rFonts w:ascii="Times New Roman" w:hAnsi="Times New Roman" w:cs="Times New Roman"/>
          <w:noProof/>
          <w:sz w:val="24"/>
          <w:szCs w:val="24"/>
        </w:rPr>
        <w:footnoteReference w:id="13"/>
      </w:r>
      <w:r>
        <w:rPr>
          <w:rFonts w:ascii="Times New Roman" w:hAnsi="Times New Roman"/>
          <w:noProof/>
          <w:sz w:val="24"/>
          <w:szCs w:val="24"/>
        </w:rPr>
        <w:t>. L’article 142 du RAA prévoit que les dispositions générales d’exécution visées à l’article 110 du statut s’appliquent aux agents visés par ce régime dans la mesure où les dispositions du statut sont rendues applicables à ces agents par ce régime.</w:t>
      </w:r>
    </w:p>
    <w:p>
      <w:pPr>
        <w:jc w:val="both"/>
        <w:rPr>
          <w:rFonts w:ascii="Times New Roman" w:hAnsi="Times New Roman" w:cs="Times New Roman"/>
          <w:noProof/>
          <w:sz w:val="24"/>
          <w:szCs w:val="24"/>
        </w:rPr>
      </w:pPr>
      <w:r>
        <w:rPr>
          <w:rFonts w:ascii="Times New Roman" w:hAnsi="Times New Roman"/>
          <w:noProof/>
          <w:sz w:val="24"/>
          <w:szCs w:val="24"/>
        </w:rPr>
        <w:t xml:space="preserve">Selon la jurisprudence de la Cour de justice de l’Union européenne, </w:t>
      </w:r>
      <w:r>
        <w:rPr>
          <w:rFonts w:ascii="Times New Roman" w:hAnsi="Times New Roman"/>
          <w:noProof/>
          <w:color w:val="000000"/>
          <w:sz w:val="24"/>
          <w:szCs w:val="24"/>
        </w:rPr>
        <w:t>l’expression «dispositions générales d’exécution» figurant à l’article 110, paragraphe 1, du statut vise en premier lieu les dispositions générales d’exécution expressément prévues par certaines dispositions spéciales du statut. Toutefois, à titre exceptionnel, une obligation d’édicter des règles d’exécution soumises aux exigences procédurales de l’article 110, paragraphe 1, du statut peut également être créée lorsque le statut ne prévoit pas expressément l’adoption de dispositions générales d’exécution. Selon la Cour, cela pourrait notamment être le cas «</w:t>
      </w:r>
      <w:r>
        <w:rPr>
          <w:rFonts w:ascii="Times New Roman" w:hAnsi="Times New Roman"/>
          <w:i/>
          <w:noProof/>
          <w:color w:val="000000"/>
          <w:sz w:val="24"/>
          <w:szCs w:val="24"/>
        </w:rPr>
        <w:t>lorsque les dispositions du statut manquent de clarté et de précision à un point tel qu’elles ne se prêtent pas à une application dépourvue d’arbitraire</w:t>
      </w:r>
      <w:r>
        <w:rPr>
          <w:rFonts w:ascii="Times New Roman" w:hAnsi="Times New Roman"/>
          <w:noProof/>
          <w:color w:val="000000"/>
          <w:sz w:val="24"/>
          <w:szCs w:val="24"/>
        </w:rPr>
        <w:t>»</w:t>
      </w:r>
      <w:r>
        <w:rPr>
          <w:rStyle w:val="FootnoteReference"/>
          <w:rFonts w:ascii="Times New Roman" w:hAnsi="Times New Roman" w:cs="Times New Roman"/>
          <w:noProof/>
          <w:color w:val="000000"/>
          <w:sz w:val="24"/>
          <w:szCs w:val="24"/>
        </w:rPr>
        <w:footnoteReference w:id="14"/>
      </w:r>
      <w:r>
        <w:rPr>
          <w:rFonts w:ascii="Times New Roman" w:hAnsi="Times New Roman"/>
          <w:noProof/>
          <w:color w:val="000000"/>
          <w:sz w:val="24"/>
          <w:szCs w:val="24"/>
        </w:rPr>
        <w:t xml:space="preserve">. </w:t>
      </w:r>
    </w:p>
    <w:p>
      <w:pPr>
        <w:pStyle w:val="Heading2"/>
        <w:spacing w:before="360" w:after="240"/>
        <w:rPr>
          <w:rFonts w:ascii="Times New Roman" w:hAnsi="Times New Roman" w:cs="Times New Roman"/>
          <w:noProof/>
        </w:rPr>
      </w:pPr>
      <w:bookmarkStart w:id="5" w:name="_Toc69825799"/>
      <w:r>
        <w:rPr>
          <w:rFonts w:ascii="Times New Roman" w:hAnsi="Times New Roman"/>
          <w:noProof/>
        </w:rPr>
        <w:t>c)</w:t>
      </w:r>
      <w:r>
        <w:rPr>
          <w:rFonts w:ascii="Times New Roman" w:hAnsi="Times New Roman"/>
          <w:noProof/>
        </w:rPr>
        <w:tab/>
        <w:t>Autres règles d’exécution</w:t>
      </w:r>
      <w:bookmarkEnd w:id="5"/>
    </w:p>
    <w:p>
      <w:pPr>
        <w:jc w:val="both"/>
        <w:rPr>
          <w:rFonts w:ascii="Times New Roman" w:hAnsi="Times New Roman" w:cs="Times New Roman"/>
          <w:noProof/>
          <w:sz w:val="24"/>
          <w:szCs w:val="24"/>
        </w:rPr>
      </w:pPr>
      <w:r>
        <w:rPr>
          <w:rFonts w:ascii="Times New Roman" w:hAnsi="Times New Roman"/>
          <w:noProof/>
          <w:sz w:val="24"/>
          <w:szCs w:val="24"/>
        </w:rPr>
        <w:t xml:space="preserve">Le statut des fonctionnaires et le RAA confient aussi </w:t>
      </w:r>
      <w:r>
        <w:rPr>
          <w:rFonts w:ascii="Times New Roman" w:hAnsi="Times New Roman"/>
          <w:noProof/>
          <w:sz w:val="24"/>
          <w:szCs w:val="24"/>
          <w:u w:val="single"/>
        </w:rPr>
        <w:t>de manière expresse</w:t>
      </w:r>
      <w:r>
        <w:rPr>
          <w:rFonts w:ascii="Times New Roman" w:hAnsi="Times New Roman"/>
          <w:noProof/>
          <w:sz w:val="24"/>
          <w:szCs w:val="24"/>
        </w:rPr>
        <w:t xml:space="preserve"> respectivement à l’autorité investie du pouvoir de nomination de chaque institution et à l’autorité habilitée à conclure des contrats d’engagement de chaque institution</w:t>
      </w:r>
      <w:r>
        <w:rPr>
          <w:rStyle w:val="FootnoteReference"/>
          <w:rFonts w:ascii="Times New Roman" w:hAnsi="Times New Roman" w:cs="Times New Roman"/>
          <w:noProof/>
          <w:sz w:val="24"/>
          <w:szCs w:val="24"/>
        </w:rPr>
        <w:footnoteReference w:id="15"/>
      </w:r>
      <w:r>
        <w:rPr>
          <w:rFonts w:ascii="Times New Roman" w:hAnsi="Times New Roman"/>
          <w:noProof/>
          <w:sz w:val="24"/>
          <w:szCs w:val="24"/>
        </w:rPr>
        <w:t xml:space="preserve"> le pouvoir d’adopter d’autres règles d’exécution, sans préciser la procédure d’adoption.</w:t>
      </w:r>
    </w:p>
    <w:p>
      <w:pPr>
        <w:jc w:val="both"/>
        <w:rPr>
          <w:rFonts w:ascii="Times New Roman" w:hAnsi="Times New Roman" w:cs="Times New Roman"/>
          <w:noProof/>
          <w:sz w:val="24"/>
          <w:szCs w:val="24"/>
        </w:rPr>
      </w:pPr>
      <w:r>
        <w:rPr>
          <w:rFonts w:ascii="Times New Roman" w:hAnsi="Times New Roman"/>
          <w:noProof/>
          <w:sz w:val="24"/>
          <w:szCs w:val="24"/>
        </w:rPr>
        <w:t>Ces autres règles d’exécution sont expressément prévues pour les sujets suivants:</w:t>
      </w:r>
    </w:p>
    <w:p>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
          <w:noProof/>
          <w:sz w:val="24"/>
          <w:szCs w:val="24"/>
        </w:rPr>
      </w:pPr>
      <w:r>
        <w:rPr>
          <w:rFonts w:ascii="Times New Roman" w:hAnsi="Times New Roman"/>
          <w:b/>
          <w:i/>
          <w:noProof/>
          <w:sz w:val="24"/>
          <w:szCs w:val="24"/>
        </w:rPr>
        <w:t>Statut des fonctionnaires</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Article 2</w:t>
      </w:r>
      <w:r>
        <w:rPr>
          <w:rFonts w:ascii="Times New Roman" w:hAnsi="Times New Roman"/>
          <w:noProof/>
          <w:sz w:val="20"/>
          <w:szCs w:val="20"/>
        </w:rPr>
        <w:tab/>
      </w:r>
      <w:r>
        <w:rPr>
          <w:rFonts w:ascii="Times New Roman" w:hAnsi="Times New Roman"/>
          <w:noProof/>
          <w:sz w:val="20"/>
          <w:szCs w:val="20"/>
        </w:rPr>
        <w:tab/>
      </w:r>
      <w:r>
        <w:rPr>
          <w:rFonts w:ascii="Times New Roman" w:hAnsi="Times New Roman"/>
          <w:noProof/>
          <w:sz w:val="20"/>
          <w:szCs w:val="20"/>
        </w:rPr>
        <w:tab/>
      </w:r>
      <w:r>
        <w:rPr>
          <w:rFonts w:ascii="Times New Roman" w:hAnsi="Times New Roman"/>
          <w:noProof/>
          <w:sz w:val="20"/>
          <w:szCs w:val="20"/>
        </w:rPr>
        <w:tab/>
        <w:t>Détermination des pouvoirs de l’autorité investie du pouvoir de nomination</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Article 5, paragraphe 4</w:t>
      </w:r>
      <w:r>
        <w:rPr>
          <w:rFonts w:ascii="Times New Roman" w:hAnsi="Times New Roman"/>
          <w:noProof/>
          <w:sz w:val="20"/>
          <w:szCs w:val="20"/>
        </w:rPr>
        <w:tab/>
      </w:r>
      <w:r>
        <w:rPr>
          <w:rFonts w:ascii="Times New Roman" w:hAnsi="Times New Roman"/>
          <w:noProof/>
          <w:sz w:val="20"/>
          <w:szCs w:val="20"/>
        </w:rPr>
        <w:tab/>
        <w:t>Définition des emplois types</w:t>
      </w:r>
    </w:p>
    <w:p>
      <w:pPr>
        <w:pBdr>
          <w:top w:val="single" w:sz="4" w:space="1" w:color="auto"/>
          <w:left w:val="single" w:sz="4" w:space="4" w:color="auto"/>
          <w:bottom w:val="single" w:sz="4" w:space="1" w:color="auto"/>
          <w:right w:val="single" w:sz="4" w:space="4" w:color="auto"/>
        </w:pBdr>
        <w:ind w:left="2880" w:hanging="2880"/>
        <w:jc w:val="both"/>
        <w:rPr>
          <w:rFonts w:ascii="Times New Roman" w:hAnsi="Times New Roman" w:cs="Times New Roman"/>
          <w:noProof/>
          <w:sz w:val="20"/>
          <w:szCs w:val="20"/>
        </w:rPr>
      </w:pPr>
      <w:r>
        <w:rPr>
          <w:rFonts w:ascii="Times New Roman" w:hAnsi="Times New Roman"/>
          <w:noProof/>
          <w:sz w:val="20"/>
          <w:szCs w:val="20"/>
        </w:rPr>
        <w:t>Article 9, paragraphe 2</w:t>
      </w:r>
      <w:r>
        <w:rPr>
          <w:rFonts w:ascii="Times New Roman" w:hAnsi="Times New Roman"/>
          <w:noProof/>
          <w:sz w:val="20"/>
          <w:szCs w:val="20"/>
        </w:rPr>
        <w:tab/>
        <w:t>Composition et modalités de fonctionnement des organes (comités et commissions)</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Article 22 </w:t>
      </w:r>
      <w:r>
        <w:rPr>
          <w:rFonts w:ascii="Times New Roman" w:hAnsi="Times New Roman"/>
          <w:i/>
          <w:iCs/>
          <w:noProof/>
          <w:sz w:val="20"/>
          <w:szCs w:val="20"/>
        </w:rPr>
        <w:t>quater</w:t>
      </w:r>
      <w:r>
        <w:rPr>
          <w:rFonts w:ascii="Times New Roman" w:hAnsi="Times New Roman"/>
          <w:noProof/>
          <w:sz w:val="20"/>
          <w:szCs w:val="20"/>
        </w:rPr>
        <w:tab/>
      </w:r>
      <w:r>
        <w:rPr>
          <w:rFonts w:ascii="Times New Roman" w:hAnsi="Times New Roman"/>
          <w:noProof/>
          <w:sz w:val="20"/>
          <w:szCs w:val="20"/>
        </w:rPr>
        <w:tab/>
      </w:r>
      <w:r>
        <w:rPr>
          <w:rFonts w:ascii="Times New Roman" w:hAnsi="Times New Roman"/>
          <w:noProof/>
          <w:sz w:val="20"/>
          <w:szCs w:val="20"/>
        </w:rPr>
        <w:tab/>
        <w:t>Dénonciation des dysfonctionnements</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Article 51, paragraphe 1</w:t>
      </w:r>
      <w:r>
        <w:rPr>
          <w:rFonts w:ascii="Times New Roman" w:hAnsi="Times New Roman"/>
          <w:noProof/>
          <w:sz w:val="20"/>
          <w:szCs w:val="20"/>
        </w:rPr>
        <w:tab/>
      </w:r>
      <w:r>
        <w:rPr>
          <w:rFonts w:ascii="Times New Roman" w:hAnsi="Times New Roman"/>
          <w:noProof/>
          <w:sz w:val="20"/>
          <w:szCs w:val="20"/>
        </w:rPr>
        <w:tab/>
        <w:t>Procédures de traitement de l’insuffisance professionnelle</w:t>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noProof/>
          <w:sz w:val="20"/>
          <w:szCs w:val="20"/>
        </w:rPr>
      </w:pPr>
      <w:r>
        <w:rPr>
          <w:rFonts w:ascii="Times New Roman" w:hAnsi="Times New Roman"/>
          <w:noProof/>
          <w:sz w:val="20"/>
          <w:szCs w:val="20"/>
        </w:rPr>
        <w:t>Article 55, paragraphe 3</w:t>
      </w:r>
      <w:r>
        <w:rPr>
          <w:rFonts w:ascii="Times New Roman" w:hAnsi="Times New Roman"/>
          <w:noProof/>
          <w:sz w:val="20"/>
          <w:szCs w:val="20"/>
        </w:rPr>
        <w:tab/>
      </w:r>
      <w:r>
        <w:rPr>
          <w:rFonts w:ascii="Times New Roman" w:hAnsi="Times New Roman"/>
          <w:noProof/>
          <w:sz w:val="20"/>
          <w:szCs w:val="20"/>
        </w:rPr>
        <w:tab/>
        <w:t>Astreintes</w:t>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noProof/>
          <w:sz w:val="20"/>
          <w:szCs w:val="20"/>
        </w:rPr>
      </w:pPr>
      <w:r>
        <w:rPr>
          <w:rFonts w:ascii="Times New Roman" w:hAnsi="Times New Roman"/>
          <w:noProof/>
          <w:sz w:val="20"/>
          <w:szCs w:val="20"/>
        </w:rPr>
        <w:t>Article 55, paragraphe 4</w:t>
      </w:r>
      <w:r>
        <w:rPr>
          <w:rFonts w:ascii="Times New Roman" w:hAnsi="Times New Roman"/>
          <w:noProof/>
          <w:sz w:val="20"/>
          <w:szCs w:val="20"/>
        </w:rPr>
        <w:tab/>
      </w:r>
      <w:r>
        <w:rPr>
          <w:rFonts w:ascii="Times New Roman" w:hAnsi="Times New Roman"/>
          <w:noProof/>
          <w:sz w:val="20"/>
          <w:szCs w:val="20"/>
        </w:rPr>
        <w:tab/>
        <w:t>Mesures d’aménagement du temps de travail</w:t>
      </w:r>
    </w:p>
    <w:p>
      <w:pPr>
        <w:pBdr>
          <w:top w:val="single" w:sz="4" w:space="1" w:color="auto"/>
          <w:left w:val="single" w:sz="4" w:space="4" w:color="auto"/>
          <w:bottom w:val="single" w:sz="4" w:space="1" w:color="auto"/>
          <w:right w:val="single" w:sz="4" w:space="4" w:color="auto"/>
        </w:pBdr>
        <w:rPr>
          <w:rFonts w:ascii="Times New Roman" w:hAnsi="Times New Roman"/>
          <w:noProof/>
          <w:sz w:val="20"/>
          <w:szCs w:val="20"/>
        </w:rPr>
      </w:pPr>
      <w:r>
        <w:rPr>
          <w:rFonts w:ascii="Times New Roman" w:hAnsi="Times New Roman"/>
          <w:noProof/>
          <w:sz w:val="20"/>
          <w:szCs w:val="20"/>
        </w:rPr>
        <w:t>Article 55 </w:t>
      </w:r>
      <w:r>
        <w:rPr>
          <w:rFonts w:ascii="Times New Roman" w:hAnsi="Times New Roman"/>
          <w:i/>
          <w:iCs/>
          <w:noProof/>
          <w:sz w:val="20"/>
          <w:szCs w:val="20"/>
        </w:rPr>
        <w:t>bis</w:t>
      </w:r>
      <w:r>
        <w:rPr>
          <w:rFonts w:ascii="Times New Roman" w:hAnsi="Times New Roman"/>
          <w:noProof/>
          <w:sz w:val="20"/>
          <w:szCs w:val="20"/>
        </w:rPr>
        <w:t xml:space="preserve"> +</w:t>
      </w:r>
      <w:r>
        <w:rPr>
          <w:rFonts w:ascii="Times New Roman" w:hAnsi="Times New Roman"/>
          <w:noProof/>
          <w:sz w:val="20"/>
          <w:szCs w:val="20"/>
        </w:rPr>
        <w:br/>
        <w:t>annexe IV </w:t>
      </w:r>
      <w:r>
        <w:rPr>
          <w:rFonts w:ascii="Times New Roman" w:hAnsi="Times New Roman"/>
          <w:i/>
          <w:iCs/>
          <w:noProof/>
          <w:sz w:val="20"/>
          <w:szCs w:val="20"/>
        </w:rPr>
        <w:t>bis</w:t>
      </w:r>
      <w:r>
        <w:rPr>
          <w:rFonts w:ascii="Times New Roman" w:hAnsi="Times New Roman"/>
          <w:noProof/>
          <w:sz w:val="20"/>
          <w:szCs w:val="20"/>
        </w:rPr>
        <w:t>, article 5</w:t>
      </w:r>
      <w:r>
        <w:rPr>
          <w:rFonts w:ascii="Times New Roman" w:hAnsi="Times New Roman"/>
          <w:noProof/>
          <w:sz w:val="20"/>
          <w:szCs w:val="20"/>
        </w:rPr>
        <w:tab/>
      </w:r>
      <w:r>
        <w:rPr>
          <w:rFonts w:ascii="Times New Roman" w:hAnsi="Times New Roman"/>
          <w:noProof/>
          <w:sz w:val="20"/>
          <w:szCs w:val="20"/>
        </w:rPr>
        <w:tab/>
        <w:t>Activité à temps partiel</w:t>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noProof/>
          <w:sz w:val="20"/>
          <w:szCs w:val="20"/>
        </w:rPr>
      </w:pPr>
      <w:r>
        <w:rPr>
          <w:rFonts w:ascii="Times New Roman" w:hAnsi="Times New Roman"/>
          <w:noProof/>
          <w:sz w:val="20"/>
          <w:szCs w:val="20"/>
        </w:rPr>
        <w:t>Article 55 </w:t>
      </w:r>
      <w:r>
        <w:rPr>
          <w:rFonts w:ascii="Times New Roman" w:hAnsi="Times New Roman"/>
          <w:i/>
          <w:iCs/>
          <w:noProof/>
          <w:sz w:val="20"/>
          <w:szCs w:val="20"/>
        </w:rPr>
        <w:t>ter</w:t>
      </w:r>
      <w:r>
        <w:rPr>
          <w:rFonts w:ascii="Times New Roman" w:hAnsi="Times New Roman"/>
          <w:noProof/>
          <w:sz w:val="20"/>
          <w:szCs w:val="20"/>
        </w:rPr>
        <w:tab/>
      </w:r>
      <w:r>
        <w:rPr>
          <w:rFonts w:ascii="Times New Roman" w:hAnsi="Times New Roman"/>
          <w:noProof/>
          <w:sz w:val="20"/>
          <w:szCs w:val="20"/>
        </w:rPr>
        <w:tab/>
      </w:r>
      <w:r>
        <w:rPr>
          <w:rFonts w:ascii="Times New Roman" w:hAnsi="Times New Roman"/>
          <w:noProof/>
          <w:sz w:val="20"/>
          <w:szCs w:val="20"/>
        </w:rPr>
        <w:tab/>
        <w:t>Emploi partagé</w:t>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noProof/>
          <w:sz w:val="20"/>
          <w:szCs w:val="20"/>
        </w:rPr>
      </w:pPr>
      <w:r>
        <w:rPr>
          <w:rFonts w:ascii="Times New Roman" w:hAnsi="Times New Roman"/>
          <w:noProof/>
          <w:sz w:val="20"/>
          <w:szCs w:val="20"/>
        </w:rPr>
        <w:t>Article 56 + annexe VI, article 3</w:t>
      </w:r>
      <w:r>
        <w:rPr>
          <w:rFonts w:ascii="Times New Roman" w:hAnsi="Times New Roman"/>
          <w:noProof/>
          <w:sz w:val="20"/>
          <w:szCs w:val="20"/>
        </w:rPr>
        <w:tab/>
        <w:t>Heures supplémentaires</w:t>
      </w:r>
    </w:p>
    <w:p>
      <w:pPr>
        <w:pBdr>
          <w:top w:val="single" w:sz="4" w:space="1" w:color="auto"/>
          <w:left w:val="single" w:sz="4" w:space="4" w:color="auto"/>
          <w:bottom w:val="single" w:sz="4" w:space="1" w:color="auto"/>
          <w:right w:val="single" w:sz="4" w:space="4" w:color="auto"/>
        </w:pBdr>
        <w:ind w:left="2880" w:hanging="2880"/>
        <w:jc w:val="both"/>
        <w:rPr>
          <w:rFonts w:ascii="Times New Roman" w:hAnsi="Times New Roman" w:cs="Times New Roman"/>
          <w:noProof/>
          <w:sz w:val="20"/>
          <w:szCs w:val="20"/>
        </w:rPr>
      </w:pPr>
      <w:r>
        <w:rPr>
          <w:rFonts w:ascii="Times New Roman" w:hAnsi="Times New Roman"/>
          <w:noProof/>
          <w:sz w:val="20"/>
          <w:szCs w:val="20"/>
        </w:rPr>
        <w:t>Article 96</w:t>
      </w:r>
      <w:r>
        <w:rPr>
          <w:rFonts w:ascii="Times New Roman" w:hAnsi="Times New Roman"/>
          <w:noProof/>
          <w:sz w:val="20"/>
          <w:szCs w:val="20"/>
        </w:rPr>
        <w:tab/>
        <w:t>Fonctionnaires de la Commission travaillant dans une délégation de l’Union et fonctionnaires du SEAE qui doivent accomplir des tâches pour la Commission dans l’exercice de leurs fonctions</w:t>
      </w:r>
    </w:p>
    <w:p>
      <w:pPr>
        <w:pBdr>
          <w:top w:val="single" w:sz="4" w:space="1" w:color="auto"/>
          <w:left w:val="single" w:sz="4" w:space="4" w:color="auto"/>
          <w:bottom w:val="single" w:sz="4" w:space="1" w:color="auto"/>
          <w:right w:val="single" w:sz="4" w:space="4" w:color="auto"/>
        </w:pBdr>
        <w:rPr>
          <w:rFonts w:ascii="Times New Roman" w:hAnsi="Times New Roman" w:cs="Times New Roman"/>
          <w:noProof/>
          <w:sz w:val="20"/>
          <w:szCs w:val="20"/>
        </w:rPr>
      </w:pPr>
      <w:r>
        <w:rPr>
          <w:rFonts w:ascii="Times New Roman" w:hAnsi="Times New Roman"/>
          <w:noProof/>
          <w:sz w:val="20"/>
          <w:szCs w:val="20"/>
        </w:rPr>
        <w:t xml:space="preserve">Annexe VII, article 13, </w:t>
      </w:r>
      <w:r>
        <w:rPr>
          <w:rFonts w:ascii="Times New Roman" w:hAnsi="Times New Roman"/>
          <w:noProof/>
          <w:sz w:val="20"/>
          <w:szCs w:val="20"/>
        </w:rPr>
        <w:br/>
        <w:t>paragraphe 2, point b)</w:t>
      </w:r>
      <w:r>
        <w:rPr>
          <w:rFonts w:ascii="Times New Roman" w:hAnsi="Times New Roman"/>
          <w:noProof/>
          <w:sz w:val="20"/>
          <w:szCs w:val="20"/>
        </w:rPr>
        <w:tab/>
      </w:r>
      <w:r>
        <w:rPr>
          <w:rFonts w:ascii="Times New Roman" w:hAnsi="Times New Roman"/>
          <w:noProof/>
          <w:sz w:val="20"/>
          <w:szCs w:val="20"/>
        </w:rPr>
        <w:tab/>
        <w:t>Barème applicable aux missions dans des pays tiers</w:t>
      </w:r>
    </w:p>
    <w:p>
      <w:pPr>
        <w:pBdr>
          <w:top w:val="single" w:sz="4" w:space="1" w:color="auto"/>
          <w:left w:val="single" w:sz="4" w:space="4" w:color="auto"/>
          <w:bottom w:val="single" w:sz="4" w:space="1" w:color="auto"/>
          <w:right w:val="single" w:sz="4" w:space="4" w:color="auto"/>
        </w:pBdr>
        <w:rPr>
          <w:rFonts w:ascii="Times New Roman" w:hAnsi="Times New Roman" w:cs="Times New Roman"/>
          <w:b/>
          <w:noProof/>
          <w:sz w:val="20"/>
          <w:szCs w:val="20"/>
        </w:rPr>
      </w:pPr>
      <w:r>
        <w:rPr>
          <w:rFonts w:ascii="Times New Roman" w:hAnsi="Times New Roman"/>
          <w:b/>
          <w:noProof/>
          <w:sz w:val="20"/>
          <w:szCs w:val="20"/>
        </w:rPr>
        <w:t xml:space="preserve">Annexe VII, </w:t>
      </w:r>
      <w:r>
        <w:rPr>
          <w:rFonts w:ascii="Times New Roman" w:hAnsi="Times New Roman"/>
          <w:b/>
          <w:noProof/>
          <w:sz w:val="20"/>
          <w:szCs w:val="20"/>
        </w:rPr>
        <w:br/>
        <w:t>article 14, paragraphe 2</w:t>
      </w:r>
      <w:r>
        <w:rPr>
          <w:rFonts w:ascii="Times New Roman" w:hAnsi="Times New Roman"/>
          <w:b/>
          <w:noProof/>
          <w:sz w:val="20"/>
          <w:szCs w:val="20"/>
        </w:rPr>
        <w:tab/>
      </w:r>
      <w:r>
        <w:rPr>
          <w:rFonts w:ascii="Times New Roman" w:hAnsi="Times New Roman"/>
          <w:b/>
          <w:noProof/>
          <w:sz w:val="20"/>
          <w:szCs w:val="20"/>
        </w:rPr>
        <w:tab/>
        <w:t>Indemnité de représentation</w:t>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noProof/>
          <w:sz w:val="20"/>
          <w:szCs w:val="20"/>
        </w:rPr>
      </w:pPr>
      <w:r>
        <w:rPr>
          <w:rFonts w:ascii="Times New Roman" w:hAnsi="Times New Roman"/>
          <w:noProof/>
          <w:sz w:val="20"/>
          <w:szCs w:val="20"/>
        </w:rPr>
        <w:t>Annexe IX, article 30</w:t>
      </w:r>
      <w:r>
        <w:rPr>
          <w:rFonts w:ascii="Times New Roman" w:hAnsi="Times New Roman"/>
          <w:noProof/>
          <w:sz w:val="20"/>
          <w:szCs w:val="20"/>
        </w:rPr>
        <w:tab/>
      </w:r>
      <w:r>
        <w:rPr>
          <w:rFonts w:ascii="Times New Roman" w:hAnsi="Times New Roman"/>
          <w:noProof/>
          <w:sz w:val="20"/>
          <w:szCs w:val="20"/>
        </w:rPr>
        <w:tab/>
        <w:t>Procédure disciplinaire</w:t>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noProof/>
          <w:sz w:val="20"/>
          <w:szCs w:val="20"/>
        </w:rPr>
      </w:pPr>
      <w:r>
        <w:rPr>
          <w:rFonts w:ascii="Times New Roman" w:hAnsi="Times New Roman"/>
          <w:noProof/>
          <w:sz w:val="20"/>
          <w:szCs w:val="20"/>
        </w:rPr>
        <w:t>Annexe X, article 2</w:t>
      </w:r>
      <w:r>
        <w:rPr>
          <w:rFonts w:ascii="Times New Roman" w:hAnsi="Times New Roman"/>
          <w:noProof/>
          <w:sz w:val="20"/>
          <w:szCs w:val="20"/>
        </w:rPr>
        <w:tab/>
      </w:r>
      <w:r>
        <w:rPr>
          <w:rFonts w:ascii="Times New Roman" w:hAnsi="Times New Roman"/>
          <w:noProof/>
          <w:sz w:val="20"/>
          <w:szCs w:val="20"/>
        </w:rPr>
        <w:tab/>
        <w:t>Mobilité des fonctionnaires affectés dans un pays tiers</w:t>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noProof/>
          <w:sz w:val="20"/>
          <w:szCs w:val="20"/>
        </w:rPr>
      </w:pPr>
      <w:r>
        <w:rPr>
          <w:rFonts w:ascii="Times New Roman" w:hAnsi="Times New Roman"/>
          <w:noProof/>
          <w:sz w:val="20"/>
          <w:szCs w:val="20"/>
        </w:rPr>
        <w:t>Annexe X, article 5, paragraphe 2</w:t>
      </w:r>
      <w:r>
        <w:rPr>
          <w:rFonts w:ascii="Times New Roman" w:hAnsi="Times New Roman"/>
          <w:noProof/>
          <w:sz w:val="20"/>
          <w:szCs w:val="20"/>
        </w:rPr>
        <w:tab/>
        <w:t>Logement des fonctionnaires affectés dans un pays tiers</w:t>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noProof/>
          <w:sz w:val="20"/>
          <w:szCs w:val="20"/>
        </w:rPr>
      </w:pPr>
      <w:r>
        <w:rPr>
          <w:rFonts w:ascii="Times New Roman" w:hAnsi="Times New Roman"/>
          <w:noProof/>
          <w:sz w:val="20"/>
          <w:szCs w:val="20"/>
        </w:rPr>
        <w:t>Annexe X, article 10, paragraphe 3</w:t>
      </w:r>
      <w:r>
        <w:rPr>
          <w:rFonts w:ascii="Times New Roman" w:hAnsi="Times New Roman"/>
          <w:noProof/>
          <w:sz w:val="20"/>
          <w:szCs w:val="20"/>
        </w:rPr>
        <w:tab/>
        <w:t>Indemnité de conditions de vie</w:t>
      </w:r>
    </w:p>
    <w:p>
      <w:pPr>
        <w:pBdr>
          <w:top w:val="single" w:sz="4" w:space="1" w:color="auto"/>
          <w:left w:val="single" w:sz="4" w:space="4" w:color="auto"/>
          <w:bottom w:val="single" w:sz="4" w:space="1" w:color="auto"/>
          <w:right w:val="single" w:sz="4" w:space="4" w:color="auto"/>
        </w:pBdr>
        <w:ind w:left="2880" w:hanging="2880"/>
        <w:jc w:val="both"/>
        <w:rPr>
          <w:rFonts w:ascii="Times New Roman" w:hAnsi="Times New Roman" w:cs="Times New Roman"/>
          <w:noProof/>
          <w:sz w:val="20"/>
          <w:szCs w:val="20"/>
        </w:rPr>
      </w:pPr>
      <w:r>
        <w:rPr>
          <w:rFonts w:ascii="Times New Roman" w:hAnsi="Times New Roman"/>
          <w:noProof/>
          <w:sz w:val="20"/>
          <w:szCs w:val="20"/>
        </w:rPr>
        <w:t>Annexe X, article 23</w:t>
      </w:r>
      <w:r>
        <w:rPr>
          <w:rFonts w:ascii="Times New Roman" w:hAnsi="Times New Roman"/>
          <w:noProof/>
          <w:sz w:val="20"/>
          <w:szCs w:val="20"/>
        </w:rPr>
        <w:tab/>
        <w:t>Remboursement du montant du loyer des fonctionnaires affectés dans un pays tiers</w:t>
      </w:r>
    </w:p>
    <w:p>
      <w:pPr>
        <w:pBdr>
          <w:top w:val="single" w:sz="4" w:space="1" w:color="auto"/>
          <w:left w:val="single" w:sz="4" w:space="4" w:color="auto"/>
          <w:bottom w:val="single" w:sz="4" w:space="1" w:color="auto"/>
          <w:right w:val="single" w:sz="4" w:space="4" w:color="auto"/>
        </w:pBdr>
        <w:rPr>
          <w:rFonts w:ascii="Times New Roman" w:hAnsi="Times New Roman" w:cs="Times New Roman"/>
          <w:noProof/>
          <w:sz w:val="20"/>
          <w:szCs w:val="20"/>
        </w:rPr>
      </w:pPr>
      <w:r>
        <w:rPr>
          <w:rFonts w:ascii="Times New Roman" w:hAnsi="Times New Roman"/>
          <w:noProof/>
          <w:sz w:val="20"/>
          <w:szCs w:val="20"/>
        </w:rPr>
        <w:t>Annexe XIII, article 30,</w:t>
      </w:r>
      <w:r>
        <w:rPr>
          <w:rFonts w:ascii="Times New Roman" w:hAnsi="Times New Roman"/>
          <w:noProof/>
          <w:sz w:val="20"/>
          <w:szCs w:val="20"/>
        </w:rPr>
        <w:br/>
        <w:t>paragraphe 3</w:t>
      </w:r>
      <w:r>
        <w:rPr>
          <w:rFonts w:ascii="Times New Roman" w:hAnsi="Times New Roman"/>
          <w:noProof/>
          <w:sz w:val="20"/>
          <w:szCs w:val="20"/>
        </w:rPr>
        <w:tab/>
      </w:r>
      <w:r>
        <w:rPr>
          <w:rFonts w:ascii="Times New Roman" w:hAnsi="Times New Roman"/>
          <w:noProof/>
          <w:sz w:val="20"/>
          <w:szCs w:val="20"/>
        </w:rPr>
        <w:tab/>
      </w:r>
      <w:r>
        <w:rPr>
          <w:rFonts w:ascii="Times New Roman" w:hAnsi="Times New Roman"/>
          <w:noProof/>
          <w:sz w:val="20"/>
          <w:szCs w:val="20"/>
        </w:rPr>
        <w:tab/>
        <w:t xml:space="preserve">Classement des fonctionnaires investis de responsabilités particulières en </w:t>
      </w:r>
      <w:r>
        <w:rPr>
          <w:rFonts w:ascii="Times New Roman" w:hAnsi="Times New Roman"/>
          <w:noProof/>
          <w:sz w:val="20"/>
          <w:szCs w:val="20"/>
        </w:rPr>
        <w:tab/>
      </w:r>
      <w:r>
        <w:rPr>
          <w:rFonts w:ascii="Times New Roman" w:hAnsi="Times New Roman"/>
          <w:noProof/>
          <w:sz w:val="20"/>
          <w:szCs w:val="20"/>
        </w:rPr>
        <w:tab/>
      </w:r>
      <w:r>
        <w:rPr>
          <w:rFonts w:ascii="Times New Roman" w:hAnsi="Times New Roman"/>
          <w:noProof/>
          <w:sz w:val="20"/>
          <w:szCs w:val="20"/>
        </w:rPr>
        <w:tab/>
      </w:r>
      <w:r>
        <w:rPr>
          <w:rFonts w:ascii="Times New Roman" w:hAnsi="Times New Roman"/>
          <w:noProof/>
          <w:sz w:val="20"/>
          <w:szCs w:val="20"/>
        </w:rPr>
        <w:tab/>
        <w:t xml:space="preserve">tant que «chef d’unité ou équivalent» ou «conseiller ou équivalent» avant </w:t>
      </w:r>
      <w:r>
        <w:rPr>
          <w:rFonts w:ascii="Times New Roman" w:hAnsi="Times New Roman"/>
          <w:noProof/>
          <w:sz w:val="20"/>
          <w:szCs w:val="20"/>
        </w:rPr>
        <w:tab/>
      </w:r>
      <w:r>
        <w:rPr>
          <w:rFonts w:ascii="Times New Roman" w:hAnsi="Times New Roman"/>
          <w:noProof/>
          <w:sz w:val="20"/>
          <w:szCs w:val="20"/>
        </w:rPr>
        <w:tab/>
      </w:r>
      <w:r>
        <w:rPr>
          <w:rFonts w:ascii="Times New Roman" w:hAnsi="Times New Roman"/>
          <w:noProof/>
          <w:sz w:val="20"/>
          <w:szCs w:val="20"/>
        </w:rPr>
        <w:tab/>
      </w:r>
      <w:r>
        <w:rPr>
          <w:rFonts w:ascii="Times New Roman" w:hAnsi="Times New Roman"/>
          <w:noProof/>
          <w:sz w:val="20"/>
          <w:szCs w:val="20"/>
        </w:rPr>
        <w:tab/>
        <w:t>le 31 décembre 2015</w:t>
      </w:r>
    </w:p>
    <w:p>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
          <w:noProof/>
          <w:sz w:val="24"/>
          <w:szCs w:val="24"/>
        </w:rPr>
      </w:pPr>
      <w:r>
        <w:rPr>
          <w:rFonts w:ascii="Times New Roman" w:hAnsi="Times New Roman"/>
          <w:b/>
          <w:i/>
          <w:noProof/>
          <w:sz w:val="24"/>
          <w:szCs w:val="24"/>
        </w:rPr>
        <w:t>Régime applicable aux autres agents</w:t>
      </w:r>
    </w:p>
    <w:p>
      <w:pPr>
        <w:pBdr>
          <w:top w:val="single" w:sz="4" w:space="1" w:color="auto"/>
          <w:left w:val="single" w:sz="4" w:space="4" w:color="auto"/>
          <w:bottom w:val="single" w:sz="4" w:space="1" w:color="auto"/>
          <w:right w:val="single" w:sz="4" w:space="4" w:color="auto"/>
        </w:pBdr>
        <w:ind w:left="2880" w:hanging="2880"/>
        <w:jc w:val="both"/>
        <w:rPr>
          <w:rFonts w:ascii="Times New Roman" w:hAnsi="Times New Roman" w:cs="Times New Roman"/>
          <w:b/>
          <w:i/>
          <w:noProof/>
          <w:sz w:val="20"/>
          <w:szCs w:val="20"/>
        </w:rPr>
      </w:pPr>
      <w:r>
        <w:rPr>
          <w:rFonts w:ascii="Times New Roman" w:hAnsi="Times New Roman"/>
          <w:b/>
          <w:noProof/>
          <w:sz w:val="20"/>
          <w:szCs w:val="20"/>
        </w:rPr>
        <w:t>Article 28 </w:t>
      </w:r>
      <w:r>
        <w:rPr>
          <w:rFonts w:ascii="Times New Roman" w:hAnsi="Times New Roman"/>
          <w:b/>
          <w:i/>
          <w:iCs/>
          <w:noProof/>
          <w:sz w:val="20"/>
          <w:szCs w:val="20"/>
        </w:rPr>
        <w:t>bis</w:t>
      </w:r>
      <w:r>
        <w:rPr>
          <w:rFonts w:ascii="Times New Roman" w:hAnsi="Times New Roman"/>
          <w:b/>
          <w:noProof/>
          <w:sz w:val="20"/>
          <w:szCs w:val="20"/>
        </w:rPr>
        <w:t>, paragraphe 2</w:t>
      </w:r>
      <w:r>
        <w:rPr>
          <w:rFonts w:ascii="Times New Roman" w:hAnsi="Times New Roman"/>
          <w:b/>
          <w:noProof/>
          <w:sz w:val="20"/>
          <w:szCs w:val="20"/>
        </w:rPr>
        <w:tab/>
        <w:t>Dispositions relatives à l’octroi d’une allocation de chômage aux agents temporaires</w:t>
      </w:r>
    </w:p>
    <w:p>
      <w:pPr>
        <w:pBdr>
          <w:top w:val="single" w:sz="4" w:space="1" w:color="auto"/>
          <w:left w:val="single" w:sz="4" w:space="4" w:color="auto"/>
          <w:bottom w:val="single" w:sz="4" w:space="1" w:color="auto"/>
          <w:right w:val="single" w:sz="4" w:space="4" w:color="auto"/>
        </w:pBdr>
        <w:ind w:left="2880" w:hanging="2880"/>
        <w:jc w:val="both"/>
        <w:rPr>
          <w:rFonts w:ascii="Times New Roman" w:hAnsi="Times New Roman" w:cs="Times New Roman"/>
          <w:b/>
          <w:noProof/>
          <w:sz w:val="20"/>
          <w:szCs w:val="20"/>
        </w:rPr>
      </w:pPr>
      <w:r>
        <w:rPr>
          <w:rFonts w:ascii="Times New Roman" w:hAnsi="Times New Roman"/>
          <w:b/>
          <w:noProof/>
          <w:sz w:val="20"/>
          <w:szCs w:val="20"/>
        </w:rPr>
        <w:t>Article 42</w:t>
      </w:r>
      <w:r>
        <w:rPr>
          <w:rFonts w:ascii="Times New Roman" w:hAnsi="Times New Roman"/>
          <w:b/>
          <w:noProof/>
          <w:sz w:val="20"/>
          <w:szCs w:val="20"/>
        </w:rPr>
        <w:tab/>
        <w:t>Modalités des versements pour la constitution ou le maintien des droits à pension dans le pays d’origine</w:t>
      </w:r>
    </w:p>
    <w:p>
      <w:pPr>
        <w:pBdr>
          <w:top w:val="single" w:sz="4" w:space="1" w:color="auto"/>
          <w:left w:val="single" w:sz="4" w:space="4" w:color="auto"/>
          <w:bottom w:val="single" w:sz="4" w:space="1" w:color="auto"/>
          <w:right w:val="single" w:sz="4" w:space="4" w:color="auto"/>
        </w:pBdr>
        <w:ind w:left="2880" w:hanging="2880"/>
        <w:jc w:val="both"/>
        <w:rPr>
          <w:rFonts w:ascii="Times New Roman" w:hAnsi="Times New Roman" w:cs="Times New Roman"/>
          <w:b/>
          <w:noProof/>
          <w:sz w:val="20"/>
          <w:szCs w:val="20"/>
        </w:rPr>
      </w:pPr>
      <w:r>
        <w:rPr>
          <w:rFonts w:ascii="Times New Roman" w:hAnsi="Times New Roman"/>
          <w:b/>
          <w:noProof/>
          <w:sz w:val="20"/>
          <w:szCs w:val="20"/>
        </w:rPr>
        <w:t>Article 96, paragraphe 2</w:t>
      </w:r>
      <w:r>
        <w:rPr>
          <w:rFonts w:ascii="Times New Roman" w:hAnsi="Times New Roman"/>
          <w:b/>
          <w:noProof/>
          <w:sz w:val="20"/>
          <w:szCs w:val="20"/>
        </w:rPr>
        <w:tab/>
        <w:t>Allocation de chômage pour les agents contractuels</w:t>
      </w:r>
    </w:p>
    <w:p>
      <w:pPr>
        <w:pBdr>
          <w:top w:val="single" w:sz="4" w:space="1" w:color="auto"/>
          <w:left w:val="single" w:sz="4" w:space="4" w:color="auto"/>
          <w:bottom w:val="single" w:sz="4" w:space="1" w:color="auto"/>
          <w:right w:val="single" w:sz="4" w:space="4" w:color="auto"/>
        </w:pBdr>
        <w:ind w:left="2880" w:hanging="2880"/>
        <w:jc w:val="both"/>
        <w:rPr>
          <w:rFonts w:ascii="Times New Roman" w:hAnsi="Times New Roman" w:cs="Times New Roman"/>
          <w:b/>
          <w:noProof/>
          <w:sz w:val="20"/>
          <w:szCs w:val="20"/>
        </w:rPr>
      </w:pPr>
      <w:r>
        <w:rPr>
          <w:rFonts w:ascii="Times New Roman" w:hAnsi="Times New Roman"/>
          <w:b/>
          <w:noProof/>
          <w:sz w:val="20"/>
          <w:szCs w:val="20"/>
        </w:rPr>
        <w:t>Article 112</w:t>
      </w:r>
      <w:r>
        <w:rPr>
          <w:rFonts w:ascii="Times New Roman" w:hAnsi="Times New Roman"/>
          <w:b/>
          <w:noProof/>
          <w:sz w:val="20"/>
          <w:szCs w:val="20"/>
        </w:rPr>
        <w:tab/>
        <w:t>Modalités des versements pour les droits à pension, l’assurance chômage, l’assurance invalidité, l’assurance vie et l’assurance maladie dans le pays dans lequel l’agent contractuel a été couvert pour la dernière fois par de tels régimes</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Article 125, paragraphe 1</w:t>
      </w:r>
      <w:r>
        <w:rPr>
          <w:rFonts w:ascii="Times New Roman" w:hAnsi="Times New Roman"/>
          <w:noProof/>
          <w:sz w:val="20"/>
          <w:szCs w:val="20"/>
        </w:rPr>
        <w:tab/>
      </w:r>
      <w:r>
        <w:rPr>
          <w:rFonts w:ascii="Times New Roman" w:hAnsi="Times New Roman"/>
          <w:noProof/>
          <w:sz w:val="20"/>
          <w:szCs w:val="20"/>
        </w:rPr>
        <w:tab/>
        <w:t>Assistants parlementaires</w:t>
      </w:r>
    </w:p>
    <w:p>
      <w:pPr>
        <w:spacing w:before="240" w:after="360"/>
        <w:jc w:val="both"/>
        <w:rPr>
          <w:rFonts w:ascii="Times New Roman" w:hAnsi="Times New Roman" w:cs="Times New Roman"/>
          <w:noProof/>
        </w:rPr>
      </w:pPr>
      <w:r>
        <w:rPr>
          <w:rFonts w:ascii="Times New Roman" w:hAnsi="Times New Roman"/>
          <w:noProof/>
          <w:sz w:val="24"/>
          <w:szCs w:val="24"/>
        </w:rPr>
        <w:t xml:space="preserve">Les institutions ont aussi arrêté des règles d’exécution dans des cas qui </w:t>
      </w:r>
      <w:r>
        <w:rPr>
          <w:rFonts w:ascii="Times New Roman" w:hAnsi="Times New Roman"/>
          <w:noProof/>
          <w:sz w:val="24"/>
          <w:szCs w:val="24"/>
          <w:u w:val="single"/>
        </w:rPr>
        <w:t>ne sont pas expressément</w:t>
      </w:r>
      <w:r>
        <w:rPr>
          <w:rFonts w:ascii="Times New Roman" w:hAnsi="Times New Roman"/>
          <w:noProof/>
          <w:sz w:val="24"/>
          <w:szCs w:val="24"/>
        </w:rPr>
        <w:t xml:space="preserve"> prévus dans le statut et le RAA, lorsqu’il était nécessaire de mettre en œuvre des dispositions réglementaires au moyen de règles plus spécifiques. Le processus d’adoption de ces autres règles d’exécution dépend de la pratique administrative de l’institution concernée.</w:t>
      </w:r>
    </w:p>
    <w:p>
      <w:pPr>
        <w:pBdr>
          <w:top w:val="double" w:sz="4" w:space="1" w:color="auto"/>
          <w:left w:val="double" w:sz="4" w:space="4" w:color="auto"/>
          <w:bottom w:val="double" w:sz="4" w:space="7" w:color="auto"/>
          <w:right w:val="double" w:sz="4" w:space="4" w:color="auto"/>
        </w:pBdr>
        <w:jc w:val="center"/>
        <w:rPr>
          <w:rFonts w:ascii="Times New Roman" w:hAnsi="Times New Roman" w:cs="Times New Roman"/>
          <w:b/>
          <w:i/>
          <w:noProof/>
          <w:sz w:val="24"/>
          <w:szCs w:val="24"/>
        </w:rPr>
      </w:pPr>
      <w:r>
        <w:rPr>
          <w:rFonts w:ascii="Times New Roman" w:hAnsi="Times New Roman"/>
          <w:b/>
          <w:i/>
          <w:noProof/>
          <w:sz w:val="24"/>
          <w:szCs w:val="24"/>
        </w:rPr>
        <w:t>MÉCANISMES VISANT À GARANTIR UNE APPLICATION COHÉRENTE DU STATUT</w:t>
      </w:r>
    </w:p>
    <w:p>
      <w:pPr>
        <w:pBdr>
          <w:top w:val="double" w:sz="4" w:space="1" w:color="auto"/>
          <w:left w:val="double" w:sz="4" w:space="4" w:color="auto"/>
          <w:bottom w:val="double" w:sz="4" w:space="7" w:color="auto"/>
          <w:right w:val="double" w:sz="4" w:space="4" w:color="auto"/>
        </w:pBdr>
        <w:jc w:val="both"/>
        <w:rPr>
          <w:rFonts w:ascii="Times New Roman" w:hAnsi="Times New Roman" w:cs="Times New Roman"/>
          <w:b/>
          <w:i/>
          <w:noProof/>
          <w:sz w:val="24"/>
          <w:szCs w:val="24"/>
        </w:rPr>
      </w:pPr>
      <w:r>
        <w:rPr>
          <w:rFonts w:ascii="Times New Roman" w:hAnsi="Times New Roman"/>
          <w:b/>
          <w:i/>
          <w:noProof/>
          <w:sz w:val="24"/>
          <w:szCs w:val="24"/>
        </w:rPr>
        <w:t xml:space="preserve">→ Les institutions disposent d’une certaine autonomie pour appliquer le statut des fonctionnaires et le RAA à leur personnel. Cette autonomie est exercée dans le respect du cadre juridique prévu par le statut. </w:t>
      </w:r>
    </w:p>
    <w:p>
      <w:pPr>
        <w:pBdr>
          <w:top w:val="double" w:sz="4" w:space="1" w:color="auto"/>
          <w:left w:val="double" w:sz="4" w:space="4" w:color="auto"/>
          <w:bottom w:val="double" w:sz="4" w:space="7" w:color="auto"/>
          <w:right w:val="double" w:sz="4" w:space="4" w:color="auto"/>
        </w:pBdr>
        <w:jc w:val="both"/>
        <w:rPr>
          <w:rFonts w:ascii="Times New Roman" w:hAnsi="Times New Roman" w:cs="Times New Roman"/>
          <w:noProof/>
        </w:rPr>
      </w:pPr>
      <w:r>
        <w:rPr>
          <w:rFonts w:ascii="Times New Roman" w:hAnsi="Times New Roman"/>
          <w:b/>
          <w:i/>
          <w:noProof/>
          <w:sz w:val="24"/>
          <w:szCs w:val="24"/>
        </w:rPr>
        <w:t>→ Le statut prévoit des mécanismes spécifiques pour parvenir à une approche interinstitutionnelle commune chaque fois qu’une telle harmonisation est nécessaire.</w:t>
      </w:r>
      <w:r>
        <w:rPr>
          <w:rFonts w:ascii="Times New Roman" w:hAnsi="Times New Roman"/>
          <w:noProof/>
        </w:rPr>
        <w:br w:type="page"/>
      </w:r>
    </w:p>
    <w:p>
      <w:pPr>
        <w:pStyle w:val="Heading1"/>
        <w:rPr>
          <w:rFonts w:ascii="Times New Roman" w:hAnsi="Times New Roman" w:cs="Times New Roman"/>
          <w:noProof/>
        </w:rPr>
      </w:pPr>
      <w:bookmarkStart w:id="6" w:name="_Toc69825800"/>
      <w:r>
        <w:rPr>
          <w:rFonts w:ascii="Times New Roman" w:hAnsi="Times New Roman"/>
          <w:noProof/>
        </w:rPr>
        <w:t>TITRE 2.</w:t>
      </w:r>
      <w:r>
        <w:rPr>
          <w:rFonts w:ascii="Times New Roman" w:hAnsi="Times New Roman"/>
          <w:noProof/>
        </w:rPr>
        <w:tab/>
        <w:t>ÉVALUATION QUANTITATIVE/TRANSPARENCE</w:t>
      </w:r>
      <w:bookmarkEnd w:id="6"/>
    </w:p>
    <w:p>
      <w:pPr>
        <w:rPr>
          <w:rFonts w:ascii="Times New Roman" w:hAnsi="Times New Roman" w:cs="Times New Roman"/>
          <w:noProof/>
        </w:rPr>
      </w:pPr>
    </w:p>
    <w:p>
      <w:pPr>
        <w:pBdr>
          <w:top w:val="double" w:sz="4" w:space="1" w:color="auto"/>
          <w:left w:val="double" w:sz="4" w:space="4" w:color="auto"/>
          <w:bottom w:val="double" w:sz="4" w:space="7" w:color="auto"/>
          <w:right w:val="double" w:sz="4" w:space="4" w:color="auto"/>
        </w:pBdr>
        <w:jc w:val="center"/>
        <w:rPr>
          <w:rFonts w:ascii="Times New Roman" w:hAnsi="Times New Roman" w:cs="Times New Roman"/>
          <w:b/>
          <w:i/>
          <w:noProof/>
          <w:sz w:val="24"/>
          <w:szCs w:val="24"/>
        </w:rPr>
      </w:pPr>
      <w:r>
        <w:rPr>
          <w:rFonts w:ascii="Times New Roman" w:hAnsi="Times New Roman"/>
          <w:b/>
          <w:i/>
          <w:noProof/>
          <w:sz w:val="24"/>
          <w:szCs w:val="24"/>
        </w:rPr>
        <w:t>TRANSPARENCE</w:t>
      </w:r>
    </w:p>
    <w:p>
      <w:pPr>
        <w:pBdr>
          <w:top w:val="double" w:sz="4" w:space="1" w:color="auto"/>
          <w:left w:val="double" w:sz="4" w:space="4" w:color="auto"/>
          <w:bottom w:val="double" w:sz="4" w:space="7" w:color="auto"/>
          <w:right w:val="double" w:sz="4" w:space="4" w:color="auto"/>
        </w:pBdr>
        <w:jc w:val="both"/>
        <w:rPr>
          <w:rFonts w:ascii="Times New Roman" w:hAnsi="Times New Roman" w:cs="Times New Roman"/>
          <w:b/>
          <w:i/>
          <w:noProof/>
          <w:sz w:val="24"/>
          <w:szCs w:val="24"/>
        </w:rPr>
      </w:pPr>
      <w:r>
        <w:rPr>
          <w:rFonts w:ascii="Times New Roman" w:hAnsi="Times New Roman"/>
          <w:b/>
          <w:i/>
          <w:noProof/>
          <w:sz w:val="24"/>
          <w:szCs w:val="24"/>
        </w:rPr>
        <w:t>→ Quelles règles étaient en vigueur dans les institutions et les agences au cours de la période de référence, et pour quelles matières?</w:t>
      </w:r>
    </w:p>
    <w:p>
      <w:pPr>
        <w:pBdr>
          <w:top w:val="double" w:sz="4" w:space="1" w:color="auto"/>
          <w:left w:val="double" w:sz="4" w:space="4" w:color="auto"/>
          <w:bottom w:val="double" w:sz="4" w:space="7" w:color="auto"/>
          <w:right w:val="double" w:sz="4" w:space="4" w:color="auto"/>
        </w:pBdr>
        <w:jc w:val="both"/>
        <w:rPr>
          <w:rFonts w:ascii="Times New Roman" w:hAnsi="Times New Roman" w:cs="Times New Roman"/>
          <w:noProof/>
          <w:sz w:val="24"/>
          <w:szCs w:val="24"/>
        </w:rPr>
      </w:pPr>
      <w:r>
        <w:rPr>
          <w:rFonts w:ascii="Times New Roman" w:hAnsi="Times New Roman"/>
          <w:b/>
          <w:i/>
          <w:noProof/>
          <w:sz w:val="24"/>
          <w:szCs w:val="24"/>
        </w:rPr>
        <w:t>→ Quels ont été les principaux changements par rapport à la précédente période de référence en ce qui concerne le nombre et le type de règles nouvellement adoptées?</w:t>
      </w:r>
    </w:p>
    <w:p>
      <w:pPr>
        <w:pStyle w:val="Heading2"/>
        <w:spacing w:before="360" w:after="240"/>
        <w:rPr>
          <w:rFonts w:ascii="Times New Roman" w:hAnsi="Times New Roman" w:cs="Times New Roman"/>
          <w:noProof/>
        </w:rPr>
      </w:pPr>
      <w:bookmarkStart w:id="7" w:name="_Toc69825801"/>
      <w:r>
        <w:rPr>
          <w:rFonts w:ascii="Times New Roman" w:hAnsi="Times New Roman"/>
          <w:noProof/>
        </w:rPr>
        <w:t>a)</w:t>
      </w:r>
      <w:r>
        <w:rPr>
          <w:rFonts w:ascii="Times New Roman" w:hAnsi="Times New Roman"/>
          <w:noProof/>
        </w:rPr>
        <w:tab/>
        <w:t>Règles d’exécution dans les institutions</w:t>
      </w:r>
      <w:bookmarkEnd w:id="7"/>
    </w:p>
    <w:p>
      <w:pPr>
        <w:jc w:val="both"/>
        <w:rPr>
          <w:rFonts w:ascii="Times New Roman" w:hAnsi="Times New Roman" w:cs="Times New Roman"/>
          <w:noProof/>
          <w:sz w:val="24"/>
          <w:szCs w:val="24"/>
        </w:rPr>
      </w:pPr>
      <w:r>
        <w:rPr>
          <w:rFonts w:ascii="Times New Roman" w:hAnsi="Times New Roman"/>
          <w:noProof/>
          <w:sz w:val="24"/>
          <w:szCs w:val="24"/>
        </w:rPr>
        <w:t>Conformément à l’article 13 du traité sur l’Union européenne et aux articles 1</w:t>
      </w:r>
      <w:r>
        <w:rPr>
          <w:rFonts w:ascii="Times New Roman" w:hAnsi="Times New Roman"/>
          <w:noProof/>
          <w:sz w:val="24"/>
          <w:szCs w:val="24"/>
          <w:vertAlign w:val="superscript"/>
        </w:rPr>
        <w:t>er</w:t>
      </w:r>
      <w:r>
        <w:rPr>
          <w:rFonts w:ascii="Times New Roman" w:hAnsi="Times New Roman"/>
          <w:noProof/>
          <w:sz w:val="24"/>
          <w:szCs w:val="24"/>
        </w:rPr>
        <w:t>, 1</w:t>
      </w:r>
      <w:r>
        <w:rPr>
          <w:rFonts w:ascii="Times New Roman" w:hAnsi="Times New Roman"/>
          <w:noProof/>
          <w:sz w:val="24"/>
          <w:szCs w:val="24"/>
          <w:vertAlign w:val="superscript"/>
        </w:rPr>
        <w:t>er</w:t>
      </w:r>
      <w:r>
        <w:rPr>
          <w:rFonts w:ascii="Times New Roman" w:hAnsi="Times New Roman"/>
          <w:noProof/>
          <w:sz w:val="24"/>
          <w:szCs w:val="24"/>
        </w:rPr>
        <w:t> </w:t>
      </w:r>
      <w:r>
        <w:rPr>
          <w:rFonts w:ascii="Times New Roman" w:hAnsi="Times New Roman"/>
          <w:i/>
          <w:iCs/>
          <w:noProof/>
          <w:sz w:val="24"/>
          <w:szCs w:val="24"/>
        </w:rPr>
        <w:t>bis</w:t>
      </w:r>
      <w:r>
        <w:rPr>
          <w:rFonts w:ascii="Times New Roman" w:hAnsi="Times New Roman"/>
          <w:noProof/>
          <w:sz w:val="24"/>
          <w:szCs w:val="24"/>
        </w:rPr>
        <w:t xml:space="preserve"> et 1</w:t>
      </w:r>
      <w:r>
        <w:rPr>
          <w:rFonts w:ascii="Times New Roman" w:hAnsi="Times New Roman"/>
          <w:noProof/>
          <w:sz w:val="24"/>
          <w:szCs w:val="24"/>
          <w:vertAlign w:val="superscript"/>
        </w:rPr>
        <w:t>er</w:t>
      </w:r>
      <w:r>
        <w:rPr>
          <w:rFonts w:ascii="Times New Roman" w:hAnsi="Times New Roman"/>
          <w:noProof/>
          <w:sz w:val="24"/>
          <w:szCs w:val="24"/>
        </w:rPr>
        <w:t> </w:t>
      </w:r>
      <w:r>
        <w:rPr>
          <w:rFonts w:ascii="Times New Roman" w:hAnsi="Times New Roman"/>
          <w:i/>
          <w:iCs/>
          <w:noProof/>
          <w:sz w:val="24"/>
          <w:szCs w:val="24"/>
        </w:rPr>
        <w:t>ter</w:t>
      </w:r>
      <w:r>
        <w:rPr>
          <w:rFonts w:ascii="Times New Roman" w:hAnsi="Times New Roman"/>
          <w:noProof/>
          <w:sz w:val="24"/>
          <w:szCs w:val="24"/>
        </w:rPr>
        <w:t xml:space="preserve"> du statut, les dix institutions suivantes sont concernées par le présent rapport</w:t>
      </w:r>
      <w:r>
        <w:rPr>
          <w:rStyle w:val="FootnoteReference"/>
          <w:rFonts w:ascii="Times New Roman" w:hAnsi="Times New Roman" w:cs="Times New Roman"/>
          <w:noProof/>
          <w:sz w:val="24"/>
          <w:szCs w:val="24"/>
        </w:rPr>
        <w:footnoteReference w:id="16"/>
      </w:r>
      <w:r>
        <w:rPr>
          <w:rFonts w:ascii="Times New Roman" w:hAnsi="Times New Roman"/>
          <w:noProof/>
          <w:sz w:val="24"/>
          <w:szCs w:val="24"/>
        </w:rPr>
        <w:t>:</w:t>
      </w:r>
    </w:p>
    <w:p>
      <w:pPr>
        <w:pStyle w:val="ListParagraph"/>
        <w:numPr>
          <w:ilvl w:val="0"/>
          <w:numId w:val="14"/>
        </w:numPr>
        <w:jc w:val="both"/>
        <w:rPr>
          <w:rFonts w:ascii="Times New Roman" w:hAnsi="Times New Roman" w:cs="Times New Roman"/>
          <w:noProof/>
          <w:sz w:val="24"/>
          <w:szCs w:val="24"/>
        </w:rPr>
      </w:pPr>
      <w:r>
        <w:rPr>
          <w:rFonts w:ascii="Times New Roman" w:hAnsi="Times New Roman"/>
          <w:noProof/>
          <w:sz w:val="24"/>
          <w:szCs w:val="24"/>
        </w:rPr>
        <w:t>le Parlement européen (PE),</w:t>
      </w:r>
    </w:p>
    <w:p>
      <w:pPr>
        <w:pStyle w:val="ListParagraph"/>
        <w:numPr>
          <w:ilvl w:val="0"/>
          <w:numId w:val="14"/>
        </w:numPr>
        <w:jc w:val="both"/>
        <w:rPr>
          <w:rFonts w:ascii="Times New Roman" w:hAnsi="Times New Roman" w:cs="Times New Roman"/>
          <w:noProof/>
          <w:sz w:val="24"/>
          <w:szCs w:val="24"/>
        </w:rPr>
      </w:pPr>
      <w:r>
        <w:rPr>
          <w:rFonts w:ascii="Times New Roman" w:hAnsi="Times New Roman"/>
          <w:noProof/>
          <w:sz w:val="24"/>
          <w:szCs w:val="24"/>
        </w:rPr>
        <w:t>le Conseil (C),</w:t>
      </w:r>
    </w:p>
    <w:p>
      <w:pPr>
        <w:pStyle w:val="ListParagraph"/>
        <w:numPr>
          <w:ilvl w:val="0"/>
          <w:numId w:val="14"/>
        </w:numPr>
        <w:jc w:val="both"/>
        <w:rPr>
          <w:rFonts w:ascii="Times New Roman" w:hAnsi="Times New Roman" w:cs="Times New Roman"/>
          <w:noProof/>
          <w:sz w:val="24"/>
          <w:szCs w:val="24"/>
        </w:rPr>
      </w:pPr>
      <w:r>
        <w:rPr>
          <w:rFonts w:ascii="Times New Roman" w:hAnsi="Times New Roman"/>
          <w:noProof/>
          <w:sz w:val="24"/>
          <w:szCs w:val="24"/>
        </w:rPr>
        <w:t>la Commission européenne (COM),</w:t>
      </w:r>
    </w:p>
    <w:p>
      <w:pPr>
        <w:pStyle w:val="ListParagraph"/>
        <w:numPr>
          <w:ilvl w:val="0"/>
          <w:numId w:val="14"/>
        </w:numPr>
        <w:jc w:val="both"/>
        <w:rPr>
          <w:rFonts w:ascii="Times New Roman" w:hAnsi="Times New Roman" w:cs="Times New Roman"/>
          <w:noProof/>
          <w:sz w:val="24"/>
          <w:szCs w:val="24"/>
        </w:rPr>
      </w:pPr>
      <w:r>
        <w:rPr>
          <w:rFonts w:ascii="Times New Roman" w:hAnsi="Times New Roman"/>
          <w:noProof/>
          <w:sz w:val="24"/>
          <w:szCs w:val="24"/>
        </w:rPr>
        <w:t>la Cour de justice de l’Union européenne (CJUE),</w:t>
      </w:r>
    </w:p>
    <w:p>
      <w:pPr>
        <w:pStyle w:val="ListParagraph"/>
        <w:numPr>
          <w:ilvl w:val="0"/>
          <w:numId w:val="14"/>
        </w:numPr>
        <w:jc w:val="both"/>
        <w:rPr>
          <w:rFonts w:ascii="Times New Roman" w:hAnsi="Times New Roman" w:cs="Times New Roman"/>
          <w:noProof/>
          <w:sz w:val="24"/>
          <w:szCs w:val="24"/>
        </w:rPr>
      </w:pPr>
      <w:r>
        <w:rPr>
          <w:rFonts w:ascii="Times New Roman" w:hAnsi="Times New Roman"/>
          <w:noProof/>
          <w:sz w:val="24"/>
          <w:szCs w:val="24"/>
        </w:rPr>
        <w:t xml:space="preserve">la Cour des comptes (CCE), </w:t>
      </w:r>
    </w:p>
    <w:p>
      <w:pPr>
        <w:pStyle w:val="ListParagraph"/>
        <w:numPr>
          <w:ilvl w:val="0"/>
          <w:numId w:val="14"/>
        </w:numPr>
        <w:jc w:val="both"/>
        <w:rPr>
          <w:rFonts w:ascii="Times New Roman" w:hAnsi="Times New Roman" w:cs="Times New Roman"/>
          <w:noProof/>
          <w:sz w:val="24"/>
          <w:szCs w:val="24"/>
        </w:rPr>
      </w:pPr>
      <w:r>
        <w:rPr>
          <w:rFonts w:ascii="Times New Roman" w:hAnsi="Times New Roman"/>
          <w:noProof/>
          <w:sz w:val="24"/>
          <w:szCs w:val="24"/>
        </w:rPr>
        <w:t>le Service européen pour l’action extérieure (SEAE),</w:t>
      </w:r>
    </w:p>
    <w:p>
      <w:pPr>
        <w:pStyle w:val="ListParagraph"/>
        <w:numPr>
          <w:ilvl w:val="0"/>
          <w:numId w:val="14"/>
        </w:numPr>
        <w:jc w:val="both"/>
        <w:rPr>
          <w:rFonts w:ascii="Times New Roman" w:hAnsi="Times New Roman" w:cs="Times New Roman"/>
          <w:noProof/>
          <w:sz w:val="24"/>
          <w:szCs w:val="24"/>
        </w:rPr>
      </w:pPr>
      <w:r>
        <w:rPr>
          <w:rFonts w:ascii="Times New Roman" w:hAnsi="Times New Roman"/>
          <w:noProof/>
          <w:sz w:val="24"/>
          <w:szCs w:val="24"/>
        </w:rPr>
        <w:t>le Comité économique et social européen (CESE),</w:t>
      </w:r>
    </w:p>
    <w:p>
      <w:pPr>
        <w:pStyle w:val="ListParagraph"/>
        <w:numPr>
          <w:ilvl w:val="0"/>
          <w:numId w:val="14"/>
        </w:numPr>
        <w:jc w:val="both"/>
        <w:rPr>
          <w:rFonts w:ascii="Times New Roman" w:hAnsi="Times New Roman" w:cs="Times New Roman"/>
          <w:noProof/>
          <w:sz w:val="24"/>
          <w:szCs w:val="24"/>
        </w:rPr>
      </w:pPr>
      <w:r>
        <w:rPr>
          <w:rFonts w:ascii="Times New Roman" w:hAnsi="Times New Roman"/>
          <w:noProof/>
          <w:sz w:val="24"/>
          <w:szCs w:val="24"/>
        </w:rPr>
        <w:t>le Comité des régions (CdR),</w:t>
      </w:r>
    </w:p>
    <w:p>
      <w:pPr>
        <w:pStyle w:val="ListParagraph"/>
        <w:numPr>
          <w:ilvl w:val="0"/>
          <w:numId w:val="14"/>
        </w:numPr>
        <w:jc w:val="both"/>
        <w:rPr>
          <w:rFonts w:ascii="Times New Roman" w:hAnsi="Times New Roman" w:cs="Times New Roman"/>
          <w:noProof/>
          <w:sz w:val="24"/>
          <w:szCs w:val="24"/>
        </w:rPr>
      </w:pPr>
      <w:r>
        <w:rPr>
          <w:rFonts w:ascii="Times New Roman" w:hAnsi="Times New Roman"/>
          <w:noProof/>
          <w:sz w:val="24"/>
          <w:szCs w:val="24"/>
        </w:rPr>
        <w:t>le Médiateur européen (ME), et</w:t>
      </w:r>
    </w:p>
    <w:p>
      <w:pPr>
        <w:pStyle w:val="ListParagraph"/>
        <w:numPr>
          <w:ilvl w:val="0"/>
          <w:numId w:val="14"/>
        </w:numPr>
        <w:jc w:val="both"/>
        <w:rPr>
          <w:rFonts w:ascii="Times New Roman" w:hAnsi="Times New Roman" w:cs="Times New Roman"/>
          <w:noProof/>
          <w:sz w:val="24"/>
          <w:szCs w:val="24"/>
        </w:rPr>
      </w:pPr>
      <w:r>
        <w:rPr>
          <w:rFonts w:ascii="Times New Roman" w:hAnsi="Times New Roman"/>
          <w:noProof/>
          <w:sz w:val="24"/>
          <w:szCs w:val="24"/>
        </w:rPr>
        <w:t>le Contrôleur européen de la protection des données (CEPD).</w:t>
      </w:r>
    </w:p>
    <w:p>
      <w:pPr>
        <w:jc w:val="both"/>
        <w:rPr>
          <w:rFonts w:ascii="Times New Roman" w:hAnsi="Times New Roman" w:cs="Times New Roman"/>
          <w:noProof/>
          <w:sz w:val="24"/>
          <w:szCs w:val="24"/>
        </w:rPr>
      </w:pPr>
      <w:r>
        <w:rPr>
          <w:rFonts w:ascii="Times New Roman" w:hAnsi="Times New Roman"/>
          <w:noProof/>
          <w:sz w:val="24"/>
          <w:szCs w:val="24"/>
        </w:rPr>
        <w:t>Aux fins du présent rapport, les neuf autres institutions ont transmis des informations sur leurs règles d’exécution à la Commission. Parallèlement, la Commission a consulté le registre tenu par la Cour de justice de l’Union européenne.</w:t>
      </w:r>
    </w:p>
    <w:p>
      <w:pPr>
        <w:jc w:val="both"/>
        <w:rPr>
          <w:rFonts w:ascii="Times New Roman" w:hAnsi="Times New Roman" w:cs="Times New Roman"/>
          <w:noProof/>
          <w:sz w:val="24"/>
          <w:szCs w:val="24"/>
        </w:rPr>
      </w:pPr>
      <w:r>
        <w:rPr>
          <w:rFonts w:ascii="Times New Roman" w:hAnsi="Times New Roman"/>
          <w:noProof/>
          <w:sz w:val="24"/>
          <w:szCs w:val="24"/>
        </w:rPr>
        <w:t>Sur la base de ces contributions et avec l’accord des institutions concernées, la Commission a élaboré les tableaux suivants qui détaillent les règles en vigueur au cours de la période allant du 1</w:t>
      </w:r>
      <w:r>
        <w:rPr>
          <w:rFonts w:ascii="Times New Roman" w:hAnsi="Times New Roman"/>
          <w:noProof/>
          <w:sz w:val="24"/>
          <w:szCs w:val="24"/>
          <w:vertAlign w:val="superscript"/>
        </w:rPr>
        <w:t>er</w:t>
      </w:r>
      <w:r>
        <w:rPr>
          <w:rFonts w:ascii="Times New Roman" w:hAnsi="Times New Roman"/>
          <w:noProof/>
          <w:sz w:val="24"/>
          <w:szCs w:val="24"/>
        </w:rPr>
        <w:t> janvier 2017 au 31 décembre 2019 dans chacune des dix institutions:</w:t>
      </w:r>
    </w:p>
    <w:p>
      <w:pPr>
        <w:pStyle w:val="ListParagraph"/>
        <w:numPr>
          <w:ilvl w:val="0"/>
          <w:numId w:val="31"/>
        </w:numPr>
        <w:jc w:val="both"/>
        <w:rPr>
          <w:rFonts w:ascii="Times New Roman" w:hAnsi="Times New Roman" w:cs="Times New Roman"/>
          <w:noProof/>
          <w:sz w:val="24"/>
          <w:szCs w:val="24"/>
        </w:rPr>
      </w:pPr>
      <w:r>
        <w:rPr>
          <w:rFonts w:ascii="Times New Roman" w:hAnsi="Times New Roman"/>
          <w:noProof/>
          <w:sz w:val="24"/>
          <w:szCs w:val="24"/>
        </w:rPr>
        <w:t>une liste des règles arrêtées d’un commun accord entre les institutions (</w:t>
      </w:r>
      <w:r>
        <w:rPr>
          <w:rFonts w:ascii="Times New Roman" w:hAnsi="Times New Roman"/>
          <w:b/>
          <w:noProof/>
          <w:sz w:val="24"/>
          <w:szCs w:val="24"/>
        </w:rPr>
        <w:t>annexe I</w:t>
      </w:r>
      <w:r>
        <w:rPr>
          <w:rFonts w:ascii="Times New Roman" w:hAnsi="Times New Roman"/>
          <w:noProof/>
          <w:sz w:val="24"/>
          <w:szCs w:val="24"/>
        </w:rPr>
        <w:t>);</w:t>
      </w:r>
    </w:p>
    <w:p>
      <w:pPr>
        <w:pStyle w:val="ListParagraph"/>
        <w:numPr>
          <w:ilvl w:val="0"/>
          <w:numId w:val="31"/>
        </w:numPr>
        <w:jc w:val="both"/>
        <w:rPr>
          <w:rFonts w:ascii="Times New Roman" w:hAnsi="Times New Roman" w:cs="Times New Roman"/>
          <w:noProof/>
          <w:sz w:val="24"/>
          <w:szCs w:val="24"/>
        </w:rPr>
      </w:pPr>
      <w:r>
        <w:rPr>
          <w:rFonts w:ascii="Times New Roman" w:hAnsi="Times New Roman"/>
          <w:noProof/>
          <w:sz w:val="24"/>
          <w:szCs w:val="24"/>
        </w:rPr>
        <w:t>des tableaux dressant la liste des dispositions générales d’exécution et des autres règles d’exécution adoptées par l’autorité investie du pouvoir de nomination ou l’autorité habilitée à conclure des contrats d’engagement de chaque institution (</w:t>
      </w:r>
      <w:r>
        <w:rPr>
          <w:rFonts w:ascii="Times New Roman" w:hAnsi="Times New Roman"/>
          <w:b/>
          <w:noProof/>
          <w:sz w:val="24"/>
          <w:szCs w:val="24"/>
        </w:rPr>
        <w:t>annexe II</w:t>
      </w:r>
      <w:r>
        <w:rPr>
          <w:rFonts w:ascii="Times New Roman" w:hAnsi="Times New Roman"/>
          <w:noProof/>
          <w:sz w:val="24"/>
          <w:szCs w:val="24"/>
        </w:rPr>
        <w:t>);</w:t>
      </w:r>
    </w:p>
    <w:p>
      <w:pPr>
        <w:pStyle w:val="ListParagraph"/>
        <w:numPr>
          <w:ilvl w:val="0"/>
          <w:numId w:val="31"/>
        </w:numPr>
        <w:jc w:val="both"/>
        <w:rPr>
          <w:rFonts w:ascii="Times New Roman" w:hAnsi="Times New Roman" w:cs="Times New Roman"/>
          <w:noProof/>
          <w:sz w:val="24"/>
          <w:szCs w:val="24"/>
        </w:rPr>
      </w:pPr>
      <w:r>
        <w:rPr>
          <w:rFonts w:ascii="Times New Roman" w:hAnsi="Times New Roman"/>
          <w:noProof/>
          <w:sz w:val="24"/>
          <w:szCs w:val="24"/>
        </w:rPr>
        <w:t>un tableau général qui présente un résumé comparatif des règles d’exécution du statut des fonctionnaires et du RAA de toutes les institutions (</w:t>
      </w:r>
      <w:r>
        <w:rPr>
          <w:rFonts w:ascii="Times New Roman" w:hAnsi="Times New Roman"/>
          <w:b/>
          <w:noProof/>
          <w:sz w:val="24"/>
          <w:szCs w:val="24"/>
        </w:rPr>
        <w:t>annexe III</w:t>
      </w:r>
      <w:r>
        <w:rPr>
          <w:rFonts w:ascii="Times New Roman" w:hAnsi="Times New Roman"/>
          <w:noProof/>
          <w:sz w:val="24"/>
          <w:szCs w:val="24"/>
        </w:rPr>
        <w:t>).</w:t>
      </w:r>
    </w:p>
    <w:p>
      <w:pPr>
        <w:jc w:val="both"/>
        <w:rPr>
          <w:rFonts w:ascii="Times New Roman" w:hAnsi="Times New Roman" w:cs="Times New Roman"/>
          <w:noProof/>
          <w:sz w:val="24"/>
          <w:szCs w:val="24"/>
        </w:rPr>
      </w:pPr>
      <w:r>
        <w:rPr>
          <w:rFonts w:ascii="Times New Roman" w:hAnsi="Times New Roman"/>
          <w:noProof/>
          <w:sz w:val="24"/>
          <w:szCs w:val="24"/>
        </w:rPr>
        <w:t>Les tableaux ont tous été conçus selon une même méthode:</w:t>
      </w:r>
    </w:p>
    <w:p>
      <w:pPr>
        <w:pStyle w:val="ListParagraph"/>
        <w:numPr>
          <w:ilvl w:val="0"/>
          <w:numId w:val="26"/>
        </w:numPr>
        <w:jc w:val="both"/>
        <w:rPr>
          <w:rFonts w:ascii="Times New Roman" w:hAnsi="Times New Roman" w:cs="Times New Roman"/>
          <w:noProof/>
          <w:sz w:val="24"/>
          <w:szCs w:val="24"/>
        </w:rPr>
      </w:pPr>
      <w:r>
        <w:rPr>
          <w:rFonts w:ascii="Times New Roman" w:hAnsi="Times New Roman"/>
          <w:noProof/>
          <w:sz w:val="24"/>
          <w:szCs w:val="24"/>
        </w:rPr>
        <w:t>ils dressent la liste des règles d’exécution qui étaient en vigueur, du moins en partie, pendant la période couverte par le rapport (du 1</w:t>
      </w:r>
      <w:r>
        <w:rPr>
          <w:rFonts w:ascii="Times New Roman" w:hAnsi="Times New Roman"/>
          <w:noProof/>
          <w:sz w:val="24"/>
          <w:szCs w:val="24"/>
          <w:vertAlign w:val="superscript"/>
        </w:rPr>
        <w:t>er</w:t>
      </w:r>
      <w:r>
        <w:rPr>
          <w:rFonts w:ascii="Times New Roman" w:hAnsi="Times New Roman"/>
          <w:noProof/>
          <w:sz w:val="24"/>
          <w:szCs w:val="24"/>
        </w:rPr>
        <w:t> janvier 2017 au 31 décembre 2019);</w:t>
      </w:r>
    </w:p>
    <w:p>
      <w:pPr>
        <w:pStyle w:val="ListParagraph"/>
        <w:numPr>
          <w:ilvl w:val="0"/>
          <w:numId w:val="26"/>
        </w:numPr>
        <w:jc w:val="both"/>
        <w:rPr>
          <w:rFonts w:ascii="Times New Roman" w:hAnsi="Times New Roman" w:cs="Times New Roman"/>
          <w:noProof/>
          <w:sz w:val="24"/>
          <w:szCs w:val="24"/>
        </w:rPr>
      </w:pPr>
      <w:r>
        <w:rPr>
          <w:rFonts w:ascii="Times New Roman" w:hAnsi="Times New Roman"/>
          <w:noProof/>
          <w:sz w:val="24"/>
          <w:szCs w:val="24"/>
        </w:rPr>
        <w:t>ils regroupent les règles d’exécution selon différents thèmes, en suivant la structure du statut des fonctionnaires et du RAA;</w:t>
      </w:r>
    </w:p>
    <w:p>
      <w:pPr>
        <w:pStyle w:val="ListParagraph"/>
        <w:numPr>
          <w:ilvl w:val="0"/>
          <w:numId w:val="26"/>
        </w:numPr>
        <w:jc w:val="both"/>
        <w:rPr>
          <w:rFonts w:ascii="Times New Roman" w:hAnsi="Times New Roman" w:cs="Times New Roman"/>
          <w:noProof/>
          <w:sz w:val="24"/>
          <w:szCs w:val="24"/>
        </w:rPr>
      </w:pPr>
      <w:r>
        <w:rPr>
          <w:rFonts w:ascii="Times New Roman" w:hAnsi="Times New Roman"/>
          <w:noProof/>
          <w:sz w:val="24"/>
          <w:szCs w:val="24"/>
        </w:rPr>
        <w:t>les règles d’exécution sont accompagnées d’un numéro de référence, de leur date d’entrée en vigueur</w:t>
      </w:r>
      <w:r>
        <w:rPr>
          <w:rStyle w:val="FootnoteReference"/>
          <w:rFonts w:ascii="Times New Roman" w:hAnsi="Times New Roman" w:cs="Times New Roman"/>
          <w:noProof/>
          <w:sz w:val="24"/>
          <w:szCs w:val="24"/>
        </w:rPr>
        <w:footnoteReference w:id="17"/>
      </w:r>
      <w:r>
        <w:rPr>
          <w:rFonts w:ascii="Times New Roman" w:hAnsi="Times New Roman"/>
          <w:noProof/>
          <w:sz w:val="24"/>
          <w:szCs w:val="24"/>
        </w:rPr>
        <w:t xml:space="preserve"> et, le cas échéant, de leur date d’expiration.</w:t>
      </w:r>
    </w:p>
    <w:p>
      <w:pPr>
        <w:jc w:val="both"/>
        <w:rPr>
          <w:rFonts w:ascii="Times New Roman" w:hAnsi="Times New Roman" w:cs="Times New Roman"/>
          <w:noProof/>
          <w:sz w:val="24"/>
          <w:szCs w:val="24"/>
        </w:rPr>
      </w:pPr>
      <w:r>
        <w:rPr>
          <w:rFonts w:ascii="Times New Roman" w:hAnsi="Times New Roman"/>
          <w:noProof/>
          <w:sz w:val="24"/>
          <w:szCs w:val="24"/>
        </w:rPr>
        <w:t>La méthode de comptabilisation suivante a été appliquée:</w:t>
      </w:r>
    </w:p>
    <w:p>
      <w:pPr>
        <w:pStyle w:val="ListParagraph"/>
        <w:numPr>
          <w:ilvl w:val="0"/>
          <w:numId w:val="35"/>
        </w:numPr>
        <w:jc w:val="both"/>
        <w:rPr>
          <w:rFonts w:ascii="Times New Roman" w:hAnsi="Times New Roman" w:cs="Times New Roman"/>
          <w:noProof/>
          <w:sz w:val="24"/>
          <w:szCs w:val="24"/>
        </w:rPr>
      </w:pPr>
      <w:r>
        <w:rPr>
          <w:rFonts w:ascii="Times New Roman" w:hAnsi="Times New Roman"/>
          <w:noProof/>
          <w:sz w:val="24"/>
          <w:szCs w:val="24"/>
        </w:rPr>
        <w:t>les règles d’exécution ont été comptabilisées sur la base des listes pour chaque institution;</w:t>
      </w:r>
    </w:p>
    <w:p>
      <w:pPr>
        <w:pStyle w:val="ListParagraph"/>
        <w:numPr>
          <w:ilvl w:val="0"/>
          <w:numId w:val="35"/>
        </w:numPr>
        <w:jc w:val="both"/>
        <w:rPr>
          <w:rFonts w:ascii="Times New Roman" w:hAnsi="Times New Roman" w:cs="Times New Roman"/>
          <w:noProof/>
          <w:sz w:val="24"/>
          <w:szCs w:val="24"/>
        </w:rPr>
      </w:pPr>
      <w:r>
        <w:rPr>
          <w:rFonts w:ascii="Times New Roman" w:hAnsi="Times New Roman"/>
          <w:noProof/>
          <w:sz w:val="24"/>
          <w:szCs w:val="24"/>
        </w:rPr>
        <w:t>chaque règle d’exécution a été comptabilisée une seule fois, même si elle couvrait plus d’un thème</w:t>
      </w:r>
      <w:r>
        <w:rPr>
          <w:rStyle w:val="FootnoteReference"/>
          <w:rFonts w:ascii="Times New Roman" w:hAnsi="Times New Roman" w:cs="Times New Roman"/>
          <w:noProof/>
          <w:sz w:val="24"/>
          <w:szCs w:val="24"/>
        </w:rPr>
        <w:footnoteReference w:id="18"/>
      </w:r>
      <w:r>
        <w:rPr>
          <w:rFonts w:ascii="Times New Roman" w:hAnsi="Times New Roman"/>
          <w:noProof/>
          <w:sz w:val="24"/>
          <w:szCs w:val="24"/>
        </w:rPr>
        <w:t>;</w:t>
      </w:r>
    </w:p>
    <w:p>
      <w:pPr>
        <w:pStyle w:val="ListParagraph"/>
        <w:numPr>
          <w:ilvl w:val="0"/>
          <w:numId w:val="35"/>
        </w:numPr>
        <w:jc w:val="both"/>
        <w:rPr>
          <w:rFonts w:ascii="Times New Roman" w:hAnsi="Times New Roman" w:cs="Times New Roman"/>
          <w:noProof/>
          <w:sz w:val="24"/>
          <w:szCs w:val="24"/>
        </w:rPr>
      </w:pPr>
      <w:r>
        <w:rPr>
          <w:rFonts w:ascii="Times New Roman" w:hAnsi="Times New Roman"/>
          <w:noProof/>
          <w:sz w:val="24"/>
          <w:szCs w:val="24"/>
        </w:rPr>
        <w:t>une règle modifiant une règle existante n’a pas été comptabilisée séparément;</w:t>
      </w:r>
    </w:p>
    <w:p>
      <w:pPr>
        <w:pStyle w:val="ListParagraph"/>
        <w:numPr>
          <w:ilvl w:val="0"/>
          <w:numId w:val="35"/>
        </w:numPr>
        <w:jc w:val="both"/>
        <w:rPr>
          <w:rFonts w:ascii="Times New Roman" w:hAnsi="Times New Roman" w:cs="Times New Roman"/>
          <w:noProof/>
          <w:sz w:val="24"/>
          <w:szCs w:val="24"/>
        </w:rPr>
      </w:pPr>
      <w:r>
        <w:rPr>
          <w:rFonts w:ascii="Times New Roman" w:hAnsi="Times New Roman"/>
          <w:noProof/>
          <w:sz w:val="24"/>
          <w:szCs w:val="24"/>
        </w:rPr>
        <w:t>si une règle d’exécution a été remplacée pendant la période couverte par le rapport, une seule règle d’exécution a été comptabilisée</w:t>
      </w:r>
      <w:r>
        <w:rPr>
          <w:rStyle w:val="FootnoteReference"/>
          <w:rFonts w:ascii="Times New Roman" w:hAnsi="Times New Roman" w:cs="Times New Roman"/>
          <w:noProof/>
          <w:sz w:val="24"/>
          <w:szCs w:val="24"/>
        </w:rPr>
        <w:footnoteReference w:id="19"/>
      </w:r>
      <w:r>
        <w:rPr>
          <w:rFonts w:ascii="Times New Roman" w:hAnsi="Times New Roman"/>
          <w:noProof/>
          <w:sz w:val="24"/>
          <w:szCs w:val="24"/>
        </w:rPr>
        <w:t>.</w:t>
      </w:r>
    </w:p>
    <w:p>
      <w:pPr>
        <w:jc w:val="both"/>
        <w:rPr>
          <w:rFonts w:ascii="Times New Roman" w:hAnsi="Times New Roman" w:cs="Times New Roman"/>
          <w:noProof/>
          <w:sz w:val="24"/>
          <w:szCs w:val="24"/>
        </w:rPr>
      </w:pPr>
      <w:r>
        <w:rPr>
          <w:rFonts w:ascii="Times New Roman" w:hAnsi="Times New Roman"/>
          <w:noProof/>
          <w:sz w:val="24"/>
          <w:szCs w:val="24"/>
        </w:rPr>
        <w:t xml:space="preserve">Les deux tableaux suivants donnent un aperçu quantitatif du nombre de règles d’exécution adoptées par les institutions durant les deux premières périodes de référence (2014-2016 et 2017-2019). </w:t>
      </w:r>
    </w:p>
    <w:p>
      <w:pPr>
        <w:spacing w:before="360"/>
        <w:jc w:val="center"/>
        <w:rPr>
          <w:rFonts w:ascii="Times New Roman" w:hAnsi="Times New Roman" w:cs="Times New Roman"/>
          <w:b/>
          <w:noProof/>
          <w:sz w:val="24"/>
          <w:szCs w:val="24"/>
        </w:rPr>
      </w:pPr>
      <w:r>
        <w:rPr>
          <w:rFonts w:ascii="Times New Roman" w:hAnsi="Times New Roman"/>
          <w:b/>
          <w:noProof/>
          <w:sz w:val="24"/>
          <w:szCs w:val="24"/>
        </w:rPr>
        <w:t>NOMBRE DE RÈGLES D’EXÉCUTION ADOPTÉES PAR LES INSTITUTIONS EN VIGUEUR durant la première période de référence 2014-2016</w:t>
      </w:r>
      <w:r>
        <w:rPr>
          <w:rStyle w:val="FootnoteReference"/>
          <w:rFonts w:ascii="Times New Roman" w:hAnsi="Times New Roman" w:cs="Times New Roman"/>
          <w:b/>
          <w:noProof/>
          <w:sz w:val="24"/>
          <w:szCs w:val="24"/>
        </w:rPr>
        <w:footnoteReference w:id="20"/>
      </w:r>
    </w:p>
    <w:tbl>
      <w:tblPr>
        <w:tblStyle w:val="TableGrid"/>
        <w:tblW w:w="0" w:type="auto"/>
        <w:tblLook w:val="04A0" w:firstRow="1" w:lastRow="0" w:firstColumn="1" w:lastColumn="0" w:noHBand="0" w:noVBand="1"/>
      </w:tblPr>
      <w:tblGrid>
        <w:gridCol w:w="790"/>
        <w:gridCol w:w="2234"/>
        <w:gridCol w:w="2524"/>
        <w:gridCol w:w="2075"/>
        <w:gridCol w:w="1665"/>
      </w:tblGrid>
      <w:tr>
        <w:tc>
          <w:tcPr>
            <w:tcW w:w="790" w:type="dxa"/>
          </w:tcPr>
          <w:p>
            <w:pPr>
              <w:jc w:val="center"/>
              <w:rPr>
                <w:rFonts w:ascii="Times New Roman" w:hAnsi="Times New Roman" w:cs="Times New Roman"/>
                <w:b/>
                <w:noProof/>
                <w:sz w:val="20"/>
                <w:szCs w:val="20"/>
              </w:rPr>
            </w:pPr>
          </w:p>
        </w:tc>
        <w:tc>
          <w:tcPr>
            <w:tcW w:w="2234" w:type="dxa"/>
          </w:tcPr>
          <w:p>
            <w:pPr>
              <w:jc w:val="center"/>
              <w:rPr>
                <w:rFonts w:ascii="Times New Roman" w:hAnsi="Times New Roman" w:cs="Times New Roman"/>
                <w:b/>
                <w:noProof/>
                <w:sz w:val="20"/>
                <w:szCs w:val="20"/>
              </w:rPr>
            </w:pPr>
            <w:r>
              <w:rPr>
                <w:rFonts w:ascii="Times New Roman" w:hAnsi="Times New Roman"/>
                <w:b/>
                <w:noProof/>
                <w:sz w:val="20"/>
                <w:szCs w:val="20"/>
              </w:rPr>
              <w:t>Règles arrêtées d’un commun accord</w:t>
            </w:r>
          </w:p>
        </w:tc>
        <w:tc>
          <w:tcPr>
            <w:tcW w:w="2524" w:type="dxa"/>
          </w:tcPr>
          <w:p>
            <w:pPr>
              <w:jc w:val="center"/>
              <w:rPr>
                <w:rFonts w:ascii="Times New Roman" w:hAnsi="Times New Roman" w:cs="Times New Roman"/>
                <w:b/>
                <w:noProof/>
                <w:sz w:val="20"/>
                <w:szCs w:val="20"/>
              </w:rPr>
            </w:pPr>
            <w:r>
              <w:rPr>
                <w:rFonts w:ascii="Times New Roman" w:hAnsi="Times New Roman"/>
                <w:b/>
                <w:noProof/>
                <w:sz w:val="20"/>
                <w:szCs w:val="20"/>
              </w:rPr>
              <w:t>Dispositions générales d’exécution</w:t>
            </w:r>
          </w:p>
        </w:tc>
        <w:tc>
          <w:tcPr>
            <w:tcW w:w="2075" w:type="dxa"/>
          </w:tcPr>
          <w:p>
            <w:pPr>
              <w:jc w:val="center"/>
              <w:rPr>
                <w:rFonts w:ascii="Times New Roman" w:hAnsi="Times New Roman" w:cs="Times New Roman"/>
                <w:b/>
                <w:noProof/>
                <w:sz w:val="20"/>
                <w:szCs w:val="20"/>
              </w:rPr>
            </w:pPr>
            <w:r>
              <w:rPr>
                <w:rFonts w:ascii="Times New Roman" w:hAnsi="Times New Roman"/>
                <w:b/>
                <w:noProof/>
                <w:sz w:val="20"/>
                <w:szCs w:val="20"/>
              </w:rPr>
              <w:t>Autres règles d’exécution</w:t>
            </w:r>
          </w:p>
        </w:tc>
        <w:tc>
          <w:tcPr>
            <w:tcW w:w="1665" w:type="dxa"/>
          </w:tcPr>
          <w:p>
            <w:pPr>
              <w:jc w:val="center"/>
              <w:rPr>
                <w:rFonts w:ascii="Times New Roman" w:hAnsi="Times New Roman" w:cs="Times New Roman"/>
                <w:b/>
                <w:noProof/>
                <w:sz w:val="20"/>
                <w:szCs w:val="20"/>
              </w:rPr>
            </w:pPr>
            <w:r>
              <w:rPr>
                <w:rFonts w:ascii="Times New Roman" w:hAnsi="Times New Roman"/>
                <w:b/>
                <w:noProof/>
                <w:sz w:val="20"/>
                <w:szCs w:val="20"/>
              </w:rPr>
              <w:t xml:space="preserve">Total </w:t>
            </w:r>
          </w:p>
        </w:tc>
      </w:tr>
      <w:tr>
        <w:tc>
          <w:tcPr>
            <w:tcW w:w="790" w:type="dxa"/>
          </w:tcPr>
          <w:p>
            <w:pPr>
              <w:jc w:val="center"/>
              <w:rPr>
                <w:rFonts w:ascii="Times New Roman" w:hAnsi="Times New Roman" w:cs="Times New Roman"/>
                <w:b/>
                <w:noProof/>
                <w:sz w:val="20"/>
                <w:szCs w:val="20"/>
              </w:rPr>
            </w:pPr>
            <w:r>
              <w:rPr>
                <w:rFonts w:ascii="Times New Roman" w:hAnsi="Times New Roman"/>
                <w:b/>
                <w:noProof/>
                <w:sz w:val="20"/>
                <w:szCs w:val="20"/>
              </w:rPr>
              <w:t>PE</w:t>
            </w:r>
          </w:p>
        </w:tc>
        <w:tc>
          <w:tcPr>
            <w:tcW w:w="2234" w:type="dxa"/>
          </w:tcPr>
          <w:p>
            <w:pPr>
              <w:jc w:val="center"/>
              <w:rPr>
                <w:rFonts w:ascii="Times New Roman" w:hAnsi="Times New Roman" w:cs="Times New Roman"/>
                <w:noProof/>
                <w:sz w:val="20"/>
                <w:szCs w:val="20"/>
              </w:rPr>
            </w:pPr>
            <w:r>
              <w:rPr>
                <w:rFonts w:ascii="Times New Roman" w:hAnsi="Times New Roman"/>
                <w:noProof/>
                <w:sz w:val="20"/>
                <w:szCs w:val="20"/>
              </w:rPr>
              <w:t>10</w:t>
            </w:r>
          </w:p>
        </w:tc>
        <w:tc>
          <w:tcPr>
            <w:tcW w:w="2524"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szCs w:val="20"/>
              </w:rPr>
              <w:t>19</w:t>
            </w:r>
          </w:p>
        </w:tc>
        <w:tc>
          <w:tcPr>
            <w:tcW w:w="2075"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szCs w:val="20"/>
              </w:rPr>
              <w:t>38</w:t>
            </w:r>
          </w:p>
        </w:tc>
        <w:tc>
          <w:tcPr>
            <w:tcW w:w="1665" w:type="dxa"/>
            <w:vAlign w:val="bottom"/>
          </w:tcPr>
          <w:p>
            <w:pPr>
              <w:jc w:val="center"/>
              <w:rPr>
                <w:rFonts w:ascii="Times New Roman" w:hAnsi="Times New Roman" w:cs="Times New Roman"/>
                <w:b/>
                <w:noProof/>
                <w:color w:val="000000"/>
                <w:sz w:val="20"/>
                <w:szCs w:val="20"/>
              </w:rPr>
            </w:pPr>
            <w:r>
              <w:rPr>
                <w:rFonts w:ascii="Times New Roman" w:hAnsi="Times New Roman"/>
                <w:b/>
                <w:noProof/>
                <w:color w:val="000000"/>
                <w:sz w:val="20"/>
                <w:szCs w:val="20"/>
              </w:rPr>
              <w:t>67</w:t>
            </w:r>
          </w:p>
        </w:tc>
      </w:tr>
      <w:tr>
        <w:tc>
          <w:tcPr>
            <w:tcW w:w="790" w:type="dxa"/>
          </w:tcPr>
          <w:p>
            <w:pPr>
              <w:jc w:val="center"/>
              <w:rPr>
                <w:rFonts w:ascii="Times New Roman" w:hAnsi="Times New Roman" w:cs="Times New Roman"/>
                <w:b/>
                <w:noProof/>
                <w:sz w:val="20"/>
                <w:szCs w:val="20"/>
              </w:rPr>
            </w:pPr>
            <w:r>
              <w:rPr>
                <w:rFonts w:ascii="Times New Roman" w:hAnsi="Times New Roman"/>
                <w:b/>
                <w:noProof/>
                <w:sz w:val="20"/>
                <w:szCs w:val="20"/>
              </w:rPr>
              <w:t>C</w:t>
            </w:r>
          </w:p>
        </w:tc>
        <w:tc>
          <w:tcPr>
            <w:tcW w:w="2234" w:type="dxa"/>
          </w:tcPr>
          <w:p>
            <w:pPr>
              <w:jc w:val="center"/>
              <w:rPr>
                <w:rFonts w:ascii="Times New Roman" w:hAnsi="Times New Roman" w:cs="Times New Roman"/>
                <w:noProof/>
                <w:sz w:val="20"/>
                <w:szCs w:val="20"/>
              </w:rPr>
            </w:pPr>
            <w:r>
              <w:rPr>
                <w:rFonts w:ascii="Times New Roman" w:hAnsi="Times New Roman"/>
                <w:noProof/>
                <w:sz w:val="20"/>
                <w:szCs w:val="20"/>
              </w:rPr>
              <w:t>10</w:t>
            </w:r>
          </w:p>
        </w:tc>
        <w:tc>
          <w:tcPr>
            <w:tcW w:w="2524"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szCs w:val="20"/>
              </w:rPr>
              <w:t>15</w:t>
            </w:r>
          </w:p>
        </w:tc>
        <w:tc>
          <w:tcPr>
            <w:tcW w:w="2075"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szCs w:val="20"/>
              </w:rPr>
              <w:t>36</w:t>
            </w:r>
          </w:p>
        </w:tc>
        <w:tc>
          <w:tcPr>
            <w:tcW w:w="1665" w:type="dxa"/>
            <w:vAlign w:val="bottom"/>
          </w:tcPr>
          <w:p>
            <w:pPr>
              <w:jc w:val="center"/>
              <w:rPr>
                <w:rFonts w:ascii="Times New Roman" w:hAnsi="Times New Roman" w:cs="Times New Roman"/>
                <w:b/>
                <w:noProof/>
                <w:color w:val="000000"/>
                <w:sz w:val="20"/>
                <w:szCs w:val="20"/>
              </w:rPr>
            </w:pPr>
            <w:r>
              <w:rPr>
                <w:rFonts w:ascii="Times New Roman" w:hAnsi="Times New Roman"/>
                <w:b/>
                <w:noProof/>
                <w:color w:val="000000"/>
                <w:sz w:val="20"/>
                <w:szCs w:val="20"/>
              </w:rPr>
              <w:t>61</w:t>
            </w:r>
          </w:p>
        </w:tc>
      </w:tr>
      <w:tr>
        <w:tc>
          <w:tcPr>
            <w:tcW w:w="790" w:type="dxa"/>
          </w:tcPr>
          <w:p>
            <w:pPr>
              <w:jc w:val="center"/>
              <w:rPr>
                <w:rFonts w:ascii="Times New Roman" w:hAnsi="Times New Roman" w:cs="Times New Roman"/>
                <w:b/>
                <w:noProof/>
                <w:sz w:val="20"/>
                <w:szCs w:val="20"/>
              </w:rPr>
            </w:pPr>
            <w:r>
              <w:rPr>
                <w:rFonts w:ascii="Times New Roman" w:hAnsi="Times New Roman"/>
                <w:b/>
                <w:noProof/>
                <w:sz w:val="20"/>
                <w:szCs w:val="20"/>
              </w:rPr>
              <w:t>COM</w:t>
            </w:r>
          </w:p>
        </w:tc>
        <w:tc>
          <w:tcPr>
            <w:tcW w:w="2234" w:type="dxa"/>
          </w:tcPr>
          <w:p>
            <w:pPr>
              <w:jc w:val="center"/>
              <w:rPr>
                <w:rFonts w:ascii="Times New Roman" w:hAnsi="Times New Roman" w:cs="Times New Roman"/>
                <w:noProof/>
                <w:sz w:val="20"/>
                <w:szCs w:val="20"/>
              </w:rPr>
            </w:pPr>
            <w:r>
              <w:rPr>
                <w:rFonts w:ascii="Times New Roman" w:hAnsi="Times New Roman"/>
                <w:noProof/>
                <w:sz w:val="20"/>
                <w:szCs w:val="20"/>
              </w:rPr>
              <w:t>10</w:t>
            </w:r>
          </w:p>
        </w:tc>
        <w:tc>
          <w:tcPr>
            <w:tcW w:w="2524"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szCs w:val="20"/>
              </w:rPr>
              <w:t>24</w:t>
            </w:r>
          </w:p>
        </w:tc>
        <w:tc>
          <w:tcPr>
            <w:tcW w:w="2075"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szCs w:val="20"/>
              </w:rPr>
              <w:t>61</w:t>
            </w:r>
          </w:p>
        </w:tc>
        <w:tc>
          <w:tcPr>
            <w:tcW w:w="1665" w:type="dxa"/>
            <w:vAlign w:val="bottom"/>
          </w:tcPr>
          <w:p>
            <w:pPr>
              <w:jc w:val="center"/>
              <w:rPr>
                <w:rFonts w:ascii="Times New Roman" w:hAnsi="Times New Roman" w:cs="Times New Roman"/>
                <w:b/>
                <w:noProof/>
                <w:color w:val="000000"/>
                <w:sz w:val="20"/>
                <w:szCs w:val="20"/>
              </w:rPr>
            </w:pPr>
            <w:r>
              <w:rPr>
                <w:rFonts w:ascii="Times New Roman" w:hAnsi="Times New Roman"/>
                <w:b/>
                <w:noProof/>
                <w:color w:val="000000"/>
                <w:sz w:val="20"/>
                <w:szCs w:val="20"/>
              </w:rPr>
              <w:t>95</w:t>
            </w:r>
          </w:p>
        </w:tc>
      </w:tr>
      <w:tr>
        <w:tc>
          <w:tcPr>
            <w:tcW w:w="790" w:type="dxa"/>
          </w:tcPr>
          <w:p>
            <w:pPr>
              <w:jc w:val="center"/>
              <w:rPr>
                <w:rFonts w:ascii="Times New Roman" w:hAnsi="Times New Roman" w:cs="Times New Roman"/>
                <w:b/>
                <w:noProof/>
                <w:sz w:val="20"/>
                <w:szCs w:val="20"/>
              </w:rPr>
            </w:pPr>
            <w:r>
              <w:rPr>
                <w:rFonts w:ascii="Times New Roman" w:hAnsi="Times New Roman"/>
                <w:b/>
                <w:noProof/>
                <w:sz w:val="20"/>
                <w:szCs w:val="20"/>
              </w:rPr>
              <w:t>CJUE</w:t>
            </w:r>
          </w:p>
        </w:tc>
        <w:tc>
          <w:tcPr>
            <w:tcW w:w="2234" w:type="dxa"/>
          </w:tcPr>
          <w:p>
            <w:pPr>
              <w:jc w:val="center"/>
              <w:rPr>
                <w:rFonts w:ascii="Times New Roman" w:hAnsi="Times New Roman" w:cs="Times New Roman"/>
                <w:noProof/>
                <w:sz w:val="20"/>
                <w:szCs w:val="20"/>
              </w:rPr>
            </w:pPr>
            <w:r>
              <w:rPr>
                <w:rFonts w:ascii="Times New Roman" w:hAnsi="Times New Roman"/>
                <w:noProof/>
                <w:sz w:val="20"/>
                <w:szCs w:val="20"/>
              </w:rPr>
              <w:t>10</w:t>
            </w:r>
          </w:p>
        </w:tc>
        <w:tc>
          <w:tcPr>
            <w:tcW w:w="2524"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szCs w:val="20"/>
              </w:rPr>
              <w:t>11</w:t>
            </w:r>
          </w:p>
        </w:tc>
        <w:tc>
          <w:tcPr>
            <w:tcW w:w="2075"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szCs w:val="20"/>
              </w:rPr>
              <w:t>19</w:t>
            </w:r>
          </w:p>
        </w:tc>
        <w:tc>
          <w:tcPr>
            <w:tcW w:w="1665" w:type="dxa"/>
            <w:vAlign w:val="bottom"/>
          </w:tcPr>
          <w:p>
            <w:pPr>
              <w:jc w:val="center"/>
              <w:rPr>
                <w:rFonts w:ascii="Times New Roman" w:hAnsi="Times New Roman" w:cs="Times New Roman"/>
                <w:b/>
                <w:noProof/>
                <w:color w:val="000000"/>
                <w:sz w:val="20"/>
                <w:szCs w:val="20"/>
              </w:rPr>
            </w:pPr>
            <w:r>
              <w:rPr>
                <w:rFonts w:ascii="Times New Roman" w:hAnsi="Times New Roman"/>
                <w:b/>
                <w:noProof/>
                <w:color w:val="000000"/>
                <w:sz w:val="20"/>
                <w:szCs w:val="20"/>
              </w:rPr>
              <w:t>40</w:t>
            </w:r>
          </w:p>
        </w:tc>
      </w:tr>
      <w:tr>
        <w:tc>
          <w:tcPr>
            <w:tcW w:w="790" w:type="dxa"/>
          </w:tcPr>
          <w:p>
            <w:pPr>
              <w:jc w:val="center"/>
              <w:rPr>
                <w:rFonts w:ascii="Times New Roman" w:hAnsi="Times New Roman" w:cs="Times New Roman"/>
                <w:b/>
                <w:noProof/>
                <w:sz w:val="20"/>
                <w:szCs w:val="20"/>
              </w:rPr>
            </w:pPr>
            <w:r>
              <w:rPr>
                <w:rFonts w:ascii="Times New Roman" w:hAnsi="Times New Roman"/>
                <w:b/>
                <w:noProof/>
                <w:sz w:val="20"/>
                <w:szCs w:val="20"/>
              </w:rPr>
              <w:t>CCE</w:t>
            </w:r>
          </w:p>
        </w:tc>
        <w:tc>
          <w:tcPr>
            <w:tcW w:w="2234" w:type="dxa"/>
          </w:tcPr>
          <w:p>
            <w:pPr>
              <w:jc w:val="center"/>
              <w:rPr>
                <w:rFonts w:ascii="Times New Roman" w:hAnsi="Times New Roman" w:cs="Times New Roman"/>
                <w:noProof/>
                <w:sz w:val="20"/>
                <w:szCs w:val="20"/>
              </w:rPr>
            </w:pPr>
            <w:r>
              <w:rPr>
                <w:rFonts w:ascii="Times New Roman" w:hAnsi="Times New Roman"/>
                <w:noProof/>
                <w:sz w:val="20"/>
                <w:szCs w:val="20"/>
              </w:rPr>
              <w:t>10</w:t>
            </w:r>
          </w:p>
        </w:tc>
        <w:tc>
          <w:tcPr>
            <w:tcW w:w="2524"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szCs w:val="20"/>
              </w:rPr>
              <w:t>10</w:t>
            </w:r>
          </w:p>
        </w:tc>
        <w:tc>
          <w:tcPr>
            <w:tcW w:w="2075"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szCs w:val="20"/>
              </w:rPr>
              <w:t>38</w:t>
            </w:r>
          </w:p>
        </w:tc>
        <w:tc>
          <w:tcPr>
            <w:tcW w:w="1665" w:type="dxa"/>
            <w:vAlign w:val="bottom"/>
          </w:tcPr>
          <w:p>
            <w:pPr>
              <w:jc w:val="center"/>
              <w:rPr>
                <w:rFonts w:ascii="Times New Roman" w:hAnsi="Times New Roman" w:cs="Times New Roman"/>
                <w:b/>
                <w:noProof/>
                <w:color w:val="000000"/>
                <w:sz w:val="20"/>
                <w:szCs w:val="20"/>
              </w:rPr>
            </w:pPr>
            <w:r>
              <w:rPr>
                <w:rFonts w:ascii="Times New Roman" w:hAnsi="Times New Roman"/>
                <w:b/>
                <w:noProof/>
                <w:color w:val="000000"/>
                <w:sz w:val="20"/>
                <w:szCs w:val="20"/>
              </w:rPr>
              <w:t>58</w:t>
            </w:r>
          </w:p>
        </w:tc>
      </w:tr>
      <w:tr>
        <w:tc>
          <w:tcPr>
            <w:tcW w:w="790" w:type="dxa"/>
          </w:tcPr>
          <w:p>
            <w:pPr>
              <w:jc w:val="center"/>
              <w:rPr>
                <w:rFonts w:ascii="Times New Roman" w:hAnsi="Times New Roman" w:cs="Times New Roman"/>
                <w:b/>
                <w:noProof/>
                <w:sz w:val="20"/>
                <w:szCs w:val="20"/>
              </w:rPr>
            </w:pPr>
            <w:r>
              <w:rPr>
                <w:rFonts w:ascii="Times New Roman" w:hAnsi="Times New Roman"/>
                <w:b/>
                <w:noProof/>
                <w:sz w:val="20"/>
                <w:szCs w:val="20"/>
              </w:rPr>
              <w:t>SEAE</w:t>
            </w:r>
          </w:p>
        </w:tc>
        <w:tc>
          <w:tcPr>
            <w:tcW w:w="2234" w:type="dxa"/>
          </w:tcPr>
          <w:p>
            <w:pPr>
              <w:jc w:val="center"/>
              <w:rPr>
                <w:rFonts w:ascii="Times New Roman" w:hAnsi="Times New Roman" w:cs="Times New Roman"/>
                <w:noProof/>
                <w:sz w:val="20"/>
                <w:szCs w:val="20"/>
              </w:rPr>
            </w:pPr>
            <w:r>
              <w:rPr>
                <w:rFonts w:ascii="Times New Roman" w:hAnsi="Times New Roman"/>
                <w:noProof/>
                <w:sz w:val="20"/>
                <w:szCs w:val="20"/>
              </w:rPr>
              <w:t>10</w:t>
            </w:r>
          </w:p>
        </w:tc>
        <w:tc>
          <w:tcPr>
            <w:tcW w:w="2524"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szCs w:val="20"/>
              </w:rPr>
              <w:t>23</w:t>
            </w:r>
          </w:p>
        </w:tc>
        <w:tc>
          <w:tcPr>
            <w:tcW w:w="2075"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szCs w:val="20"/>
              </w:rPr>
              <w:t>39</w:t>
            </w:r>
          </w:p>
        </w:tc>
        <w:tc>
          <w:tcPr>
            <w:tcW w:w="1665" w:type="dxa"/>
            <w:vAlign w:val="bottom"/>
          </w:tcPr>
          <w:p>
            <w:pPr>
              <w:jc w:val="center"/>
              <w:rPr>
                <w:rFonts w:ascii="Times New Roman" w:hAnsi="Times New Roman" w:cs="Times New Roman"/>
                <w:b/>
                <w:noProof/>
                <w:color w:val="000000"/>
                <w:sz w:val="20"/>
                <w:szCs w:val="20"/>
              </w:rPr>
            </w:pPr>
            <w:r>
              <w:rPr>
                <w:rFonts w:ascii="Times New Roman" w:hAnsi="Times New Roman"/>
                <w:b/>
                <w:noProof/>
                <w:color w:val="000000"/>
                <w:sz w:val="20"/>
                <w:szCs w:val="20"/>
              </w:rPr>
              <w:t>72</w:t>
            </w:r>
          </w:p>
        </w:tc>
      </w:tr>
      <w:tr>
        <w:tc>
          <w:tcPr>
            <w:tcW w:w="790" w:type="dxa"/>
          </w:tcPr>
          <w:p>
            <w:pPr>
              <w:jc w:val="center"/>
              <w:rPr>
                <w:rFonts w:ascii="Times New Roman" w:hAnsi="Times New Roman" w:cs="Times New Roman"/>
                <w:b/>
                <w:noProof/>
                <w:sz w:val="20"/>
                <w:szCs w:val="20"/>
              </w:rPr>
            </w:pPr>
            <w:r>
              <w:rPr>
                <w:rFonts w:ascii="Times New Roman" w:hAnsi="Times New Roman"/>
                <w:b/>
                <w:noProof/>
                <w:sz w:val="20"/>
                <w:szCs w:val="20"/>
              </w:rPr>
              <w:t>CESE</w:t>
            </w:r>
          </w:p>
        </w:tc>
        <w:tc>
          <w:tcPr>
            <w:tcW w:w="2234" w:type="dxa"/>
          </w:tcPr>
          <w:p>
            <w:pPr>
              <w:jc w:val="center"/>
              <w:rPr>
                <w:rFonts w:ascii="Times New Roman" w:hAnsi="Times New Roman" w:cs="Times New Roman"/>
                <w:noProof/>
                <w:sz w:val="20"/>
                <w:szCs w:val="20"/>
              </w:rPr>
            </w:pPr>
            <w:r>
              <w:rPr>
                <w:rFonts w:ascii="Times New Roman" w:hAnsi="Times New Roman"/>
                <w:noProof/>
                <w:sz w:val="20"/>
                <w:szCs w:val="20"/>
              </w:rPr>
              <w:t>10</w:t>
            </w:r>
          </w:p>
        </w:tc>
        <w:tc>
          <w:tcPr>
            <w:tcW w:w="2524"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szCs w:val="20"/>
              </w:rPr>
              <w:t>12</w:t>
            </w:r>
          </w:p>
        </w:tc>
        <w:tc>
          <w:tcPr>
            <w:tcW w:w="2075"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szCs w:val="20"/>
              </w:rPr>
              <w:t>37</w:t>
            </w:r>
          </w:p>
        </w:tc>
        <w:tc>
          <w:tcPr>
            <w:tcW w:w="1665" w:type="dxa"/>
            <w:vAlign w:val="bottom"/>
          </w:tcPr>
          <w:p>
            <w:pPr>
              <w:jc w:val="center"/>
              <w:rPr>
                <w:rFonts w:ascii="Times New Roman" w:hAnsi="Times New Roman" w:cs="Times New Roman"/>
                <w:b/>
                <w:noProof/>
                <w:color w:val="000000"/>
                <w:sz w:val="20"/>
                <w:szCs w:val="20"/>
              </w:rPr>
            </w:pPr>
            <w:r>
              <w:rPr>
                <w:rFonts w:ascii="Times New Roman" w:hAnsi="Times New Roman"/>
                <w:b/>
                <w:noProof/>
                <w:color w:val="000000"/>
                <w:sz w:val="20"/>
                <w:szCs w:val="20"/>
              </w:rPr>
              <w:t>59</w:t>
            </w:r>
          </w:p>
        </w:tc>
      </w:tr>
      <w:tr>
        <w:tc>
          <w:tcPr>
            <w:tcW w:w="790" w:type="dxa"/>
          </w:tcPr>
          <w:p>
            <w:pPr>
              <w:jc w:val="center"/>
              <w:rPr>
                <w:rFonts w:ascii="Times New Roman" w:hAnsi="Times New Roman" w:cs="Times New Roman"/>
                <w:b/>
                <w:noProof/>
                <w:sz w:val="20"/>
                <w:szCs w:val="20"/>
              </w:rPr>
            </w:pPr>
            <w:r>
              <w:rPr>
                <w:rFonts w:ascii="Times New Roman" w:hAnsi="Times New Roman"/>
                <w:b/>
                <w:noProof/>
                <w:sz w:val="20"/>
                <w:szCs w:val="20"/>
              </w:rPr>
              <w:t>CdR</w:t>
            </w:r>
          </w:p>
        </w:tc>
        <w:tc>
          <w:tcPr>
            <w:tcW w:w="2234" w:type="dxa"/>
          </w:tcPr>
          <w:p>
            <w:pPr>
              <w:jc w:val="center"/>
              <w:rPr>
                <w:rFonts w:ascii="Times New Roman" w:hAnsi="Times New Roman" w:cs="Times New Roman"/>
                <w:noProof/>
                <w:sz w:val="20"/>
                <w:szCs w:val="20"/>
              </w:rPr>
            </w:pPr>
            <w:r>
              <w:rPr>
                <w:rFonts w:ascii="Times New Roman" w:hAnsi="Times New Roman"/>
                <w:noProof/>
                <w:sz w:val="20"/>
                <w:szCs w:val="20"/>
              </w:rPr>
              <w:t>10</w:t>
            </w:r>
          </w:p>
        </w:tc>
        <w:tc>
          <w:tcPr>
            <w:tcW w:w="2524"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szCs w:val="20"/>
              </w:rPr>
              <w:t>15</w:t>
            </w:r>
          </w:p>
        </w:tc>
        <w:tc>
          <w:tcPr>
            <w:tcW w:w="2075"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szCs w:val="20"/>
              </w:rPr>
              <w:t>30</w:t>
            </w:r>
          </w:p>
        </w:tc>
        <w:tc>
          <w:tcPr>
            <w:tcW w:w="1665" w:type="dxa"/>
            <w:vAlign w:val="bottom"/>
          </w:tcPr>
          <w:p>
            <w:pPr>
              <w:jc w:val="center"/>
              <w:rPr>
                <w:rFonts w:ascii="Times New Roman" w:hAnsi="Times New Roman" w:cs="Times New Roman"/>
                <w:b/>
                <w:noProof/>
                <w:color w:val="000000"/>
                <w:sz w:val="20"/>
                <w:szCs w:val="20"/>
              </w:rPr>
            </w:pPr>
            <w:r>
              <w:rPr>
                <w:rFonts w:ascii="Times New Roman" w:hAnsi="Times New Roman"/>
                <w:b/>
                <w:noProof/>
                <w:color w:val="000000"/>
                <w:sz w:val="20"/>
                <w:szCs w:val="20"/>
              </w:rPr>
              <w:t>55</w:t>
            </w:r>
          </w:p>
        </w:tc>
      </w:tr>
      <w:tr>
        <w:tc>
          <w:tcPr>
            <w:tcW w:w="790" w:type="dxa"/>
          </w:tcPr>
          <w:p>
            <w:pPr>
              <w:jc w:val="center"/>
              <w:rPr>
                <w:rFonts w:ascii="Times New Roman" w:hAnsi="Times New Roman" w:cs="Times New Roman"/>
                <w:b/>
                <w:noProof/>
                <w:sz w:val="20"/>
                <w:szCs w:val="20"/>
              </w:rPr>
            </w:pPr>
            <w:r>
              <w:rPr>
                <w:rFonts w:ascii="Times New Roman" w:hAnsi="Times New Roman"/>
                <w:b/>
                <w:noProof/>
                <w:sz w:val="20"/>
                <w:szCs w:val="20"/>
              </w:rPr>
              <w:t>ME</w:t>
            </w:r>
          </w:p>
        </w:tc>
        <w:tc>
          <w:tcPr>
            <w:tcW w:w="2234" w:type="dxa"/>
          </w:tcPr>
          <w:p>
            <w:pPr>
              <w:jc w:val="center"/>
              <w:rPr>
                <w:rFonts w:ascii="Times New Roman" w:hAnsi="Times New Roman" w:cs="Times New Roman"/>
                <w:noProof/>
                <w:sz w:val="20"/>
                <w:szCs w:val="20"/>
              </w:rPr>
            </w:pPr>
            <w:r>
              <w:rPr>
                <w:rFonts w:ascii="Times New Roman" w:hAnsi="Times New Roman"/>
                <w:noProof/>
                <w:sz w:val="20"/>
                <w:szCs w:val="20"/>
              </w:rPr>
              <w:t>10</w:t>
            </w:r>
          </w:p>
        </w:tc>
        <w:tc>
          <w:tcPr>
            <w:tcW w:w="2524"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szCs w:val="20"/>
              </w:rPr>
              <w:t>15</w:t>
            </w:r>
          </w:p>
        </w:tc>
        <w:tc>
          <w:tcPr>
            <w:tcW w:w="2075"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szCs w:val="20"/>
              </w:rPr>
              <w:t>12</w:t>
            </w:r>
          </w:p>
        </w:tc>
        <w:tc>
          <w:tcPr>
            <w:tcW w:w="1665" w:type="dxa"/>
            <w:vAlign w:val="bottom"/>
          </w:tcPr>
          <w:p>
            <w:pPr>
              <w:jc w:val="center"/>
              <w:rPr>
                <w:rFonts w:ascii="Times New Roman" w:hAnsi="Times New Roman" w:cs="Times New Roman"/>
                <w:b/>
                <w:noProof/>
                <w:color w:val="000000"/>
                <w:sz w:val="20"/>
                <w:szCs w:val="20"/>
              </w:rPr>
            </w:pPr>
            <w:r>
              <w:rPr>
                <w:rFonts w:ascii="Times New Roman" w:hAnsi="Times New Roman"/>
                <w:b/>
                <w:noProof/>
                <w:color w:val="000000"/>
                <w:sz w:val="20"/>
                <w:szCs w:val="20"/>
              </w:rPr>
              <w:t>37</w:t>
            </w:r>
          </w:p>
        </w:tc>
      </w:tr>
      <w:tr>
        <w:tc>
          <w:tcPr>
            <w:tcW w:w="790" w:type="dxa"/>
            <w:tcBorders>
              <w:bottom w:val="single" w:sz="4" w:space="0" w:color="auto"/>
            </w:tcBorders>
          </w:tcPr>
          <w:p>
            <w:pPr>
              <w:jc w:val="center"/>
              <w:rPr>
                <w:rFonts w:ascii="Times New Roman" w:hAnsi="Times New Roman" w:cs="Times New Roman"/>
                <w:b/>
                <w:noProof/>
                <w:sz w:val="20"/>
                <w:szCs w:val="20"/>
              </w:rPr>
            </w:pPr>
            <w:r>
              <w:rPr>
                <w:rFonts w:ascii="Times New Roman" w:hAnsi="Times New Roman"/>
                <w:b/>
                <w:noProof/>
                <w:sz w:val="20"/>
                <w:szCs w:val="20"/>
              </w:rPr>
              <w:t>CEPD</w:t>
            </w:r>
          </w:p>
        </w:tc>
        <w:tc>
          <w:tcPr>
            <w:tcW w:w="2234" w:type="dxa"/>
            <w:tcBorders>
              <w:bottom w:val="single" w:sz="4" w:space="0" w:color="auto"/>
            </w:tcBorders>
          </w:tcPr>
          <w:p>
            <w:pPr>
              <w:jc w:val="center"/>
              <w:rPr>
                <w:rFonts w:ascii="Times New Roman" w:hAnsi="Times New Roman" w:cs="Times New Roman"/>
                <w:noProof/>
                <w:sz w:val="20"/>
                <w:szCs w:val="20"/>
              </w:rPr>
            </w:pPr>
            <w:r>
              <w:rPr>
                <w:rFonts w:ascii="Times New Roman" w:hAnsi="Times New Roman"/>
                <w:noProof/>
                <w:sz w:val="20"/>
                <w:szCs w:val="20"/>
              </w:rPr>
              <w:t>10</w:t>
            </w:r>
          </w:p>
        </w:tc>
        <w:tc>
          <w:tcPr>
            <w:tcW w:w="2524" w:type="dxa"/>
            <w:tcBorders>
              <w:bottom w:val="single" w:sz="4" w:space="0" w:color="auto"/>
            </w:tcBorders>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szCs w:val="20"/>
              </w:rPr>
              <w:t>16</w:t>
            </w:r>
          </w:p>
        </w:tc>
        <w:tc>
          <w:tcPr>
            <w:tcW w:w="2075" w:type="dxa"/>
            <w:tcBorders>
              <w:bottom w:val="single" w:sz="4" w:space="0" w:color="auto"/>
            </w:tcBorders>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szCs w:val="20"/>
              </w:rPr>
              <w:t>21</w:t>
            </w:r>
          </w:p>
        </w:tc>
        <w:tc>
          <w:tcPr>
            <w:tcW w:w="1665" w:type="dxa"/>
            <w:tcBorders>
              <w:bottom w:val="single" w:sz="4" w:space="0" w:color="auto"/>
            </w:tcBorders>
            <w:vAlign w:val="bottom"/>
          </w:tcPr>
          <w:p>
            <w:pPr>
              <w:jc w:val="center"/>
              <w:rPr>
                <w:rFonts w:ascii="Times New Roman" w:hAnsi="Times New Roman" w:cs="Times New Roman"/>
                <w:b/>
                <w:noProof/>
                <w:color w:val="000000"/>
                <w:sz w:val="20"/>
                <w:szCs w:val="20"/>
              </w:rPr>
            </w:pPr>
            <w:r>
              <w:rPr>
                <w:rFonts w:ascii="Times New Roman" w:hAnsi="Times New Roman"/>
                <w:b/>
                <w:noProof/>
                <w:color w:val="000000"/>
                <w:sz w:val="20"/>
                <w:szCs w:val="20"/>
              </w:rPr>
              <w:t>47</w:t>
            </w:r>
          </w:p>
        </w:tc>
      </w:tr>
      <w:tr>
        <w:tc>
          <w:tcPr>
            <w:tcW w:w="790" w:type="dxa"/>
            <w:tcBorders>
              <w:left w:val="nil"/>
              <w:right w:val="nil"/>
            </w:tcBorders>
          </w:tcPr>
          <w:p>
            <w:pPr>
              <w:jc w:val="center"/>
              <w:rPr>
                <w:rFonts w:ascii="Times New Roman" w:hAnsi="Times New Roman" w:cs="Times New Roman"/>
                <w:b/>
                <w:noProof/>
                <w:sz w:val="20"/>
                <w:szCs w:val="20"/>
              </w:rPr>
            </w:pPr>
          </w:p>
        </w:tc>
        <w:tc>
          <w:tcPr>
            <w:tcW w:w="2234" w:type="dxa"/>
            <w:tcBorders>
              <w:left w:val="nil"/>
              <w:right w:val="nil"/>
            </w:tcBorders>
          </w:tcPr>
          <w:p>
            <w:pPr>
              <w:jc w:val="center"/>
              <w:rPr>
                <w:rFonts w:ascii="Times New Roman" w:hAnsi="Times New Roman" w:cs="Times New Roman"/>
                <w:b/>
                <w:noProof/>
                <w:sz w:val="20"/>
                <w:szCs w:val="20"/>
              </w:rPr>
            </w:pPr>
          </w:p>
        </w:tc>
        <w:tc>
          <w:tcPr>
            <w:tcW w:w="2524" w:type="dxa"/>
            <w:tcBorders>
              <w:left w:val="nil"/>
              <w:right w:val="nil"/>
            </w:tcBorders>
          </w:tcPr>
          <w:p>
            <w:pPr>
              <w:jc w:val="center"/>
              <w:rPr>
                <w:rFonts w:ascii="Times New Roman" w:hAnsi="Times New Roman" w:cs="Times New Roman"/>
                <w:b/>
                <w:noProof/>
                <w:sz w:val="20"/>
                <w:szCs w:val="20"/>
              </w:rPr>
            </w:pPr>
          </w:p>
        </w:tc>
        <w:tc>
          <w:tcPr>
            <w:tcW w:w="2075" w:type="dxa"/>
            <w:tcBorders>
              <w:left w:val="nil"/>
              <w:right w:val="nil"/>
            </w:tcBorders>
          </w:tcPr>
          <w:p>
            <w:pPr>
              <w:jc w:val="center"/>
              <w:rPr>
                <w:rFonts w:ascii="Times New Roman" w:hAnsi="Times New Roman" w:cs="Times New Roman"/>
                <w:b/>
                <w:noProof/>
                <w:sz w:val="20"/>
                <w:szCs w:val="20"/>
              </w:rPr>
            </w:pPr>
          </w:p>
        </w:tc>
        <w:tc>
          <w:tcPr>
            <w:tcW w:w="1665" w:type="dxa"/>
            <w:tcBorders>
              <w:left w:val="nil"/>
              <w:right w:val="nil"/>
            </w:tcBorders>
          </w:tcPr>
          <w:p>
            <w:pPr>
              <w:jc w:val="center"/>
              <w:rPr>
                <w:rFonts w:ascii="Times New Roman" w:hAnsi="Times New Roman" w:cs="Times New Roman"/>
                <w:b/>
                <w:noProof/>
                <w:sz w:val="20"/>
                <w:szCs w:val="20"/>
                <w:highlight w:val="yellow"/>
              </w:rPr>
            </w:pPr>
          </w:p>
        </w:tc>
      </w:tr>
      <w:tr>
        <w:tc>
          <w:tcPr>
            <w:tcW w:w="790" w:type="dxa"/>
          </w:tcPr>
          <w:p>
            <w:pPr>
              <w:jc w:val="center"/>
              <w:rPr>
                <w:rFonts w:ascii="Times New Roman" w:hAnsi="Times New Roman" w:cs="Times New Roman"/>
                <w:b/>
                <w:noProof/>
                <w:sz w:val="20"/>
                <w:szCs w:val="20"/>
              </w:rPr>
            </w:pPr>
            <w:r>
              <w:rPr>
                <w:rFonts w:ascii="Times New Roman" w:hAnsi="Times New Roman"/>
                <w:b/>
                <w:noProof/>
                <w:sz w:val="20"/>
                <w:szCs w:val="20"/>
              </w:rPr>
              <w:t>Total</w:t>
            </w:r>
          </w:p>
        </w:tc>
        <w:tc>
          <w:tcPr>
            <w:tcW w:w="2234" w:type="dxa"/>
          </w:tcPr>
          <w:p>
            <w:pPr>
              <w:jc w:val="center"/>
              <w:rPr>
                <w:rFonts w:ascii="Times New Roman" w:hAnsi="Times New Roman" w:cs="Times New Roman"/>
                <w:b/>
                <w:noProof/>
                <w:sz w:val="20"/>
                <w:szCs w:val="20"/>
              </w:rPr>
            </w:pPr>
            <w:r>
              <w:rPr>
                <w:rFonts w:ascii="Times New Roman" w:hAnsi="Times New Roman"/>
                <w:b/>
                <w:noProof/>
                <w:sz w:val="20"/>
                <w:szCs w:val="20"/>
              </w:rPr>
              <w:t>100</w:t>
            </w:r>
          </w:p>
        </w:tc>
        <w:tc>
          <w:tcPr>
            <w:tcW w:w="2524" w:type="dxa"/>
          </w:tcPr>
          <w:p>
            <w:pPr>
              <w:jc w:val="center"/>
              <w:rPr>
                <w:rFonts w:ascii="Times New Roman" w:hAnsi="Times New Roman" w:cs="Times New Roman"/>
                <w:b/>
                <w:noProof/>
                <w:sz w:val="20"/>
                <w:szCs w:val="20"/>
              </w:rPr>
            </w:pPr>
            <w:r>
              <w:rPr>
                <w:rFonts w:ascii="Times New Roman" w:hAnsi="Times New Roman"/>
                <w:b/>
                <w:noProof/>
                <w:sz w:val="20"/>
                <w:szCs w:val="20"/>
              </w:rPr>
              <w:t>160</w:t>
            </w:r>
          </w:p>
        </w:tc>
        <w:tc>
          <w:tcPr>
            <w:tcW w:w="2075" w:type="dxa"/>
          </w:tcPr>
          <w:p>
            <w:pPr>
              <w:jc w:val="center"/>
              <w:rPr>
                <w:rFonts w:ascii="Times New Roman" w:hAnsi="Times New Roman" w:cs="Times New Roman"/>
                <w:b/>
                <w:noProof/>
                <w:sz w:val="20"/>
                <w:szCs w:val="20"/>
              </w:rPr>
            </w:pPr>
            <w:r>
              <w:rPr>
                <w:rFonts w:ascii="Times New Roman" w:hAnsi="Times New Roman"/>
                <w:b/>
                <w:noProof/>
                <w:sz w:val="20"/>
                <w:szCs w:val="20"/>
              </w:rPr>
              <w:t>331</w:t>
            </w:r>
          </w:p>
        </w:tc>
        <w:tc>
          <w:tcPr>
            <w:tcW w:w="1665" w:type="dxa"/>
          </w:tcPr>
          <w:p>
            <w:pPr>
              <w:jc w:val="center"/>
              <w:rPr>
                <w:rFonts w:ascii="Times New Roman" w:hAnsi="Times New Roman" w:cs="Times New Roman"/>
                <w:b/>
                <w:noProof/>
                <w:sz w:val="20"/>
                <w:szCs w:val="20"/>
                <w:highlight w:val="yellow"/>
              </w:rPr>
            </w:pPr>
            <w:r>
              <w:rPr>
                <w:rFonts w:ascii="Times New Roman" w:hAnsi="Times New Roman"/>
                <w:b/>
                <w:noProof/>
                <w:sz w:val="20"/>
                <w:szCs w:val="20"/>
              </w:rPr>
              <w:t>591</w:t>
            </w:r>
          </w:p>
        </w:tc>
      </w:tr>
    </w:tbl>
    <w:p>
      <w:pPr>
        <w:jc w:val="center"/>
        <w:rPr>
          <w:rFonts w:ascii="Times New Roman" w:hAnsi="Times New Roman" w:cs="Times New Roman"/>
          <w:b/>
          <w:noProof/>
          <w:sz w:val="24"/>
          <w:szCs w:val="24"/>
        </w:rPr>
      </w:pPr>
    </w:p>
    <w:p>
      <w:pPr>
        <w:jc w:val="center"/>
        <w:rPr>
          <w:rFonts w:ascii="Times New Roman" w:hAnsi="Times New Roman" w:cs="Times New Roman"/>
          <w:b/>
          <w:noProof/>
          <w:sz w:val="24"/>
          <w:szCs w:val="24"/>
        </w:rPr>
      </w:pPr>
      <w:r>
        <w:rPr>
          <w:rFonts w:ascii="Times New Roman" w:hAnsi="Times New Roman"/>
          <w:b/>
          <w:noProof/>
          <w:sz w:val="24"/>
          <w:szCs w:val="24"/>
        </w:rPr>
        <w:t>NOMBRE DE RÈGLES D’EXÉCUTION ADOPTÉES PAR LES INSTITUTIONS EN VIGUEUR durant la deuxième période de référence 2017-2019</w:t>
      </w:r>
    </w:p>
    <w:tbl>
      <w:tblPr>
        <w:tblStyle w:val="TableGrid"/>
        <w:tblW w:w="0" w:type="auto"/>
        <w:tblLook w:val="04A0" w:firstRow="1" w:lastRow="0" w:firstColumn="1" w:lastColumn="0" w:noHBand="0" w:noVBand="1"/>
      </w:tblPr>
      <w:tblGrid>
        <w:gridCol w:w="790"/>
        <w:gridCol w:w="2234"/>
        <w:gridCol w:w="2524"/>
        <w:gridCol w:w="2075"/>
        <w:gridCol w:w="1665"/>
      </w:tblGrid>
      <w:tr>
        <w:tc>
          <w:tcPr>
            <w:tcW w:w="790" w:type="dxa"/>
          </w:tcPr>
          <w:p>
            <w:pPr>
              <w:jc w:val="center"/>
              <w:rPr>
                <w:rFonts w:ascii="Times New Roman" w:hAnsi="Times New Roman" w:cs="Times New Roman"/>
                <w:b/>
                <w:noProof/>
                <w:sz w:val="20"/>
                <w:szCs w:val="20"/>
              </w:rPr>
            </w:pPr>
          </w:p>
        </w:tc>
        <w:tc>
          <w:tcPr>
            <w:tcW w:w="2234" w:type="dxa"/>
          </w:tcPr>
          <w:p>
            <w:pPr>
              <w:jc w:val="center"/>
              <w:rPr>
                <w:rFonts w:ascii="Times New Roman" w:hAnsi="Times New Roman" w:cs="Times New Roman"/>
                <w:b/>
                <w:noProof/>
                <w:sz w:val="20"/>
                <w:szCs w:val="20"/>
              </w:rPr>
            </w:pPr>
            <w:r>
              <w:rPr>
                <w:rFonts w:ascii="Times New Roman" w:hAnsi="Times New Roman"/>
                <w:b/>
                <w:noProof/>
                <w:sz w:val="20"/>
                <w:szCs w:val="20"/>
              </w:rPr>
              <w:t>Règles arrêtées d’un commun accord</w:t>
            </w:r>
          </w:p>
        </w:tc>
        <w:tc>
          <w:tcPr>
            <w:tcW w:w="2524" w:type="dxa"/>
          </w:tcPr>
          <w:p>
            <w:pPr>
              <w:jc w:val="center"/>
              <w:rPr>
                <w:rFonts w:ascii="Times New Roman" w:hAnsi="Times New Roman" w:cs="Times New Roman"/>
                <w:b/>
                <w:noProof/>
                <w:sz w:val="20"/>
                <w:szCs w:val="20"/>
              </w:rPr>
            </w:pPr>
            <w:r>
              <w:rPr>
                <w:rFonts w:ascii="Times New Roman" w:hAnsi="Times New Roman"/>
                <w:b/>
                <w:noProof/>
                <w:sz w:val="20"/>
                <w:szCs w:val="20"/>
              </w:rPr>
              <w:t>Dispositions générales d’exécution</w:t>
            </w:r>
          </w:p>
        </w:tc>
        <w:tc>
          <w:tcPr>
            <w:tcW w:w="2075" w:type="dxa"/>
          </w:tcPr>
          <w:p>
            <w:pPr>
              <w:jc w:val="center"/>
              <w:rPr>
                <w:rFonts w:ascii="Times New Roman" w:hAnsi="Times New Roman" w:cs="Times New Roman"/>
                <w:b/>
                <w:noProof/>
                <w:sz w:val="20"/>
                <w:szCs w:val="20"/>
              </w:rPr>
            </w:pPr>
            <w:r>
              <w:rPr>
                <w:rFonts w:ascii="Times New Roman" w:hAnsi="Times New Roman"/>
                <w:b/>
                <w:noProof/>
                <w:sz w:val="20"/>
                <w:szCs w:val="20"/>
              </w:rPr>
              <w:t>Autres règles d’exécution</w:t>
            </w:r>
          </w:p>
        </w:tc>
        <w:tc>
          <w:tcPr>
            <w:tcW w:w="1665" w:type="dxa"/>
          </w:tcPr>
          <w:p>
            <w:pPr>
              <w:jc w:val="center"/>
              <w:rPr>
                <w:rFonts w:ascii="Times New Roman" w:hAnsi="Times New Roman" w:cs="Times New Roman"/>
                <w:b/>
                <w:noProof/>
                <w:sz w:val="20"/>
                <w:szCs w:val="20"/>
              </w:rPr>
            </w:pPr>
            <w:r>
              <w:rPr>
                <w:rFonts w:ascii="Times New Roman" w:hAnsi="Times New Roman"/>
                <w:b/>
                <w:noProof/>
                <w:sz w:val="20"/>
                <w:szCs w:val="20"/>
              </w:rPr>
              <w:t xml:space="preserve">Total </w:t>
            </w:r>
          </w:p>
        </w:tc>
      </w:tr>
      <w:tr>
        <w:tc>
          <w:tcPr>
            <w:tcW w:w="790" w:type="dxa"/>
          </w:tcPr>
          <w:p>
            <w:pPr>
              <w:jc w:val="center"/>
              <w:rPr>
                <w:rFonts w:ascii="Times New Roman" w:hAnsi="Times New Roman" w:cs="Times New Roman"/>
                <w:b/>
                <w:noProof/>
                <w:sz w:val="20"/>
                <w:szCs w:val="20"/>
              </w:rPr>
            </w:pPr>
            <w:r>
              <w:rPr>
                <w:rFonts w:ascii="Times New Roman" w:hAnsi="Times New Roman"/>
                <w:b/>
                <w:noProof/>
                <w:sz w:val="20"/>
                <w:szCs w:val="20"/>
              </w:rPr>
              <w:t>PE</w:t>
            </w:r>
          </w:p>
        </w:tc>
        <w:tc>
          <w:tcPr>
            <w:tcW w:w="2234" w:type="dxa"/>
          </w:tcPr>
          <w:p>
            <w:pPr>
              <w:jc w:val="center"/>
              <w:rPr>
                <w:rFonts w:ascii="Times New Roman" w:hAnsi="Times New Roman" w:cs="Times New Roman"/>
                <w:noProof/>
                <w:sz w:val="20"/>
                <w:szCs w:val="20"/>
              </w:rPr>
            </w:pPr>
            <w:r>
              <w:rPr>
                <w:rFonts w:ascii="Times New Roman" w:hAnsi="Times New Roman"/>
                <w:noProof/>
                <w:sz w:val="20"/>
                <w:szCs w:val="20"/>
              </w:rPr>
              <w:t>10</w:t>
            </w:r>
          </w:p>
        </w:tc>
        <w:tc>
          <w:tcPr>
            <w:tcW w:w="2524"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szCs w:val="20"/>
              </w:rPr>
              <w:t>17</w:t>
            </w:r>
          </w:p>
        </w:tc>
        <w:tc>
          <w:tcPr>
            <w:tcW w:w="2075"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szCs w:val="20"/>
              </w:rPr>
              <w:t>45</w:t>
            </w:r>
          </w:p>
        </w:tc>
        <w:tc>
          <w:tcPr>
            <w:tcW w:w="1665" w:type="dxa"/>
            <w:vAlign w:val="bottom"/>
          </w:tcPr>
          <w:p>
            <w:pPr>
              <w:jc w:val="center"/>
              <w:rPr>
                <w:rFonts w:ascii="Times New Roman" w:hAnsi="Times New Roman" w:cs="Times New Roman"/>
                <w:b/>
                <w:noProof/>
                <w:color w:val="000000"/>
                <w:sz w:val="20"/>
                <w:szCs w:val="20"/>
              </w:rPr>
            </w:pPr>
            <w:r>
              <w:rPr>
                <w:rFonts w:ascii="Times New Roman" w:hAnsi="Times New Roman"/>
                <w:b/>
                <w:noProof/>
                <w:color w:val="000000"/>
                <w:sz w:val="20"/>
                <w:szCs w:val="20"/>
              </w:rPr>
              <w:t>72</w:t>
            </w:r>
          </w:p>
        </w:tc>
      </w:tr>
      <w:tr>
        <w:tc>
          <w:tcPr>
            <w:tcW w:w="790" w:type="dxa"/>
          </w:tcPr>
          <w:p>
            <w:pPr>
              <w:jc w:val="center"/>
              <w:rPr>
                <w:rFonts w:ascii="Times New Roman" w:hAnsi="Times New Roman" w:cs="Times New Roman"/>
                <w:b/>
                <w:noProof/>
                <w:sz w:val="20"/>
                <w:szCs w:val="20"/>
              </w:rPr>
            </w:pPr>
            <w:r>
              <w:rPr>
                <w:rFonts w:ascii="Times New Roman" w:hAnsi="Times New Roman"/>
                <w:b/>
                <w:noProof/>
                <w:sz w:val="20"/>
                <w:szCs w:val="20"/>
              </w:rPr>
              <w:t>C</w:t>
            </w:r>
          </w:p>
        </w:tc>
        <w:tc>
          <w:tcPr>
            <w:tcW w:w="2234" w:type="dxa"/>
          </w:tcPr>
          <w:p>
            <w:pPr>
              <w:jc w:val="center"/>
              <w:rPr>
                <w:rFonts w:ascii="Times New Roman" w:hAnsi="Times New Roman" w:cs="Times New Roman"/>
                <w:noProof/>
                <w:sz w:val="20"/>
                <w:szCs w:val="20"/>
              </w:rPr>
            </w:pPr>
            <w:r>
              <w:rPr>
                <w:rFonts w:ascii="Times New Roman" w:hAnsi="Times New Roman"/>
                <w:noProof/>
                <w:sz w:val="20"/>
                <w:szCs w:val="20"/>
              </w:rPr>
              <w:t>10</w:t>
            </w:r>
          </w:p>
        </w:tc>
        <w:tc>
          <w:tcPr>
            <w:tcW w:w="2524"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szCs w:val="20"/>
              </w:rPr>
              <w:t>15</w:t>
            </w:r>
          </w:p>
        </w:tc>
        <w:tc>
          <w:tcPr>
            <w:tcW w:w="2075"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szCs w:val="20"/>
              </w:rPr>
              <w:t>37</w:t>
            </w:r>
          </w:p>
        </w:tc>
        <w:tc>
          <w:tcPr>
            <w:tcW w:w="1665" w:type="dxa"/>
            <w:vAlign w:val="bottom"/>
          </w:tcPr>
          <w:p>
            <w:pPr>
              <w:jc w:val="center"/>
              <w:rPr>
                <w:rFonts w:ascii="Times New Roman" w:hAnsi="Times New Roman" w:cs="Times New Roman"/>
                <w:b/>
                <w:noProof/>
                <w:color w:val="000000"/>
                <w:sz w:val="20"/>
                <w:szCs w:val="20"/>
              </w:rPr>
            </w:pPr>
            <w:r>
              <w:rPr>
                <w:rFonts w:ascii="Times New Roman" w:hAnsi="Times New Roman"/>
                <w:b/>
                <w:noProof/>
                <w:color w:val="000000"/>
                <w:sz w:val="20"/>
                <w:szCs w:val="20"/>
              </w:rPr>
              <w:t>62</w:t>
            </w:r>
          </w:p>
        </w:tc>
      </w:tr>
      <w:tr>
        <w:tc>
          <w:tcPr>
            <w:tcW w:w="790" w:type="dxa"/>
          </w:tcPr>
          <w:p>
            <w:pPr>
              <w:jc w:val="center"/>
              <w:rPr>
                <w:rFonts w:ascii="Times New Roman" w:hAnsi="Times New Roman" w:cs="Times New Roman"/>
                <w:b/>
                <w:noProof/>
                <w:sz w:val="20"/>
                <w:szCs w:val="20"/>
              </w:rPr>
            </w:pPr>
            <w:r>
              <w:rPr>
                <w:rFonts w:ascii="Times New Roman" w:hAnsi="Times New Roman"/>
                <w:b/>
                <w:noProof/>
                <w:sz w:val="20"/>
                <w:szCs w:val="20"/>
              </w:rPr>
              <w:t>COM</w:t>
            </w:r>
          </w:p>
        </w:tc>
        <w:tc>
          <w:tcPr>
            <w:tcW w:w="2234" w:type="dxa"/>
          </w:tcPr>
          <w:p>
            <w:pPr>
              <w:jc w:val="center"/>
              <w:rPr>
                <w:rFonts w:ascii="Times New Roman" w:hAnsi="Times New Roman" w:cs="Times New Roman"/>
                <w:noProof/>
                <w:sz w:val="20"/>
                <w:szCs w:val="20"/>
              </w:rPr>
            </w:pPr>
            <w:r>
              <w:rPr>
                <w:rFonts w:ascii="Times New Roman" w:hAnsi="Times New Roman"/>
                <w:noProof/>
                <w:sz w:val="20"/>
                <w:szCs w:val="20"/>
              </w:rPr>
              <w:t>10</w:t>
            </w:r>
          </w:p>
        </w:tc>
        <w:tc>
          <w:tcPr>
            <w:tcW w:w="2524"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szCs w:val="20"/>
              </w:rPr>
              <w:t>24</w:t>
            </w:r>
          </w:p>
        </w:tc>
        <w:tc>
          <w:tcPr>
            <w:tcW w:w="2075"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szCs w:val="20"/>
              </w:rPr>
              <w:t>62</w:t>
            </w:r>
          </w:p>
        </w:tc>
        <w:tc>
          <w:tcPr>
            <w:tcW w:w="1665" w:type="dxa"/>
            <w:vAlign w:val="bottom"/>
          </w:tcPr>
          <w:p>
            <w:pPr>
              <w:jc w:val="center"/>
              <w:rPr>
                <w:rFonts w:ascii="Times New Roman" w:hAnsi="Times New Roman" w:cs="Times New Roman"/>
                <w:b/>
                <w:noProof/>
                <w:color w:val="000000"/>
                <w:sz w:val="20"/>
                <w:szCs w:val="20"/>
              </w:rPr>
            </w:pPr>
            <w:r>
              <w:rPr>
                <w:rFonts w:ascii="Times New Roman" w:hAnsi="Times New Roman"/>
                <w:b/>
                <w:noProof/>
                <w:color w:val="000000"/>
                <w:sz w:val="20"/>
                <w:szCs w:val="20"/>
              </w:rPr>
              <w:t>86</w:t>
            </w:r>
          </w:p>
        </w:tc>
      </w:tr>
      <w:tr>
        <w:tc>
          <w:tcPr>
            <w:tcW w:w="790" w:type="dxa"/>
          </w:tcPr>
          <w:p>
            <w:pPr>
              <w:jc w:val="center"/>
              <w:rPr>
                <w:rFonts w:ascii="Times New Roman" w:hAnsi="Times New Roman" w:cs="Times New Roman"/>
                <w:b/>
                <w:noProof/>
                <w:sz w:val="20"/>
                <w:szCs w:val="20"/>
              </w:rPr>
            </w:pPr>
            <w:r>
              <w:rPr>
                <w:rFonts w:ascii="Times New Roman" w:hAnsi="Times New Roman"/>
                <w:b/>
                <w:noProof/>
                <w:sz w:val="20"/>
                <w:szCs w:val="20"/>
              </w:rPr>
              <w:t>CJUE</w:t>
            </w:r>
          </w:p>
        </w:tc>
        <w:tc>
          <w:tcPr>
            <w:tcW w:w="2234" w:type="dxa"/>
          </w:tcPr>
          <w:p>
            <w:pPr>
              <w:jc w:val="center"/>
              <w:rPr>
                <w:rFonts w:ascii="Times New Roman" w:hAnsi="Times New Roman" w:cs="Times New Roman"/>
                <w:noProof/>
                <w:sz w:val="20"/>
                <w:szCs w:val="20"/>
              </w:rPr>
            </w:pPr>
            <w:r>
              <w:rPr>
                <w:rFonts w:ascii="Times New Roman" w:hAnsi="Times New Roman"/>
                <w:noProof/>
                <w:sz w:val="20"/>
                <w:szCs w:val="20"/>
              </w:rPr>
              <w:t>10</w:t>
            </w:r>
          </w:p>
        </w:tc>
        <w:tc>
          <w:tcPr>
            <w:tcW w:w="2524"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szCs w:val="20"/>
              </w:rPr>
              <w:t>11</w:t>
            </w:r>
          </w:p>
        </w:tc>
        <w:tc>
          <w:tcPr>
            <w:tcW w:w="2075"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szCs w:val="20"/>
              </w:rPr>
              <w:t>39</w:t>
            </w:r>
          </w:p>
        </w:tc>
        <w:tc>
          <w:tcPr>
            <w:tcW w:w="1665" w:type="dxa"/>
            <w:vAlign w:val="bottom"/>
          </w:tcPr>
          <w:p>
            <w:pPr>
              <w:jc w:val="center"/>
              <w:rPr>
                <w:rFonts w:ascii="Times New Roman" w:hAnsi="Times New Roman" w:cs="Times New Roman"/>
                <w:b/>
                <w:noProof/>
                <w:color w:val="000000"/>
                <w:sz w:val="20"/>
                <w:szCs w:val="20"/>
              </w:rPr>
            </w:pPr>
            <w:r>
              <w:rPr>
                <w:rFonts w:ascii="Times New Roman" w:hAnsi="Times New Roman"/>
                <w:b/>
                <w:noProof/>
                <w:color w:val="000000"/>
                <w:sz w:val="20"/>
                <w:szCs w:val="20"/>
              </w:rPr>
              <w:t>60</w:t>
            </w:r>
          </w:p>
        </w:tc>
      </w:tr>
      <w:tr>
        <w:tc>
          <w:tcPr>
            <w:tcW w:w="790" w:type="dxa"/>
          </w:tcPr>
          <w:p>
            <w:pPr>
              <w:jc w:val="center"/>
              <w:rPr>
                <w:rFonts w:ascii="Times New Roman" w:hAnsi="Times New Roman" w:cs="Times New Roman"/>
                <w:b/>
                <w:noProof/>
                <w:sz w:val="20"/>
                <w:szCs w:val="20"/>
              </w:rPr>
            </w:pPr>
            <w:r>
              <w:rPr>
                <w:rFonts w:ascii="Times New Roman" w:hAnsi="Times New Roman"/>
                <w:b/>
                <w:noProof/>
                <w:sz w:val="20"/>
                <w:szCs w:val="20"/>
              </w:rPr>
              <w:t>CCE</w:t>
            </w:r>
          </w:p>
        </w:tc>
        <w:tc>
          <w:tcPr>
            <w:tcW w:w="2234" w:type="dxa"/>
          </w:tcPr>
          <w:p>
            <w:pPr>
              <w:jc w:val="center"/>
              <w:rPr>
                <w:rFonts w:ascii="Times New Roman" w:hAnsi="Times New Roman" w:cs="Times New Roman"/>
                <w:noProof/>
                <w:sz w:val="20"/>
                <w:szCs w:val="20"/>
              </w:rPr>
            </w:pPr>
            <w:r>
              <w:rPr>
                <w:rFonts w:ascii="Times New Roman" w:hAnsi="Times New Roman"/>
                <w:noProof/>
                <w:sz w:val="20"/>
                <w:szCs w:val="20"/>
              </w:rPr>
              <w:t>10</w:t>
            </w:r>
          </w:p>
        </w:tc>
        <w:tc>
          <w:tcPr>
            <w:tcW w:w="2524"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szCs w:val="20"/>
              </w:rPr>
              <w:t>10</w:t>
            </w:r>
          </w:p>
        </w:tc>
        <w:tc>
          <w:tcPr>
            <w:tcW w:w="2075"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szCs w:val="20"/>
              </w:rPr>
              <w:t>32</w:t>
            </w:r>
          </w:p>
        </w:tc>
        <w:tc>
          <w:tcPr>
            <w:tcW w:w="1665" w:type="dxa"/>
            <w:vAlign w:val="bottom"/>
          </w:tcPr>
          <w:p>
            <w:pPr>
              <w:jc w:val="center"/>
              <w:rPr>
                <w:rFonts w:ascii="Times New Roman" w:hAnsi="Times New Roman" w:cs="Times New Roman"/>
                <w:b/>
                <w:noProof/>
                <w:color w:val="000000"/>
                <w:sz w:val="20"/>
                <w:szCs w:val="20"/>
              </w:rPr>
            </w:pPr>
            <w:r>
              <w:rPr>
                <w:rFonts w:ascii="Times New Roman" w:hAnsi="Times New Roman"/>
                <w:b/>
                <w:noProof/>
                <w:color w:val="000000"/>
                <w:sz w:val="20"/>
                <w:szCs w:val="20"/>
              </w:rPr>
              <w:t>52</w:t>
            </w:r>
          </w:p>
        </w:tc>
      </w:tr>
      <w:tr>
        <w:tc>
          <w:tcPr>
            <w:tcW w:w="790" w:type="dxa"/>
          </w:tcPr>
          <w:p>
            <w:pPr>
              <w:jc w:val="center"/>
              <w:rPr>
                <w:rFonts w:ascii="Times New Roman" w:hAnsi="Times New Roman" w:cs="Times New Roman"/>
                <w:b/>
                <w:noProof/>
                <w:sz w:val="20"/>
                <w:szCs w:val="20"/>
              </w:rPr>
            </w:pPr>
            <w:r>
              <w:rPr>
                <w:rFonts w:ascii="Times New Roman" w:hAnsi="Times New Roman"/>
                <w:b/>
                <w:noProof/>
                <w:sz w:val="20"/>
                <w:szCs w:val="20"/>
              </w:rPr>
              <w:t>SEAE</w:t>
            </w:r>
          </w:p>
        </w:tc>
        <w:tc>
          <w:tcPr>
            <w:tcW w:w="2234" w:type="dxa"/>
          </w:tcPr>
          <w:p>
            <w:pPr>
              <w:jc w:val="center"/>
              <w:rPr>
                <w:rFonts w:ascii="Times New Roman" w:hAnsi="Times New Roman" w:cs="Times New Roman"/>
                <w:noProof/>
                <w:sz w:val="20"/>
                <w:szCs w:val="20"/>
              </w:rPr>
            </w:pPr>
            <w:r>
              <w:rPr>
                <w:rFonts w:ascii="Times New Roman" w:hAnsi="Times New Roman"/>
                <w:noProof/>
                <w:sz w:val="20"/>
                <w:szCs w:val="20"/>
              </w:rPr>
              <w:t>10</w:t>
            </w:r>
          </w:p>
        </w:tc>
        <w:tc>
          <w:tcPr>
            <w:tcW w:w="2524"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szCs w:val="20"/>
              </w:rPr>
              <w:t>24</w:t>
            </w:r>
          </w:p>
        </w:tc>
        <w:tc>
          <w:tcPr>
            <w:tcW w:w="2075"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szCs w:val="20"/>
              </w:rPr>
              <w:t>46</w:t>
            </w:r>
          </w:p>
        </w:tc>
        <w:tc>
          <w:tcPr>
            <w:tcW w:w="1665" w:type="dxa"/>
            <w:vAlign w:val="bottom"/>
          </w:tcPr>
          <w:p>
            <w:pPr>
              <w:jc w:val="center"/>
              <w:rPr>
                <w:rFonts w:ascii="Times New Roman" w:hAnsi="Times New Roman" w:cs="Times New Roman"/>
                <w:b/>
                <w:noProof/>
                <w:color w:val="000000"/>
                <w:sz w:val="20"/>
                <w:szCs w:val="20"/>
              </w:rPr>
            </w:pPr>
            <w:r>
              <w:rPr>
                <w:rFonts w:ascii="Times New Roman" w:hAnsi="Times New Roman"/>
                <w:b/>
                <w:noProof/>
                <w:color w:val="000000"/>
                <w:sz w:val="20"/>
                <w:szCs w:val="20"/>
              </w:rPr>
              <w:t>80</w:t>
            </w:r>
          </w:p>
        </w:tc>
      </w:tr>
      <w:tr>
        <w:tc>
          <w:tcPr>
            <w:tcW w:w="790" w:type="dxa"/>
          </w:tcPr>
          <w:p>
            <w:pPr>
              <w:jc w:val="center"/>
              <w:rPr>
                <w:rFonts w:ascii="Times New Roman" w:hAnsi="Times New Roman" w:cs="Times New Roman"/>
                <w:b/>
                <w:noProof/>
                <w:sz w:val="20"/>
                <w:szCs w:val="20"/>
              </w:rPr>
            </w:pPr>
            <w:r>
              <w:rPr>
                <w:rFonts w:ascii="Times New Roman" w:hAnsi="Times New Roman"/>
                <w:b/>
                <w:noProof/>
                <w:sz w:val="20"/>
                <w:szCs w:val="20"/>
              </w:rPr>
              <w:t>CESE</w:t>
            </w:r>
          </w:p>
        </w:tc>
        <w:tc>
          <w:tcPr>
            <w:tcW w:w="2234" w:type="dxa"/>
          </w:tcPr>
          <w:p>
            <w:pPr>
              <w:jc w:val="center"/>
              <w:rPr>
                <w:rFonts w:ascii="Times New Roman" w:hAnsi="Times New Roman" w:cs="Times New Roman"/>
                <w:noProof/>
                <w:sz w:val="20"/>
                <w:szCs w:val="20"/>
              </w:rPr>
            </w:pPr>
            <w:r>
              <w:rPr>
                <w:rFonts w:ascii="Times New Roman" w:hAnsi="Times New Roman"/>
                <w:noProof/>
                <w:sz w:val="20"/>
                <w:szCs w:val="20"/>
              </w:rPr>
              <w:t>10</w:t>
            </w:r>
          </w:p>
        </w:tc>
        <w:tc>
          <w:tcPr>
            <w:tcW w:w="2524"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szCs w:val="20"/>
              </w:rPr>
              <w:t>12</w:t>
            </w:r>
          </w:p>
        </w:tc>
        <w:tc>
          <w:tcPr>
            <w:tcW w:w="2075"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szCs w:val="20"/>
              </w:rPr>
              <w:t>44</w:t>
            </w:r>
          </w:p>
        </w:tc>
        <w:tc>
          <w:tcPr>
            <w:tcW w:w="1665" w:type="dxa"/>
            <w:vAlign w:val="bottom"/>
          </w:tcPr>
          <w:p>
            <w:pPr>
              <w:jc w:val="center"/>
              <w:rPr>
                <w:rFonts w:ascii="Times New Roman" w:hAnsi="Times New Roman" w:cs="Times New Roman"/>
                <w:b/>
                <w:noProof/>
                <w:color w:val="000000"/>
                <w:sz w:val="20"/>
                <w:szCs w:val="20"/>
              </w:rPr>
            </w:pPr>
            <w:r>
              <w:rPr>
                <w:rFonts w:ascii="Times New Roman" w:hAnsi="Times New Roman"/>
                <w:b/>
                <w:noProof/>
                <w:color w:val="000000"/>
                <w:sz w:val="20"/>
                <w:szCs w:val="20"/>
              </w:rPr>
              <w:t>66</w:t>
            </w:r>
          </w:p>
        </w:tc>
      </w:tr>
      <w:tr>
        <w:tc>
          <w:tcPr>
            <w:tcW w:w="790" w:type="dxa"/>
          </w:tcPr>
          <w:p>
            <w:pPr>
              <w:jc w:val="center"/>
              <w:rPr>
                <w:rFonts w:ascii="Times New Roman" w:hAnsi="Times New Roman" w:cs="Times New Roman"/>
                <w:b/>
                <w:noProof/>
                <w:sz w:val="20"/>
                <w:szCs w:val="20"/>
              </w:rPr>
            </w:pPr>
            <w:r>
              <w:rPr>
                <w:rFonts w:ascii="Times New Roman" w:hAnsi="Times New Roman"/>
                <w:b/>
                <w:noProof/>
                <w:sz w:val="20"/>
                <w:szCs w:val="20"/>
              </w:rPr>
              <w:t>CdR</w:t>
            </w:r>
          </w:p>
        </w:tc>
        <w:tc>
          <w:tcPr>
            <w:tcW w:w="2234" w:type="dxa"/>
          </w:tcPr>
          <w:p>
            <w:pPr>
              <w:jc w:val="center"/>
              <w:rPr>
                <w:rFonts w:ascii="Times New Roman" w:hAnsi="Times New Roman" w:cs="Times New Roman"/>
                <w:noProof/>
                <w:sz w:val="20"/>
                <w:szCs w:val="20"/>
              </w:rPr>
            </w:pPr>
            <w:r>
              <w:rPr>
                <w:rFonts w:ascii="Times New Roman" w:hAnsi="Times New Roman"/>
                <w:noProof/>
                <w:sz w:val="20"/>
                <w:szCs w:val="20"/>
              </w:rPr>
              <w:t>10</w:t>
            </w:r>
          </w:p>
        </w:tc>
        <w:tc>
          <w:tcPr>
            <w:tcW w:w="2524"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szCs w:val="20"/>
              </w:rPr>
              <w:t>16</w:t>
            </w:r>
          </w:p>
        </w:tc>
        <w:tc>
          <w:tcPr>
            <w:tcW w:w="2075"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szCs w:val="20"/>
              </w:rPr>
              <w:t>34</w:t>
            </w:r>
          </w:p>
        </w:tc>
        <w:tc>
          <w:tcPr>
            <w:tcW w:w="1665" w:type="dxa"/>
            <w:vAlign w:val="bottom"/>
          </w:tcPr>
          <w:p>
            <w:pPr>
              <w:jc w:val="center"/>
              <w:rPr>
                <w:rFonts w:ascii="Times New Roman" w:hAnsi="Times New Roman" w:cs="Times New Roman"/>
                <w:b/>
                <w:noProof/>
                <w:color w:val="000000"/>
                <w:sz w:val="20"/>
                <w:szCs w:val="20"/>
              </w:rPr>
            </w:pPr>
            <w:r>
              <w:rPr>
                <w:rFonts w:ascii="Times New Roman" w:hAnsi="Times New Roman"/>
                <w:b/>
                <w:noProof/>
                <w:color w:val="000000"/>
                <w:sz w:val="20"/>
                <w:szCs w:val="20"/>
              </w:rPr>
              <w:t>60</w:t>
            </w:r>
          </w:p>
        </w:tc>
      </w:tr>
      <w:tr>
        <w:tc>
          <w:tcPr>
            <w:tcW w:w="790" w:type="dxa"/>
          </w:tcPr>
          <w:p>
            <w:pPr>
              <w:jc w:val="center"/>
              <w:rPr>
                <w:rFonts w:ascii="Times New Roman" w:hAnsi="Times New Roman" w:cs="Times New Roman"/>
                <w:b/>
                <w:noProof/>
                <w:sz w:val="20"/>
                <w:szCs w:val="20"/>
              </w:rPr>
            </w:pPr>
            <w:r>
              <w:rPr>
                <w:rFonts w:ascii="Times New Roman" w:hAnsi="Times New Roman"/>
                <w:b/>
                <w:noProof/>
                <w:sz w:val="20"/>
                <w:szCs w:val="20"/>
              </w:rPr>
              <w:t>ME</w:t>
            </w:r>
          </w:p>
        </w:tc>
        <w:tc>
          <w:tcPr>
            <w:tcW w:w="2234" w:type="dxa"/>
          </w:tcPr>
          <w:p>
            <w:pPr>
              <w:jc w:val="center"/>
              <w:rPr>
                <w:rFonts w:ascii="Times New Roman" w:hAnsi="Times New Roman" w:cs="Times New Roman"/>
                <w:noProof/>
                <w:sz w:val="20"/>
                <w:szCs w:val="20"/>
              </w:rPr>
            </w:pPr>
            <w:r>
              <w:rPr>
                <w:rFonts w:ascii="Times New Roman" w:hAnsi="Times New Roman"/>
                <w:noProof/>
                <w:sz w:val="20"/>
                <w:szCs w:val="20"/>
              </w:rPr>
              <w:t>10</w:t>
            </w:r>
          </w:p>
        </w:tc>
        <w:tc>
          <w:tcPr>
            <w:tcW w:w="2524"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szCs w:val="20"/>
              </w:rPr>
              <w:t>17</w:t>
            </w:r>
          </w:p>
        </w:tc>
        <w:tc>
          <w:tcPr>
            <w:tcW w:w="2075"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szCs w:val="20"/>
              </w:rPr>
              <w:t>14</w:t>
            </w:r>
          </w:p>
        </w:tc>
        <w:tc>
          <w:tcPr>
            <w:tcW w:w="1665" w:type="dxa"/>
            <w:vAlign w:val="bottom"/>
          </w:tcPr>
          <w:p>
            <w:pPr>
              <w:jc w:val="center"/>
              <w:rPr>
                <w:rFonts w:ascii="Times New Roman" w:hAnsi="Times New Roman" w:cs="Times New Roman"/>
                <w:b/>
                <w:noProof/>
                <w:color w:val="000000"/>
                <w:sz w:val="20"/>
                <w:szCs w:val="20"/>
              </w:rPr>
            </w:pPr>
            <w:r>
              <w:rPr>
                <w:rFonts w:ascii="Times New Roman" w:hAnsi="Times New Roman"/>
                <w:b/>
                <w:noProof/>
                <w:color w:val="000000"/>
                <w:sz w:val="20"/>
                <w:szCs w:val="20"/>
              </w:rPr>
              <w:t>41</w:t>
            </w:r>
          </w:p>
        </w:tc>
      </w:tr>
      <w:tr>
        <w:tc>
          <w:tcPr>
            <w:tcW w:w="790" w:type="dxa"/>
            <w:tcBorders>
              <w:bottom w:val="single" w:sz="4" w:space="0" w:color="auto"/>
            </w:tcBorders>
          </w:tcPr>
          <w:p>
            <w:pPr>
              <w:jc w:val="center"/>
              <w:rPr>
                <w:rFonts w:ascii="Times New Roman" w:hAnsi="Times New Roman" w:cs="Times New Roman"/>
                <w:b/>
                <w:noProof/>
                <w:sz w:val="20"/>
                <w:szCs w:val="20"/>
              </w:rPr>
            </w:pPr>
            <w:r>
              <w:rPr>
                <w:rFonts w:ascii="Times New Roman" w:hAnsi="Times New Roman"/>
                <w:b/>
                <w:noProof/>
                <w:sz w:val="20"/>
                <w:szCs w:val="20"/>
              </w:rPr>
              <w:t>CEPD</w:t>
            </w:r>
          </w:p>
        </w:tc>
        <w:tc>
          <w:tcPr>
            <w:tcW w:w="2234" w:type="dxa"/>
            <w:tcBorders>
              <w:bottom w:val="single" w:sz="4" w:space="0" w:color="auto"/>
            </w:tcBorders>
          </w:tcPr>
          <w:p>
            <w:pPr>
              <w:jc w:val="center"/>
              <w:rPr>
                <w:rFonts w:ascii="Times New Roman" w:hAnsi="Times New Roman" w:cs="Times New Roman"/>
                <w:noProof/>
                <w:sz w:val="20"/>
                <w:szCs w:val="20"/>
              </w:rPr>
            </w:pPr>
            <w:r>
              <w:rPr>
                <w:rFonts w:ascii="Times New Roman" w:hAnsi="Times New Roman"/>
                <w:noProof/>
                <w:sz w:val="20"/>
                <w:szCs w:val="20"/>
              </w:rPr>
              <w:t>10</w:t>
            </w:r>
          </w:p>
        </w:tc>
        <w:tc>
          <w:tcPr>
            <w:tcW w:w="2524" w:type="dxa"/>
            <w:tcBorders>
              <w:bottom w:val="single" w:sz="4" w:space="0" w:color="auto"/>
            </w:tcBorders>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szCs w:val="20"/>
              </w:rPr>
              <w:t>16</w:t>
            </w:r>
          </w:p>
        </w:tc>
        <w:tc>
          <w:tcPr>
            <w:tcW w:w="2075" w:type="dxa"/>
            <w:tcBorders>
              <w:bottom w:val="single" w:sz="4" w:space="0" w:color="auto"/>
            </w:tcBorders>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szCs w:val="20"/>
              </w:rPr>
              <w:t>25</w:t>
            </w:r>
          </w:p>
        </w:tc>
        <w:tc>
          <w:tcPr>
            <w:tcW w:w="1665" w:type="dxa"/>
            <w:tcBorders>
              <w:bottom w:val="single" w:sz="4" w:space="0" w:color="auto"/>
            </w:tcBorders>
            <w:vAlign w:val="bottom"/>
          </w:tcPr>
          <w:p>
            <w:pPr>
              <w:jc w:val="center"/>
              <w:rPr>
                <w:rFonts w:ascii="Times New Roman" w:hAnsi="Times New Roman" w:cs="Times New Roman"/>
                <w:b/>
                <w:noProof/>
                <w:color w:val="000000"/>
                <w:sz w:val="20"/>
                <w:szCs w:val="20"/>
              </w:rPr>
            </w:pPr>
            <w:r>
              <w:rPr>
                <w:rFonts w:ascii="Times New Roman" w:hAnsi="Times New Roman"/>
                <w:b/>
                <w:noProof/>
                <w:color w:val="000000"/>
                <w:sz w:val="20"/>
                <w:szCs w:val="20"/>
              </w:rPr>
              <w:t>51</w:t>
            </w:r>
          </w:p>
        </w:tc>
      </w:tr>
      <w:tr>
        <w:tc>
          <w:tcPr>
            <w:tcW w:w="790" w:type="dxa"/>
            <w:tcBorders>
              <w:left w:val="nil"/>
              <w:right w:val="nil"/>
            </w:tcBorders>
          </w:tcPr>
          <w:p>
            <w:pPr>
              <w:jc w:val="center"/>
              <w:rPr>
                <w:rFonts w:ascii="Times New Roman" w:hAnsi="Times New Roman" w:cs="Times New Roman"/>
                <w:b/>
                <w:noProof/>
                <w:sz w:val="20"/>
                <w:szCs w:val="20"/>
              </w:rPr>
            </w:pPr>
          </w:p>
        </w:tc>
        <w:tc>
          <w:tcPr>
            <w:tcW w:w="2234" w:type="dxa"/>
            <w:tcBorders>
              <w:left w:val="nil"/>
              <w:right w:val="nil"/>
            </w:tcBorders>
          </w:tcPr>
          <w:p>
            <w:pPr>
              <w:jc w:val="center"/>
              <w:rPr>
                <w:rFonts w:ascii="Times New Roman" w:hAnsi="Times New Roman" w:cs="Times New Roman"/>
                <w:b/>
                <w:noProof/>
                <w:sz w:val="20"/>
                <w:szCs w:val="20"/>
              </w:rPr>
            </w:pPr>
          </w:p>
        </w:tc>
        <w:tc>
          <w:tcPr>
            <w:tcW w:w="2524" w:type="dxa"/>
            <w:tcBorders>
              <w:left w:val="nil"/>
              <w:right w:val="nil"/>
            </w:tcBorders>
          </w:tcPr>
          <w:p>
            <w:pPr>
              <w:jc w:val="center"/>
              <w:rPr>
                <w:rFonts w:ascii="Times New Roman" w:hAnsi="Times New Roman" w:cs="Times New Roman"/>
                <w:b/>
                <w:noProof/>
                <w:sz w:val="20"/>
                <w:szCs w:val="20"/>
              </w:rPr>
            </w:pPr>
          </w:p>
        </w:tc>
        <w:tc>
          <w:tcPr>
            <w:tcW w:w="2075" w:type="dxa"/>
            <w:tcBorders>
              <w:left w:val="nil"/>
              <w:right w:val="nil"/>
            </w:tcBorders>
          </w:tcPr>
          <w:p>
            <w:pPr>
              <w:jc w:val="center"/>
              <w:rPr>
                <w:rFonts w:ascii="Times New Roman" w:hAnsi="Times New Roman" w:cs="Times New Roman"/>
                <w:b/>
                <w:noProof/>
                <w:sz w:val="20"/>
                <w:szCs w:val="20"/>
              </w:rPr>
            </w:pPr>
          </w:p>
        </w:tc>
        <w:tc>
          <w:tcPr>
            <w:tcW w:w="1665" w:type="dxa"/>
            <w:tcBorders>
              <w:left w:val="nil"/>
              <w:right w:val="nil"/>
            </w:tcBorders>
          </w:tcPr>
          <w:p>
            <w:pPr>
              <w:jc w:val="center"/>
              <w:rPr>
                <w:rFonts w:ascii="Times New Roman" w:hAnsi="Times New Roman" w:cs="Times New Roman"/>
                <w:b/>
                <w:noProof/>
                <w:sz w:val="20"/>
                <w:szCs w:val="20"/>
              </w:rPr>
            </w:pPr>
          </w:p>
        </w:tc>
      </w:tr>
      <w:tr>
        <w:tc>
          <w:tcPr>
            <w:tcW w:w="790" w:type="dxa"/>
          </w:tcPr>
          <w:p>
            <w:pPr>
              <w:jc w:val="center"/>
              <w:rPr>
                <w:rFonts w:ascii="Times New Roman" w:hAnsi="Times New Roman" w:cs="Times New Roman"/>
                <w:b/>
                <w:noProof/>
                <w:sz w:val="20"/>
                <w:szCs w:val="20"/>
              </w:rPr>
            </w:pPr>
            <w:r>
              <w:rPr>
                <w:rFonts w:ascii="Times New Roman" w:hAnsi="Times New Roman"/>
                <w:b/>
                <w:noProof/>
                <w:sz w:val="20"/>
                <w:szCs w:val="20"/>
              </w:rPr>
              <w:t>Total</w:t>
            </w:r>
          </w:p>
        </w:tc>
        <w:tc>
          <w:tcPr>
            <w:tcW w:w="2234" w:type="dxa"/>
          </w:tcPr>
          <w:p>
            <w:pPr>
              <w:jc w:val="center"/>
              <w:rPr>
                <w:rFonts w:ascii="Times New Roman" w:hAnsi="Times New Roman" w:cs="Times New Roman"/>
                <w:b/>
                <w:noProof/>
                <w:sz w:val="20"/>
                <w:szCs w:val="20"/>
              </w:rPr>
            </w:pPr>
            <w:r>
              <w:rPr>
                <w:rFonts w:ascii="Times New Roman" w:hAnsi="Times New Roman"/>
                <w:b/>
                <w:noProof/>
                <w:sz w:val="20"/>
                <w:szCs w:val="20"/>
              </w:rPr>
              <w:t>100</w:t>
            </w:r>
          </w:p>
        </w:tc>
        <w:tc>
          <w:tcPr>
            <w:tcW w:w="2524" w:type="dxa"/>
          </w:tcPr>
          <w:p>
            <w:pPr>
              <w:jc w:val="center"/>
              <w:rPr>
                <w:rFonts w:ascii="Times New Roman" w:hAnsi="Times New Roman" w:cs="Times New Roman"/>
                <w:b/>
                <w:noProof/>
                <w:sz w:val="20"/>
                <w:szCs w:val="20"/>
              </w:rPr>
            </w:pPr>
            <w:r>
              <w:rPr>
                <w:rFonts w:ascii="Times New Roman" w:hAnsi="Times New Roman"/>
                <w:b/>
                <w:noProof/>
                <w:sz w:val="20"/>
                <w:szCs w:val="20"/>
              </w:rPr>
              <w:t>162</w:t>
            </w:r>
          </w:p>
        </w:tc>
        <w:tc>
          <w:tcPr>
            <w:tcW w:w="2075" w:type="dxa"/>
          </w:tcPr>
          <w:p>
            <w:pPr>
              <w:jc w:val="center"/>
              <w:rPr>
                <w:rFonts w:ascii="Times New Roman" w:hAnsi="Times New Roman" w:cs="Times New Roman"/>
                <w:b/>
                <w:noProof/>
                <w:sz w:val="20"/>
                <w:szCs w:val="20"/>
              </w:rPr>
            </w:pPr>
            <w:r>
              <w:rPr>
                <w:rFonts w:ascii="Times New Roman" w:hAnsi="Times New Roman"/>
                <w:b/>
                <w:noProof/>
                <w:sz w:val="20"/>
                <w:szCs w:val="20"/>
              </w:rPr>
              <w:t>378</w:t>
            </w:r>
          </w:p>
        </w:tc>
        <w:tc>
          <w:tcPr>
            <w:tcW w:w="1665" w:type="dxa"/>
          </w:tcPr>
          <w:p>
            <w:pPr>
              <w:jc w:val="center"/>
              <w:rPr>
                <w:rFonts w:ascii="Times New Roman" w:hAnsi="Times New Roman" w:cs="Times New Roman"/>
                <w:b/>
                <w:noProof/>
                <w:sz w:val="20"/>
                <w:szCs w:val="20"/>
              </w:rPr>
            </w:pPr>
            <w:r>
              <w:rPr>
                <w:rFonts w:ascii="Times New Roman" w:hAnsi="Times New Roman"/>
                <w:b/>
                <w:noProof/>
                <w:sz w:val="20"/>
                <w:szCs w:val="20"/>
              </w:rPr>
              <w:t>630</w:t>
            </w:r>
          </w:p>
        </w:tc>
      </w:tr>
    </w:tbl>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szCs w:val="24"/>
        </w:rPr>
        <w:t xml:space="preserve">Une comparaison des deux tableaux indique qu’aucun changement substantiel n’a eu lieu entre la première et la deuxième période de référence. Le nombre total de règles d’exécution est resté relativement stable dans toutes les institutions. </w:t>
      </w:r>
    </w:p>
    <w:p>
      <w:pPr>
        <w:pStyle w:val="Heading2"/>
        <w:spacing w:before="240" w:after="360"/>
        <w:rPr>
          <w:rFonts w:ascii="Times New Roman" w:hAnsi="Times New Roman" w:cs="Times New Roman"/>
          <w:noProof/>
        </w:rPr>
      </w:pPr>
      <w:bookmarkStart w:id="8" w:name="_Toc69825802"/>
      <w:r>
        <w:rPr>
          <w:rFonts w:ascii="Times New Roman" w:hAnsi="Times New Roman"/>
          <w:noProof/>
        </w:rPr>
        <w:t>b)</w:t>
      </w:r>
      <w:r>
        <w:rPr>
          <w:rFonts w:ascii="Times New Roman" w:hAnsi="Times New Roman"/>
          <w:noProof/>
        </w:rPr>
        <w:tab/>
        <w:t>Règles d’exécution dans les agences</w:t>
      </w:r>
      <w:bookmarkEnd w:id="8"/>
    </w:p>
    <w:p>
      <w:pPr>
        <w:jc w:val="both"/>
        <w:rPr>
          <w:rFonts w:ascii="Times New Roman" w:hAnsi="Times New Roman" w:cs="Times New Roman"/>
          <w:noProof/>
          <w:sz w:val="24"/>
          <w:szCs w:val="24"/>
        </w:rPr>
      </w:pPr>
      <w:r>
        <w:rPr>
          <w:rFonts w:ascii="Times New Roman" w:hAnsi="Times New Roman"/>
          <w:noProof/>
          <w:sz w:val="24"/>
          <w:szCs w:val="24"/>
        </w:rPr>
        <w:t>Le présent rapport comprend également les règles d’exécution adoptées par les agences qui étaient en vigueur au 31 décembre 2019. Elles concernent les 51 agences suivantes</w:t>
      </w:r>
      <w:r>
        <w:rPr>
          <w:rStyle w:val="FootnoteReference"/>
          <w:rFonts w:ascii="Times New Roman" w:hAnsi="Times New Roman" w:cs="Times New Roman"/>
          <w:noProof/>
          <w:sz w:val="24"/>
          <w:szCs w:val="24"/>
        </w:rPr>
        <w:footnoteReference w:id="21"/>
      </w:r>
      <w:r>
        <w:rPr>
          <w:rFonts w:ascii="Times New Roman" w:hAnsi="Times New Roman"/>
          <w:noProof/>
          <w:sz w:val="24"/>
          <w:szCs w:val="24"/>
        </w:rPr>
        <w:t xml:space="preserve"> au sens de l’article 1</w:t>
      </w:r>
      <w:r>
        <w:rPr>
          <w:rFonts w:ascii="Times New Roman" w:hAnsi="Times New Roman"/>
          <w:noProof/>
          <w:sz w:val="24"/>
          <w:szCs w:val="24"/>
          <w:vertAlign w:val="superscript"/>
        </w:rPr>
        <w:t>er</w:t>
      </w:r>
      <w:r>
        <w:rPr>
          <w:rFonts w:ascii="Times New Roman" w:hAnsi="Times New Roman"/>
          <w:noProof/>
          <w:sz w:val="24"/>
          <w:szCs w:val="24"/>
        </w:rPr>
        <w:t> </w:t>
      </w:r>
      <w:r>
        <w:rPr>
          <w:rFonts w:ascii="Times New Roman" w:hAnsi="Times New Roman"/>
          <w:i/>
          <w:iCs/>
          <w:noProof/>
          <w:sz w:val="24"/>
          <w:szCs w:val="24"/>
        </w:rPr>
        <w:t>bis</w:t>
      </w:r>
      <w:r>
        <w:rPr>
          <w:rFonts w:ascii="Times New Roman" w:hAnsi="Times New Roman"/>
          <w:noProof/>
          <w:sz w:val="24"/>
          <w:szCs w:val="24"/>
        </w:rPr>
        <w:t xml:space="preserve">, paragraphe 2, du statut: </w:t>
      </w:r>
    </w:p>
    <w:p>
      <w:pPr>
        <w:pStyle w:val="ListParagraph"/>
        <w:numPr>
          <w:ilvl w:val="0"/>
          <w:numId w:val="32"/>
        </w:numPr>
        <w:jc w:val="both"/>
        <w:rPr>
          <w:rFonts w:ascii="Times New Roman" w:hAnsi="Times New Roman" w:cs="Times New Roman"/>
          <w:noProof/>
          <w:sz w:val="24"/>
          <w:szCs w:val="24"/>
        </w:rPr>
      </w:pPr>
      <w:r>
        <w:rPr>
          <w:rFonts w:ascii="Times New Roman" w:hAnsi="Times New Roman"/>
          <w:noProof/>
          <w:sz w:val="24"/>
          <w:szCs w:val="24"/>
        </w:rPr>
        <w:t xml:space="preserve">6 agences exécutives; </w:t>
      </w:r>
    </w:p>
    <w:p>
      <w:pPr>
        <w:pStyle w:val="ListParagraph"/>
        <w:numPr>
          <w:ilvl w:val="0"/>
          <w:numId w:val="32"/>
        </w:numPr>
        <w:jc w:val="both"/>
        <w:rPr>
          <w:rFonts w:ascii="Times New Roman" w:hAnsi="Times New Roman" w:cs="Times New Roman"/>
          <w:noProof/>
          <w:sz w:val="24"/>
          <w:szCs w:val="24"/>
        </w:rPr>
      </w:pPr>
      <w:r>
        <w:rPr>
          <w:rFonts w:ascii="Times New Roman" w:hAnsi="Times New Roman"/>
          <w:noProof/>
          <w:sz w:val="24"/>
          <w:szCs w:val="24"/>
        </w:rPr>
        <w:t xml:space="preserve">36 agences décentralisées et organes de l’Union; et </w:t>
      </w:r>
    </w:p>
    <w:p>
      <w:pPr>
        <w:pStyle w:val="ListParagraph"/>
        <w:numPr>
          <w:ilvl w:val="0"/>
          <w:numId w:val="32"/>
        </w:numPr>
        <w:jc w:val="both"/>
        <w:rPr>
          <w:rFonts w:ascii="Times New Roman" w:hAnsi="Times New Roman" w:cs="Times New Roman"/>
          <w:noProof/>
          <w:sz w:val="24"/>
          <w:szCs w:val="24"/>
        </w:rPr>
      </w:pPr>
      <w:r>
        <w:rPr>
          <w:rFonts w:ascii="Times New Roman" w:hAnsi="Times New Roman"/>
          <w:noProof/>
          <w:sz w:val="24"/>
          <w:szCs w:val="24"/>
        </w:rPr>
        <w:t>9 entreprises communes</w:t>
      </w:r>
      <w:r>
        <w:rPr>
          <w:rStyle w:val="FootnoteReference"/>
          <w:rFonts w:ascii="Times New Roman" w:hAnsi="Times New Roman" w:cs="Times New Roman"/>
          <w:noProof/>
          <w:sz w:val="24"/>
          <w:szCs w:val="24"/>
        </w:rPr>
        <w:footnoteReference w:id="22"/>
      </w:r>
      <w:r>
        <w:rPr>
          <w:rFonts w:ascii="Times New Roman" w:hAnsi="Times New Roman"/>
          <w:noProof/>
          <w:sz w:val="24"/>
          <w:szCs w:val="24"/>
        </w:rPr>
        <w:t>.</w:t>
      </w:r>
    </w:p>
    <w:p>
      <w:pPr>
        <w:jc w:val="both"/>
        <w:rPr>
          <w:rFonts w:ascii="Times New Roman" w:hAnsi="Times New Roman" w:cs="Times New Roman"/>
          <w:noProof/>
          <w:sz w:val="24"/>
          <w:szCs w:val="24"/>
        </w:rPr>
      </w:pPr>
      <w:r>
        <w:rPr>
          <w:rFonts w:ascii="Times New Roman" w:hAnsi="Times New Roman"/>
          <w:noProof/>
          <w:sz w:val="24"/>
          <w:szCs w:val="24"/>
        </w:rPr>
        <w:t>L’article 110, paragraphe 1, du statut dans sa version antérieure à l’entrée en vigueur de la réforme de 2014 disposait que les agences arrêtent, après consultation de leur comité du personnel respectif et en accord avec la Commission, les modalités qui conviennent pour assurer la mise en œuvre du statut.</w:t>
      </w:r>
    </w:p>
    <w:p>
      <w:pPr>
        <w:jc w:val="both"/>
        <w:rPr>
          <w:rFonts w:ascii="Times New Roman" w:hAnsi="Times New Roman" w:cs="Times New Roman"/>
          <w:noProof/>
          <w:sz w:val="24"/>
          <w:szCs w:val="24"/>
        </w:rPr>
      </w:pPr>
      <w:r>
        <w:rPr>
          <w:rFonts w:ascii="Times New Roman" w:hAnsi="Times New Roman"/>
          <w:noProof/>
          <w:sz w:val="24"/>
          <w:szCs w:val="24"/>
        </w:rPr>
        <w:t>La réforme de 2014 a instauré un nouveau cadre pour l’adoption des règles d’exécution du statut par les agences</w:t>
      </w:r>
      <w:r>
        <w:rPr>
          <w:rStyle w:val="FootnoteReference"/>
          <w:rFonts w:ascii="Times New Roman" w:hAnsi="Times New Roman" w:cs="Times New Roman"/>
          <w:noProof/>
          <w:sz w:val="24"/>
          <w:szCs w:val="24"/>
        </w:rPr>
        <w:footnoteReference w:id="23"/>
      </w:r>
      <w:r>
        <w:rPr>
          <w:rFonts w:ascii="Times New Roman" w:hAnsi="Times New Roman"/>
          <w:noProof/>
          <w:sz w:val="24"/>
          <w:szCs w:val="24"/>
        </w:rPr>
        <w:t>. L’article 110, paragraphe 2, du statut a introduit le principe général selon lequel les règles d’exécution qui sont adoptées par la Commission s’appliquent par analogie aux agences. À cette fin, la Commission informe les agences de toute règle d’exécution sans tarder après son adoption. La règle entre en vigueur dans l’agence neuf mois après cette notification ou neuf mois après son entrée en vigueur au sein de la Commission, si cette date est postérieure.</w:t>
      </w:r>
    </w:p>
    <w:p>
      <w:pPr>
        <w:jc w:val="both"/>
        <w:rPr>
          <w:rFonts w:ascii="Times New Roman" w:hAnsi="Times New Roman" w:cs="Times New Roman"/>
          <w:noProof/>
          <w:sz w:val="24"/>
          <w:szCs w:val="24"/>
        </w:rPr>
      </w:pPr>
      <w:r>
        <w:rPr>
          <w:rFonts w:ascii="Times New Roman" w:hAnsi="Times New Roman"/>
          <w:noProof/>
          <w:sz w:val="24"/>
          <w:szCs w:val="24"/>
        </w:rPr>
        <w:t>La Commission n’était pas obligée d’informer les agences de ses règles d’exécution qui étaient entrées en vigueur avant la réforme du statut de 2014. Le principe d’analogie ne s’applique qu’à l’égard des règles d’exécution de la Commission que celle-ci a communiquées aux agences.</w:t>
      </w:r>
    </w:p>
    <w:p>
      <w:pPr>
        <w:jc w:val="both"/>
        <w:rPr>
          <w:rFonts w:ascii="Times New Roman" w:hAnsi="Times New Roman" w:cs="Times New Roman"/>
          <w:noProof/>
          <w:sz w:val="24"/>
          <w:szCs w:val="24"/>
        </w:rPr>
      </w:pPr>
      <w:r>
        <w:rPr>
          <w:rFonts w:ascii="Times New Roman" w:hAnsi="Times New Roman"/>
          <w:noProof/>
          <w:sz w:val="24"/>
          <w:szCs w:val="24"/>
        </w:rPr>
        <w:t>Par dérogation au principe d’analogie, une agence peut décider, après consultation de son comité du personnel et après avoir reçu l’accord de la Commission</w:t>
      </w:r>
      <w:r>
        <w:rPr>
          <w:rStyle w:val="FootnoteReference"/>
          <w:rFonts w:ascii="Times New Roman" w:hAnsi="Times New Roman" w:cs="Times New Roman"/>
          <w:noProof/>
          <w:sz w:val="24"/>
          <w:szCs w:val="24"/>
        </w:rPr>
        <w:footnoteReference w:id="24"/>
      </w:r>
      <w:r>
        <w:rPr>
          <w:rFonts w:ascii="Times New Roman" w:hAnsi="Times New Roman"/>
          <w:noProof/>
          <w:sz w:val="24"/>
          <w:szCs w:val="24"/>
        </w:rPr>
        <w:t>, d’adopter des décisions individuelles en:</w:t>
      </w:r>
    </w:p>
    <w:p>
      <w:pPr>
        <w:pStyle w:val="ListParagraph"/>
        <w:numPr>
          <w:ilvl w:val="0"/>
          <w:numId w:val="11"/>
        </w:numPr>
        <w:jc w:val="both"/>
        <w:rPr>
          <w:rFonts w:ascii="Times New Roman" w:hAnsi="Times New Roman" w:cs="Times New Roman"/>
          <w:noProof/>
          <w:sz w:val="24"/>
          <w:szCs w:val="24"/>
        </w:rPr>
      </w:pPr>
      <w:r>
        <w:rPr>
          <w:rFonts w:ascii="Times New Roman" w:hAnsi="Times New Roman"/>
          <w:noProof/>
          <w:sz w:val="24"/>
          <w:szCs w:val="24"/>
        </w:rPr>
        <w:t>n’appliquant pas certaines règles de la Commission (</w:t>
      </w:r>
      <w:r>
        <w:rPr>
          <w:rFonts w:ascii="Times New Roman" w:hAnsi="Times New Roman"/>
          <w:i/>
          <w:iCs/>
          <w:noProof/>
          <w:sz w:val="24"/>
          <w:szCs w:val="24"/>
        </w:rPr>
        <w:t>opt-out</w:t>
      </w:r>
      <w:r>
        <w:rPr>
          <w:rFonts w:ascii="Times New Roman" w:hAnsi="Times New Roman"/>
          <w:noProof/>
          <w:sz w:val="24"/>
          <w:szCs w:val="24"/>
        </w:rPr>
        <w:t>);</w:t>
      </w:r>
    </w:p>
    <w:p>
      <w:pPr>
        <w:pStyle w:val="ListParagraph"/>
        <w:numPr>
          <w:ilvl w:val="0"/>
          <w:numId w:val="11"/>
        </w:numPr>
        <w:jc w:val="both"/>
        <w:rPr>
          <w:rFonts w:ascii="Times New Roman" w:hAnsi="Times New Roman" w:cs="Times New Roman"/>
          <w:noProof/>
          <w:sz w:val="24"/>
          <w:szCs w:val="24"/>
        </w:rPr>
      </w:pPr>
      <w:r>
        <w:rPr>
          <w:rFonts w:ascii="Times New Roman" w:hAnsi="Times New Roman"/>
          <w:noProof/>
          <w:sz w:val="24"/>
          <w:szCs w:val="24"/>
        </w:rPr>
        <w:t>adoptant des règles qui diffèrent de celles de la Commission;</w:t>
      </w:r>
    </w:p>
    <w:p>
      <w:pPr>
        <w:pStyle w:val="ListParagraph"/>
        <w:numPr>
          <w:ilvl w:val="0"/>
          <w:numId w:val="11"/>
        </w:numPr>
        <w:jc w:val="both"/>
        <w:rPr>
          <w:rFonts w:ascii="Times New Roman" w:hAnsi="Times New Roman" w:cs="Times New Roman"/>
          <w:noProof/>
          <w:sz w:val="24"/>
          <w:szCs w:val="24"/>
        </w:rPr>
      </w:pPr>
      <w:r>
        <w:rPr>
          <w:rFonts w:ascii="Times New Roman" w:hAnsi="Times New Roman"/>
          <w:noProof/>
          <w:sz w:val="24"/>
          <w:szCs w:val="24"/>
        </w:rPr>
        <w:t>adoptant des règles qui concernent d’autres sujets que ceux couverts par les règles adoptées par la Commission.</w:t>
      </w:r>
    </w:p>
    <w:p>
      <w:pPr>
        <w:jc w:val="both"/>
        <w:rPr>
          <w:rFonts w:ascii="Times New Roman" w:hAnsi="Times New Roman" w:cs="Times New Roman"/>
          <w:noProof/>
          <w:sz w:val="24"/>
          <w:szCs w:val="24"/>
        </w:rPr>
      </w:pPr>
      <w:r>
        <w:rPr>
          <w:rFonts w:ascii="Times New Roman" w:hAnsi="Times New Roman"/>
          <w:noProof/>
          <w:sz w:val="24"/>
          <w:szCs w:val="24"/>
        </w:rPr>
        <w:t xml:space="preserve">Compte tenu du principe d’autonomie des institutions, les agences sont ainsi autorisées à s’écarter des actes d’exécution du statut et du RAA de la Commission, tout en restant tenues de respecter le cadre mis en place par ces actes. </w:t>
      </w:r>
    </w:p>
    <w:p>
      <w:pPr>
        <w:jc w:val="both"/>
        <w:rPr>
          <w:rFonts w:ascii="Times New Roman" w:hAnsi="Times New Roman" w:cs="Times New Roman"/>
          <w:noProof/>
          <w:sz w:val="24"/>
          <w:szCs w:val="24"/>
        </w:rPr>
      </w:pPr>
      <w:r>
        <w:rPr>
          <w:rFonts w:ascii="Times New Roman" w:hAnsi="Times New Roman"/>
          <w:noProof/>
          <w:sz w:val="24"/>
          <w:szCs w:val="24"/>
        </w:rPr>
        <w:t xml:space="preserve">Dans un but de simplification, d’efficacité administrative et d’harmonisation des règles et pratiques entre les agences, la Commission a aussi élaboré un mécanisme lui permettant de donner aux agences un accord ex ante horizontal sur des décisions individuelles, sans que ces agences soient tenues de lui soumettre une demande formelle. Le mécanisme s’applique uniquement à condition que l’agence concernée suive un modèle uniforme de décision proposé par la Commission.  </w:t>
      </w:r>
    </w:p>
    <w:p>
      <w:pPr>
        <w:jc w:val="both"/>
        <w:rPr>
          <w:rFonts w:ascii="Times New Roman" w:hAnsi="Times New Roman" w:cs="Times New Roman"/>
          <w:noProof/>
          <w:sz w:val="18"/>
          <w:szCs w:val="18"/>
        </w:rPr>
      </w:pPr>
      <w:r>
        <w:rPr>
          <w:rFonts w:ascii="Times New Roman" w:hAnsi="Times New Roman"/>
          <w:noProof/>
          <w:sz w:val="24"/>
          <w:szCs w:val="24"/>
        </w:rPr>
        <w:t>Sur la base des informations que les services compétents de la Commission collectent auprès des agences, la Commission a élaboré un tableau général qui ajoute les chiffres de la première période de référence 2014-2016 au nombre de règles adoptées durant la deuxième période 2017-2019, résumant ainsi le nombre et le type de règles d’exécution qui étaient applicables dans les agences au 31 décembre 2019.</w:t>
      </w:r>
    </w:p>
    <w:p>
      <w:pPr>
        <w:jc w:val="both"/>
        <w:rPr>
          <w:rFonts w:ascii="Times New Roman" w:hAnsi="Times New Roman" w:cs="Times New Roman"/>
          <w:noProof/>
          <w:sz w:val="24"/>
          <w:szCs w:val="24"/>
        </w:rPr>
      </w:pPr>
      <w:r>
        <w:rPr>
          <w:rFonts w:ascii="Times New Roman" w:hAnsi="Times New Roman"/>
          <w:noProof/>
          <w:sz w:val="24"/>
          <w:szCs w:val="24"/>
        </w:rPr>
        <w:t>Ce tableau est présenté à l’</w:t>
      </w:r>
      <w:r>
        <w:rPr>
          <w:rFonts w:ascii="Times New Roman" w:hAnsi="Times New Roman"/>
          <w:b/>
          <w:noProof/>
          <w:sz w:val="24"/>
          <w:szCs w:val="24"/>
        </w:rPr>
        <w:t>annexe IV</w:t>
      </w:r>
      <w:r>
        <w:rPr>
          <w:rFonts w:ascii="Times New Roman" w:hAnsi="Times New Roman"/>
          <w:noProof/>
          <w:sz w:val="24"/>
          <w:szCs w:val="24"/>
        </w:rPr>
        <w:t xml:space="preserve"> du présent rapport.</w:t>
      </w:r>
    </w:p>
    <w:p>
      <w:pPr>
        <w:jc w:val="both"/>
        <w:rPr>
          <w:rFonts w:ascii="Times New Roman" w:hAnsi="Times New Roman" w:cs="Times New Roman"/>
          <w:noProof/>
          <w:sz w:val="24"/>
          <w:szCs w:val="24"/>
        </w:rPr>
      </w:pPr>
      <w:r>
        <w:rPr>
          <w:rFonts w:ascii="Times New Roman" w:hAnsi="Times New Roman"/>
          <w:noProof/>
          <w:sz w:val="24"/>
          <w:szCs w:val="24"/>
        </w:rPr>
        <w:t>Il a été conçu selon la méthode suivante:</w:t>
      </w:r>
    </w:p>
    <w:p>
      <w:pPr>
        <w:pStyle w:val="ListParagraph"/>
        <w:numPr>
          <w:ilvl w:val="0"/>
          <w:numId w:val="26"/>
        </w:numPr>
        <w:jc w:val="both"/>
        <w:rPr>
          <w:rFonts w:ascii="Times New Roman" w:hAnsi="Times New Roman" w:cs="Times New Roman"/>
          <w:noProof/>
          <w:sz w:val="24"/>
          <w:szCs w:val="24"/>
        </w:rPr>
      </w:pPr>
      <w:r>
        <w:rPr>
          <w:rFonts w:ascii="Times New Roman" w:hAnsi="Times New Roman"/>
          <w:noProof/>
          <w:sz w:val="24"/>
          <w:szCs w:val="24"/>
        </w:rPr>
        <w:t>il concerne les règles d’exécution des agences qui étaient en vigueur au 31 décembre 2019;</w:t>
      </w:r>
    </w:p>
    <w:p>
      <w:pPr>
        <w:pStyle w:val="ListParagraph"/>
        <w:numPr>
          <w:ilvl w:val="0"/>
          <w:numId w:val="26"/>
        </w:numPr>
        <w:jc w:val="both"/>
        <w:rPr>
          <w:rFonts w:ascii="Times New Roman" w:hAnsi="Times New Roman" w:cs="Times New Roman"/>
          <w:noProof/>
          <w:sz w:val="24"/>
          <w:szCs w:val="24"/>
        </w:rPr>
      </w:pPr>
      <w:r>
        <w:rPr>
          <w:rFonts w:ascii="Times New Roman" w:hAnsi="Times New Roman"/>
          <w:noProof/>
          <w:sz w:val="24"/>
          <w:szCs w:val="24"/>
        </w:rPr>
        <w:t>il suit la structure du statut des fonctionnaires et du RAA afin de faciliter le recensement des différents sujets pour lesquels les agences ont adopté des règles d’exécution;</w:t>
      </w:r>
    </w:p>
    <w:p>
      <w:pPr>
        <w:pStyle w:val="ListParagraph"/>
        <w:numPr>
          <w:ilvl w:val="0"/>
          <w:numId w:val="26"/>
        </w:numPr>
        <w:jc w:val="both"/>
        <w:rPr>
          <w:rFonts w:ascii="Times New Roman" w:hAnsi="Times New Roman" w:cs="Times New Roman"/>
          <w:noProof/>
          <w:sz w:val="24"/>
          <w:szCs w:val="24"/>
        </w:rPr>
      </w:pPr>
      <w:r>
        <w:rPr>
          <w:rFonts w:ascii="Times New Roman" w:hAnsi="Times New Roman"/>
          <w:noProof/>
          <w:sz w:val="24"/>
          <w:szCs w:val="24"/>
        </w:rPr>
        <w:t>pour chaque sujet, le tableau opère une distinction entre plusieurs cas de figure différents dans lesquels les agences ont adopté leurs règles.</w:t>
      </w:r>
    </w:p>
    <w:p>
      <w:pPr>
        <w:jc w:val="both"/>
        <w:rPr>
          <w:rFonts w:ascii="Times New Roman" w:hAnsi="Times New Roman" w:cs="Times New Roman"/>
          <w:noProof/>
          <w:sz w:val="24"/>
          <w:szCs w:val="24"/>
        </w:rPr>
      </w:pPr>
      <w:r>
        <w:rPr>
          <w:rFonts w:ascii="Times New Roman" w:hAnsi="Times New Roman"/>
          <w:noProof/>
          <w:sz w:val="24"/>
          <w:szCs w:val="24"/>
        </w:rPr>
        <w:t>Ce tableau montre en particulier la manière dont les mécanismes introduits en 2014 ont fonctionné dans la pratique.</w:t>
      </w:r>
    </w:p>
    <w:p>
      <w:pPr>
        <w:jc w:val="center"/>
        <w:rPr>
          <w:rFonts w:ascii="Times New Roman" w:hAnsi="Times New Roman" w:cs="Times New Roman"/>
          <w:noProof/>
          <w:sz w:val="24"/>
          <w:szCs w:val="24"/>
        </w:rPr>
      </w:pPr>
      <w:r>
        <w:rPr>
          <w:rFonts w:ascii="Times New Roman" w:hAnsi="Times New Roman"/>
          <w:b/>
          <w:noProof/>
          <w:sz w:val="24"/>
          <w:szCs w:val="24"/>
        </w:rPr>
        <w:t xml:space="preserve">EFFETS DES MÉCANISMES INTRODUITS DEPUIS 2014 </w:t>
      </w:r>
    </w:p>
    <w:tbl>
      <w:tblPr>
        <w:tblStyle w:val="TableGrid"/>
        <w:tblW w:w="0" w:type="auto"/>
        <w:tblLook w:val="04A0" w:firstRow="1" w:lastRow="0" w:firstColumn="1" w:lastColumn="0" w:noHBand="0" w:noVBand="1"/>
      </w:tblPr>
      <w:tblGrid>
        <w:gridCol w:w="4786"/>
        <w:gridCol w:w="2268"/>
        <w:gridCol w:w="2158"/>
      </w:tblGrid>
      <w:tr>
        <w:tc>
          <w:tcPr>
            <w:tcW w:w="4786" w:type="dxa"/>
          </w:tcPr>
          <w:p>
            <w:pPr>
              <w:jc w:val="both"/>
              <w:rPr>
                <w:rFonts w:ascii="Times New Roman" w:hAnsi="Times New Roman" w:cs="Times New Roman"/>
                <w:noProof/>
                <w:sz w:val="24"/>
                <w:szCs w:val="24"/>
              </w:rPr>
            </w:pPr>
          </w:p>
        </w:tc>
        <w:tc>
          <w:tcPr>
            <w:tcW w:w="2268" w:type="dxa"/>
            <w:vAlign w:val="center"/>
          </w:tcPr>
          <w:p>
            <w:pPr>
              <w:jc w:val="center"/>
              <w:rPr>
                <w:rFonts w:ascii="Times New Roman" w:hAnsi="Times New Roman" w:cs="Times New Roman"/>
                <w:b/>
                <w:noProof/>
                <w:sz w:val="20"/>
                <w:szCs w:val="20"/>
              </w:rPr>
            </w:pPr>
            <w:r>
              <w:rPr>
                <w:rFonts w:ascii="Times New Roman" w:hAnsi="Times New Roman"/>
                <w:b/>
                <w:noProof/>
                <w:sz w:val="20"/>
                <w:szCs w:val="20"/>
              </w:rPr>
              <w:t>Période 2014-2016</w:t>
            </w:r>
          </w:p>
        </w:tc>
        <w:tc>
          <w:tcPr>
            <w:tcW w:w="2158" w:type="dxa"/>
            <w:vAlign w:val="center"/>
          </w:tcPr>
          <w:p>
            <w:pPr>
              <w:jc w:val="center"/>
              <w:rPr>
                <w:rFonts w:ascii="Times New Roman" w:hAnsi="Times New Roman" w:cs="Times New Roman"/>
                <w:b/>
                <w:noProof/>
                <w:sz w:val="20"/>
                <w:szCs w:val="20"/>
              </w:rPr>
            </w:pPr>
            <w:r>
              <w:rPr>
                <w:rFonts w:ascii="Times New Roman" w:hAnsi="Times New Roman"/>
                <w:b/>
                <w:noProof/>
                <w:sz w:val="20"/>
                <w:szCs w:val="20"/>
              </w:rPr>
              <w:t>Total au 31 décembre 2019</w:t>
            </w:r>
          </w:p>
        </w:tc>
      </w:tr>
      <w:tr>
        <w:tc>
          <w:tcPr>
            <w:tcW w:w="4786" w:type="dxa"/>
            <w:vAlign w:val="center"/>
          </w:tcPr>
          <w:p>
            <w:pPr>
              <w:jc w:val="center"/>
              <w:rPr>
                <w:rFonts w:ascii="Times New Roman" w:hAnsi="Times New Roman" w:cs="Times New Roman"/>
                <w:b/>
                <w:noProof/>
                <w:sz w:val="20"/>
                <w:szCs w:val="20"/>
              </w:rPr>
            </w:pPr>
            <w:r>
              <w:rPr>
                <w:rFonts w:ascii="Times New Roman" w:hAnsi="Times New Roman"/>
                <w:b/>
                <w:noProof/>
                <w:sz w:val="20"/>
                <w:szCs w:val="20"/>
              </w:rPr>
              <w:t>Règles d’exécution de la Commission adoptées après la réforme de 2014 et notifiées aux agences</w:t>
            </w:r>
          </w:p>
          <w:p>
            <w:pPr>
              <w:jc w:val="center"/>
              <w:rPr>
                <w:rFonts w:ascii="Times New Roman" w:hAnsi="Times New Roman" w:cs="Times New Roman"/>
                <w:b/>
                <w:noProof/>
                <w:sz w:val="24"/>
                <w:szCs w:val="24"/>
              </w:rPr>
            </w:pPr>
          </w:p>
        </w:tc>
        <w:tc>
          <w:tcPr>
            <w:tcW w:w="2268" w:type="dxa"/>
            <w:vAlign w:val="center"/>
          </w:tcPr>
          <w:p>
            <w:pPr>
              <w:jc w:val="center"/>
              <w:rPr>
                <w:rFonts w:ascii="Times New Roman" w:hAnsi="Times New Roman" w:cs="Times New Roman"/>
                <w:noProof/>
                <w:sz w:val="20"/>
                <w:szCs w:val="20"/>
              </w:rPr>
            </w:pPr>
            <w:r>
              <w:rPr>
                <w:rFonts w:ascii="Times New Roman" w:hAnsi="Times New Roman"/>
                <w:noProof/>
                <w:sz w:val="20"/>
                <w:szCs w:val="20"/>
              </w:rPr>
              <w:t>23</w:t>
            </w:r>
          </w:p>
        </w:tc>
        <w:tc>
          <w:tcPr>
            <w:tcW w:w="2158" w:type="dxa"/>
            <w:vAlign w:val="center"/>
          </w:tcPr>
          <w:p>
            <w:pPr>
              <w:jc w:val="center"/>
              <w:rPr>
                <w:rFonts w:ascii="Times New Roman" w:hAnsi="Times New Roman" w:cs="Times New Roman"/>
                <w:noProof/>
                <w:sz w:val="20"/>
                <w:szCs w:val="20"/>
              </w:rPr>
            </w:pPr>
            <w:r>
              <w:rPr>
                <w:rFonts w:ascii="Times New Roman" w:hAnsi="Times New Roman"/>
                <w:noProof/>
                <w:sz w:val="20"/>
                <w:szCs w:val="20"/>
              </w:rPr>
              <w:t>29</w:t>
            </w:r>
          </w:p>
        </w:tc>
      </w:tr>
      <w:tr>
        <w:tc>
          <w:tcPr>
            <w:tcW w:w="4786" w:type="dxa"/>
            <w:vAlign w:val="center"/>
          </w:tcPr>
          <w:p>
            <w:pPr>
              <w:jc w:val="center"/>
              <w:rPr>
                <w:rFonts w:ascii="Times New Roman" w:hAnsi="Times New Roman" w:cs="Times New Roman"/>
                <w:b/>
                <w:noProof/>
                <w:sz w:val="20"/>
                <w:szCs w:val="20"/>
              </w:rPr>
            </w:pPr>
            <w:r>
              <w:rPr>
                <w:rFonts w:ascii="Times New Roman" w:hAnsi="Times New Roman"/>
                <w:b/>
                <w:noProof/>
                <w:sz w:val="20"/>
                <w:szCs w:val="20"/>
              </w:rPr>
              <w:t>Règles d’exécution dans les agences qui s’appliquent par analogie après la réforme de 2014 [article 110, paragraphe 2, du statut]</w:t>
            </w:r>
          </w:p>
          <w:p>
            <w:pPr>
              <w:jc w:val="center"/>
              <w:rPr>
                <w:rFonts w:ascii="Times New Roman" w:hAnsi="Times New Roman" w:cs="Times New Roman"/>
                <w:b/>
                <w:noProof/>
                <w:sz w:val="24"/>
                <w:szCs w:val="24"/>
              </w:rPr>
            </w:pPr>
          </w:p>
        </w:tc>
        <w:tc>
          <w:tcPr>
            <w:tcW w:w="2268" w:type="dxa"/>
            <w:vAlign w:val="center"/>
          </w:tcPr>
          <w:p>
            <w:pPr>
              <w:jc w:val="center"/>
              <w:rPr>
                <w:rFonts w:ascii="Times New Roman" w:hAnsi="Times New Roman" w:cs="Times New Roman"/>
                <w:noProof/>
                <w:sz w:val="20"/>
                <w:szCs w:val="20"/>
              </w:rPr>
            </w:pPr>
            <w:r>
              <w:rPr>
                <w:rFonts w:ascii="Times New Roman" w:hAnsi="Times New Roman"/>
                <w:noProof/>
                <w:sz w:val="20"/>
                <w:szCs w:val="20"/>
              </w:rPr>
              <w:t>593</w:t>
            </w:r>
          </w:p>
        </w:tc>
        <w:tc>
          <w:tcPr>
            <w:tcW w:w="2158" w:type="dxa"/>
            <w:vAlign w:val="center"/>
          </w:tcPr>
          <w:p>
            <w:pPr>
              <w:jc w:val="center"/>
              <w:rPr>
                <w:rFonts w:ascii="Times New Roman" w:hAnsi="Times New Roman" w:cs="Times New Roman"/>
                <w:noProof/>
                <w:sz w:val="20"/>
                <w:szCs w:val="20"/>
              </w:rPr>
            </w:pPr>
            <w:r>
              <w:rPr>
                <w:rFonts w:ascii="Times New Roman" w:hAnsi="Times New Roman"/>
                <w:noProof/>
                <w:sz w:val="20"/>
                <w:szCs w:val="20"/>
              </w:rPr>
              <w:t>749</w:t>
            </w:r>
          </w:p>
        </w:tc>
      </w:tr>
      <w:tr>
        <w:tc>
          <w:tcPr>
            <w:tcW w:w="4786" w:type="dxa"/>
            <w:vAlign w:val="center"/>
          </w:tcPr>
          <w:p>
            <w:pPr>
              <w:jc w:val="center"/>
              <w:rPr>
                <w:rFonts w:ascii="Times New Roman" w:hAnsi="Times New Roman" w:cs="Times New Roman"/>
                <w:b/>
                <w:noProof/>
                <w:sz w:val="20"/>
                <w:szCs w:val="20"/>
              </w:rPr>
            </w:pPr>
            <w:r>
              <w:rPr>
                <w:rFonts w:ascii="Times New Roman" w:hAnsi="Times New Roman"/>
                <w:b/>
                <w:noProof/>
                <w:sz w:val="20"/>
                <w:szCs w:val="20"/>
              </w:rPr>
              <w:t>Dérogations après 2014 (règles propres différentes des accords ex ante de la Commission et/ou des règles d’exécution de la Commission notifiées aux agences en vertu de l’article 110, paragraphe 2, du statut)</w:t>
            </w:r>
          </w:p>
          <w:p>
            <w:pPr>
              <w:jc w:val="center"/>
              <w:rPr>
                <w:rFonts w:ascii="Times New Roman" w:hAnsi="Times New Roman" w:cs="Times New Roman"/>
                <w:b/>
                <w:noProof/>
                <w:sz w:val="24"/>
                <w:szCs w:val="24"/>
              </w:rPr>
            </w:pPr>
          </w:p>
        </w:tc>
        <w:tc>
          <w:tcPr>
            <w:tcW w:w="2268" w:type="dxa"/>
            <w:vAlign w:val="center"/>
          </w:tcPr>
          <w:p>
            <w:pPr>
              <w:jc w:val="center"/>
              <w:rPr>
                <w:rFonts w:ascii="Times New Roman" w:hAnsi="Times New Roman" w:cs="Times New Roman"/>
                <w:noProof/>
                <w:sz w:val="20"/>
                <w:szCs w:val="20"/>
              </w:rPr>
            </w:pPr>
            <w:r>
              <w:rPr>
                <w:rFonts w:ascii="Times New Roman" w:hAnsi="Times New Roman"/>
                <w:noProof/>
                <w:sz w:val="20"/>
                <w:szCs w:val="20"/>
              </w:rPr>
              <w:t>35</w:t>
            </w:r>
          </w:p>
        </w:tc>
        <w:tc>
          <w:tcPr>
            <w:tcW w:w="2158" w:type="dxa"/>
            <w:vAlign w:val="center"/>
          </w:tcPr>
          <w:p>
            <w:pPr>
              <w:jc w:val="center"/>
              <w:rPr>
                <w:rFonts w:ascii="Times New Roman" w:hAnsi="Times New Roman" w:cs="Times New Roman"/>
                <w:noProof/>
                <w:sz w:val="20"/>
                <w:szCs w:val="20"/>
              </w:rPr>
            </w:pPr>
            <w:r>
              <w:rPr>
                <w:rFonts w:ascii="Times New Roman" w:hAnsi="Times New Roman"/>
                <w:noProof/>
                <w:sz w:val="20"/>
                <w:szCs w:val="20"/>
              </w:rPr>
              <w:t>4</w:t>
            </w:r>
          </w:p>
        </w:tc>
      </w:tr>
      <w:tr>
        <w:tc>
          <w:tcPr>
            <w:tcW w:w="4786" w:type="dxa"/>
            <w:vAlign w:val="center"/>
          </w:tcPr>
          <w:p>
            <w:pPr>
              <w:jc w:val="center"/>
              <w:rPr>
                <w:rFonts w:ascii="Times New Roman" w:hAnsi="Times New Roman" w:cs="Times New Roman"/>
                <w:b/>
                <w:noProof/>
                <w:sz w:val="20"/>
                <w:szCs w:val="20"/>
              </w:rPr>
            </w:pPr>
            <w:r>
              <w:rPr>
                <w:rFonts w:ascii="Times New Roman" w:hAnsi="Times New Roman"/>
                <w:b/>
                <w:noProof/>
                <w:sz w:val="20"/>
                <w:szCs w:val="20"/>
              </w:rPr>
              <w:t>Accords ex ante horizontaux de la Commission</w:t>
            </w:r>
          </w:p>
          <w:p>
            <w:pPr>
              <w:jc w:val="center"/>
              <w:rPr>
                <w:rFonts w:ascii="Times New Roman" w:hAnsi="Times New Roman" w:cs="Times New Roman"/>
                <w:b/>
                <w:noProof/>
                <w:sz w:val="24"/>
                <w:szCs w:val="24"/>
                <w:lang w:val="fr-BE"/>
              </w:rPr>
            </w:pPr>
          </w:p>
        </w:tc>
        <w:tc>
          <w:tcPr>
            <w:tcW w:w="2268" w:type="dxa"/>
            <w:vAlign w:val="center"/>
          </w:tcPr>
          <w:p>
            <w:pPr>
              <w:jc w:val="center"/>
              <w:rPr>
                <w:rFonts w:ascii="Times New Roman" w:hAnsi="Times New Roman" w:cs="Times New Roman"/>
                <w:noProof/>
                <w:sz w:val="20"/>
                <w:szCs w:val="20"/>
              </w:rPr>
            </w:pPr>
            <w:r>
              <w:rPr>
                <w:rFonts w:ascii="Times New Roman" w:hAnsi="Times New Roman"/>
                <w:noProof/>
                <w:sz w:val="20"/>
                <w:szCs w:val="20"/>
              </w:rPr>
              <w:t>14</w:t>
            </w:r>
          </w:p>
        </w:tc>
        <w:tc>
          <w:tcPr>
            <w:tcW w:w="2158" w:type="dxa"/>
            <w:vAlign w:val="center"/>
          </w:tcPr>
          <w:p>
            <w:pPr>
              <w:jc w:val="center"/>
              <w:rPr>
                <w:rFonts w:ascii="Times New Roman" w:hAnsi="Times New Roman" w:cs="Times New Roman"/>
                <w:noProof/>
                <w:sz w:val="20"/>
                <w:szCs w:val="20"/>
              </w:rPr>
            </w:pPr>
            <w:r>
              <w:rPr>
                <w:rFonts w:ascii="Times New Roman" w:hAnsi="Times New Roman"/>
                <w:noProof/>
                <w:sz w:val="20"/>
                <w:szCs w:val="20"/>
              </w:rPr>
              <w:t>21</w:t>
            </w:r>
          </w:p>
        </w:tc>
      </w:tr>
      <w:tr>
        <w:tc>
          <w:tcPr>
            <w:tcW w:w="4786" w:type="dxa"/>
            <w:vAlign w:val="center"/>
          </w:tcPr>
          <w:p>
            <w:pPr>
              <w:jc w:val="center"/>
              <w:rPr>
                <w:rFonts w:ascii="Times New Roman" w:hAnsi="Times New Roman" w:cs="Times New Roman"/>
                <w:b/>
                <w:noProof/>
                <w:sz w:val="20"/>
                <w:szCs w:val="20"/>
              </w:rPr>
            </w:pPr>
            <w:r>
              <w:rPr>
                <w:rFonts w:ascii="Times New Roman" w:hAnsi="Times New Roman"/>
                <w:b/>
                <w:noProof/>
                <w:sz w:val="20"/>
                <w:szCs w:val="20"/>
              </w:rPr>
              <w:t>Règles d’exécution adoptées par les agences sur la base d’un accord ex ante horizontal</w:t>
            </w:r>
          </w:p>
          <w:p>
            <w:pPr>
              <w:jc w:val="center"/>
              <w:rPr>
                <w:rFonts w:ascii="Times New Roman" w:hAnsi="Times New Roman" w:cs="Times New Roman"/>
                <w:b/>
                <w:noProof/>
                <w:sz w:val="24"/>
                <w:szCs w:val="24"/>
              </w:rPr>
            </w:pPr>
          </w:p>
        </w:tc>
        <w:tc>
          <w:tcPr>
            <w:tcW w:w="2268" w:type="dxa"/>
            <w:vAlign w:val="center"/>
          </w:tcPr>
          <w:p>
            <w:pPr>
              <w:jc w:val="center"/>
              <w:rPr>
                <w:rFonts w:ascii="Times New Roman" w:hAnsi="Times New Roman" w:cs="Times New Roman"/>
                <w:noProof/>
                <w:sz w:val="20"/>
                <w:szCs w:val="20"/>
              </w:rPr>
            </w:pPr>
            <w:r>
              <w:rPr>
                <w:rFonts w:ascii="Times New Roman" w:hAnsi="Times New Roman"/>
                <w:noProof/>
                <w:sz w:val="20"/>
                <w:szCs w:val="20"/>
              </w:rPr>
              <w:t>284</w:t>
            </w:r>
          </w:p>
        </w:tc>
        <w:tc>
          <w:tcPr>
            <w:tcW w:w="2158" w:type="dxa"/>
            <w:vAlign w:val="center"/>
          </w:tcPr>
          <w:p>
            <w:pPr>
              <w:jc w:val="center"/>
              <w:rPr>
                <w:rFonts w:ascii="Times New Roman" w:hAnsi="Times New Roman" w:cs="Times New Roman"/>
                <w:noProof/>
                <w:sz w:val="20"/>
                <w:szCs w:val="20"/>
              </w:rPr>
            </w:pPr>
            <w:r>
              <w:rPr>
                <w:rFonts w:ascii="Times New Roman" w:hAnsi="Times New Roman"/>
                <w:noProof/>
                <w:sz w:val="20"/>
                <w:szCs w:val="20"/>
              </w:rPr>
              <w:t>689</w:t>
            </w:r>
          </w:p>
        </w:tc>
      </w:tr>
    </w:tbl>
    <w:p>
      <w:pPr>
        <w:spacing w:before="240"/>
        <w:jc w:val="both"/>
        <w:rPr>
          <w:rFonts w:ascii="Times New Roman" w:hAnsi="Times New Roman" w:cs="Times New Roman"/>
          <w:noProof/>
          <w:sz w:val="24"/>
          <w:szCs w:val="24"/>
        </w:rPr>
      </w:pPr>
      <w:r>
        <w:rPr>
          <w:rFonts w:ascii="Times New Roman" w:hAnsi="Times New Roman"/>
          <w:noProof/>
          <w:sz w:val="24"/>
          <w:szCs w:val="24"/>
        </w:rPr>
        <w:t>Une comparaison des deux colonnes indique que les mécanismes mis en place par la réforme de 2014 visant à garantir une application cohérente du statut dans toutes les agences continuent d’être largement utilisés et se sont avérés très efficaces dans l’ensemble. On observe une hausse significative du nombre de règles d’exécution adoptées par les agences sur la base des accords ex ante horizontaux de la Commission. L’application «par analogie» des règles d’exécution de la Commission s’est également accrue. En revanche, le nombre de dérogations, c’est-à-dire de règles propres des agences qui diffèrent des accords ex ante horizontaux de la Commission et/ou des règles d’exécution de la Commission notifiées aux agences en vertu de l’article 110, paragraphe 2, du statut, a considérablement diminué.</w:t>
      </w:r>
    </w:p>
    <w:p>
      <w:pPr>
        <w:spacing w:before="240"/>
        <w:jc w:val="both"/>
        <w:rPr>
          <w:rFonts w:ascii="Times New Roman" w:hAnsi="Times New Roman" w:cs="Times New Roman"/>
          <w:noProof/>
          <w:sz w:val="24"/>
          <w:szCs w:val="24"/>
        </w:rPr>
      </w:pPr>
      <w:r>
        <w:rPr>
          <w:rFonts w:ascii="Times New Roman" w:hAnsi="Times New Roman"/>
          <w:noProof/>
          <w:sz w:val="24"/>
          <w:szCs w:val="24"/>
        </w:rPr>
        <w:t>Il convient toutefois de noter que le nombre d’agences a légèrement augmenté entre les deux périodes de référence, passant de 48 à 51 (tandis que le nombre d’institutions n’a pas changé).</w:t>
      </w:r>
    </w:p>
    <w:p>
      <w:pPr>
        <w:spacing w:before="240"/>
        <w:jc w:val="both"/>
        <w:rPr>
          <w:rFonts w:ascii="Times New Roman" w:hAnsi="Times New Roman" w:cs="Times New Roman"/>
          <w:noProof/>
          <w:sz w:val="24"/>
          <w:szCs w:val="24"/>
        </w:rPr>
      </w:pPr>
      <w:r>
        <w:rPr>
          <w:rFonts w:ascii="Times New Roman" w:hAnsi="Times New Roman"/>
          <w:noProof/>
          <w:sz w:val="24"/>
          <w:szCs w:val="24"/>
        </w:rPr>
        <w:t>Une analyse plus détaillée de la manière dont les agences ont appliqué les règles d’exécution en pratique dans des situations particulières n’entre pas dans le cadre du présent rapport. Le récent rapport spécial de la Cour des comptes européenne (CCE) intitulé «</w:t>
      </w:r>
      <w:r>
        <w:rPr>
          <w:rFonts w:ascii="Times New Roman" w:hAnsi="Times New Roman"/>
          <w:i/>
          <w:noProof/>
          <w:sz w:val="24"/>
          <w:szCs w:val="24"/>
        </w:rPr>
        <w:t>L’avenir des agences de l’UE – La souplesse et la coopération pourraient être renforcées</w:t>
      </w:r>
      <w:r>
        <w:rPr>
          <w:rFonts w:ascii="Times New Roman" w:hAnsi="Times New Roman"/>
          <w:noProof/>
          <w:sz w:val="24"/>
          <w:szCs w:val="24"/>
        </w:rPr>
        <w:t>»</w:t>
      </w:r>
      <w:r>
        <w:rPr>
          <w:rStyle w:val="FootnoteReference"/>
          <w:rFonts w:ascii="Times New Roman" w:hAnsi="Times New Roman" w:cs="Times New Roman"/>
          <w:noProof/>
          <w:sz w:val="24"/>
          <w:szCs w:val="24"/>
        </w:rPr>
        <w:footnoteReference w:id="25"/>
      </w:r>
      <w:r>
        <w:rPr>
          <w:rFonts w:ascii="Times New Roman" w:hAnsi="Times New Roman"/>
          <w:noProof/>
          <w:sz w:val="24"/>
          <w:szCs w:val="24"/>
        </w:rPr>
        <w:t>, s’il souligne la possibilité d’améliorer la structure de gouvernance globale de certaines agences, ne traite pas spécifiquement de la manière dont les agences appliquent les règles relatives aux RH.</w:t>
      </w:r>
    </w:p>
    <w:p>
      <w:pPr>
        <w:spacing w:before="240"/>
        <w:jc w:val="both"/>
        <w:rPr>
          <w:rFonts w:ascii="Times New Roman" w:hAnsi="Times New Roman" w:cs="Times New Roman"/>
          <w:noProof/>
          <w:sz w:val="24"/>
          <w:szCs w:val="24"/>
        </w:rPr>
      </w:pPr>
      <w:r>
        <w:rPr>
          <w:rFonts w:ascii="Times New Roman" w:hAnsi="Times New Roman"/>
          <w:noProof/>
          <w:sz w:val="24"/>
          <w:szCs w:val="24"/>
        </w:rPr>
        <w:t xml:space="preserve">À la suite de la publication du rapport spécial de la Cour des comptes, le Conseil a prié la Commission d’étudier les recommandations de la Cour et d’en tirer des conclusions, notamment en ce qui concerne le fait d’aider les agences de l’Union à harmoniser leurs dispositions d’exécution, sans toutefois faire explicitement référence aux sujets relevant du statut ou du RAA. </w:t>
      </w:r>
    </w:p>
    <w:p>
      <w:pPr>
        <w:spacing w:before="240" w:after="240"/>
        <w:jc w:val="both"/>
        <w:rPr>
          <w:rFonts w:ascii="Times New Roman" w:hAnsi="Times New Roman" w:cs="Times New Roman"/>
          <w:noProof/>
          <w:sz w:val="24"/>
          <w:szCs w:val="24"/>
        </w:rPr>
      </w:pPr>
      <w:r>
        <w:rPr>
          <w:rFonts w:ascii="Times New Roman" w:hAnsi="Times New Roman"/>
          <w:noProof/>
          <w:sz w:val="24"/>
          <w:szCs w:val="24"/>
        </w:rPr>
        <w:t xml:space="preserve">À cet égard, le présent rapport démontre clairement que les mécanismes mis en place par l’article 110 du statut (c’est-à-dire l’application des règles de la Commission par analogie, l’harmonisation des dérogations par voie de décisions types, l’évaluation approfondie des dérogations individuelles) agissent comme des filtres pour garantir la cohérence des règles avant leur adoption, harmonisant ainsi les dispositions d’exécution dans toutes les agences. </w:t>
      </w:r>
    </w:p>
    <w:p>
      <w:pPr>
        <w:spacing w:before="240" w:after="240"/>
        <w:jc w:val="both"/>
        <w:rPr>
          <w:rFonts w:ascii="Times New Roman" w:hAnsi="Times New Roman" w:cs="Times New Roman"/>
          <w:noProof/>
          <w:sz w:val="24"/>
          <w:szCs w:val="24"/>
        </w:rPr>
      </w:pPr>
      <w:r>
        <w:rPr>
          <w:rFonts w:ascii="Times New Roman" w:hAnsi="Times New Roman"/>
          <w:noProof/>
          <w:sz w:val="24"/>
          <w:szCs w:val="24"/>
        </w:rPr>
        <w:t xml:space="preserve">Cela dit, bien que le présent rapport porte sur l’adoption de règles, et non sur l’interprétation et sur la mise en œuvre effective de ces règles par les institutions et les agences, qui agissent en appliquant le principe d’autonomie des institutions, les institutions pourraient réfléchir à la manière d’exploiter les mécanismes existants afin d’améliorer encore la cohérence dans l’application des règles et l’échange des bonnes pratiques, notamment à l’aide des divers outils de coopération mis en place par les institutions en général, et par la Commission et le réseau des agences de l’UE en particulier. </w:t>
      </w:r>
    </w:p>
    <w:p>
      <w:pPr>
        <w:pBdr>
          <w:top w:val="double" w:sz="4" w:space="1" w:color="auto"/>
          <w:left w:val="double" w:sz="4" w:space="4" w:color="auto"/>
          <w:bottom w:val="double" w:sz="4" w:space="1" w:color="auto"/>
          <w:right w:val="double" w:sz="4" w:space="4" w:color="auto"/>
        </w:pBdr>
        <w:jc w:val="center"/>
        <w:rPr>
          <w:rFonts w:ascii="Times New Roman" w:hAnsi="Times New Roman" w:cs="Times New Roman"/>
          <w:b/>
          <w:i/>
          <w:noProof/>
          <w:sz w:val="24"/>
          <w:szCs w:val="24"/>
        </w:rPr>
      </w:pPr>
      <w:r>
        <w:rPr>
          <w:rFonts w:ascii="Times New Roman" w:hAnsi="Times New Roman"/>
          <w:b/>
          <w:i/>
          <w:noProof/>
          <w:sz w:val="24"/>
          <w:szCs w:val="24"/>
        </w:rPr>
        <w:t>TRANSPARENCE</w:t>
      </w:r>
    </w:p>
    <w:p>
      <w:pPr>
        <w:pBdr>
          <w:top w:val="double" w:sz="4" w:space="1" w:color="auto"/>
          <w:left w:val="double" w:sz="4" w:space="4" w:color="auto"/>
          <w:bottom w:val="double" w:sz="4" w:space="1" w:color="auto"/>
          <w:right w:val="double" w:sz="4" w:space="4" w:color="auto"/>
        </w:pBdr>
        <w:jc w:val="both"/>
        <w:rPr>
          <w:rFonts w:ascii="Times New Roman" w:hAnsi="Times New Roman" w:cs="Times New Roman"/>
          <w:b/>
          <w:i/>
          <w:noProof/>
          <w:sz w:val="24"/>
          <w:szCs w:val="24"/>
        </w:rPr>
      </w:pPr>
      <w:r>
        <w:rPr>
          <w:rFonts w:ascii="Times New Roman" w:hAnsi="Times New Roman"/>
          <w:b/>
          <w:i/>
          <w:noProof/>
          <w:sz w:val="24"/>
          <w:szCs w:val="24"/>
        </w:rPr>
        <w:t xml:space="preserve">→ Le rapport dresse une liste exhaustive des différents types de règles d’exécution dans toutes les institutions et les agences en vigueur durant la période de référence. L’utilisation d’une méthode commune permet de comparer la situation des différentes institutions et, dès lors, de renforcer la transparence. </w:t>
      </w:r>
    </w:p>
    <w:p>
      <w:pPr>
        <w:pBdr>
          <w:top w:val="double" w:sz="4" w:space="1" w:color="auto"/>
          <w:left w:val="double" w:sz="4" w:space="4" w:color="auto"/>
          <w:bottom w:val="double" w:sz="4" w:space="1" w:color="auto"/>
          <w:right w:val="double" w:sz="4" w:space="4" w:color="auto"/>
        </w:pBdr>
        <w:jc w:val="both"/>
        <w:rPr>
          <w:rFonts w:ascii="Times New Roman" w:hAnsi="Times New Roman" w:cs="Times New Roman"/>
          <w:b/>
          <w:i/>
          <w:noProof/>
          <w:sz w:val="24"/>
          <w:szCs w:val="24"/>
        </w:rPr>
      </w:pPr>
      <w:r>
        <w:rPr>
          <w:rFonts w:ascii="Times New Roman" w:hAnsi="Times New Roman"/>
          <w:b/>
          <w:i/>
          <w:noProof/>
          <w:sz w:val="24"/>
          <w:szCs w:val="24"/>
        </w:rPr>
        <w:t>→ Le rapport indique que le nombre total de règles d’exécution est resté relativement stable dans toutes les institutions depuis la dernière période de référence.</w:t>
      </w:r>
    </w:p>
    <w:p>
      <w:pPr>
        <w:pBdr>
          <w:top w:val="double" w:sz="4" w:space="1" w:color="auto"/>
          <w:left w:val="double" w:sz="4" w:space="4" w:color="auto"/>
          <w:bottom w:val="double" w:sz="4" w:space="1" w:color="auto"/>
          <w:right w:val="double" w:sz="4" w:space="4" w:color="auto"/>
        </w:pBdr>
        <w:jc w:val="both"/>
        <w:rPr>
          <w:rFonts w:ascii="Times New Roman" w:hAnsi="Times New Roman" w:cs="Times New Roman"/>
          <w:b/>
          <w:i/>
          <w:noProof/>
          <w:sz w:val="24"/>
          <w:szCs w:val="24"/>
        </w:rPr>
      </w:pPr>
      <w:r>
        <w:rPr>
          <w:rFonts w:ascii="Times New Roman" w:hAnsi="Times New Roman"/>
          <w:b/>
          <w:i/>
          <w:noProof/>
          <w:sz w:val="24"/>
          <w:szCs w:val="24"/>
        </w:rPr>
        <w:t>→ Le rapport démontre que les mécanismes mis en place par la réforme de 2014 visant à garantir une application cohérente du statut dans toutes les agences continuent d’être largement utilisés, avec une hausse significative du nombre de règles adoptées par les agences sur la base des accords ex ante horizontaux de la Commission. Cela dit, les institutions et les agences pourraient réfléchir à la manière d’exploiter les mécanismes existants afin d’améliorer encore la cohérence de l’application des règles.</w:t>
      </w:r>
    </w:p>
    <w:p>
      <w:pPr>
        <w:pStyle w:val="Heading1"/>
        <w:pageBreakBefore/>
        <w:rPr>
          <w:rFonts w:ascii="Times New Roman" w:hAnsi="Times New Roman" w:cs="Times New Roman"/>
          <w:noProof/>
        </w:rPr>
      </w:pPr>
      <w:bookmarkStart w:id="9" w:name="_Toc69825803"/>
      <w:r>
        <w:rPr>
          <w:rFonts w:ascii="Times New Roman" w:hAnsi="Times New Roman"/>
          <w:noProof/>
        </w:rPr>
        <w:t>TITRE 3.</w:t>
      </w:r>
      <w:r>
        <w:rPr>
          <w:rFonts w:ascii="Times New Roman" w:hAnsi="Times New Roman"/>
          <w:noProof/>
        </w:rPr>
        <w:tab/>
        <w:t>ÉVALUATION QUALITATIVE/RESPECT</w:t>
      </w:r>
      <w:bookmarkEnd w:id="9"/>
    </w:p>
    <w:p>
      <w:pPr>
        <w:rPr>
          <w:rFonts w:ascii="Times New Roman" w:hAnsi="Times New Roman" w:cs="Times New Roman"/>
          <w:noProof/>
        </w:rPr>
      </w:pPr>
    </w:p>
    <w:p>
      <w:pPr>
        <w:pBdr>
          <w:top w:val="double" w:sz="4" w:space="1" w:color="auto"/>
          <w:left w:val="double" w:sz="4" w:space="4" w:color="auto"/>
          <w:bottom w:val="double" w:sz="4" w:space="7" w:color="auto"/>
          <w:right w:val="double" w:sz="4" w:space="4" w:color="auto"/>
        </w:pBdr>
        <w:jc w:val="center"/>
        <w:rPr>
          <w:rFonts w:ascii="Times New Roman" w:hAnsi="Times New Roman" w:cs="Times New Roman"/>
          <w:b/>
          <w:i/>
          <w:noProof/>
          <w:sz w:val="24"/>
          <w:szCs w:val="24"/>
        </w:rPr>
      </w:pPr>
      <w:r>
        <w:rPr>
          <w:rFonts w:ascii="Times New Roman" w:hAnsi="Times New Roman"/>
          <w:b/>
          <w:i/>
          <w:noProof/>
          <w:sz w:val="24"/>
          <w:szCs w:val="24"/>
        </w:rPr>
        <w:t>RESPECT</w:t>
      </w:r>
    </w:p>
    <w:p>
      <w:pPr>
        <w:pBdr>
          <w:top w:val="double" w:sz="4" w:space="1" w:color="auto"/>
          <w:left w:val="double" w:sz="4" w:space="4" w:color="auto"/>
          <w:bottom w:val="double" w:sz="4" w:space="7" w:color="auto"/>
          <w:right w:val="double" w:sz="4" w:space="4" w:color="auto"/>
        </w:pBdr>
        <w:jc w:val="both"/>
        <w:rPr>
          <w:rFonts w:ascii="Times New Roman" w:hAnsi="Times New Roman" w:cs="Times New Roman"/>
          <w:b/>
          <w:i/>
          <w:noProof/>
          <w:sz w:val="24"/>
          <w:szCs w:val="24"/>
        </w:rPr>
      </w:pPr>
      <w:r>
        <w:rPr>
          <w:rFonts w:ascii="Times New Roman" w:hAnsi="Times New Roman"/>
          <w:b/>
          <w:i/>
          <w:noProof/>
          <w:sz w:val="24"/>
          <w:szCs w:val="24"/>
        </w:rPr>
        <w:t>→ Les institutions se sont-elles conformées au cadre du statut des fonctionnaires et du RAA?</w:t>
      </w:r>
    </w:p>
    <w:p>
      <w:pPr>
        <w:pBdr>
          <w:top w:val="double" w:sz="4" w:space="1" w:color="auto"/>
          <w:left w:val="double" w:sz="4" w:space="4" w:color="auto"/>
          <w:bottom w:val="double" w:sz="4" w:space="7" w:color="auto"/>
          <w:right w:val="double" w:sz="4" w:space="4" w:color="auto"/>
        </w:pBdr>
        <w:jc w:val="both"/>
        <w:rPr>
          <w:rFonts w:ascii="Times New Roman" w:hAnsi="Times New Roman" w:cs="Times New Roman"/>
          <w:b/>
          <w:i/>
          <w:noProof/>
          <w:sz w:val="24"/>
          <w:szCs w:val="24"/>
        </w:rPr>
      </w:pPr>
      <w:r>
        <w:rPr>
          <w:rFonts w:ascii="Times New Roman" w:hAnsi="Times New Roman"/>
          <w:b/>
          <w:i/>
          <w:noProof/>
          <w:sz w:val="24"/>
          <w:szCs w:val="24"/>
        </w:rPr>
        <w:t>→ A-t-on observé une convergence accrue entre les institutions sur les sujets couverts par les règles d’exécution qu’elles ont adoptées?</w:t>
      </w:r>
    </w:p>
    <w:p>
      <w:pPr>
        <w:pBdr>
          <w:top w:val="double" w:sz="4" w:space="1" w:color="auto"/>
          <w:left w:val="double" w:sz="4" w:space="4" w:color="auto"/>
          <w:bottom w:val="double" w:sz="4" w:space="7" w:color="auto"/>
          <w:right w:val="double" w:sz="4" w:space="4" w:color="auto"/>
        </w:pBdr>
        <w:jc w:val="both"/>
        <w:rPr>
          <w:rFonts w:ascii="Times New Roman" w:hAnsi="Times New Roman" w:cs="Times New Roman"/>
          <w:noProof/>
          <w:sz w:val="24"/>
          <w:szCs w:val="24"/>
        </w:rPr>
      </w:pPr>
      <w:r>
        <w:rPr>
          <w:rFonts w:ascii="Times New Roman" w:hAnsi="Times New Roman"/>
          <w:b/>
          <w:i/>
          <w:noProof/>
          <w:sz w:val="24"/>
          <w:szCs w:val="24"/>
        </w:rPr>
        <w:t>→ Quel est l’état d’avancement du registre tenu par la Cour de justice?</w:t>
      </w:r>
    </w:p>
    <w:p>
      <w:pPr>
        <w:pStyle w:val="Heading2"/>
        <w:spacing w:before="240" w:after="360"/>
        <w:rPr>
          <w:rFonts w:ascii="Times New Roman" w:hAnsi="Times New Roman" w:cs="Times New Roman"/>
          <w:noProof/>
        </w:rPr>
      </w:pPr>
      <w:bookmarkStart w:id="10" w:name="_Toc69825804"/>
      <w:r>
        <w:rPr>
          <w:rFonts w:ascii="Times New Roman" w:hAnsi="Times New Roman"/>
          <w:noProof/>
        </w:rPr>
        <w:t>a)</w:t>
      </w:r>
      <w:r>
        <w:rPr>
          <w:rFonts w:ascii="Times New Roman" w:hAnsi="Times New Roman"/>
          <w:noProof/>
        </w:rPr>
        <w:tab/>
        <w:t>Respect du statut des fonctionnaires et du régime applicable aux autres agents</w:t>
      </w:r>
      <w:bookmarkEnd w:id="10"/>
    </w:p>
    <w:p>
      <w:pPr>
        <w:jc w:val="both"/>
        <w:rPr>
          <w:rFonts w:ascii="Times New Roman" w:hAnsi="Times New Roman" w:cs="Times New Roman"/>
          <w:noProof/>
          <w:sz w:val="24"/>
          <w:szCs w:val="24"/>
          <w:bdr w:val="dashSmallGap" w:sz="4" w:space="0" w:color="auto"/>
        </w:rPr>
      </w:pPr>
      <w:r>
        <w:rPr>
          <w:rFonts w:ascii="Times New Roman" w:hAnsi="Times New Roman"/>
          <w:noProof/>
          <w:sz w:val="24"/>
          <w:szCs w:val="24"/>
        </w:rPr>
        <w:t xml:space="preserve">Le rapport examine ci-dessous dans quelle mesure les autorités investies du pouvoir de nomination et les autorités habilitées à conclure des contrats d’engagement des institutions ont, à ce jour, eu recours aux </w:t>
      </w:r>
      <w:r>
        <w:rPr>
          <w:rFonts w:ascii="Times New Roman" w:hAnsi="Times New Roman"/>
          <w:noProof/>
          <w:sz w:val="24"/>
          <w:szCs w:val="24"/>
          <w:u w:val="single"/>
        </w:rPr>
        <w:t>pouvoirs spécifiques</w:t>
      </w:r>
      <w:r>
        <w:rPr>
          <w:rFonts w:ascii="Times New Roman" w:hAnsi="Times New Roman"/>
          <w:noProof/>
          <w:sz w:val="24"/>
          <w:szCs w:val="24"/>
        </w:rPr>
        <w:t xml:space="preserve"> d’adopter des règles d’exécution confiés respectivement par le statut des fonctionnaires et le RAA (voir les listes dans les cadres ci-après). Une attention particulière est accordée aux sujets pour lesquels les autorités n’ont pas (encore) utilisé leur pouvoir d’adoption de règles. </w:t>
      </w:r>
    </w:p>
    <w:p>
      <w:pPr>
        <w:jc w:val="both"/>
        <w:rPr>
          <w:rFonts w:ascii="Times New Roman" w:hAnsi="Times New Roman" w:cs="Times New Roman"/>
          <w:noProof/>
          <w:sz w:val="24"/>
          <w:szCs w:val="24"/>
          <w:highlight w:val="green"/>
        </w:rPr>
      </w:pPr>
      <w:r>
        <w:rPr>
          <w:rFonts w:ascii="Times New Roman" w:hAnsi="Times New Roman"/>
          <w:noProof/>
          <w:sz w:val="24"/>
          <w:szCs w:val="24"/>
        </w:rPr>
        <w:t xml:space="preserve">En outre, le rapport dresse la liste des matières pour lesquelles les institutions ont adopté des règles d’exécution </w:t>
      </w:r>
      <w:r>
        <w:rPr>
          <w:rFonts w:ascii="Times New Roman" w:hAnsi="Times New Roman"/>
          <w:noProof/>
          <w:sz w:val="24"/>
          <w:szCs w:val="24"/>
          <w:u w:val="single"/>
        </w:rPr>
        <w:t>qui ne sont pas expressément prévues</w:t>
      </w:r>
      <w:r>
        <w:rPr>
          <w:rFonts w:ascii="Times New Roman" w:hAnsi="Times New Roman"/>
          <w:noProof/>
          <w:sz w:val="24"/>
          <w:szCs w:val="24"/>
        </w:rPr>
        <w:t xml:space="preserve"> par le statut et le RAA (voir les listes dans les cadres en pointillés ci-après).</w:t>
      </w:r>
      <w:r>
        <w:rPr>
          <w:rFonts w:ascii="Times New Roman" w:hAnsi="Times New Roman"/>
          <w:noProof/>
          <w:sz w:val="24"/>
          <w:szCs w:val="24"/>
          <w:highlight w:val="green"/>
        </w:rPr>
        <w:t xml:space="preserve"> </w:t>
      </w:r>
    </w:p>
    <w:p>
      <w:pPr>
        <w:jc w:val="both"/>
        <w:rPr>
          <w:rFonts w:ascii="Times New Roman" w:hAnsi="Times New Roman" w:cs="Times New Roman"/>
          <w:noProof/>
          <w:sz w:val="24"/>
          <w:szCs w:val="24"/>
        </w:rPr>
      </w:pPr>
      <w:r>
        <w:rPr>
          <w:rFonts w:ascii="Times New Roman" w:hAnsi="Times New Roman"/>
          <w:noProof/>
          <w:sz w:val="24"/>
          <w:szCs w:val="24"/>
        </w:rPr>
        <w:t xml:space="preserve">Dans les listes susmentionnées, le rapport examine également les domaines dans lesquels les institutions et les agences semblent à la traîne pour se conformer au cadre statutaire prévu dans le statut et le RAA, en ce qui concerne le respect de l’exigence d’adopter des règles d’exécution et le choix de la procédure. Il s’agit du choix entre les règles arrêtées d’un commun accord entre les institutions, les dispositions générales d’exécution et d’autres règles d’exécution. Ces remarques sont surlignées en </w:t>
      </w:r>
      <w:r>
        <w:rPr>
          <w:rFonts w:ascii="Times New Roman" w:hAnsi="Times New Roman"/>
          <w:b/>
          <w:noProof/>
          <w:sz w:val="24"/>
          <w:szCs w:val="24"/>
        </w:rPr>
        <w:t>caractères gras</w:t>
      </w:r>
      <w:r>
        <w:rPr>
          <w:rFonts w:ascii="Times New Roman" w:hAnsi="Times New Roman"/>
          <w:noProof/>
          <w:sz w:val="24"/>
          <w:szCs w:val="24"/>
        </w:rPr>
        <w:t xml:space="preserve"> dans les listes.</w:t>
      </w:r>
    </w:p>
    <w:p>
      <w:pPr>
        <w:jc w:val="both"/>
        <w:rPr>
          <w:rFonts w:ascii="Times New Roman" w:hAnsi="Times New Roman" w:cs="Times New Roman"/>
          <w:noProof/>
          <w:sz w:val="24"/>
          <w:szCs w:val="24"/>
        </w:rPr>
      </w:pPr>
      <w:r>
        <w:rPr>
          <w:rFonts w:ascii="Times New Roman" w:hAnsi="Times New Roman"/>
          <w:noProof/>
          <w:sz w:val="24"/>
          <w:szCs w:val="24"/>
        </w:rPr>
        <w:t xml:space="preserve">Enfin, la présente section du rapport examine quel était l’objet de l’activité réglementaire durant la période de référence 2017-2019 en ce qui concerne les sujets des règles d’exécution. </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center"/>
        <w:rPr>
          <w:rFonts w:ascii="Times New Roman" w:hAnsi="Times New Roman" w:cs="Times New Roman"/>
          <w:b/>
          <w:i/>
          <w:noProof/>
          <w:sz w:val="28"/>
          <w:szCs w:val="28"/>
        </w:rPr>
      </w:pPr>
      <w:r>
        <w:rPr>
          <w:rFonts w:ascii="Times New Roman" w:hAnsi="Times New Roman"/>
          <w:b/>
          <w:i/>
          <w:noProof/>
          <w:sz w:val="28"/>
          <w:szCs w:val="28"/>
        </w:rPr>
        <w:t>Statut des fonctionnaires</w:t>
      </w:r>
    </w:p>
    <w:p>
      <w:pPr>
        <w:jc w:val="center"/>
        <w:rPr>
          <w:rFonts w:ascii="Times New Roman" w:hAnsi="Times New Roman" w:cs="Times New Roman"/>
          <w:i/>
          <w:noProof/>
          <w:sz w:val="24"/>
          <w:szCs w:val="24"/>
          <w:u w:val="single"/>
        </w:rPr>
      </w:pPr>
      <w:r>
        <w:rPr>
          <w:rFonts w:ascii="Times New Roman" w:hAnsi="Times New Roman"/>
          <w:i/>
          <w:noProof/>
          <w:sz w:val="24"/>
          <w:szCs w:val="24"/>
          <w:u w:val="single"/>
        </w:rPr>
        <w:t>Titre I – Dispositions générales</w:t>
      </w:r>
    </w:p>
    <w:p>
      <w:pPr>
        <w:pBdr>
          <w:top w:val="single" w:sz="4" w:space="1" w:color="auto"/>
          <w:left w:val="single" w:sz="4" w:space="4" w:color="auto"/>
          <w:bottom w:val="single" w:sz="4" w:space="1" w:color="auto"/>
          <w:right w:val="single" w:sz="4" w:space="4" w:color="auto"/>
        </w:pBdr>
        <w:rPr>
          <w:rFonts w:ascii="Times New Roman" w:hAnsi="Times New Roman" w:cs="Times New Roman"/>
          <w:i/>
          <w:noProof/>
          <w:sz w:val="20"/>
          <w:szCs w:val="20"/>
        </w:rPr>
      </w:pPr>
      <w:r>
        <w:rPr>
          <w:rFonts w:ascii="Times New Roman" w:hAnsi="Times New Roman"/>
          <w:i/>
          <w:noProof/>
          <w:sz w:val="20"/>
          <w:szCs w:val="20"/>
        </w:rPr>
        <w:t>Article 2 – Exercice du pouvoir de l’autorité investie du pouvoir de nomination</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Neuf institutions</w:t>
      </w:r>
      <w:r>
        <w:rPr>
          <w:rStyle w:val="FootnoteReference"/>
          <w:rFonts w:ascii="Times New Roman" w:hAnsi="Times New Roman" w:cs="Times New Roman"/>
          <w:noProof/>
          <w:sz w:val="20"/>
          <w:szCs w:val="20"/>
        </w:rPr>
        <w:footnoteReference w:id="26"/>
      </w:r>
      <w:r>
        <w:rPr>
          <w:rFonts w:ascii="Times New Roman" w:hAnsi="Times New Roman"/>
          <w:noProof/>
          <w:sz w:val="20"/>
          <w:szCs w:val="20"/>
        </w:rPr>
        <w:t xml:space="preserve"> ont eu recours au pouvoir d’adopter des règles d’exécution concernant l’exercice du pouvoir de l’autorité investie du pouvoir de nomination. Certaines institutions ont utilisé la possibilité de confier ce pouvoir à une autre institution ou à un organisme interinstitutionnel.</w:t>
      </w:r>
    </w:p>
    <w:p>
      <w:pPr>
        <w:pBdr>
          <w:top w:val="single" w:sz="4" w:space="1" w:color="auto"/>
          <w:left w:val="single" w:sz="4" w:space="4" w:color="auto"/>
          <w:bottom w:val="single" w:sz="4" w:space="1" w:color="auto"/>
          <w:right w:val="single" w:sz="4" w:space="4" w:color="auto"/>
        </w:pBdr>
        <w:rPr>
          <w:rFonts w:ascii="Times New Roman" w:hAnsi="Times New Roman" w:cs="Times New Roman"/>
          <w:i/>
          <w:noProof/>
          <w:sz w:val="20"/>
          <w:szCs w:val="20"/>
        </w:rPr>
      </w:pPr>
      <w:r>
        <w:rPr>
          <w:rFonts w:ascii="Times New Roman" w:hAnsi="Times New Roman"/>
          <w:i/>
          <w:noProof/>
          <w:sz w:val="20"/>
          <w:szCs w:val="20"/>
        </w:rPr>
        <w:t>Article 5, paragraphe 4 – Description des fonctions et attributions associées à chaque emploi type</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Toutes les institutions ont recouru à la possibilité qu’offre le statut de décrire plus en détail les fonctions et attributions associées à chaque emploi type.</w:t>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i/>
          <w:noProof/>
          <w:sz w:val="20"/>
          <w:szCs w:val="20"/>
        </w:rPr>
      </w:pPr>
      <w:r>
        <w:rPr>
          <w:rFonts w:ascii="Times New Roman" w:hAnsi="Times New Roman"/>
          <w:i/>
          <w:noProof/>
          <w:sz w:val="20"/>
          <w:szCs w:val="20"/>
        </w:rPr>
        <w:t>Article 9 + annexe II, article 2 – Modalités de constitution de la commission paritaire commune (Coparco)</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Toutes les institutions ont adopté une règle arrêtée d’un commun accord sur les modalités de constitution de la commission paritaire commune.</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i/>
          <w:noProof/>
          <w:sz w:val="20"/>
          <w:szCs w:val="20"/>
        </w:rPr>
      </w:pPr>
      <w:r>
        <w:rPr>
          <w:rFonts w:ascii="Times New Roman" w:hAnsi="Times New Roman"/>
          <w:i/>
          <w:noProof/>
          <w:sz w:val="20"/>
          <w:szCs w:val="20"/>
        </w:rPr>
        <w:t>Article 9, paragraphe 2 – Composition et modalités de fonctionnement des organes (comités et commissions)</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Sept institutions</w:t>
      </w:r>
      <w:r>
        <w:rPr>
          <w:rStyle w:val="FootnoteReference"/>
          <w:rFonts w:ascii="Times New Roman" w:hAnsi="Times New Roman" w:cs="Times New Roman"/>
          <w:noProof/>
          <w:sz w:val="20"/>
          <w:szCs w:val="20"/>
        </w:rPr>
        <w:footnoteReference w:id="27"/>
      </w:r>
      <w:r>
        <w:rPr>
          <w:rFonts w:ascii="Times New Roman" w:hAnsi="Times New Roman"/>
          <w:noProof/>
          <w:sz w:val="20"/>
          <w:szCs w:val="20"/>
        </w:rPr>
        <w:t xml:space="preserve"> ont eu recours au pouvoir de déterminer la composition et les modalités de fonctionnement des organes. </w:t>
      </w:r>
    </w:p>
    <w:p>
      <w:pPr>
        <w:pBdr>
          <w:top w:val="single" w:sz="4" w:space="1" w:color="auto"/>
          <w:left w:val="single" w:sz="4" w:space="4" w:color="auto"/>
          <w:bottom w:val="single" w:sz="4" w:space="1" w:color="auto"/>
          <w:right w:val="single" w:sz="4" w:space="4" w:color="auto"/>
        </w:pBdr>
        <w:rPr>
          <w:rFonts w:ascii="Times New Roman" w:hAnsi="Times New Roman" w:cs="Times New Roman"/>
          <w:i/>
          <w:noProof/>
          <w:sz w:val="20"/>
          <w:szCs w:val="20"/>
        </w:rPr>
      </w:pPr>
      <w:r>
        <w:rPr>
          <w:rFonts w:ascii="Times New Roman" w:hAnsi="Times New Roman"/>
          <w:i/>
          <w:noProof/>
          <w:sz w:val="20"/>
          <w:szCs w:val="20"/>
        </w:rPr>
        <w:t>Article 10 – Modalités de composition du comité du statut</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Toutes les institutions ont adopté une règle arrêtée d’un commun accord sur les modalités de composition du comité du statut.</w:t>
      </w:r>
    </w:p>
    <w:p>
      <w:pPr>
        <w:pBdr>
          <w:top w:val="single" w:sz="4" w:space="1" w:color="auto"/>
          <w:left w:val="single" w:sz="4" w:space="4" w:color="auto"/>
          <w:bottom w:val="single" w:sz="4" w:space="1" w:color="auto"/>
          <w:right w:val="single" w:sz="4" w:space="4" w:color="auto"/>
        </w:pBdr>
        <w:rPr>
          <w:rFonts w:ascii="Times New Roman" w:hAnsi="Times New Roman" w:cs="Times New Roman"/>
          <w:noProof/>
          <w:sz w:val="20"/>
          <w:szCs w:val="20"/>
        </w:rPr>
      </w:pPr>
      <w:r>
        <w:rPr>
          <w:rFonts w:ascii="Times New Roman" w:hAnsi="Times New Roman"/>
          <w:i/>
          <w:noProof/>
          <w:sz w:val="20"/>
          <w:szCs w:val="20"/>
        </w:rPr>
        <w:t>Annexe XIII, article 30, paragraphe 3 – Classement des fonctionnaires investis de responsabilités particulières dans l’emploi type «chef d’unité ou équivalent» ou «conseiller ou équivalent» avant le 31 décembre 2015</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Six institutions</w:t>
      </w:r>
      <w:r>
        <w:rPr>
          <w:rStyle w:val="FootnoteReference"/>
          <w:rFonts w:ascii="Times New Roman" w:hAnsi="Times New Roman" w:cs="Times New Roman"/>
          <w:noProof/>
          <w:sz w:val="20"/>
          <w:szCs w:val="20"/>
        </w:rPr>
        <w:footnoteReference w:id="28"/>
      </w:r>
      <w:r>
        <w:rPr>
          <w:rFonts w:ascii="Times New Roman" w:hAnsi="Times New Roman"/>
          <w:noProof/>
          <w:sz w:val="20"/>
          <w:szCs w:val="20"/>
        </w:rPr>
        <w:t xml:space="preserve"> ont arrêté des dispositions sous la forme d’autres règles d’exécution visant à déroger à l’article 30, paragraphe 2, de l’annexe XIII du statut concernant le classement des fonctionnaires des grades AD 9 à AD 14 investis de responsabilités particulières dans l’emploi type «chef d’unité ou équivalent» ou «conseiller ou équivalent» avant le 31 décembre 2015.</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4"/>
          <w:szCs w:val="24"/>
        </w:rPr>
      </w:pPr>
      <w:r>
        <w:rPr>
          <w:rFonts w:ascii="Times New Roman" w:hAnsi="Times New Roman"/>
          <w:noProof/>
          <w:sz w:val="24"/>
          <w:szCs w:val="24"/>
        </w:rPr>
        <w:t>Bien que ce ne soit pas expressément requis par le statut, certaines institutions ont aussi adopté des règles d’exécution sur les sujets suivants abordés dans le titre I du statut: égalité des chances, handicap, mesures à caractère social, normes de santé et de sécurité et mutation.</w:t>
      </w:r>
    </w:p>
    <w:p>
      <w:pPr>
        <w:jc w:val="both"/>
        <w:rPr>
          <w:rFonts w:ascii="Times New Roman" w:hAnsi="Times New Roman" w:cs="Times New Roman"/>
          <w:noProof/>
          <w:sz w:val="24"/>
          <w:szCs w:val="24"/>
        </w:rPr>
      </w:pPr>
      <w:r>
        <w:rPr>
          <w:rFonts w:ascii="Times New Roman" w:hAnsi="Times New Roman"/>
          <w:noProof/>
          <w:sz w:val="24"/>
          <w:szCs w:val="24"/>
        </w:rPr>
        <w:t>Les sujets qui ont été ajoutés par certaines institutions au cours de la période 2017-2019 concernaient notamment la santé et la sécurité, les emplois types et intitulés d’emploi, les comités et commissions et la mutation.</w:t>
      </w:r>
    </w:p>
    <w:p>
      <w:pPr>
        <w:jc w:val="center"/>
        <w:rPr>
          <w:rFonts w:ascii="Times New Roman" w:hAnsi="Times New Roman" w:cs="Times New Roman"/>
          <w:i/>
          <w:noProof/>
          <w:sz w:val="24"/>
          <w:szCs w:val="24"/>
          <w:u w:val="single"/>
        </w:rPr>
      </w:pPr>
      <w:r>
        <w:rPr>
          <w:rFonts w:ascii="Times New Roman" w:hAnsi="Times New Roman"/>
          <w:i/>
          <w:noProof/>
          <w:sz w:val="24"/>
          <w:szCs w:val="24"/>
          <w:u w:val="single"/>
        </w:rPr>
        <w:t>Titre II – Droits et obligations du fonctionnaire</w:t>
      </w:r>
    </w:p>
    <w:p>
      <w:pPr>
        <w:pBdr>
          <w:top w:val="single" w:sz="4" w:space="1" w:color="auto"/>
          <w:left w:val="single" w:sz="4" w:space="4" w:color="auto"/>
          <w:bottom w:val="single" w:sz="4" w:space="1" w:color="auto"/>
          <w:right w:val="single" w:sz="4" w:space="4" w:color="auto"/>
        </w:pBdr>
        <w:rPr>
          <w:rFonts w:ascii="Times New Roman" w:hAnsi="Times New Roman" w:cs="Times New Roman"/>
          <w:i/>
          <w:noProof/>
          <w:sz w:val="20"/>
          <w:szCs w:val="20"/>
        </w:rPr>
      </w:pPr>
      <w:r>
        <w:rPr>
          <w:rFonts w:ascii="Times New Roman" w:hAnsi="Times New Roman"/>
          <w:i/>
          <w:noProof/>
          <w:sz w:val="20"/>
          <w:szCs w:val="20"/>
        </w:rPr>
        <w:t>Article 22 </w:t>
      </w:r>
      <w:r>
        <w:rPr>
          <w:rFonts w:ascii="Times New Roman" w:hAnsi="Times New Roman"/>
          <w:i/>
          <w:iCs/>
          <w:noProof/>
          <w:sz w:val="20"/>
          <w:szCs w:val="20"/>
        </w:rPr>
        <w:t>quater</w:t>
      </w:r>
      <w:r>
        <w:rPr>
          <w:rFonts w:ascii="Times New Roman" w:hAnsi="Times New Roman"/>
          <w:i/>
          <w:noProof/>
          <w:sz w:val="20"/>
          <w:szCs w:val="20"/>
        </w:rPr>
        <w:t> – Règles internes sur la dénonciation</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 xml:space="preserve">Toutes les institutions ont arrêté des règles internes sur la dénonciation. </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4"/>
          <w:szCs w:val="24"/>
        </w:rPr>
      </w:pPr>
      <w:r>
        <w:rPr>
          <w:rFonts w:ascii="Times New Roman" w:hAnsi="Times New Roman"/>
          <w:noProof/>
          <w:sz w:val="24"/>
          <w:szCs w:val="24"/>
        </w:rPr>
        <w:t>Certaines institutions ont aussi adopté des règles d’exécution sur les sujets suivants abordés dans le titre II du statut: éthique et intégrité, prévention du harcèlement, activités extérieures, responsabilité financière et formation.</w:t>
      </w:r>
    </w:p>
    <w:p>
      <w:pPr>
        <w:jc w:val="both"/>
        <w:rPr>
          <w:rFonts w:ascii="Times New Roman" w:hAnsi="Times New Roman" w:cs="Times New Roman"/>
          <w:noProof/>
          <w:sz w:val="24"/>
          <w:szCs w:val="24"/>
        </w:rPr>
      </w:pPr>
      <w:r>
        <w:rPr>
          <w:rFonts w:ascii="Times New Roman" w:hAnsi="Times New Roman"/>
          <w:noProof/>
          <w:sz w:val="24"/>
          <w:szCs w:val="24"/>
        </w:rPr>
        <w:t>Les sujets ajoutés par certaines institutions durant la période 2017-2019 concernaient notamment l’éthique et l’intégrité, la prévention du harcèlement et la formation.</w:t>
      </w:r>
    </w:p>
    <w:p>
      <w:pPr>
        <w:jc w:val="center"/>
        <w:rPr>
          <w:rFonts w:ascii="Times New Roman" w:hAnsi="Times New Roman" w:cs="Times New Roman"/>
          <w:i/>
          <w:noProof/>
          <w:sz w:val="24"/>
          <w:szCs w:val="24"/>
          <w:u w:val="single"/>
        </w:rPr>
      </w:pPr>
      <w:r>
        <w:rPr>
          <w:rFonts w:ascii="Times New Roman" w:hAnsi="Times New Roman"/>
          <w:i/>
          <w:noProof/>
          <w:sz w:val="24"/>
          <w:szCs w:val="24"/>
          <w:u w:val="single"/>
        </w:rPr>
        <w:t>Titre III – De la carrière du fonctionnaire</w:t>
      </w:r>
    </w:p>
    <w:p>
      <w:pPr>
        <w:pBdr>
          <w:top w:val="single" w:sz="4" w:space="1" w:color="auto"/>
          <w:left w:val="single" w:sz="4" w:space="4" w:color="auto"/>
          <w:bottom w:val="single" w:sz="4" w:space="1" w:color="auto"/>
          <w:right w:val="single" w:sz="4" w:space="4" w:color="auto"/>
        </w:pBdr>
        <w:rPr>
          <w:rFonts w:ascii="Times New Roman" w:hAnsi="Times New Roman" w:cs="Times New Roman"/>
          <w:i/>
          <w:noProof/>
          <w:sz w:val="20"/>
          <w:szCs w:val="20"/>
        </w:rPr>
      </w:pPr>
      <w:r>
        <w:rPr>
          <w:rFonts w:ascii="Times New Roman" w:hAnsi="Times New Roman"/>
          <w:i/>
          <w:noProof/>
          <w:sz w:val="20"/>
          <w:szCs w:val="20"/>
        </w:rPr>
        <w:t>Article 27, paragraphe 2 – Mesures appropriées en cas de constat d’un déséquilibre important entre nationalités parmi les fonctionnaires</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L’article 27, paragraphe 2, permet à chaque institution d’adopter des mesures appropriées si elle constate un déséquilibre important entre nationalités parmi les fonctionnaires qui ne se justifie pas par des critères objectifs. Ces mesures appropriées doivent être justifiées et ne peuvent jamais se traduire par des critères de recrutement autres que ceux fondés sur le mérite. Avant l’adoption de telles mesures appropriées, l’autorité investie du pouvoir de nomination arrête des dispositions générales d’exécution. Au moment de la finalisation du présent rapport, aucune institution n’avait encore adopté de telles dispositions générales d’exécution.</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i/>
          <w:noProof/>
          <w:sz w:val="20"/>
          <w:szCs w:val="20"/>
        </w:rPr>
      </w:pPr>
      <w:r>
        <w:rPr>
          <w:rFonts w:ascii="Times New Roman" w:hAnsi="Times New Roman"/>
          <w:i/>
          <w:noProof/>
          <w:sz w:val="20"/>
          <w:szCs w:val="20"/>
        </w:rPr>
        <w:t>Article 32, paragraphe 2 – Classement en échelon lors du recrutement</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 xml:space="preserve">L’ensemble des institutions ont adopté des dispositions générales d’exécution visant à permettre, pour tenir compte de l’expérience professionnelle d’un fonctionnaire, de lui accorder une bonification d’ancienneté de 24 mois au maximum. </w:t>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i/>
          <w:noProof/>
          <w:sz w:val="20"/>
          <w:szCs w:val="20"/>
        </w:rPr>
      </w:pPr>
      <w:r>
        <w:rPr>
          <w:rFonts w:ascii="Times New Roman" w:hAnsi="Times New Roman"/>
          <w:i/>
          <w:noProof/>
          <w:sz w:val="20"/>
          <w:szCs w:val="20"/>
        </w:rPr>
        <w:t>Article 37, point b) – Établissement d’une liste d’organismes consacrés à la poursuite des intérêts de l’Union</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 xml:space="preserve">Toutes les institutions ont établi de commun accord une liste d’organismes consacrés à la poursuite des intérêts de l’Union. </w:t>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i/>
          <w:noProof/>
          <w:sz w:val="20"/>
          <w:szCs w:val="20"/>
        </w:rPr>
      </w:pPr>
      <w:r>
        <w:rPr>
          <w:rFonts w:ascii="Times New Roman" w:hAnsi="Times New Roman"/>
          <w:i/>
          <w:noProof/>
          <w:sz w:val="20"/>
          <w:szCs w:val="20"/>
        </w:rPr>
        <w:t>Article 42 </w:t>
      </w:r>
      <w:r>
        <w:rPr>
          <w:rFonts w:ascii="Times New Roman" w:hAnsi="Times New Roman"/>
          <w:i/>
          <w:iCs/>
          <w:noProof/>
          <w:sz w:val="20"/>
          <w:szCs w:val="20"/>
        </w:rPr>
        <w:t>bis</w:t>
      </w:r>
      <w:r>
        <w:rPr>
          <w:rFonts w:ascii="Times New Roman" w:hAnsi="Times New Roman"/>
          <w:i/>
          <w:noProof/>
          <w:sz w:val="20"/>
          <w:szCs w:val="20"/>
        </w:rPr>
        <w:t> – Congé parental, parents isolés</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 xml:space="preserve">Toutes les institutions ont adopté des règles d’exécution sur le congé parental, y compris la question de la reconnaissance des parents isolés en vue de doubler la durée de ce congé. </w:t>
      </w:r>
      <w:r>
        <w:rPr>
          <w:rFonts w:ascii="Times New Roman" w:hAnsi="Times New Roman"/>
          <w:b/>
          <w:noProof/>
          <w:sz w:val="20"/>
          <w:szCs w:val="20"/>
        </w:rPr>
        <w:t>Deux institutions</w:t>
      </w:r>
      <w:r>
        <w:rPr>
          <w:rStyle w:val="FootnoteReference"/>
          <w:rFonts w:ascii="Times New Roman" w:hAnsi="Times New Roman" w:cs="Times New Roman"/>
          <w:b/>
          <w:noProof/>
          <w:sz w:val="20"/>
          <w:szCs w:val="20"/>
        </w:rPr>
        <w:footnoteReference w:id="29"/>
      </w:r>
      <w:r>
        <w:rPr>
          <w:rFonts w:ascii="Times New Roman" w:hAnsi="Times New Roman"/>
          <w:b/>
          <w:noProof/>
          <w:sz w:val="20"/>
          <w:szCs w:val="20"/>
        </w:rPr>
        <w:t xml:space="preserve"> auraient toutefois choisi d’adopter ces règles sous la forme d’autres règles d’exécution, et non sous la forme de dispositions générales d’exécution, comme indiqué à l’article 42 </w:t>
      </w:r>
      <w:r>
        <w:rPr>
          <w:rFonts w:ascii="Times New Roman" w:hAnsi="Times New Roman"/>
          <w:b/>
          <w:i/>
          <w:iCs/>
          <w:noProof/>
          <w:sz w:val="20"/>
          <w:szCs w:val="20"/>
        </w:rPr>
        <w:t>bis</w:t>
      </w:r>
      <w:r>
        <w:rPr>
          <w:rFonts w:ascii="Times New Roman" w:hAnsi="Times New Roman"/>
          <w:b/>
          <w:noProof/>
          <w:sz w:val="20"/>
          <w:szCs w:val="20"/>
        </w:rPr>
        <w:t>, paragraphe 1, du statut.</w:t>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i/>
          <w:noProof/>
          <w:sz w:val="20"/>
          <w:szCs w:val="20"/>
        </w:rPr>
      </w:pPr>
      <w:r>
        <w:rPr>
          <w:rFonts w:ascii="Times New Roman" w:hAnsi="Times New Roman"/>
          <w:i/>
          <w:noProof/>
          <w:sz w:val="20"/>
          <w:szCs w:val="20"/>
        </w:rPr>
        <w:t>Article 43 – Rapport annuel sur la compétence, le rendement et la conduite dans le service</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Toutes les institutions ont arrêté des dispositions générales d’exécution relatives aux rapports annuels sur la compétence, le rendement et la conduite dans le service.</w:t>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i/>
          <w:noProof/>
          <w:sz w:val="20"/>
          <w:szCs w:val="20"/>
        </w:rPr>
      </w:pPr>
      <w:r>
        <w:rPr>
          <w:rFonts w:ascii="Times New Roman" w:hAnsi="Times New Roman"/>
          <w:i/>
          <w:noProof/>
          <w:sz w:val="20"/>
          <w:szCs w:val="20"/>
        </w:rPr>
        <w:t>Article 45, paragraphe 2 – Capacité à travailler dans une troisième langue avant la première promotion</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Toutes les institutions ont adopté des règles arrêtées d’un commun accord entre elles en vue de mettre en œuvre l’exigence selon laquelle les fonctionnaires sont tenus de démontrer, avant leur première promotion, leur capacité à travailler dans une troisième langue.</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i/>
          <w:noProof/>
          <w:sz w:val="20"/>
          <w:szCs w:val="20"/>
        </w:rPr>
      </w:pPr>
      <w:r>
        <w:rPr>
          <w:rFonts w:ascii="Times New Roman" w:hAnsi="Times New Roman"/>
          <w:i/>
          <w:noProof/>
          <w:sz w:val="20"/>
          <w:szCs w:val="20"/>
        </w:rPr>
        <w:t>Article 45 </w:t>
      </w:r>
      <w:r>
        <w:rPr>
          <w:rFonts w:ascii="Times New Roman" w:hAnsi="Times New Roman"/>
          <w:i/>
          <w:iCs/>
          <w:noProof/>
          <w:sz w:val="20"/>
          <w:szCs w:val="20"/>
        </w:rPr>
        <w:t>bis</w:t>
      </w:r>
      <w:r>
        <w:rPr>
          <w:rFonts w:ascii="Times New Roman" w:hAnsi="Times New Roman"/>
          <w:i/>
          <w:noProof/>
          <w:sz w:val="20"/>
          <w:szCs w:val="20"/>
        </w:rPr>
        <w:t>, paragraphe 5 – Nomination d’un fonctionnaire du groupe de fonctions AST à un emploi du groupe de fonctions AD</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 xml:space="preserve">Toutes les institutions ont arrêté des dispositions d’exécution concernant la possibilité de nommer un fonctionnaire du groupe de fonctions AST à un emploi du groupe de fonctions AD, la procédure dite de certification. </w:t>
      </w:r>
      <w:r>
        <w:rPr>
          <w:rFonts w:ascii="Times New Roman" w:hAnsi="Times New Roman"/>
          <w:b/>
          <w:noProof/>
          <w:sz w:val="20"/>
          <w:szCs w:val="20"/>
        </w:rPr>
        <w:t>Une institution</w:t>
      </w:r>
      <w:r>
        <w:rPr>
          <w:rStyle w:val="FootnoteReference"/>
          <w:rFonts w:ascii="Times New Roman" w:hAnsi="Times New Roman" w:cs="Times New Roman"/>
          <w:b/>
          <w:noProof/>
          <w:sz w:val="20"/>
          <w:szCs w:val="20"/>
        </w:rPr>
        <w:footnoteReference w:id="30"/>
      </w:r>
      <w:r>
        <w:rPr>
          <w:rFonts w:ascii="Times New Roman" w:hAnsi="Times New Roman"/>
          <w:b/>
          <w:noProof/>
          <w:sz w:val="20"/>
          <w:szCs w:val="20"/>
        </w:rPr>
        <w:t xml:space="preserve"> aurait toutefois choisi d’adopter ces règles sous la forme d’autres règles d’exécution, et non sous la forme de dispositions générales d’exécution, comme indiqué à l’article 45 </w:t>
      </w:r>
      <w:r>
        <w:rPr>
          <w:rFonts w:ascii="Times New Roman" w:hAnsi="Times New Roman"/>
          <w:b/>
          <w:i/>
          <w:iCs/>
          <w:noProof/>
          <w:sz w:val="20"/>
          <w:szCs w:val="20"/>
        </w:rPr>
        <w:t>bis</w:t>
      </w:r>
      <w:r>
        <w:rPr>
          <w:rFonts w:ascii="Times New Roman" w:hAnsi="Times New Roman"/>
          <w:b/>
          <w:noProof/>
          <w:sz w:val="20"/>
          <w:szCs w:val="20"/>
        </w:rPr>
        <w:t>, paragraphe 5, du statut.</w:t>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i/>
          <w:noProof/>
          <w:sz w:val="20"/>
          <w:szCs w:val="20"/>
        </w:rPr>
      </w:pPr>
      <w:r>
        <w:rPr>
          <w:rFonts w:ascii="Times New Roman" w:hAnsi="Times New Roman"/>
          <w:i/>
          <w:noProof/>
          <w:sz w:val="20"/>
          <w:szCs w:val="20"/>
        </w:rPr>
        <w:t>Article 51, paragraphe 1 – Procédures de traitement de l’insuffisance professionnelle</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Sept institutions</w:t>
      </w:r>
      <w:r>
        <w:rPr>
          <w:rStyle w:val="FootnoteReference"/>
          <w:rFonts w:ascii="Times New Roman" w:hAnsi="Times New Roman" w:cs="Times New Roman"/>
          <w:noProof/>
          <w:sz w:val="20"/>
          <w:szCs w:val="20"/>
        </w:rPr>
        <w:footnoteReference w:id="31"/>
      </w:r>
      <w:r>
        <w:rPr>
          <w:rFonts w:ascii="Times New Roman" w:hAnsi="Times New Roman"/>
          <w:noProof/>
          <w:sz w:val="20"/>
          <w:szCs w:val="20"/>
        </w:rPr>
        <w:t xml:space="preserve"> ont adopté des dispositions internes visant à détecter, gérer et résoudre les cas d’insuffisance professionnelle en temps utile et de manière appropriée.</w:t>
      </w:r>
    </w:p>
    <w:p>
      <w:pPr>
        <w:pBdr>
          <w:top w:val="dashSmallGap" w:sz="4" w:space="1" w:color="auto"/>
          <w:left w:val="dashSmallGap" w:sz="4" w:space="4" w:color="auto"/>
          <w:bottom w:val="dashSmallGap" w:sz="4" w:space="1" w:color="auto"/>
          <w:right w:val="dashSmallGap" w:sz="4" w:space="4" w:color="auto"/>
        </w:pBdr>
        <w:jc w:val="both"/>
        <w:rPr>
          <w:rFonts w:ascii="Times New Roman" w:hAnsi="Times New Roman" w:cs="Times New Roman"/>
          <w:noProof/>
          <w:sz w:val="24"/>
          <w:szCs w:val="24"/>
        </w:rPr>
      </w:pPr>
      <w:r>
        <w:rPr>
          <w:rFonts w:ascii="Times New Roman" w:hAnsi="Times New Roman"/>
          <w:noProof/>
          <w:sz w:val="24"/>
          <w:szCs w:val="24"/>
        </w:rPr>
        <w:t>Certaines institutions ont aussi adopté des règles d’exécution sur les sujets suivants abordés dans le titre III du statut: période de stage, nomination du personnel d’encadrement supérieur, encadrement intermédiaire, détachement, congé de convenance personnelle, congé familial, congé dans l’intérêt du service, avancement d’échelon, confirmation dans des postes d’encadrement, promotion, mise à la retraite et honorariat.</w:t>
      </w:r>
    </w:p>
    <w:p>
      <w:pPr>
        <w:jc w:val="both"/>
        <w:rPr>
          <w:rFonts w:ascii="Times New Roman" w:hAnsi="Times New Roman" w:cs="Times New Roman"/>
          <w:noProof/>
          <w:sz w:val="24"/>
          <w:szCs w:val="24"/>
        </w:rPr>
      </w:pPr>
      <w:r>
        <w:rPr>
          <w:rFonts w:ascii="Times New Roman" w:hAnsi="Times New Roman"/>
          <w:noProof/>
          <w:sz w:val="24"/>
          <w:szCs w:val="24"/>
        </w:rPr>
        <w:t>Au cours de la période 2017-2019, une institution a ajouté des règles d’exécution pour le titre III concernant le recrutement de personnel d’encadrement supérieur.</w:t>
      </w:r>
    </w:p>
    <w:p>
      <w:pPr>
        <w:jc w:val="center"/>
        <w:rPr>
          <w:rFonts w:ascii="Times New Roman" w:hAnsi="Times New Roman" w:cs="Times New Roman"/>
          <w:i/>
          <w:noProof/>
          <w:sz w:val="24"/>
          <w:szCs w:val="24"/>
          <w:u w:val="single"/>
        </w:rPr>
      </w:pPr>
      <w:r>
        <w:rPr>
          <w:rFonts w:ascii="Times New Roman" w:hAnsi="Times New Roman"/>
          <w:i/>
          <w:noProof/>
          <w:sz w:val="24"/>
          <w:szCs w:val="24"/>
          <w:u w:val="single"/>
        </w:rPr>
        <w:t>Titre IV – Des conditions de travail du fonctionnaire</w:t>
      </w:r>
      <w:r>
        <w:rPr>
          <w:rStyle w:val="FootnoteReference"/>
          <w:rFonts w:ascii="Times New Roman" w:hAnsi="Times New Roman" w:cs="Times New Roman"/>
          <w:i/>
          <w:noProof/>
          <w:sz w:val="24"/>
          <w:szCs w:val="24"/>
          <w:u w:val="single"/>
        </w:rPr>
        <w:footnoteReference w:id="32"/>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i/>
          <w:noProof/>
          <w:sz w:val="20"/>
          <w:szCs w:val="20"/>
        </w:rPr>
      </w:pPr>
      <w:r>
        <w:rPr>
          <w:rFonts w:ascii="Times New Roman" w:hAnsi="Times New Roman"/>
          <w:i/>
          <w:noProof/>
          <w:sz w:val="20"/>
          <w:szCs w:val="20"/>
        </w:rPr>
        <w:t>Article 55, paragraphe 3 – Astreintes</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0"/>
          <w:szCs w:val="20"/>
        </w:rPr>
      </w:pPr>
      <w:r>
        <w:rPr>
          <w:rFonts w:ascii="Times New Roman" w:hAnsi="Times New Roman"/>
          <w:b/>
          <w:noProof/>
          <w:sz w:val="20"/>
          <w:szCs w:val="20"/>
        </w:rPr>
        <w:t xml:space="preserve">Il s’avère qu’aucune institution n’a établi de modalités d’application des dispositions relatives aux astreintes. </w:t>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i/>
          <w:noProof/>
          <w:sz w:val="20"/>
          <w:szCs w:val="20"/>
        </w:rPr>
      </w:pPr>
      <w:r>
        <w:rPr>
          <w:rFonts w:ascii="Times New Roman" w:hAnsi="Times New Roman"/>
          <w:i/>
          <w:noProof/>
          <w:sz w:val="20"/>
          <w:szCs w:val="20"/>
        </w:rPr>
        <w:t>Article 55, paragraphe 4 – Durée du travail/mesures d’aménagement du temps de travail</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 xml:space="preserve">Toutes les institutions ont introduit des mesures d’aménagement du temps de travail. </w:t>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i/>
          <w:noProof/>
          <w:sz w:val="20"/>
          <w:szCs w:val="20"/>
        </w:rPr>
      </w:pPr>
      <w:r>
        <w:rPr>
          <w:rFonts w:ascii="Times New Roman" w:hAnsi="Times New Roman"/>
          <w:i/>
          <w:noProof/>
          <w:sz w:val="20"/>
          <w:szCs w:val="20"/>
        </w:rPr>
        <w:t>Article 55 </w:t>
      </w:r>
      <w:r>
        <w:rPr>
          <w:rFonts w:ascii="Times New Roman" w:hAnsi="Times New Roman"/>
          <w:i/>
          <w:iCs/>
          <w:noProof/>
          <w:sz w:val="20"/>
          <w:szCs w:val="20"/>
        </w:rPr>
        <w:t>bis</w:t>
      </w:r>
      <w:r>
        <w:rPr>
          <w:rFonts w:ascii="Times New Roman" w:hAnsi="Times New Roman"/>
          <w:i/>
          <w:noProof/>
          <w:sz w:val="20"/>
          <w:szCs w:val="20"/>
        </w:rPr>
        <w:t xml:space="preserve"> + annexe IV </w:t>
      </w:r>
      <w:r>
        <w:rPr>
          <w:rFonts w:ascii="Times New Roman" w:hAnsi="Times New Roman"/>
          <w:i/>
          <w:iCs/>
          <w:noProof/>
          <w:sz w:val="20"/>
          <w:szCs w:val="20"/>
        </w:rPr>
        <w:t>bis</w:t>
      </w:r>
      <w:r>
        <w:rPr>
          <w:rFonts w:ascii="Times New Roman" w:hAnsi="Times New Roman"/>
          <w:i/>
          <w:noProof/>
          <w:sz w:val="20"/>
          <w:szCs w:val="20"/>
        </w:rPr>
        <w:t>, article 5 – Activité à temps partiel</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Neuf institutions</w:t>
      </w:r>
      <w:r>
        <w:rPr>
          <w:rStyle w:val="FootnoteReference"/>
          <w:rFonts w:ascii="Times New Roman" w:hAnsi="Times New Roman" w:cs="Times New Roman"/>
          <w:noProof/>
          <w:sz w:val="20"/>
          <w:szCs w:val="20"/>
        </w:rPr>
        <w:footnoteReference w:id="33"/>
      </w:r>
      <w:r>
        <w:rPr>
          <w:rFonts w:ascii="Times New Roman" w:hAnsi="Times New Roman"/>
          <w:noProof/>
          <w:sz w:val="20"/>
          <w:szCs w:val="20"/>
        </w:rPr>
        <w:t xml:space="preserve"> ont établi des modalités d’application des dispositions relatives à l’activité à temps partiel. </w:t>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i/>
          <w:noProof/>
          <w:sz w:val="20"/>
          <w:szCs w:val="20"/>
        </w:rPr>
      </w:pPr>
      <w:r>
        <w:rPr>
          <w:rFonts w:ascii="Times New Roman" w:hAnsi="Times New Roman"/>
          <w:i/>
          <w:noProof/>
          <w:sz w:val="20"/>
          <w:szCs w:val="20"/>
        </w:rPr>
        <w:t>Article 55 </w:t>
      </w:r>
      <w:r>
        <w:rPr>
          <w:rFonts w:ascii="Times New Roman" w:hAnsi="Times New Roman"/>
          <w:i/>
          <w:iCs/>
          <w:noProof/>
          <w:sz w:val="20"/>
          <w:szCs w:val="20"/>
        </w:rPr>
        <w:t>ter</w:t>
      </w:r>
      <w:r>
        <w:rPr>
          <w:rFonts w:ascii="Times New Roman" w:hAnsi="Times New Roman"/>
          <w:i/>
          <w:noProof/>
          <w:sz w:val="20"/>
          <w:szCs w:val="20"/>
        </w:rPr>
        <w:t> – Emploi partagé</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Une institution</w:t>
      </w:r>
      <w:r>
        <w:rPr>
          <w:rStyle w:val="FootnoteReference"/>
          <w:rFonts w:ascii="Times New Roman" w:hAnsi="Times New Roman" w:cs="Times New Roman"/>
          <w:noProof/>
          <w:sz w:val="20"/>
          <w:szCs w:val="20"/>
        </w:rPr>
        <w:footnoteReference w:id="34"/>
      </w:r>
      <w:r>
        <w:rPr>
          <w:rFonts w:ascii="Times New Roman" w:hAnsi="Times New Roman"/>
          <w:noProof/>
          <w:sz w:val="20"/>
          <w:szCs w:val="20"/>
        </w:rPr>
        <w:t xml:space="preserve"> a établi des modalités d’application de l’article relatif à l’emploi partagé.</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i/>
          <w:noProof/>
          <w:sz w:val="20"/>
          <w:szCs w:val="20"/>
        </w:rPr>
      </w:pPr>
      <w:r>
        <w:rPr>
          <w:rFonts w:ascii="Times New Roman" w:hAnsi="Times New Roman"/>
          <w:i/>
          <w:noProof/>
          <w:sz w:val="20"/>
          <w:szCs w:val="20"/>
        </w:rPr>
        <w:t>Article 56 – Heures supplémentaires</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Huit institutions</w:t>
      </w:r>
      <w:r>
        <w:rPr>
          <w:rStyle w:val="FootnoteReference"/>
          <w:rFonts w:ascii="Times New Roman" w:hAnsi="Times New Roman" w:cs="Times New Roman"/>
          <w:noProof/>
          <w:sz w:val="20"/>
          <w:szCs w:val="20"/>
        </w:rPr>
        <w:footnoteReference w:id="35"/>
      </w:r>
      <w:r>
        <w:rPr>
          <w:rFonts w:ascii="Times New Roman" w:hAnsi="Times New Roman"/>
          <w:noProof/>
          <w:sz w:val="20"/>
          <w:szCs w:val="20"/>
        </w:rPr>
        <w:t xml:space="preserve"> ont fixé des règles relatives à la procédure concernant l’autorisation des heures supplémentaires ou aux modalités d’application de l’indemnité forfaitaire. </w:t>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i/>
          <w:noProof/>
          <w:sz w:val="20"/>
          <w:szCs w:val="20"/>
        </w:rPr>
      </w:pPr>
      <w:r>
        <w:rPr>
          <w:rFonts w:ascii="Times New Roman" w:hAnsi="Times New Roman"/>
          <w:i/>
          <w:noProof/>
          <w:sz w:val="20"/>
          <w:szCs w:val="20"/>
        </w:rPr>
        <w:t>Article 57 – Congé annuel</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b/>
          <w:noProof/>
          <w:sz w:val="20"/>
          <w:szCs w:val="20"/>
        </w:rPr>
        <w:t>Il s’avère que les institutions n’ont pas adopté de règles arrêtées d’un commun accord entre les institutions sur le congé annuel. En revanche, il s’avère que neuf institutions</w:t>
      </w:r>
      <w:r>
        <w:rPr>
          <w:rStyle w:val="FootnoteReference"/>
          <w:rFonts w:ascii="Times New Roman" w:hAnsi="Times New Roman" w:cs="Times New Roman"/>
          <w:b/>
          <w:noProof/>
          <w:sz w:val="20"/>
          <w:szCs w:val="20"/>
        </w:rPr>
        <w:footnoteReference w:id="36"/>
      </w:r>
      <w:r>
        <w:rPr>
          <w:rFonts w:ascii="Times New Roman" w:hAnsi="Times New Roman"/>
          <w:b/>
          <w:noProof/>
          <w:sz w:val="20"/>
          <w:szCs w:val="20"/>
        </w:rPr>
        <w:t xml:space="preserve"> ont adopté leurs propres règles sur ce sujet sous la forme d’autres règles d’exécution. </w:t>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i/>
          <w:noProof/>
          <w:sz w:val="20"/>
          <w:szCs w:val="20"/>
        </w:rPr>
      </w:pPr>
      <w:r>
        <w:rPr>
          <w:rFonts w:ascii="Times New Roman" w:hAnsi="Times New Roman"/>
          <w:i/>
          <w:noProof/>
          <w:sz w:val="20"/>
          <w:szCs w:val="20"/>
        </w:rPr>
        <w:t>Article 61 – Liste des jours fériés</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0"/>
          <w:szCs w:val="20"/>
        </w:rPr>
        <w:t>Toutes les institutions ont arrêté d’un commun accord une liste des jours fériés.</w:t>
      </w:r>
    </w:p>
    <w:p>
      <w:pPr>
        <w:pBdr>
          <w:top w:val="dashSmallGap" w:sz="4" w:space="1" w:color="auto"/>
          <w:left w:val="dashSmallGap" w:sz="4" w:space="4" w:color="auto"/>
          <w:bottom w:val="dashSmallGap" w:sz="4" w:space="1" w:color="auto"/>
          <w:right w:val="dashSmallGap" w:sz="4" w:space="4" w:color="auto"/>
        </w:pBdr>
        <w:jc w:val="both"/>
        <w:rPr>
          <w:rFonts w:ascii="Times New Roman" w:hAnsi="Times New Roman" w:cs="Times New Roman"/>
          <w:noProof/>
          <w:sz w:val="24"/>
          <w:szCs w:val="24"/>
        </w:rPr>
      </w:pPr>
      <w:r>
        <w:rPr>
          <w:rFonts w:ascii="Times New Roman" w:hAnsi="Times New Roman"/>
          <w:noProof/>
          <w:sz w:val="24"/>
          <w:szCs w:val="24"/>
        </w:rPr>
        <w:t>Quelques institutions ont aussi adopté des règles d’exécution sur les sujets suivants qui concernent le titre IV du statut: télétravail, congé de maternité, congé de maladie, procédure d’invalidité, visite médicale annuelle et absence.</w:t>
      </w:r>
    </w:p>
    <w:p>
      <w:pPr>
        <w:jc w:val="both"/>
        <w:rPr>
          <w:rFonts w:ascii="Times New Roman" w:hAnsi="Times New Roman" w:cs="Times New Roman"/>
          <w:noProof/>
          <w:sz w:val="24"/>
          <w:szCs w:val="24"/>
        </w:rPr>
      </w:pPr>
      <w:r>
        <w:rPr>
          <w:rFonts w:ascii="Times New Roman" w:hAnsi="Times New Roman"/>
          <w:noProof/>
          <w:sz w:val="24"/>
          <w:szCs w:val="24"/>
        </w:rPr>
        <w:t>Les sujets ajoutés par certaines institutions durant la période 2017-2019 concernaient notamment l’aménagement du temps de travail, le télétravail, le congé de maladie et l’absence.</w:t>
      </w:r>
    </w:p>
    <w:p>
      <w:pPr>
        <w:jc w:val="center"/>
        <w:rPr>
          <w:rFonts w:ascii="Times New Roman" w:hAnsi="Times New Roman" w:cs="Times New Roman"/>
          <w:i/>
          <w:noProof/>
          <w:sz w:val="24"/>
          <w:szCs w:val="24"/>
          <w:u w:val="single"/>
        </w:rPr>
      </w:pPr>
      <w:r>
        <w:rPr>
          <w:rFonts w:ascii="Times New Roman" w:hAnsi="Times New Roman"/>
          <w:i/>
          <w:noProof/>
          <w:sz w:val="24"/>
          <w:szCs w:val="24"/>
          <w:u w:val="single"/>
        </w:rPr>
        <w:t>Titre V – Du régime pécuniaire et des avantages sociaux du fonctionnaire</w:t>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i/>
          <w:noProof/>
          <w:sz w:val="20"/>
          <w:szCs w:val="20"/>
        </w:rPr>
      </w:pPr>
      <w:r>
        <w:rPr>
          <w:rFonts w:ascii="Times New Roman" w:hAnsi="Times New Roman"/>
          <w:i/>
          <w:noProof/>
          <w:sz w:val="20"/>
          <w:szCs w:val="20"/>
        </w:rPr>
        <w:t>Article 72, paragraphe 1 – Assurance maladie</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 xml:space="preserve">Toutes les institutions ont élaboré des règles arrêtées d’un commun accord ayant trait à l’assurance maladie. </w:t>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i/>
          <w:noProof/>
          <w:sz w:val="20"/>
          <w:szCs w:val="20"/>
        </w:rPr>
      </w:pPr>
      <w:r>
        <w:rPr>
          <w:rFonts w:ascii="Times New Roman" w:hAnsi="Times New Roman"/>
          <w:i/>
          <w:noProof/>
          <w:sz w:val="20"/>
          <w:szCs w:val="20"/>
        </w:rPr>
        <w:t>Article 72, paragraphe 1 – Remboursement des frais médicaux</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L’exercice de ce pouvoir lui ayant été confié par l’ensemble des institutions au titre de l’article 72, paragraphe 1, troisième alinéa, du statut, la Commission a adopté des règles régissant le remboursement des frais applicables dans toutes les institutions.</w:t>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i/>
          <w:noProof/>
          <w:sz w:val="20"/>
          <w:szCs w:val="20"/>
        </w:rPr>
      </w:pPr>
      <w:r>
        <w:rPr>
          <w:rFonts w:ascii="Times New Roman" w:hAnsi="Times New Roman"/>
          <w:i/>
          <w:noProof/>
          <w:sz w:val="20"/>
          <w:szCs w:val="20"/>
        </w:rPr>
        <w:t>Article 73, paragraphe 1 – Assurance contre les risques de maladie professionnelle et les risques d’accident</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Toutes les institutions ont élaboré des règles arrêtées d’un commun accord concernant l’assurance contre les risques de maladie professionnelle et les risques d’accident.</w:t>
      </w:r>
    </w:p>
    <w:p>
      <w:pPr>
        <w:pBdr>
          <w:top w:val="single" w:sz="4" w:space="1" w:color="auto"/>
          <w:left w:val="single" w:sz="4" w:space="4" w:color="auto"/>
          <w:bottom w:val="single" w:sz="4" w:space="1" w:color="auto"/>
          <w:right w:val="single" w:sz="4" w:space="4" w:color="auto"/>
        </w:pBdr>
        <w:rPr>
          <w:rFonts w:ascii="Times New Roman" w:hAnsi="Times New Roman" w:cs="Times New Roman"/>
          <w:i/>
          <w:noProof/>
          <w:sz w:val="20"/>
          <w:szCs w:val="20"/>
        </w:rPr>
      </w:pPr>
      <w:r>
        <w:rPr>
          <w:rFonts w:ascii="Times New Roman" w:hAnsi="Times New Roman"/>
          <w:i/>
          <w:noProof/>
          <w:sz w:val="20"/>
          <w:szCs w:val="20"/>
        </w:rPr>
        <w:t>Article 76 </w:t>
      </w:r>
      <w:r>
        <w:rPr>
          <w:rFonts w:ascii="Times New Roman" w:hAnsi="Times New Roman"/>
          <w:i/>
          <w:iCs/>
          <w:noProof/>
          <w:sz w:val="20"/>
          <w:szCs w:val="20"/>
        </w:rPr>
        <w:t>bis</w:t>
      </w:r>
      <w:r>
        <w:rPr>
          <w:rFonts w:ascii="Times New Roman" w:hAnsi="Times New Roman"/>
          <w:i/>
          <w:noProof/>
          <w:sz w:val="20"/>
          <w:szCs w:val="20"/>
        </w:rPr>
        <w:t> – Aide complétant la pension du conjoint survivant affecté d’une maladie grave ou prolongée ou souffrant d’un handicap</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Toutes les institutions ont fixé d’un commun accord des modalités d’application relatives à l’aide complétant la pension du conjoint survivant affecté d’une maladie grave ou prolongée ou souffrant d’un handicap.</w:t>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i/>
          <w:noProof/>
          <w:sz w:val="20"/>
          <w:szCs w:val="20"/>
        </w:rPr>
      </w:pPr>
      <w:r>
        <w:rPr>
          <w:rFonts w:ascii="Times New Roman" w:hAnsi="Times New Roman"/>
          <w:i/>
          <w:noProof/>
          <w:sz w:val="20"/>
          <w:szCs w:val="20"/>
        </w:rPr>
        <w:t>Annexe VII, article 3, paragraphe 1 – Allocation scolaire</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 xml:space="preserve">Toutes les institutions ont fixé des dispositions générales d’exécution relatives à l’allocation scolaire.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i/>
          <w:noProof/>
          <w:sz w:val="20"/>
          <w:szCs w:val="20"/>
        </w:rPr>
      </w:pPr>
      <w:r>
        <w:rPr>
          <w:rFonts w:ascii="Times New Roman" w:hAnsi="Times New Roman"/>
          <w:i/>
          <w:noProof/>
          <w:sz w:val="20"/>
          <w:szCs w:val="20"/>
        </w:rPr>
        <w:t>Annexe VII, article 9, paragraphe 1 – Frais de déménagement</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 xml:space="preserve">Toutes les institutions ont arrêté des dispositions d’exécution relatives aux frais de déménagement. </w:t>
      </w:r>
      <w:r>
        <w:rPr>
          <w:rFonts w:ascii="Times New Roman" w:hAnsi="Times New Roman"/>
          <w:b/>
          <w:noProof/>
          <w:sz w:val="20"/>
          <w:szCs w:val="20"/>
        </w:rPr>
        <w:t>Il s’avère qu’une institution</w:t>
      </w:r>
      <w:r>
        <w:rPr>
          <w:rStyle w:val="FootnoteReference"/>
          <w:rFonts w:ascii="Times New Roman" w:hAnsi="Times New Roman" w:cs="Times New Roman"/>
          <w:b/>
          <w:noProof/>
          <w:sz w:val="20"/>
          <w:szCs w:val="20"/>
        </w:rPr>
        <w:footnoteReference w:id="37"/>
      </w:r>
      <w:r>
        <w:rPr>
          <w:rFonts w:ascii="Times New Roman" w:hAnsi="Times New Roman"/>
          <w:b/>
          <w:noProof/>
          <w:sz w:val="20"/>
          <w:szCs w:val="20"/>
        </w:rPr>
        <w:t xml:space="preserve"> a néanmoins choisi d’adopter ces règles sous la forme d’autres règles d’exécution, et non sous la forme de dispositions générales d’exécution, comme indiqué à l’article 9, paragraphe 1, de l’annexe VII du statut.</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i/>
          <w:noProof/>
          <w:sz w:val="20"/>
          <w:szCs w:val="20"/>
        </w:rPr>
      </w:pPr>
      <w:r>
        <w:rPr>
          <w:rFonts w:ascii="Times New Roman" w:hAnsi="Times New Roman"/>
          <w:i/>
          <w:noProof/>
          <w:sz w:val="20"/>
          <w:szCs w:val="20"/>
        </w:rPr>
        <w:t>Annexe VII, article 13, paragraphe 2, point b) – Barème applicable aux missions dans des pays tiers</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Une institution</w:t>
      </w:r>
      <w:r>
        <w:rPr>
          <w:rStyle w:val="FootnoteReference"/>
          <w:rFonts w:ascii="Times New Roman" w:hAnsi="Times New Roman" w:cs="Times New Roman"/>
          <w:noProof/>
          <w:sz w:val="20"/>
          <w:szCs w:val="20"/>
        </w:rPr>
        <w:footnoteReference w:id="38"/>
      </w:r>
      <w:r>
        <w:rPr>
          <w:rFonts w:ascii="Times New Roman" w:hAnsi="Times New Roman"/>
          <w:noProof/>
          <w:sz w:val="20"/>
          <w:szCs w:val="20"/>
        </w:rPr>
        <w:t xml:space="preserve"> a fixé et adapté le barème des frais applicable aux missions dans des pays situés en dehors de l’Union européenne </w:t>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i/>
          <w:noProof/>
          <w:sz w:val="20"/>
          <w:szCs w:val="20"/>
        </w:rPr>
      </w:pPr>
      <w:r>
        <w:rPr>
          <w:rFonts w:ascii="Times New Roman" w:hAnsi="Times New Roman"/>
          <w:i/>
          <w:noProof/>
          <w:sz w:val="20"/>
          <w:szCs w:val="20"/>
        </w:rPr>
        <w:t>Annexe VII, article 13 </w:t>
      </w:r>
      <w:r>
        <w:rPr>
          <w:rFonts w:ascii="Times New Roman" w:hAnsi="Times New Roman"/>
          <w:i/>
          <w:iCs/>
          <w:noProof/>
          <w:sz w:val="20"/>
          <w:szCs w:val="20"/>
        </w:rPr>
        <w:t>bis</w:t>
      </w:r>
      <w:r>
        <w:rPr>
          <w:rFonts w:ascii="Times New Roman" w:hAnsi="Times New Roman"/>
          <w:i/>
          <w:noProof/>
          <w:sz w:val="20"/>
          <w:szCs w:val="20"/>
        </w:rPr>
        <w:t> – Frais de mission</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 xml:space="preserve">Toutes les institutions ont arrêté des dispositions générales d’exécution relatives aux frais de mission.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i/>
          <w:noProof/>
          <w:sz w:val="20"/>
          <w:szCs w:val="20"/>
        </w:rPr>
      </w:pPr>
      <w:r>
        <w:rPr>
          <w:rFonts w:ascii="Times New Roman" w:hAnsi="Times New Roman"/>
          <w:i/>
          <w:noProof/>
          <w:sz w:val="20"/>
          <w:szCs w:val="20"/>
        </w:rPr>
        <w:t>Annexe VII, article 14, paragraphe 2 – Indemnité de représentation</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Aucune institution n’a établi de modalités de remboursement des frais de représentation engagés occasionnellement.</w:t>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i/>
          <w:noProof/>
          <w:sz w:val="20"/>
          <w:szCs w:val="20"/>
        </w:rPr>
      </w:pPr>
      <w:r>
        <w:rPr>
          <w:rFonts w:ascii="Times New Roman" w:hAnsi="Times New Roman"/>
          <w:i/>
          <w:noProof/>
          <w:sz w:val="20"/>
          <w:szCs w:val="20"/>
        </w:rPr>
        <w:t>Annexe VII, article 17, paragraphe 2 – Transfert d’une partie de la rémunération</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 xml:space="preserve">Toutes les institutions ont adopté des règles arrêtées d’un commun accord sur le transfert régulier spécial d’une partie de la rémunération d’un fonctionnaire. </w:t>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i/>
          <w:noProof/>
          <w:sz w:val="20"/>
          <w:szCs w:val="20"/>
        </w:rPr>
      </w:pPr>
      <w:r>
        <w:rPr>
          <w:rFonts w:ascii="Times New Roman" w:hAnsi="Times New Roman"/>
          <w:i/>
          <w:noProof/>
          <w:sz w:val="20"/>
          <w:szCs w:val="20"/>
        </w:rPr>
        <w:t>Annexe VIII, article 11, paragraphe 2 – Transfert IN des droits à pension</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0"/>
          <w:szCs w:val="20"/>
        </w:rPr>
        <w:t xml:space="preserve">Neuf institutions ont adopté des dispositions générales d’exécution pour déterminer le nombre d’annuités qu’elles prennent en compte d’après le régime de pension de l’Union au titre de la période de service antérieur pour un fonctionnaire qui entre au service de l’Union après avoir cessé ses fonctions auprès d’une administration ou d’une organisation nationale ou internationale ou dans le cadre d’une activité salariée ou non salariée. </w:t>
      </w:r>
      <w:r>
        <w:rPr>
          <w:rFonts w:ascii="Times New Roman" w:hAnsi="Times New Roman"/>
          <w:b/>
          <w:noProof/>
          <w:sz w:val="20"/>
          <w:szCs w:val="20"/>
        </w:rPr>
        <w:t>Il s’avère qu’une institution</w:t>
      </w:r>
      <w:r>
        <w:rPr>
          <w:rStyle w:val="FootnoteReference"/>
          <w:rFonts w:ascii="Times New Roman" w:hAnsi="Times New Roman" w:cs="Times New Roman"/>
          <w:b/>
          <w:noProof/>
          <w:sz w:val="20"/>
          <w:szCs w:val="20"/>
        </w:rPr>
        <w:footnoteReference w:id="39"/>
      </w:r>
      <w:r>
        <w:rPr>
          <w:rFonts w:ascii="Times New Roman" w:hAnsi="Times New Roman"/>
          <w:b/>
          <w:noProof/>
          <w:sz w:val="20"/>
          <w:szCs w:val="20"/>
        </w:rPr>
        <w:t xml:space="preserve"> doit encore adopter des dispositions générales d’exécution conformément à l’article 11, paragraphe 2, de l’annexe VIII du statut.</w:t>
      </w:r>
    </w:p>
    <w:p>
      <w:pPr>
        <w:pBdr>
          <w:top w:val="dashSmallGap" w:sz="4" w:space="1" w:color="auto"/>
          <w:left w:val="dashSmallGap" w:sz="4" w:space="1" w:color="auto"/>
          <w:bottom w:val="dashSmallGap" w:sz="4" w:space="1" w:color="auto"/>
          <w:right w:val="dashSmallGap" w:sz="4" w:space="1" w:color="auto"/>
        </w:pBdr>
        <w:jc w:val="both"/>
        <w:rPr>
          <w:rFonts w:ascii="Times New Roman" w:hAnsi="Times New Roman" w:cs="Times New Roman"/>
          <w:noProof/>
          <w:sz w:val="24"/>
          <w:szCs w:val="24"/>
        </w:rPr>
      </w:pPr>
      <w:r>
        <w:rPr>
          <w:rFonts w:ascii="Times New Roman" w:hAnsi="Times New Roman"/>
          <w:noProof/>
          <w:sz w:val="24"/>
          <w:szCs w:val="24"/>
        </w:rPr>
        <w:t>La quasi-totalité des institutions ont aussi adopté des règles d’exécution sur les sujets suivants abordés dans le titre V du statut: allocations familiales, allocation de foyer par décision spéciale, personnes assimilées à un enfant à charge, allocation scolaire, frais de voyage annuels, lieu d’origine, frais de mission et de déplacement, transfert de droits à pension. Dans la grande majorité des cas, les institutions ont choisi d’arrêter des dispositions générales d’exécution sur ces sujets.</w:t>
      </w:r>
    </w:p>
    <w:p>
      <w:pPr>
        <w:pBdr>
          <w:top w:val="dashSmallGap" w:sz="4" w:space="1" w:color="auto"/>
          <w:left w:val="dashSmallGap" w:sz="4" w:space="1" w:color="auto"/>
          <w:bottom w:val="dashSmallGap" w:sz="4" w:space="1" w:color="auto"/>
          <w:right w:val="dashSmallGap" w:sz="4" w:space="1" w:color="auto"/>
        </w:pBdr>
        <w:jc w:val="both"/>
        <w:rPr>
          <w:rFonts w:ascii="Times New Roman" w:hAnsi="Times New Roman" w:cs="Times New Roman"/>
          <w:noProof/>
          <w:sz w:val="24"/>
          <w:szCs w:val="24"/>
        </w:rPr>
      </w:pPr>
      <w:r>
        <w:rPr>
          <w:rFonts w:ascii="Times New Roman" w:hAnsi="Times New Roman"/>
          <w:noProof/>
          <w:sz w:val="24"/>
          <w:szCs w:val="24"/>
        </w:rPr>
        <w:t>Quelques institutions ont également arrêté des règles d’exécution sur les prêts et avances, le calcul des droits à pension, la préretraite et l’allocation d’invalidité.</w:t>
      </w:r>
    </w:p>
    <w:p>
      <w:pPr>
        <w:jc w:val="both"/>
        <w:rPr>
          <w:rFonts w:ascii="Times New Roman" w:hAnsi="Times New Roman" w:cs="Times New Roman"/>
          <w:noProof/>
          <w:sz w:val="24"/>
          <w:szCs w:val="24"/>
        </w:rPr>
      </w:pPr>
      <w:r>
        <w:rPr>
          <w:rFonts w:ascii="Times New Roman" w:hAnsi="Times New Roman"/>
          <w:noProof/>
          <w:sz w:val="24"/>
          <w:szCs w:val="24"/>
        </w:rPr>
        <w:t>Les sujets ajoutés par certaines institutions durant la période 2017-2019 concernaient notamment l’allocation de foyer par décision spéciale, les personnes assimilées à un enfant à charge, les frais de mission et de déplacement, les prêts et avances et la préretraite.</w:t>
      </w:r>
    </w:p>
    <w:p>
      <w:pPr>
        <w:jc w:val="center"/>
        <w:rPr>
          <w:rFonts w:ascii="Times New Roman" w:hAnsi="Times New Roman" w:cs="Times New Roman"/>
          <w:i/>
          <w:noProof/>
          <w:sz w:val="24"/>
          <w:szCs w:val="24"/>
          <w:u w:val="single"/>
        </w:rPr>
      </w:pPr>
      <w:r>
        <w:rPr>
          <w:rFonts w:ascii="Times New Roman" w:hAnsi="Times New Roman"/>
          <w:i/>
          <w:noProof/>
          <w:sz w:val="24"/>
          <w:szCs w:val="24"/>
          <w:u w:val="single"/>
        </w:rPr>
        <w:t>Titre VI – Du régime disciplinaire</w:t>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i/>
          <w:noProof/>
          <w:sz w:val="20"/>
          <w:szCs w:val="20"/>
        </w:rPr>
      </w:pPr>
      <w:r>
        <w:rPr>
          <w:rFonts w:ascii="Times New Roman" w:hAnsi="Times New Roman"/>
          <w:i/>
          <w:noProof/>
          <w:sz w:val="20"/>
          <w:szCs w:val="20"/>
        </w:rPr>
        <w:t xml:space="preserve">Annexe IX, article 2, paragraphe 3 – Enquêtes administratives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 xml:space="preserve">Huit institutions ont arrêté des dispositions d’exécution concernant les enquêtes administratives sous la forme de dispositions générales d’exécution. </w:t>
      </w:r>
      <w:r>
        <w:rPr>
          <w:rFonts w:ascii="Times New Roman" w:hAnsi="Times New Roman"/>
          <w:b/>
          <w:noProof/>
          <w:sz w:val="20"/>
          <w:szCs w:val="20"/>
        </w:rPr>
        <w:t>Il s’avère que deux institutions</w:t>
      </w:r>
      <w:r>
        <w:rPr>
          <w:rStyle w:val="FootnoteReference"/>
          <w:rFonts w:ascii="Times New Roman" w:hAnsi="Times New Roman" w:cs="Times New Roman"/>
          <w:b/>
          <w:noProof/>
          <w:sz w:val="20"/>
          <w:szCs w:val="20"/>
        </w:rPr>
        <w:footnoteReference w:id="40"/>
      </w:r>
      <w:r>
        <w:rPr>
          <w:rFonts w:ascii="Times New Roman" w:hAnsi="Times New Roman"/>
          <w:b/>
          <w:noProof/>
          <w:sz w:val="20"/>
          <w:szCs w:val="20"/>
        </w:rPr>
        <w:t xml:space="preserve"> doivent encore adopter les dispositions générales d’exécution correspondantes conformément à l’article 2, paragraphe 3, de l’annexe IX du statut.</w:t>
      </w:r>
      <w:r>
        <w:rPr>
          <w:rFonts w:ascii="Times New Roman" w:hAnsi="Times New Roman"/>
          <w:noProof/>
          <w:sz w:val="20"/>
          <w:szCs w:val="20"/>
        </w:rPr>
        <w:t xml:space="preserve">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i/>
          <w:noProof/>
          <w:sz w:val="20"/>
          <w:szCs w:val="20"/>
        </w:rPr>
      </w:pPr>
      <w:r>
        <w:rPr>
          <w:rFonts w:ascii="Times New Roman" w:hAnsi="Times New Roman"/>
          <w:i/>
          <w:noProof/>
          <w:sz w:val="20"/>
          <w:szCs w:val="20"/>
        </w:rPr>
        <w:t>Annexe IX, article 30 – Procédure disciplinaire</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i/>
          <w:noProof/>
          <w:sz w:val="24"/>
          <w:szCs w:val="24"/>
          <w:u w:val="single"/>
        </w:rPr>
      </w:pPr>
      <w:r>
        <w:rPr>
          <w:rFonts w:ascii="Times New Roman" w:hAnsi="Times New Roman"/>
          <w:noProof/>
          <w:sz w:val="20"/>
          <w:szCs w:val="20"/>
        </w:rPr>
        <w:t>Huit institutions</w:t>
      </w:r>
      <w:r>
        <w:rPr>
          <w:rStyle w:val="FootnoteReference"/>
          <w:rFonts w:ascii="Times New Roman" w:hAnsi="Times New Roman" w:cs="Times New Roman"/>
          <w:noProof/>
          <w:sz w:val="20"/>
          <w:szCs w:val="20"/>
        </w:rPr>
        <w:footnoteReference w:id="41"/>
      </w:r>
      <w:r>
        <w:rPr>
          <w:rFonts w:ascii="Times New Roman" w:hAnsi="Times New Roman"/>
          <w:noProof/>
          <w:sz w:val="20"/>
          <w:szCs w:val="20"/>
        </w:rPr>
        <w:t xml:space="preserve"> ont arrêté des dispositions d’exécution concernant la procédure disciplinaire plus généralement.</w:t>
      </w:r>
    </w:p>
    <w:p>
      <w:pPr>
        <w:spacing w:before="240"/>
        <w:jc w:val="center"/>
        <w:rPr>
          <w:rFonts w:ascii="Times New Roman" w:hAnsi="Times New Roman" w:cs="Times New Roman"/>
          <w:i/>
          <w:noProof/>
          <w:sz w:val="24"/>
          <w:szCs w:val="24"/>
          <w:u w:val="single"/>
        </w:rPr>
      </w:pPr>
      <w:r>
        <w:rPr>
          <w:rFonts w:ascii="Times New Roman" w:hAnsi="Times New Roman"/>
          <w:i/>
          <w:noProof/>
          <w:sz w:val="24"/>
          <w:szCs w:val="24"/>
          <w:u w:val="single"/>
        </w:rPr>
        <w:t>Titre VII – Des voies de recours</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i/>
          <w:noProof/>
          <w:sz w:val="20"/>
          <w:szCs w:val="20"/>
        </w:rPr>
      </w:pPr>
      <w:r>
        <w:rPr>
          <w:rFonts w:ascii="Times New Roman" w:hAnsi="Times New Roman"/>
          <w:i/>
          <w:noProof/>
          <w:sz w:val="20"/>
          <w:szCs w:val="20"/>
        </w:rPr>
        <w:t>Article 90 et article 91 – Voies de recours</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Une institution</w:t>
      </w:r>
      <w:r>
        <w:rPr>
          <w:rStyle w:val="FootnoteReference"/>
          <w:rFonts w:ascii="Times New Roman" w:hAnsi="Times New Roman" w:cs="Times New Roman"/>
          <w:noProof/>
          <w:sz w:val="20"/>
          <w:szCs w:val="20"/>
        </w:rPr>
        <w:footnoteReference w:id="42"/>
      </w:r>
      <w:r>
        <w:rPr>
          <w:rFonts w:ascii="Times New Roman" w:hAnsi="Times New Roman"/>
          <w:noProof/>
          <w:sz w:val="20"/>
          <w:szCs w:val="20"/>
        </w:rPr>
        <w:t xml:space="preserve"> a adopté des règles d’exécution sur les réclamations et les recours au sens des articles 90 et 91 du statut. Une institution</w:t>
      </w:r>
      <w:r>
        <w:rPr>
          <w:rStyle w:val="FootnoteReference"/>
          <w:rFonts w:ascii="Times New Roman" w:hAnsi="Times New Roman" w:cs="Times New Roman"/>
          <w:noProof/>
          <w:sz w:val="20"/>
          <w:szCs w:val="20"/>
        </w:rPr>
        <w:footnoteReference w:id="43"/>
      </w:r>
      <w:r>
        <w:rPr>
          <w:rFonts w:ascii="Times New Roman" w:hAnsi="Times New Roman"/>
          <w:noProof/>
          <w:sz w:val="20"/>
          <w:szCs w:val="20"/>
        </w:rPr>
        <w:t xml:space="preserve"> a adopté des règles d’exécution sur les enquêtes concernant les jurys EPSO.</w:t>
      </w:r>
    </w:p>
    <w:p>
      <w:pPr>
        <w:jc w:val="center"/>
        <w:rPr>
          <w:rFonts w:ascii="Times New Roman" w:hAnsi="Times New Roman" w:cs="Times New Roman"/>
          <w:i/>
          <w:noProof/>
          <w:sz w:val="24"/>
          <w:szCs w:val="24"/>
          <w:u w:val="single"/>
        </w:rPr>
      </w:pPr>
      <w:r>
        <w:rPr>
          <w:rFonts w:ascii="Times New Roman" w:hAnsi="Times New Roman"/>
          <w:i/>
          <w:noProof/>
          <w:sz w:val="24"/>
          <w:szCs w:val="24"/>
          <w:u w:val="single"/>
        </w:rPr>
        <w:t>Titre VIII </w:t>
      </w:r>
      <w:r>
        <w:rPr>
          <w:rFonts w:ascii="Times New Roman" w:hAnsi="Times New Roman"/>
          <w:i/>
          <w:iCs/>
          <w:noProof/>
          <w:sz w:val="24"/>
          <w:szCs w:val="24"/>
          <w:u w:val="single"/>
        </w:rPr>
        <w:t>bis</w:t>
      </w:r>
      <w:r>
        <w:rPr>
          <w:rFonts w:ascii="Times New Roman" w:hAnsi="Times New Roman"/>
          <w:i/>
          <w:noProof/>
          <w:sz w:val="24"/>
          <w:szCs w:val="24"/>
          <w:u w:val="single"/>
        </w:rPr>
        <w:t xml:space="preserve"> – Dispositions particulières applicables au SEAE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i/>
          <w:noProof/>
          <w:sz w:val="20"/>
          <w:szCs w:val="20"/>
        </w:rPr>
      </w:pPr>
      <w:r>
        <w:rPr>
          <w:rFonts w:ascii="Times New Roman" w:hAnsi="Times New Roman"/>
          <w:i/>
          <w:noProof/>
          <w:sz w:val="20"/>
          <w:szCs w:val="20"/>
        </w:rPr>
        <w:t xml:space="preserve">Article 96 – Fonctionnaires de la Commission travaillant dans une délégation de l’Union et fonctionnaires du SEAE qui doivent accomplir des tâches pour la Commission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 xml:space="preserve">La Commission et le SEAE sont convenus des mesures d’exécution détaillées sur le fait qu’un fonctionnaire de la Commission travaillant dans une délégation de l’Union doit suivre les instructions du chef de délégation et un fonctionnaire du SEAE qui doit accomplir des tâches pour la Commission doit suivre les instructions de cette dernière. </w:t>
      </w:r>
    </w:p>
    <w:p>
      <w:pPr>
        <w:jc w:val="center"/>
        <w:rPr>
          <w:rFonts w:ascii="Times New Roman" w:hAnsi="Times New Roman" w:cs="Times New Roman"/>
          <w:i/>
          <w:noProof/>
          <w:sz w:val="24"/>
          <w:szCs w:val="24"/>
          <w:u w:val="single"/>
        </w:rPr>
      </w:pPr>
      <w:r>
        <w:rPr>
          <w:rFonts w:ascii="Times New Roman" w:hAnsi="Times New Roman"/>
          <w:i/>
          <w:noProof/>
          <w:sz w:val="24"/>
          <w:szCs w:val="24"/>
          <w:u w:val="single"/>
        </w:rPr>
        <w:t>Titre VIII </w:t>
      </w:r>
      <w:r>
        <w:rPr>
          <w:rFonts w:ascii="Times New Roman" w:hAnsi="Times New Roman"/>
          <w:i/>
          <w:iCs/>
          <w:noProof/>
          <w:sz w:val="24"/>
          <w:szCs w:val="24"/>
          <w:u w:val="single"/>
        </w:rPr>
        <w:t>ter</w:t>
      </w:r>
      <w:r>
        <w:rPr>
          <w:rFonts w:ascii="Times New Roman" w:hAnsi="Times New Roman"/>
          <w:i/>
          <w:noProof/>
          <w:sz w:val="24"/>
          <w:szCs w:val="24"/>
          <w:u w:val="single"/>
        </w:rPr>
        <w:t xml:space="preserve"> – Des dispositions particulières et dérogatoires applicables aux fonctionnaires affectés dans un pays tiers </w:t>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i/>
          <w:noProof/>
          <w:sz w:val="20"/>
          <w:szCs w:val="20"/>
        </w:rPr>
      </w:pPr>
      <w:r>
        <w:rPr>
          <w:rFonts w:ascii="Times New Roman" w:hAnsi="Times New Roman"/>
          <w:i/>
          <w:noProof/>
          <w:sz w:val="20"/>
          <w:szCs w:val="20"/>
        </w:rPr>
        <w:t>Annexe X, article 1</w:t>
      </w:r>
      <w:r>
        <w:rPr>
          <w:rFonts w:ascii="Times New Roman" w:hAnsi="Times New Roman"/>
          <w:i/>
          <w:noProof/>
          <w:sz w:val="20"/>
          <w:szCs w:val="20"/>
          <w:vertAlign w:val="superscript"/>
        </w:rPr>
        <w:t>er</w:t>
      </w:r>
      <w:r>
        <w:rPr>
          <w:rFonts w:ascii="Times New Roman" w:hAnsi="Times New Roman"/>
          <w:i/>
          <w:noProof/>
          <w:sz w:val="20"/>
          <w:szCs w:val="20"/>
        </w:rPr>
        <w:t>, paragraphe 3 – Fonctionnaires affectés dans un pays tiers</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La Commission et le SEAE ont arrêté des dispositions générales d’exécution applicables aux fonctionnaires de l’Union européenne affectés dans un pays tiers. La Cour de justice a précisé dans sa jurisprudence que le statut n’obligeait pas les institutions à adopter des dispositions générales d’exécution en ce qui concerne l’annexe X du statut. Cependant, si une institution décide de le faire, il convient de suivre la procédure prévue à l’article 110 du statut (c’est-à-dire l’adoption par voie de dispositions générales d’exécution)</w:t>
      </w:r>
      <w:r>
        <w:rPr>
          <w:rStyle w:val="FootnoteReference"/>
          <w:rFonts w:ascii="Times New Roman" w:hAnsi="Times New Roman" w:cs="Times New Roman"/>
          <w:noProof/>
          <w:sz w:val="20"/>
          <w:szCs w:val="20"/>
        </w:rPr>
        <w:footnoteReference w:id="44"/>
      </w:r>
      <w:r>
        <w:rPr>
          <w:rFonts w:ascii="Times New Roman" w:hAnsi="Times New Roman"/>
          <w:noProof/>
          <w:sz w:val="20"/>
          <w:szCs w:val="20"/>
        </w:rPr>
        <w:t xml:space="preserve">.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i/>
          <w:noProof/>
          <w:sz w:val="20"/>
          <w:szCs w:val="20"/>
        </w:rPr>
      </w:pPr>
      <w:r>
        <w:rPr>
          <w:rFonts w:ascii="Times New Roman" w:hAnsi="Times New Roman"/>
          <w:i/>
          <w:noProof/>
          <w:sz w:val="20"/>
          <w:szCs w:val="20"/>
        </w:rPr>
        <w:t>Annexe X, article 2 – Mobilité des fonctionnaires affectés dans un pays tiers</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 xml:space="preserve">Seule la Commission a fixé des modalités concernant la mobilité des fonctionnaires suivant une procédure spécifique dénommée «procédure de mobilité».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i/>
          <w:noProof/>
          <w:sz w:val="20"/>
          <w:szCs w:val="20"/>
        </w:rPr>
      </w:pPr>
      <w:r>
        <w:rPr>
          <w:rFonts w:ascii="Times New Roman" w:hAnsi="Times New Roman"/>
          <w:i/>
          <w:noProof/>
          <w:sz w:val="20"/>
          <w:szCs w:val="20"/>
        </w:rPr>
        <w:t>Annexe X, article 3 – Application exceptionnelle de l’annexe X aux fonctionnaires temporairement réaffectés au siège</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0"/>
          <w:szCs w:val="20"/>
        </w:rPr>
      </w:pPr>
      <w:r>
        <w:rPr>
          <w:rFonts w:ascii="Times New Roman" w:hAnsi="Times New Roman"/>
          <w:b/>
          <w:noProof/>
          <w:sz w:val="20"/>
          <w:szCs w:val="20"/>
        </w:rPr>
        <w:t>Les institutions n’ont pas adopté de dispositions générales d’exécution sur l’application exceptionnelle de l’annexe X du statut aux fonctionnaires qui sont temporairement réaffectés au siège. Cependant, au moment de l’élaboration du présent rapport, la Commission et le SEAE étaient en passe d’adopter des dispositions générales d’exécution à cet égard.</w:t>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i/>
          <w:noProof/>
          <w:sz w:val="20"/>
          <w:szCs w:val="20"/>
        </w:rPr>
      </w:pPr>
      <w:r>
        <w:rPr>
          <w:rFonts w:ascii="Times New Roman" w:hAnsi="Times New Roman"/>
          <w:i/>
          <w:noProof/>
          <w:sz w:val="20"/>
          <w:szCs w:val="20"/>
        </w:rPr>
        <w:t>Annexe X, article 5, paragraphe 2 – Logement des fonctionnaires affectés dans un pays tiers</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 xml:space="preserve">La Commission et le SEAE ont fixé des modalités d’application sur la mise à disposition d’un logement au fonctionnaire. </w:t>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i/>
          <w:noProof/>
          <w:sz w:val="20"/>
          <w:szCs w:val="20"/>
        </w:rPr>
      </w:pPr>
      <w:r>
        <w:rPr>
          <w:rFonts w:ascii="Times New Roman" w:hAnsi="Times New Roman"/>
          <w:i/>
          <w:noProof/>
          <w:sz w:val="20"/>
          <w:szCs w:val="20"/>
        </w:rPr>
        <w:t>Annexe X, article 10, paragraphe 3 – Indemnité de conditions de vie</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 xml:space="preserve">La Commission et le SEAE ont adopté des modalités d’application concernant l’indemnité de conditions de vie. </w:t>
      </w:r>
    </w:p>
    <w:p>
      <w:pP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i/>
          <w:noProof/>
          <w:sz w:val="20"/>
          <w:szCs w:val="20"/>
        </w:rPr>
      </w:pPr>
      <w:r>
        <w:rPr>
          <w:rFonts w:ascii="Times New Roman" w:hAnsi="Times New Roman"/>
          <w:i/>
          <w:noProof/>
          <w:sz w:val="20"/>
          <w:szCs w:val="20"/>
        </w:rPr>
        <w:t>Annexe X, article 23 – Remboursement du montant du loyer des fonctionnaires affectés dans un pays tiers</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 xml:space="preserve">La Commission et le SEAE ont fixé des modalités d’application concernant une indemnité de logement ou le remboursement du montant du loyer. </w:t>
      </w:r>
    </w:p>
    <w:p>
      <w:pPr>
        <w:pBdr>
          <w:top w:val="dashSmallGap" w:sz="4" w:space="1" w:color="auto"/>
          <w:left w:val="dashSmallGap" w:sz="4" w:space="4" w:color="auto"/>
          <w:bottom w:val="dashSmallGap" w:sz="4" w:space="1" w:color="auto"/>
          <w:right w:val="dashSmallGap" w:sz="4" w:space="4" w:color="auto"/>
        </w:pBdr>
        <w:jc w:val="both"/>
        <w:rPr>
          <w:rFonts w:ascii="Times New Roman" w:hAnsi="Times New Roman" w:cs="Times New Roman"/>
          <w:noProof/>
          <w:sz w:val="24"/>
          <w:szCs w:val="24"/>
        </w:rPr>
      </w:pPr>
      <w:r>
        <w:rPr>
          <w:rFonts w:ascii="Times New Roman" w:hAnsi="Times New Roman"/>
          <w:noProof/>
          <w:sz w:val="24"/>
          <w:szCs w:val="24"/>
        </w:rPr>
        <w:t>La Commission et le SEAE ont également arrêté des règles d’exécution sur les sujets suivants abordés dans le titre VIII </w:t>
      </w:r>
      <w:r>
        <w:rPr>
          <w:rFonts w:ascii="Times New Roman" w:hAnsi="Times New Roman"/>
          <w:i/>
          <w:iCs/>
          <w:noProof/>
          <w:sz w:val="24"/>
          <w:szCs w:val="24"/>
        </w:rPr>
        <w:t>ter</w:t>
      </w:r>
      <w:r>
        <w:rPr>
          <w:rFonts w:ascii="Times New Roman" w:hAnsi="Times New Roman"/>
          <w:noProof/>
          <w:sz w:val="24"/>
          <w:szCs w:val="24"/>
        </w:rPr>
        <w:t xml:space="preserve"> du statut et l’annexe X: congé de détente, monnaie et coefficient correcteur, remboursement des fonctionnaires affectés dans un pays tiers, mobilité des agents contractuels du SEAE, indemnité de logement provisoire et frais de transport, assurance maladie et couverture des risques d’accident.</w:t>
      </w:r>
    </w:p>
    <w:p>
      <w:pPr>
        <w:jc w:val="both"/>
        <w:rPr>
          <w:rFonts w:ascii="Times New Roman" w:hAnsi="Times New Roman" w:cs="Times New Roman"/>
          <w:noProof/>
          <w:sz w:val="24"/>
          <w:szCs w:val="24"/>
        </w:rPr>
      </w:pPr>
      <w:r>
        <w:rPr>
          <w:rFonts w:ascii="Times New Roman" w:hAnsi="Times New Roman"/>
          <w:noProof/>
          <w:sz w:val="24"/>
          <w:szCs w:val="24"/>
        </w:rPr>
        <w:t xml:space="preserve">Aucun nouveau sujet n’a été ajouté par les institutions à ce titre au cours de la période 2017-2019. </w:t>
      </w:r>
    </w:p>
    <w:p>
      <w:pPr>
        <w:jc w:val="center"/>
        <w:rPr>
          <w:rFonts w:ascii="Times New Roman" w:hAnsi="Times New Roman" w:cs="Times New Roman"/>
          <w:b/>
          <w:i/>
          <w:noProof/>
          <w:sz w:val="28"/>
          <w:szCs w:val="28"/>
        </w:rPr>
      </w:pPr>
      <w:r>
        <w:rPr>
          <w:rFonts w:ascii="Times New Roman" w:hAnsi="Times New Roman"/>
          <w:b/>
          <w:i/>
          <w:noProof/>
          <w:sz w:val="28"/>
          <w:szCs w:val="28"/>
        </w:rPr>
        <w:t>Régime applicable aux autres agents</w:t>
      </w:r>
    </w:p>
    <w:p>
      <w:pPr>
        <w:jc w:val="center"/>
        <w:rPr>
          <w:rFonts w:ascii="Times New Roman" w:hAnsi="Times New Roman" w:cs="Times New Roman"/>
          <w:i/>
          <w:noProof/>
          <w:sz w:val="24"/>
          <w:szCs w:val="24"/>
          <w:u w:val="single"/>
        </w:rPr>
      </w:pPr>
      <w:r>
        <w:rPr>
          <w:rFonts w:ascii="Times New Roman" w:hAnsi="Times New Roman"/>
          <w:i/>
          <w:noProof/>
          <w:sz w:val="24"/>
          <w:szCs w:val="24"/>
          <w:u w:val="single"/>
        </w:rPr>
        <w:t>Titre II – Des agents temporaires</w:t>
      </w:r>
    </w:p>
    <w:p>
      <w:pPr>
        <w:pBdr>
          <w:top w:val="single" w:sz="4" w:space="1" w:color="auto"/>
          <w:left w:val="single" w:sz="4" w:space="4" w:color="auto"/>
          <w:bottom w:val="single" w:sz="4" w:space="1" w:color="auto"/>
          <w:right w:val="single" w:sz="4" w:space="4" w:color="auto"/>
        </w:pBdr>
        <w:rPr>
          <w:rFonts w:ascii="Times New Roman" w:hAnsi="Times New Roman" w:cs="Times New Roman"/>
          <w:i/>
          <w:noProof/>
          <w:sz w:val="20"/>
          <w:szCs w:val="20"/>
        </w:rPr>
      </w:pPr>
      <w:r>
        <w:rPr>
          <w:rFonts w:ascii="Times New Roman" w:hAnsi="Times New Roman"/>
          <w:i/>
          <w:noProof/>
          <w:sz w:val="20"/>
          <w:szCs w:val="20"/>
        </w:rPr>
        <w:t>Article 12, paragraphe 1, troisième alinéa – Mesures appropriées en cas de constat d’un déséquilibre important entre nationalités parmi les agents temporaires</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L’article 12, paragraphe 1, troisième alinéa, permet à chaque institution d’adopter des mesures appropriées si elle constate un déséquilibre important entre nationalités parmi les agents temporaires, qui ne se justifie pas par des critères objectifs. Ces mesures appropriées doivent être justifiées et ne peuvent jamais se traduire par des critères de recrutement autres que ceux fondés sur le mérite. Avant l’adoption de telles mesures appropriées, l’autorité habilitée à conclure des contrats d’engagement arrête les dispositions générales d’exécution. Au moment de la finalisation du présent rapport, aucune institution n’avait encore adopté de telles dispositions d’exécution.</w:t>
      </w:r>
    </w:p>
    <w:p>
      <w:pPr>
        <w:pBdr>
          <w:top w:val="single" w:sz="4" w:space="1" w:color="auto"/>
          <w:left w:val="single" w:sz="4" w:space="4" w:color="auto"/>
          <w:bottom w:val="single" w:sz="4" w:space="1" w:color="auto"/>
          <w:right w:val="single" w:sz="4" w:space="4" w:color="auto"/>
        </w:pBdr>
        <w:ind w:left="2160" w:hanging="2160"/>
        <w:jc w:val="both"/>
        <w:rPr>
          <w:rFonts w:ascii="Times New Roman" w:hAnsi="Times New Roman" w:cs="Times New Roman"/>
          <w:i/>
          <w:noProof/>
          <w:sz w:val="20"/>
          <w:szCs w:val="20"/>
        </w:rPr>
      </w:pPr>
      <w:r>
        <w:rPr>
          <w:rFonts w:ascii="Times New Roman" w:hAnsi="Times New Roman"/>
          <w:i/>
          <w:noProof/>
          <w:sz w:val="20"/>
          <w:szCs w:val="20"/>
        </w:rPr>
        <w:t>Article 12, paragraphe 5 – Procédures de recrutement du personnel temporaire</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Cinq institutions</w:t>
      </w:r>
      <w:r>
        <w:rPr>
          <w:rStyle w:val="FootnoteReference"/>
          <w:rFonts w:ascii="Times New Roman" w:hAnsi="Times New Roman" w:cs="Times New Roman"/>
          <w:noProof/>
          <w:sz w:val="20"/>
          <w:szCs w:val="20"/>
        </w:rPr>
        <w:footnoteReference w:id="45"/>
      </w:r>
      <w:r>
        <w:rPr>
          <w:rFonts w:ascii="Times New Roman" w:hAnsi="Times New Roman"/>
          <w:noProof/>
          <w:sz w:val="20"/>
          <w:szCs w:val="20"/>
        </w:rPr>
        <w:t xml:space="preserve"> ont adopté des dispositions d’exécution concernant les procédures de recrutement du personnel temporaire. </w:t>
      </w:r>
      <w:r>
        <w:rPr>
          <w:rFonts w:ascii="Times New Roman" w:hAnsi="Times New Roman"/>
          <w:b/>
          <w:noProof/>
          <w:sz w:val="20"/>
          <w:szCs w:val="20"/>
        </w:rPr>
        <w:t>Il s’avère que deux institutions</w:t>
      </w:r>
      <w:r>
        <w:rPr>
          <w:rStyle w:val="FootnoteReference"/>
          <w:rFonts w:ascii="Times New Roman" w:hAnsi="Times New Roman" w:cs="Times New Roman"/>
          <w:b/>
          <w:noProof/>
          <w:sz w:val="20"/>
          <w:szCs w:val="20"/>
        </w:rPr>
        <w:footnoteReference w:id="46"/>
      </w:r>
      <w:r>
        <w:rPr>
          <w:rFonts w:ascii="Times New Roman" w:hAnsi="Times New Roman"/>
          <w:b/>
          <w:noProof/>
          <w:sz w:val="20"/>
          <w:szCs w:val="20"/>
        </w:rPr>
        <w:t xml:space="preserve"> sur cinq ont néanmoins choisi d’adopter ces règles sous la forme d’autres règles d’exécution, et non sous la forme de dispositions générales d’exécution, comme indiqué à l’article 12, paragraphe 5, du RAA. </w:t>
      </w:r>
    </w:p>
    <w:p>
      <w:pPr>
        <w:pBdr>
          <w:top w:val="single" w:sz="4" w:space="1" w:color="auto"/>
          <w:left w:val="single" w:sz="4" w:space="4" w:color="auto"/>
          <w:bottom w:val="single" w:sz="4" w:space="1" w:color="auto"/>
          <w:right w:val="single" w:sz="4" w:space="4" w:color="auto"/>
        </w:pBdr>
        <w:ind w:left="2160" w:hanging="2160"/>
        <w:jc w:val="both"/>
        <w:rPr>
          <w:rFonts w:ascii="Times New Roman" w:hAnsi="Times New Roman" w:cs="Times New Roman"/>
          <w:i/>
          <w:noProof/>
          <w:sz w:val="20"/>
          <w:szCs w:val="20"/>
        </w:rPr>
      </w:pPr>
      <w:r>
        <w:rPr>
          <w:rFonts w:ascii="Times New Roman" w:hAnsi="Times New Roman"/>
          <w:i/>
          <w:noProof/>
          <w:sz w:val="20"/>
          <w:szCs w:val="20"/>
        </w:rPr>
        <w:t>Article 28 </w:t>
      </w:r>
      <w:r>
        <w:rPr>
          <w:rFonts w:ascii="Times New Roman" w:hAnsi="Times New Roman"/>
          <w:i/>
          <w:iCs/>
          <w:noProof/>
          <w:sz w:val="20"/>
          <w:szCs w:val="20"/>
        </w:rPr>
        <w:t>bis</w:t>
      </w:r>
      <w:r>
        <w:rPr>
          <w:rFonts w:ascii="Times New Roman" w:hAnsi="Times New Roman"/>
          <w:i/>
          <w:noProof/>
          <w:sz w:val="20"/>
          <w:szCs w:val="20"/>
        </w:rPr>
        <w:t>, paragraphe 2 – Dispositions relatives à l’octroi d’une allocation de chômage aux agents temporaires</w:t>
      </w:r>
    </w:p>
    <w:p>
      <w:pPr>
        <w:pBdr>
          <w:top w:val="single" w:sz="4" w:space="1" w:color="auto"/>
          <w:left w:val="single" w:sz="4" w:space="4" w:color="auto"/>
          <w:bottom w:val="single" w:sz="4" w:space="1" w:color="auto"/>
          <w:right w:val="single" w:sz="4" w:space="4" w:color="auto"/>
        </w:pBdr>
        <w:ind w:left="2160" w:hanging="2160"/>
        <w:jc w:val="both"/>
        <w:rPr>
          <w:rFonts w:ascii="Times New Roman" w:hAnsi="Times New Roman" w:cs="Times New Roman"/>
          <w:noProof/>
          <w:sz w:val="20"/>
          <w:szCs w:val="20"/>
        </w:rPr>
      </w:pPr>
      <w:r>
        <w:rPr>
          <w:rFonts w:ascii="Times New Roman" w:hAnsi="Times New Roman"/>
          <w:noProof/>
          <w:sz w:val="20"/>
          <w:szCs w:val="20"/>
        </w:rPr>
        <w:t xml:space="preserve">Aucune institution n’a fixé de modalités d’octroi d’une allocation de chômage aux agents temporaires. </w:t>
      </w:r>
    </w:p>
    <w:p>
      <w:pPr>
        <w:pBdr>
          <w:top w:val="single" w:sz="4" w:space="1" w:color="auto"/>
          <w:left w:val="single" w:sz="4" w:space="4" w:color="auto"/>
          <w:bottom w:val="single" w:sz="4" w:space="1" w:color="auto"/>
          <w:right w:val="single" w:sz="4" w:space="4" w:color="auto"/>
        </w:pBdr>
        <w:ind w:left="2160" w:hanging="2160"/>
        <w:jc w:val="both"/>
        <w:rPr>
          <w:rFonts w:ascii="Times New Roman" w:hAnsi="Times New Roman" w:cs="Times New Roman"/>
          <w:i/>
          <w:noProof/>
          <w:sz w:val="20"/>
          <w:szCs w:val="20"/>
        </w:rPr>
      </w:pPr>
      <w:r>
        <w:rPr>
          <w:rFonts w:ascii="Times New Roman" w:hAnsi="Times New Roman"/>
          <w:i/>
          <w:noProof/>
          <w:sz w:val="20"/>
          <w:szCs w:val="20"/>
        </w:rPr>
        <w:t>Article 28 </w:t>
      </w:r>
      <w:r>
        <w:rPr>
          <w:rFonts w:ascii="Times New Roman" w:hAnsi="Times New Roman"/>
          <w:i/>
          <w:iCs/>
          <w:noProof/>
          <w:sz w:val="20"/>
          <w:szCs w:val="20"/>
        </w:rPr>
        <w:t>bis</w:t>
      </w:r>
      <w:r>
        <w:rPr>
          <w:rFonts w:ascii="Times New Roman" w:hAnsi="Times New Roman"/>
          <w:i/>
          <w:noProof/>
          <w:sz w:val="20"/>
          <w:szCs w:val="20"/>
        </w:rPr>
        <w:t>, paragraphe 10 – Modalités d’application des dispositions relatives à l’octroi d’une allocation de chômage aux agents temporaires</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 xml:space="preserve">Toutes les institutions ont établi d’un commun accord des modalités d’application des dispositions relatives à l’octroi d’une allocation de chômage aux agents temporaires.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i/>
          <w:noProof/>
          <w:sz w:val="20"/>
          <w:szCs w:val="20"/>
        </w:rPr>
      </w:pPr>
      <w:r>
        <w:rPr>
          <w:rFonts w:ascii="Times New Roman" w:hAnsi="Times New Roman"/>
          <w:i/>
          <w:noProof/>
          <w:sz w:val="20"/>
          <w:szCs w:val="20"/>
        </w:rPr>
        <w:t>Article 42 – Modalités des versements pour la constitution ou le maintien des droits à pension dans le pays d’origine</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Aucune institution n’a fixé de modalités concernant les versements pour la constitution ou le maintien des droits à pension des agents temporaires dans le pays d’origine.</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i/>
          <w:noProof/>
          <w:sz w:val="20"/>
          <w:szCs w:val="20"/>
        </w:rPr>
      </w:pPr>
      <w:r>
        <w:rPr>
          <w:rFonts w:ascii="Times New Roman" w:hAnsi="Times New Roman"/>
          <w:i/>
          <w:noProof/>
          <w:sz w:val="20"/>
          <w:szCs w:val="20"/>
        </w:rPr>
        <w:t>Article 54 – Reclassement des agents temporaires visés à l’article 2, point f), du RAA</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Il s’avère que la quasi-totalité des agences</w:t>
      </w:r>
      <w:r>
        <w:rPr>
          <w:rStyle w:val="FootnoteReference"/>
          <w:rFonts w:ascii="Times New Roman" w:hAnsi="Times New Roman" w:cs="Times New Roman"/>
          <w:noProof/>
          <w:sz w:val="20"/>
          <w:szCs w:val="20"/>
        </w:rPr>
        <w:footnoteReference w:id="47"/>
      </w:r>
      <w:r>
        <w:rPr>
          <w:rFonts w:ascii="Times New Roman" w:hAnsi="Times New Roman"/>
          <w:noProof/>
          <w:sz w:val="20"/>
          <w:szCs w:val="20"/>
        </w:rPr>
        <w:t xml:space="preserve"> ont, sur la base d’un accord ex ante horizontal de la Commission, adopté des dispositions générales d’exécution des dispositions relatives au classement des agents temporaires [article 2, point f), du RAA] au grade immédiatement supérieur. </w:t>
      </w:r>
      <w:r>
        <w:rPr>
          <w:rFonts w:ascii="Times New Roman" w:hAnsi="Times New Roman"/>
          <w:b/>
          <w:noProof/>
          <w:sz w:val="20"/>
          <w:szCs w:val="20"/>
        </w:rPr>
        <w:t>L’article 54 du RAA oblige toutes les agences à adopter ces règles.</w:t>
      </w:r>
      <w:r>
        <w:rPr>
          <w:rFonts w:ascii="Times New Roman" w:hAnsi="Times New Roman"/>
          <w:noProof/>
          <w:sz w:val="20"/>
          <w:szCs w:val="20"/>
        </w:rPr>
        <w:t xml:space="preserve">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i/>
          <w:noProof/>
          <w:sz w:val="20"/>
          <w:szCs w:val="20"/>
        </w:rPr>
      </w:pPr>
      <w:r>
        <w:rPr>
          <w:rFonts w:ascii="Times New Roman" w:hAnsi="Times New Roman"/>
          <w:i/>
          <w:noProof/>
          <w:sz w:val="20"/>
          <w:szCs w:val="20"/>
        </w:rPr>
        <w:t>Article 56 – Engagement et emploi des agents temporaires visés à l’article 2, point f), du RAA</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0"/>
          <w:szCs w:val="20"/>
        </w:rPr>
        <w:t>Il s’avère que la quasi-totalité des agences</w:t>
      </w:r>
      <w:r>
        <w:rPr>
          <w:rStyle w:val="FootnoteReference"/>
          <w:rFonts w:ascii="Times New Roman" w:hAnsi="Times New Roman" w:cs="Times New Roman"/>
          <w:noProof/>
          <w:sz w:val="20"/>
          <w:szCs w:val="20"/>
        </w:rPr>
        <w:footnoteReference w:id="48"/>
      </w:r>
      <w:r>
        <w:rPr>
          <w:rFonts w:ascii="Times New Roman" w:hAnsi="Times New Roman"/>
          <w:noProof/>
          <w:sz w:val="20"/>
          <w:szCs w:val="20"/>
        </w:rPr>
        <w:t xml:space="preserve"> ont, sur la base d’un accord ex ante horizontal de la Commission, adopté des dispositions générales d’exécution des dispositions concernant les procédures d’engagement et d’emploi des agents temporaires [article 2, point f), du RAA]. </w:t>
      </w:r>
      <w:r>
        <w:rPr>
          <w:rFonts w:ascii="Times New Roman" w:hAnsi="Times New Roman"/>
          <w:b/>
          <w:noProof/>
          <w:sz w:val="20"/>
          <w:szCs w:val="20"/>
        </w:rPr>
        <w:t>L’article 56 du RAA oblige toutes les agences à adopter ces règles.</w:t>
      </w:r>
      <w:r>
        <w:rPr>
          <w:rFonts w:ascii="Times New Roman" w:hAnsi="Times New Roman"/>
          <w:noProof/>
          <w:sz w:val="20"/>
          <w:szCs w:val="20"/>
        </w:rPr>
        <w:t xml:space="preserve"> </w:t>
      </w:r>
    </w:p>
    <w:p>
      <w:pPr>
        <w:pBdr>
          <w:top w:val="dashSmallGap" w:sz="4" w:space="1" w:color="auto"/>
          <w:left w:val="dashSmallGap" w:sz="4" w:space="4" w:color="auto"/>
          <w:bottom w:val="dashSmallGap" w:sz="4" w:space="1" w:color="auto"/>
          <w:right w:val="dashSmallGap" w:sz="4" w:space="4" w:color="auto"/>
        </w:pBdr>
        <w:jc w:val="both"/>
        <w:rPr>
          <w:rFonts w:ascii="Times New Roman" w:hAnsi="Times New Roman" w:cs="Times New Roman"/>
          <w:noProof/>
          <w:sz w:val="24"/>
          <w:szCs w:val="24"/>
        </w:rPr>
      </w:pPr>
      <w:r>
        <w:rPr>
          <w:rFonts w:ascii="Times New Roman" w:hAnsi="Times New Roman"/>
          <w:noProof/>
          <w:sz w:val="24"/>
          <w:szCs w:val="24"/>
        </w:rPr>
        <w:t>Quelques institutions ont aussi adopté des règles d’exécution sur les sujets suivants qui concernent le titre II du RAA: politique générale d’engagement et d’emploi des agents temporaires, reclassement des agents temporaires, mesures à caractère social, paiement du congé de maternité et préretraite.</w:t>
      </w:r>
    </w:p>
    <w:p>
      <w:pPr>
        <w:jc w:val="both"/>
        <w:rPr>
          <w:rFonts w:ascii="Times New Roman" w:hAnsi="Times New Roman" w:cs="Times New Roman"/>
          <w:noProof/>
          <w:sz w:val="24"/>
          <w:szCs w:val="24"/>
        </w:rPr>
      </w:pPr>
      <w:r>
        <w:rPr>
          <w:rFonts w:ascii="Times New Roman" w:hAnsi="Times New Roman"/>
          <w:noProof/>
          <w:sz w:val="24"/>
          <w:szCs w:val="24"/>
        </w:rPr>
        <w:t>Au cours de la période 2017-2019, une institution a ajouté des règles concernant les mesures à caractère social.</w:t>
      </w:r>
    </w:p>
    <w:p>
      <w:pPr>
        <w:jc w:val="center"/>
        <w:rPr>
          <w:rFonts w:ascii="Times New Roman" w:hAnsi="Times New Roman" w:cs="Times New Roman"/>
          <w:i/>
          <w:noProof/>
          <w:sz w:val="24"/>
          <w:szCs w:val="24"/>
          <w:u w:val="single"/>
        </w:rPr>
      </w:pPr>
      <w:r>
        <w:rPr>
          <w:rFonts w:ascii="Times New Roman" w:hAnsi="Times New Roman"/>
          <w:i/>
          <w:noProof/>
          <w:sz w:val="24"/>
          <w:szCs w:val="24"/>
          <w:u w:val="single"/>
        </w:rPr>
        <w:t>Titre IV – Agents contractuels</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i/>
          <w:noProof/>
          <w:sz w:val="20"/>
          <w:szCs w:val="20"/>
        </w:rPr>
      </w:pPr>
      <w:r>
        <w:rPr>
          <w:rFonts w:ascii="Times New Roman" w:hAnsi="Times New Roman"/>
          <w:i/>
          <w:noProof/>
          <w:sz w:val="20"/>
          <w:szCs w:val="20"/>
        </w:rPr>
        <w:t>Article 79, paragraphe 2 – Recours aux agents contractuels</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 xml:space="preserve">Toutes les institutions ont adopté des modalités générales d’application régissant le recours aux agents contractuels.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i/>
          <w:noProof/>
          <w:sz w:val="20"/>
          <w:szCs w:val="20"/>
        </w:rPr>
      </w:pPr>
      <w:r>
        <w:rPr>
          <w:rFonts w:ascii="Times New Roman" w:hAnsi="Times New Roman"/>
          <w:i/>
          <w:noProof/>
          <w:sz w:val="20"/>
          <w:szCs w:val="20"/>
        </w:rPr>
        <w:t>Article 82, paragraphe 6 – Recrutement des agents contractuels</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 xml:space="preserve">Toutes les institutions ont fixé des modalités générales d’application régissant les procédures de recrutement des agents contractuels.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i/>
          <w:noProof/>
          <w:sz w:val="20"/>
          <w:szCs w:val="20"/>
        </w:rPr>
      </w:pPr>
      <w:r>
        <w:rPr>
          <w:rFonts w:ascii="Times New Roman" w:hAnsi="Times New Roman"/>
          <w:i/>
          <w:noProof/>
          <w:sz w:val="20"/>
          <w:szCs w:val="20"/>
        </w:rPr>
        <w:t>Article 86, paragraphe 1 – Classement en grade des agents contractuels</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 xml:space="preserve">Toutes les institutions ont arrêté des dispositions générales d’exécution régissant le classement en grade des agents contractuels.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i/>
          <w:noProof/>
          <w:sz w:val="20"/>
          <w:szCs w:val="20"/>
        </w:rPr>
      </w:pPr>
      <w:r>
        <w:rPr>
          <w:rFonts w:ascii="Times New Roman" w:hAnsi="Times New Roman"/>
          <w:i/>
          <w:noProof/>
          <w:sz w:val="20"/>
          <w:szCs w:val="20"/>
        </w:rPr>
        <w:t>Article 96, paragraphe 2 – Dispositions relatives à l’octroi d’une allocation de chômage aux agents contractuels</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Aucune institution n’a fixé de dispositions concernant l’octroi d’une allocation de chômage aux agents contractuels.</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i/>
          <w:noProof/>
          <w:sz w:val="20"/>
          <w:szCs w:val="20"/>
        </w:rPr>
      </w:pPr>
      <w:r>
        <w:rPr>
          <w:rFonts w:ascii="Times New Roman" w:hAnsi="Times New Roman"/>
          <w:i/>
          <w:noProof/>
          <w:sz w:val="20"/>
          <w:szCs w:val="20"/>
        </w:rPr>
        <w:t>Article 112 – Modalités des versements pour les droits à pension, l’assurance chômage, l’assurance invalidité, l’assurance vie et l’assurance maladie dans le pays dans lequel l’agent contractuel a été couvert pour la dernière fois par de tels régimes</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Aucune institution n’a fixé de modalités concernant les versements pour les droits à pension, l’assurance chômage, l’assurance invalidité, l’assurance vie et l’assurance maladie dans le pays dans lequel l’agent contractuel a été couvert pour la dernière fois par de tels régimes.</w:t>
      </w:r>
    </w:p>
    <w:p>
      <w:pPr>
        <w:pBdr>
          <w:top w:val="dashSmallGap" w:sz="4" w:space="1" w:color="auto"/>
          <w:left w:val="dashSmallGap" w:sz="4" w:space="4" w:color="auto"/>
          <w:bottom w:val="dashSmallGap" w:sz="4" w:space="1" w:color="auto"/>
          <w:right w:val="dashSmallGap" w:sz="4" w:space="4" w:color="auto"/>
        </w:pBdr>
        <w:jc w:val="both"/>
        <w:rPr>
          <w:rFonts w:ascii="Times New Roman" w:hAnsi="Times New Roman" w:cs="Times New Roman"/>
          <w:noProof/>
          <w:sz w:val="24"/>
          <w:szCs w:val="24"/>
        </w:rPr>
      </w:pPr>
      <w:r>
        <w:rPr>
          <w:rFonts w:ascii="Times New Roman" w:hAnsi="Times New Roman"/>
          <w:noProof/>
          <w:sz w:val="24"/>
          <w:szCs w:val="24"/>
        </w:rPr>
        <w:t>Quelques institutions ont aussi adopté des règles d’exécution sur les sujets suivants qui concernent le titre IV du RAA: mesures à caractère social, évaluation, durée maximale du recours à des membres non permanents du personnel, agents interprètes de conférence, conditions de travail des interprètes et mobilité des agents contractuels dans les délégations.</w:t>
      </w:r>
    </w:p>
    <w:p>
      <w:pPr>
        <w:jc w:val="both"/>
        <w:rPr>
          <w:rFonts w:ascii="Times New Roman" w:hAnsi="Times New Roman" w:cs="Times New Roman"/>
          <w:noProof/>
          <w:sz w:val="24"/>
          <w:szCs w:val="24"/>
        </w:rPr>
      </w:pPr>
      <w:r>
        <w:rPr>
          <w:rFonts w:ascii="Times New Roman" w:hAnsi="Times New Roman"/>
          <w:noProof/>
          <w:sz w:val="24"/>
          <w:szCs w:val="24"/>
        </w:rPr>
        <w:t>Au cours de la période 2017-2019, une institution a ajouté des règles concernant les mesures à caractère social.</w:t>
      </w:r>
    </w:p>
    <w:p>
      <w:pPr>
        <w:jc w:val="center"/>
        <w:rPr>
          <w:rFonts w:ascii="Times New Roman" w:hAnsi="Times New Roman" w:cs="Times New Roman"/>
          <w:i/>
          <w:noProof/>
          <w:sz w:val="24"/>
          <w:szCs w:val="24"/>
          <w:u w:val="single"/>
        </w:rPr>
      </w:pPr>
      <w:r>
        <w:rPr>
          <w:rFonts w:ascii="Times New Roman" w:hAnsi="Times New Roman"/>
          <w:i/>
          <w:noProof/>
          <w:sz w:val="24"/>
          <w:szCs w:val="24"/>
          <w:u w:val="single"/>
        </w:rPr>
        <w:t>Titre V – Des agents locaux</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i/>
          <w:noProof/>
          <w:sz w:val="20"/>
          <w:szCs w:val="20"/>
        </w:rPr>
      </w:pPr>
      <w:r>
        <w:rPr>
          <w:rFonts w:ascii="Times New Roman" w:hAnsi="Times New Roman"/>
          <w:i/>
          <w:noProof/>
          <w:sz w:val="20"/>
          <w:szCs w:val="20"/>
        </w:rPr>
        <w:t>Articles 120 et 121 – Agents locaux</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La Commission et le SEAE ont adopté d’autres règles d’exécution sur les conditions d’emploi et la sécurité sociale des agents locaux dans les délégations. Le SEAE a aussi adopté d’autres règles d’exécution concernant la méthode de calcul des salaires.</w:t>
      </w:r>
    </w:p>
    <w:p>
      <w:pPr>
        <w:jc w:val="center"/>
        <w:rPr>
          <w:rFonts w:ascii="Times New Roman" w:hAnsi="Times New Roman" w:cs="Times New Roman"/>
          <w:i/>
          <w:noProof/>
          <w:sz w:val="24"/>
          <w:szCs w:val="24"/>
          <w:u w:val="single"/>
        </w:rPr>
      </w:pPr>
      <w:r>
        <w:rPr>
          <w:rFonts w:ascii="Times New Roman" w:hAnsi="Times New Roman"/>
          <w:i/>
          <w:noProof/>
          <w:sz w:val="24"/>
          <w:szCs w:val="24"/>
          <w:u w:val="single"/>
        </w:rPr>
        <w:t>Titre VI – Des conseillers spéciaux</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i/>
          <w:noProof/>
          <w:sz w:val="20"/>
          <w:szCs w:val="20"/>
        </w:rPr>
      </w:pPr>
      <w:r>
        <w:rPr>
          <w:rFonts w:ascii="Times New Roman" w:hAnsi="Times New Roman"/>
          <w:i/>
          <w:noProof/>
          <w:sz w:val="20"/>
          <w:szCs w:val="20"/>
        </w:rPr>
        <w:t>Articles 5, 123 et 124 – Conseillers spéciaux</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La Commission a arrêté des règles d’exécution relatives aux conseillers spéciaux.</w:t>
      </w:r>
    </w:p>
    <w:p>
      <w:pPr>
        <w:jc w:val="center"/>
        <w:rPr>
          <w:rFonts w:ascii="Times New Roman" w:hAnsi="Times New Roman" w:cs="Times New Roman"/>
          <w:i/>
          <w:noProof/>
          <w:sz w:val="24"/>
          <w:szCs w:val="24"/>
          <w:u w:val="single"/>
        </w:rPr>
      </w:pPr>
      <w:r>
        <w:rPr>
          <w:rFonts w:ascii="Times New Roman" w:hAnsi="Times New Roman"/>
          <w:i/>
          <w:noProof/>
          <w:sz w:val="24"/>
          <w:szCs w:val="24"/>
          <w:u w:val="single"/>
        </w:rPr>
        <w:t>Titre VII – Assistants parlementaires</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i/>
          <w:noProof/>
          <w:sz w:val="20"/>
          <w:szCs w:val="20"/>
        </w:rPr>
      </w:pPr>
      <w:r>
        <w:rPr>
          <w:rFonts w:ascii="Times New Roman" w:hAnsi="Times New Roman"/>
          <w:i/>
          <w:noProof/>
          <w:sz w:val="20"/>
          <w:szCs w:val="20"/>
        </w:rPr>
        <w:t>Article 125 – Assistants parlementaires</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noProof/>
          <w:sz w:val="20"/>
          <w:szCs w:val="20"/>
        </w:rPr>
        <w:t xml:space="preserve">Le Parlement européen a adopté, par une décision interne, des mesures d’application aux fins de l’application des dispositions portant sur les assistants parlementaires. </w:t>
      </w:r>
    </w:p>
    <w:p>
      <w:pPr>
        <w:jc w:val="center"/>
        <w:rPr>
          <w:rFonts w:ascii="Times New Roman" w:hAnsi="Times New Roman" w:cs="Times New Roman"/>
          <w:noProof/>
          <w:sz w:val="24"/>
          <w:szCs w:val="24"/>
        </w:rPr>
      </w:pPr>
      <w:r>
        <w:rPr>
          <w:rFonts w:ascii="Times New Roman" w:hAnsi="Times New Roman"/>
          <w:noProof/>
          <w:sz w:val="24"/>
          <w:szCs w:val="24"/>
        </w:rPr>
        <w:t>*****</w:t>
      </w:r>
    </w:p>
    <w:p>
      <w:pPr>
        <w:jc w:val="both"/>
        <w:rPr>
          <w:rFonts w:ascii="Times New Roman" w:hAnsi="Times New Roman" w:cs="Times New Roman"/>
          <w:noProof/>
          <w:sz w:val="24"/>
          <w:szCs w:val="24"/>
        </w:rPr>
      </w:pPr>
      <w:r>
        <w:rPr>
          <w:rFonts w:ascii="Times New Roman" w:hAnsi="Times New Roman"/>
          <w:noProof/>
          <w:sz w:val="24"/>
          <w:szCs w:val="24"/>
        </w:rPr>
        <w:t xml:space="preserve">S’agissant de la convergence sur les sujets des règles d’exécution, il ressort de ce qui précède qu’une convergence accrue entre les institutions a été observée durant la période de référence. Cette convergence était plus grande pour les sujets sur lesquels la majorité des institutions avaient déjà adopté des règles au cours de la précédente période de référence ou avant, suivies des autres institutions. Cela concernait notamment les sujets suivants: emplois types et intitulés d’emploi, comités et commissions, lutte contre le harcèlement, formation, congé de convenance personnelle, temps de travail, activité à temps partiel, télétravail, allocation de foyer par décision spéciale, frais de mission et de déplacement. </w:t>
      </w:r>
    </w:p>
    <w:p>
      <w:pPr>
        <w:jc w:val="both"/>
        <w:rPr>
          <w:rFonts w:ascii="Times New Roman" w:hAnsi="Times New Roman" w:cs="Times New Roman"/>
          <w:noProof/>
          <w:sz w:val="24"/>
          <w:szCs w:val="24"/>
        </w:rPr>
      </w:pPr>
      <w:r>
        <w:rPr>
          <w:rFonts w:ascii="Times New Roman" w:hAnsi="Times New Roman"/>
          <w:noProof/>
          <w:sz w:val="24"/>
          <w:szCs w:val="24"/>
        </w:rPr>
        <w:t xml:space="preserve">Une convergence plus limitée a également été observée sur les sujets de la santé et de la sécurité, de la mobilité, de l’éthique et de l’intégrité, du recrutement de personnel d’encadrement supérieur, de la visite médicale annuelle, des prêts et avances et de la procédure disciplinaire. </w:t>
      </w:r>
    </w:p>
    <w:p>
      <w:pPr>
        <w:jc w:val="both"/>
        <w:rPr>
          <w:rFonts w:ascii="Times New Roman" w:hAnsi="Times New Roman" w:cs="Times New Roman"/>
          <w:noProof/>
          <w:sz w:val="24"/>
          <w:szCs w:val="24"/>
        </w:rPr>
      </w:pPr>
      <w:r>
        <w:rPr>
          <w:rFonts w:ascii="Times New Roman" w:hAnsi="Times New Roman"/>
          <w:noProof/>
          <w:sz w:val="24"/>
          <w:szCs w:val="24"/>
        </w:rPr>
        <w:t xml:space="preserve">Les nouveaux sujets introduits durant la période de référence ont été les suivants: égalité des chances, préretraite, mobilité des fonctionnaires affectés dans un pays tiers, mesures à caractère social pour les agents contractuels et les agents temporaires et méthode de calcul des salaires des agents contractuels affectés dans un pays tiers. </w:t>
      </w:r>
    </w:p>
    <w:p>
      <w:pPr>
        <w:pStyle w:val="Heading2"/>
        <w:spacing w:before="240" w:after="360"/>
        <w:rPr>
          <w:rFonts w:ascii="Times New Roman" w:hAnsi="Times New Roman" w:cs="Times New Roman"/>
          <w:noProof/>
        </w:rPr>
      </w:pPr>
      <w:bookmarkStart w:id="11" w:name="_Toc69825805"/>
      <w:r>
        <w:rPr>
          <w:rFonts w:ascii="Times New Roman" w:hAnsi="Times New Roman"/>
          <w:noProof/>
        </w:rPr>
        <w:t>b)</w:t>
      </w:r>
      <w:r>
        <w:rPr>
          <w:rFonts w:ascii="Times New Roman" w:hAnsi="Times New Roman"/>
          <w:noProof/>
        </w:rPr>
        <w:tab/>
        <w:t>Le registre tenu par la Cour de justice de l’Union européenne</w:t>
      </w:r>
      <w:bookmarkEnd w:id="11"/>
    </w:p>
    <w:p>
      <w:pPr>
        <w:jc w:val="both"/>
        <w:rPr>
          <w:rFonts w:ascii="Times New Roman" w:hAnsi="Times New Roman" w:cs="Times New Roman"/>
          <w:noProof/>
          <w:sz w:val="24"/>
          <w:szCs w:val="24"/>
        </w:rPr>
      </w:pPr>
      <w:r>
        <w:rPr>
          <w:rFonts w:ascii="Times New Roman" w:hAnsi="Times New Roman"/>
          <w:noProof/>
          <w:sz w:val="24"/>
          <w:szCs w:val="24"/>
        </w:rPr>
        <w:t>Depuis février 2014, le registre des règles adoptées par l’autorité investie du pouvoir de nomination de chaque institution et agence est accessible au public au moyen de l’application internet «Centre de ressources de communication et d’information pour les administrations, les entreprises et les citoyens (CIRCABC)», à laquelle il est possible d’accéder au moyen d’un compte EU Login spécifique.</w:t>
      </w:r>
    </w:p>
    <w:p>
      <w:pPr>
        <w:jc w:val="both"/>
        <w:rPr>
          <w:rFonts w:ascii="Times New Roman" w:hAnsi="Times New Roman" w:cs="Times New Roman"/>
          <w:noProof/>
          <w:sz w:val="24"/>
          <w:szCs w:val="24"/>
        </w:rPr>
      </w:pPr>
      <w:r>
        <w:rPr>
          <w:rFonts w:ascii="Times New Roman" w:hAnsi="Times New Roman"/>
          <w:noProof/>
          <w:sz w:val="24"/>
          <w:szCs w:val="24"/>
        </w:rPr>
        <w:t>Le registre est structuré comme suit:</w:t>
      </w:r>
    </w:p>
    <w:tbl>
      <w:tblPr>
        <w:tblStyle w:val="TableGrid"/>
        <w:tblW w:w="0" w:type="auto"/>
        <w:tblLook w:val="04A0" w:firstRow="1" w:lastRow="0" w:firstColumn="1" w:lastColumn="0" w:noHBand="0" w:noVBand="1"/>
      </w:tblPr>
      <w:tblGrid>
        <w:gridCol w:w="2660"/>
        <w:gridCol w:w="6628"/>
      </w:tblGrid>
      <w:tr>
        <w:tc>
          <w:tcPr>
            <w:tcW w:w="2660" w:type="dxa"/>
          </w:tcPr>
          <w:p>
            <w:pPr>
              <w:jc w:val="center"/>
              <w:rPr>
                <w:rFonts w:ascii="Times New Roman" w:hAnsi="Times New Roman" w:cs="Times New Roman"/>
                <w:b/>
                <w:noProof/>
                <w:sz w:val="24"/>
                <w:szCs w:val="24"/>
              </w:rPr>
            </w:pPr>
            <w:r>
              <w:rPr>
                <w:rFonts w:ascii="Times New Roman" w:hAnsi="Times New Roman"/>
                <w:b/>
                <w:noProof/>
                <w:sz w:val="24"/>
                <w:szCs w:val="24"/>
              </w:rPr>
              <w:t>Intitulé</w:t>
            </w:r>
          </w:p>
        </w:tc>
        <w:tc>
          <w:tcPr>
            <w:tcW w:w="6628" w:type="dxa"/>
          </w:tcPr>
          <w:p>
            <w:pPr>
              <w:jc w:val="center"/>
              <w:rPr>
                <w:rFonts w:ascii="Times New Roman" w:hAnsi="Times New Roman" w:cs="Times New Roman"/>
                <w:b/>
                <w:noProof/>
                <w:sz w:val="24"/>
                <w:szCs w:val="24"/>
              </w:rPr>
            </w:pPr>
            <w:r>
              <w:rPr>
                <w:rFonts w:ascii="Times New Roman" w:hAnsi="Times New Roman"/>
                <w:b/>
                <w:noProof/>
                <w:sz w:val="24"/>
                <w:szCs w:val="24"/>
              </w:rPr>
              <w:t>Description</w:t>
            </w:r>
          </w:p>
        </w:tc>
      </w:tr>
      <w:tr>
        <w:tc>
          <w:tcPr>
            <w:tcW w:w="2660" w:type="dxa"/>
          </w:tcPr>
          <w:p>
            <w:pPr>
              <w:rPr>
                <w:rFonts w:ascii="Times New Roman" w:hAnsi="Times New Roman" w:cs="Times New Roman"/>
                <w:b/>
                <w:noProof/>
                <w:sz w:val="20"/>
                <w:szCs w:val="20"/>
              </w:rPr>
            </w:pPr>
            <w:r>
              <w:rPr>
                <w:rFonts w:ascii="Times New Roman" w:hAnsi="Times New Roman"/>
                <w:b/>
                <w:noProof/>
                <w:sz w:val="20"/>
                <w:szCs w:val="20"/>
              </w:rPr>
              <w:t>1. Statut et RAA</w:t>
            </w:r>
          </w:p>
        </w:tc>
        <w:tc>
          <w:tcPr>
            <w:tcW w:w="6628" w:type="dxa"/>
          </w:tcPr>
          <w:p>
            <w:pPr>
              <w:jc w:val="both"/>
              <w:rPr>
                <w:rFonts w:ascii="Times New Roman" w:hAnsi="Times New Roman" w:cs="Times New Roman"/>
                <w:i/>
                <w:noProof/>
                <w:sz w:val="20"/>
                <w:szCs w:val="20"/>
              </w:rPr>
            </w:pPr>
            <w:r>
              <w:rPr>
                <w:rFonts w:ascii="Times New Roman" w:hAnsi="Times New Roman"/>
                <w:i/>
                <w:noProof/>
                <w:sz w:val="20"/>
                <w:szCs w:val="20"/>
              </w:rPr>
              <w:t>«Il s’agit du Statut applicable aux fonctionnaires de l’Union européenne et du Régime applicable aux autres agents de l’Union.»</w:t>
            </w:r>
          </w:p>
        </w:tc>
      </w:tr>
      <w:tr>
        <w:tc>
          <w:tcPr>
            <w:tcW w:w="2660" w:type="dxa"/>
          </w:tcPr>
          <w:p>
            <w:pPr>
              <w:rPr>
                <w:rFonts w:ascii="Times New Roman" w:hAnsi="Times New Roman" w:cs="Times New Roman"/>
                <w:b/>
                <w:noProof/>
                <w:sz w:val="20"/>
                <w:szCs w:val="20"/>
              </w:rPr>
            </w:pPr>
            <w:r>
              <w:rPr>
                <w:rFonts w:ascii="Times New Roman" w:hAnsi="Times New Roman"/>
                <w:b/>
                <w:noProof/>
                <w:sz w:val="20"/>
                <w:szCs w:val="20"/>
              </w:rPr>
              <w:t xml:space="preserve">2. Réglementations de portée générale </w:t>
            </w:r>
          </w:p>
        </w:tc>
        <w:tc>
          <w:tcPr>
            <w:tcW w:w="6628" w:type="dxa"/>
          </w:tcPr>
          <w:p>
            <w:pPr>
              <w:jc w:val="both"/>
              <w:rPr>
                <w:rFonts w:ascii="Times New Roman" w:hAnsi="Times New Roman" w:cs="Times New Roman"/>
                <w:i/>
                <w:noProof/>
                <w:sz w:val="20"/>
                <w:szCs w:val="20"/>
              </w:rPr>
            </w:pPr>
            <w:r>
              <w:rPr>
                <w:rFonts w:ascii="Times New Roman" w:hAnsi="Times New Roman"/>
                <w:i/>
                <w:noProof/>
                <w:sz w:val="20"/>
                <w:szCs w:val="20"/>
              </w:rPr>
              <w:t>«Il s’agit de règlements adoptés par le Conseil de l’Union européenne ou d’actes délégués adoptés par la Commission européenne pour l’application du statut et applicables au personnel de l’ensemble des institutions et agences de l’Union.»</w:t>
            </w:r>
          </w:p>
        </w:tc>
      </w:tr>
      <w:tr>
        <w:tc>
          <w:tcPr>
            <w:tcW w:w="2660" w:type="dxa"/>
          </w:tcPr>
          <w:p>
            <w:pPr>
              <w:rPr>
                <w:rFonts w:ascii="Times New Roman" w:hAnsi="Times New Roman" w:cs="Times New Roman"/>
                <w:b/>
                <w:noProof/>
                <w:sz w:val="20"/>
                <w:szCs w:val="20"/>
              </w:rPr>
            </w:pPr>
            <w:r>
              <w:rPr>
                <w:rFonts w:ascii="Times New Roman" w:hAnsi="Times New Roman"/>
                <w:b/>
                <w:noProof/>
                <w:sz w:val="20"/>
                <w:szCs w:val="20"/>
              </w:rPr>
              <w:t>3. Réglementations de commun accord</w:t>
            </w:r>
          </w:p>
          <w:p>
            <w:pPr>
              <w:rPr>
                <w:rFonts w:ascii="Times New Roman" w:hAnsi="Times New Roman" w:cs="Times New Roman"/>
                <w:b/>
                <w:noProof/>
                <w:sz w:val="20"/>
                <w:szCs w:val="20"/>
              </w:rPr>
            </w:pPr>
          </w:p>
        </w:tc>
        <w:tc>
          <w:tcPr>
            <w:tcW w:w="6628" w:type="dxa"/>
          </w:tcPr>
          <w:p>
            <w:pPr>
              <w:jc w:val="both"/>
              <w:rPr>
                <w:rFonts w:ascii="Times New Roman" w:hAnsi="Times New Roman" w:cs="Times New Roman"/>
                <w:i/>
                <w:noProof/>
                <w:sz w:val="20"/>
                <w:szCs w:val="20"/>
              </w:rPr>
            </w:pPr>
            <w:r>
              <w:rPr>
                <w:rFonts w:ascii="Times New Roman" w:hAnsi="Times New Roman"/>
                <w:i/>
                <w:noProof/>
                <w:sz w:val="20"/>
                <w:szCs w:val="20"/>
              </w:rPr>
              <w:t>«Certains articles du statut renvoient expressément pour leur application à une réglementation établie d’un commun accord entre les institutions. Ces réglementations sont adoptées à l’identique par chaque institution, le président de la Cour de justice constatant in fine le commun accord des institutions.»</w:t>
            </w:r>
          </w:p>
        </w:tc>
      </w:tr>
      <w:tr>
        <w:tc>
          <w:tcPr>
            <w:tcW w:w="2660" w:type="dxa"/>
          </w:tcPr>
          <w:p>
            <w:pPr>
              <w:rPr>
                <w:rFonts w:ascii="Times New Roman" w:hAnsi="Times New Roman" w:cs="Times New Roman"/>
                <w:b/>
                <w:noProof/>
                <w:sz w:val="20"/>
                <w:szCs w:val="20"/>
              </w:rPr>
            </w:pPr>
            <w:r>
              <w:rPr>
                <w:rFonts w:ascii="Times New Roman" w:hAnsi="Times New Roman"/>
                <w:b/>
                <w:noProof/>
                <w:sz w:val="20"/>
                <w:szCs w:val="20"/>
              </w:rPr>
              <w:t>4. Dispositions générales d’exécution (DGE)</w:t>
            </w:r>
          </w:p>
          <w:p>
            <w:pPr>
              <w:rPr>
                <w:rFonts w:ascii="Times New Roman" w:hAnsi="Times New Roman" w:cs="Times New Roman"/>
                <w:b/>
                <w:noProof/>
                <w:sz w:val="20"/>
                <w:szCs w:val="20"/>
              </w:rPr>
            </w:pPr>
          </w:p>
        </w:tc>
        <w:tc>
          <w:tcPr>
            <w:tcW w:w="6628" w:type="dxa"/>
          </w:tcPr>
          <w:p>
            <w:pPr>
              <w:jc w:val="both"/>
              <w:rPr>
                <w:rFonts w:ascii="Times New Roman" w:hAnsi="Times New Roman" w:cs="Times New Roman"/>
                <w:i/>
                <w:noProof/>
                <w:sz w:val="20"/>
                <w:szCs w:val="20"/>
              </w:rPr>
            </w:pPr>
            <w:r>
              <w:rPr>
                <w:rFonts w:ascii="Times New Roman" w:hAnsi="Times New Roman"/>
                <w:i/>
                <w:noProof/>
                <w:sz w:val="20"/>
                <w:szCs w:val="20"/>
              </w:rPr>
              <w:t>«Chaque institution [arrête] ses dispositions générales d’exécution des articles du statut qui le prévoient expressément, après consultation du comité du personnel et avis du comité du statut. Certains textes sont pris également par des institutions sous la forme de “dispositions générales d’exécution”, soit lorsque les articles du statut prévoient des “dispositions d’application”, soit [lorsque] les dispositions [statutaires] ne sont pas suffisamment explicites pour être appliquées directement.»</w:t>
            </w:r>
          </w:p>
        </w:tc>
      </w:tr>
      <w:tr>
        <w:tc>
          <w:tcPr>
            <w:tcW w:w="2660" w:type="dxa"/>
          </w:tcPr>
          <w:p>
            <w:pPr>
              <w:rPr>
                <w:rFonts w:ascii="Times New Roman" w:hAnsi="Times New Roman" w:cs="Times New Roman"/>
                <w:b/>
                <w:noProof/>
                <w:sz w:val="20"/>
                <w:szCs w:val="20"/>
              </w:rPr>
            </w:pPr>
            <w:r>
              <w:rPr>
                <w:rFonts w:ascii="Times New Roman" w:hAnsi="Times New Roman"/>
                <w:b/>
                <w:noProof/>
                <w:sz w:val="20"/>
                <w:szCs w:val="20"/>
              </w:rPr>
              <w:t>5. Autres règles d’exécution (RE)</w:t>
            </w:r>
          </w:p>
        </w:tc>
        <w:tc>
          <w:tcPr>
            <w:tcW w:w="6628" w:type="dxa"/>
          </w:tcPr>
          <w:p>
            <w:pPr>
              <w:jc w:val="both"/>
              <w:rPr>
                <w:rFonts w:ascii="Times New Roman" w:hAnsi="Times New Roman" w:cs="Times New Roman"/>
                <w:i/>
                <w:noProof/>
                <w:sz w:val="20"/>
                <w:szCs w:val="20"/>
              </w:rPr>
            </w:pPr>
            <w:r>
              <w:rPr>
                <w:rFonts w:ascii="Times New Roman" w:hAnsi="Times New Roman"/>
                <w:i/>
                <w:noProof/>
                <w:sz w:val="20"/>
                <w:szCs w:val="20"/>
              </w:rPr>
              <w:t>«Il s’agit de textes pris par chaque institution pour la mise en œuvre du statut et qui ne sont ni des réglementations de commun accord ni des dispositions générales d’exécution.»</w:t>
            </w:r>
          </w:p>
        </w:tc>
      </w:tr>
    </w:tbl>
    <w:p>
      <w:pPr>
        <w:spacing w:before="240"/>
        <w:jc w:val="both"/>
        <w:rPr>
          <w:rFonts w:ascii="Times New Roman" w:hAnsi="Times New Roman" w:cs="Times New Roman"/>
          <w:noProof/>
          <w:sz w:val="24"/>
          <w:szCs w:val="24"/>
        </w:rPr>
      </w:pPr>
      <w:r>
        <w:rPr>
          <w:rFonts w:ascii="Times New Roman" w:hAnsi="Times New Roman"/>
          <w:noProof/>
          <w:sz w:val="24"/>
          <w:szCs w:val="24"/>
        </w:rPr>
        <w:t xml:space="preserve">Les règles énumérées sous chaque intitulé sont organisées par institution, avec un dossier commun pour les agences de l’Union européenne. Certaines institutions ont également organisé leurs règles d’exécution en sous-dossiers par sujet. </w:t>
      </w:r>
    </w:p>
    <w:p>
      <w:pPr>
        <w:jc w:val="both"/>
        <w:rPr>
          <w:rFonts w:ascii="Times New Roman" w:hAnsi="Times New Roman" w:cs="Times New Roman"/>
          <w:noProof/>
          <w:sz w:val="24"/>
          <w:szCs w:val="24"/>
        </w:rPr>
      </w:pPr>
      <w:r>
        <w:rPr>
          <w:rFonts w:ascii="Times New Roman" w:hAnsi="Times New Roman"/>
          <w:noProof/>
          <w:sz w:val="24"/>
          <w:szCs w:val="24"/>
        </w:rPr>
        <w:t xml:space="preserve">S’agissant des agences, leurs règles d’exécution sont présentées dans le registre sous les intitulés «Dispositions générales d’exécution (DGE)» et «Autres règles d’exécution (RE)» dans le dossier commun «Agences de l’Union européenne». </w:t>
      </w:r>
    </w:p>
    <w:p>
      <w:pPr>
        <w:jc w:val="both"/>
        <w:rPr>
          <w:rFonts w:ascii="Times New Roman" w:hAnsi="Times New Roman" w:cs="Times New Roman"/>
          <w:noProof/>
          <w:sz w:val="24"/>
          <w:szCs w:val="24"/>
        </w:rPr>
      </w:pPr>
      <w:r>
        <w:rPr>
          <w:rFonts w:ascii="Times New Roman" w:hAnsi="Times New Roman"/>
          <w:noProof/>
          <w:sz w:val="24"/>
          <w:szCs w:val="24"/>
        </w:rPr>
        <w:t xml:space="preserve">Le dossier contient des sous-dossiers pour:  </w:t>
      </w:r>
    </w:p>
    <w:p>
      <w:pPr>
        <w:pStyle w:val="ListParagraph"/>
        <w:numPr>
          <w:ilvl w:val="0"/>
          <w:numId w:val="45"/>
        </w:numPr>
        <w:jc w:val="both"/>
        <w:rPr>
          <w:rFonts w:ascii="Times New Roman" w:hAnsi="Times New Roman" w:cs="Times New Roman"/>
          <w:noProof/>
          <w:sz w:val="24"/>
          <w:szCs w:val="24"/>
        </w:rPr>
      </w:pPr>
      <w:r>
        <w:rPr>
          <w:rFonts w:ascii="Times New Roman" w:hAnsi="Times New Roman"/>
          <w:noProof/>
          <w:sz w:val="24"/>
          <w:szCs w:val="24"/>
        </w:rPr>
        <w:t>respectivement les «accords ex ante de la Commission sur les DGE auxquelles il est dérogé» et les «accords ex ante de la Commission sur les RE auxquelles il est dérogé», dénommés «</w:t>
      </w:r>
      <w:r>
        <w:rPr>
          <w:rFonts w:ascii="Times New Roman" w:hAnsi="Times New Roman"/>
          <w:i/>
          <w:noProof/>
          <w:sz w:val="24"/>
          <w:szCs w:val="24"/>
        </w:rPr>
        <w:t>Accords applicables à toutes les agences. Accords applicables aux agences exécutives. Accords applicables aux agences décentralisées et aux entreprises communes.</w:t>
      </w:r>
      <w:r>
        <w:rPr>
          <w:rFonts w:ascii="Times New Roman" w:hAnsi="Times New Roman"/>
          <w:noProof/>
          <w:sz w:val="24"/>
          <w:szCs w:val="24"/>
        </w:rPr>
        <w:t>». Ces sous-dossiers sont de nouveau subdivisés en dossiers par sujet.</w:t>
      </w:r>
    </w:p>
    <w:p>
      <w:pPr>
        <w:pStyle w:val="ListParagraph"/>
        <w:numPr>
          <w:ilvl w:val="0"/>
          <w:numId w:val="45"/>
        </w:numPr>
        <w:jc w:val="both"/>
        <w:rPr>
          <w:rFonts w:ascii="Times New Roman" w:hAnsi="Times New Roman" w:cs="Times New Roman"/>
          <w:noProof/>
          <w:sz w:val="24"/>
          <w:szCs w:val="24"/>
        </w:rPr>
      </w:pPr>
      <w:r>
        <w:rPr>
          <w:rFonts w:ascii="Times New Roman" w:hAnsi="Times New Roman"/>
          <w:noProof/>
          <w:sz w:val="24"/>
          <w:szCs w:val="24"/>
        </w:rPr>
        <w:t>«Entreprises communes»</w:t>
      </w:r>
    </w:p>
    <w:p>
      <w:pPr>
        <w:pStyle w:val="ListParagraph"/>
        <w:numPr>
          <w:ilvl w:val="0"/>
          <w:numId w:val="45"/>
        </w:numPr>
        <w:jc w:val="both"/>
        <w:rPr>
          <w:rFonts w:ascii="Times New Roman" w:hAnsi="Times New Roman" w:cs="Times New Roman"/>
          <w:noProof/>
          <w:sz w:val="24"/>
          <w:szCs w:val="24"/>
        </w:rPr>
      </w:pPr>
      <w:r>
        <w:rPr>
          <w:rFonts w:ascii="Times New Roman" w:hAnsi="Times New Roman"/>
          <w:noProof/>
          <w:sz w:val="24"/>
          <w:szCs w:val="24"/>
        </w:rPr>
        <w:t>«Agences décentralisées»</w:t>
      </w:r>
    </w:p>
    <w:p>
      <w:pPr>
        <w:pStyle w:val="ListParagraph"/>
        <w:numPr>
          <w:ilvl w:val="0"/>
          <w:numId w:val="45"/>
        </w:numPr>
        <w:jc w:val="both"/>
        <w:rPr>
          <w:rFonts w:ascii="Times New Roman" w:hAnsi="Times New Roman" w:cs="Times New Roman"/>
          <w:noProof/>
          <w:sz w:val="24"/>
          <w:szCs w:val="24"/>
        </w:rPr>
      </w:pPr>
      <w:r>
        <w:rPr>
          <w:rFonts w:ascii="Times New Roman" w:hAnsi="Times New Roman"/>
          <w:noProof/>
          <w:sz w:val="24"/>
          <w:szCs w:val="24"/>
        </w:rPr>
        <w:t>«Agences exécutives»</w:t>
      </w:r>
    </w:p>
    <w:p>
      <w:pPr>
        <w:jc w:val="both"/>
        <w:rPr>
          <w:rFonts w:ascii="Times New Roman" w:hAnsi="Times New Roman" w:cs="Times New Roman"/>
          <w:noProof/>
          <w:sz w:val="24"/>
          <w:szCs w:val="24"/>
        </w:rPr>
      </w:pPr>
      <w:r>
        <w:rPr>
          <w:rFonts w:ascii="Times New Roman" w:hAnsi="Times New Roman"/>
          <w:noProof/>
          <w:sz w:val="24"/>
          <w:szCs w:val="24"/>
        </w:rPr>
        <w:t xml:space="preserve">Le présent rapport porte sur les règles énumérées sous les titres 3 à 5 du registre. </w:t>
      </w:r>
    </w:p>
    <w:p>
      <w:pPr>
        <w:jc w:val="both"/>
        <w:rPr>
          <w:rFonts w:ascii="Times New Roman" w:hAnsi="Times New Roman" w:cs="Times New Roman"/>
          <w:noProof/>
          <w:sz w:val="24"/>
          <w:szCs w:val="24"/>
        </w:rPr>
      </w:pPr>
      <w:r>
        <w:rPr>
          <w:rFonts w:ascii="Times New Roman" w:hAnsi="Times New Roman"/>
          <w:noProof/>
          <w:sz w:val="24"/>
          <w:szCs w:val="24"/>
        </w:rPr>
        <w:t>En ce qui concerne ces règles, il ressort d’une consultation du registre que toutes les institutions et plus généralement les agences connaissent l’existence du registre et l’exigence de communiquer leurs règles d’exécution au registre. Cependant, le niveau de respect de cette exigence est très différent selon les institutions et varie considérablement selon le type de règles.</w:t>
      </w:r>
    </w:p>
    <w:p>
      <w:pPr>
        <w:jc w:val="both"/>
        <w:rPr>
          <w:rFonts w:ascii="Times New Roman" w:hAnsi="Times New Roman" w:cs="Times New Roman"/>
          <w:noProof/>
          <w:sz w:val="24"/>
          <w:szCs w:val="24"/>
        </w:rPr>
      </w:pPr>
      <w:r>
        <w:rPr>
          <w:rFonts w:ascii="Times New Roman" w:hAnsi="Times New Roman"/>
          <w:noProof/>
          <w:sz w:val="24"/>
          <w:szCs w:val="24"/>
        </w:rPr>
        <w:t xml:space="preserve">Les informations communiquées au registre sont complètes en ce qui concerne les règles fixées d’un commun accord. </w:t>
      </w:r>
    </w:p>
    <w:p>
      <w:pPr>
        <w:jc w:val="both"/>
        <w:rPr>
          <w:rFonts w:ascii="Times New Roman" w:hAnsi="Times New Roman" w:cs="Times New Roman"/>
          <w:noProof/>
          <w:sz w:val="24"/>
          <w:szCs w:val="24"/>
        </w:rPr>
      </w:pPr>
      <w:r>
        <w:rPr>
          <w:rFonts w:ascii="Times New Roman" w:hAnsi="Times New Roman"/>
          <w:noProof/>
          <w:sz w:val="24"/>
          <w:szCs w:val="24"/>
        </w:rPr>
        <w:t xml:space="preserve">S’agissant des dispositions générales d’exécution, le niveau de respect semble élevé étant donné que toutes les institutions ont communiqué des règles. Cela dit, pour certaines institutions, le registre contient la plupart de leurs dispositions générales d’exécution, tandis que pour d’autres, il reste incomplet. </w:t>
      </w:r>
    </w:p>
    <w:p>
      <w:pPr>
        <w:jc w:val="both"/>
        <w:rPr>
          <w:rFonts w:ascii="Times New Roman" w:hAnsi="Times New Roman" w:cs="Times New Roman"/>
          <w:noProof/>
          <w:sz w:val="24"/>
          <w:szCs w:val="24"/>
        </w:rPr>
      </w:pPr>
      <w:r>
        <w:rPr>
          <w:rFonts w:ascii="Times New Roman" w:hAnsi="Times New Roman"/>
          <w:noProof/>
          <w:sz w:val="24"/>
          <w:szCs w:val="24"/>
        </w:rPr>
        <w:t>En revanche, en ce qui concerne les autres règles d’exécution, seules les agences plus généralement</w:t>
      </w:r>
      <w:r>
        <w:rPr>
          <w:rStyle w:val="FootnoteReference"/>
          <w:rFonts w:ascii="Times New Roman" w:hAnsi="Times New Roman" w:cs="Times New Roman"/>
          <w:noProof/>
          <w:sz w:val="24"/>
          <w:szCs w:val="24"/>
        </w:rPr>
        <w:footnoteReference w:id="49"/>
      </w:r>
      <w:r>
        <w:rPr>
          <w:rFonts w:ascii="Times New Roman" w:hAnsi="Times New Roman"/>
          <w:noProof/>
          <w:sz w:val="24"/>
          <w:szCs w:val="24"/>
        </w:rPr>
        <w:t xml:space="preserve"> et cinq des dix institutions ont communiqué leurs règles au registre. Pour certaines de ces institutions, les informations communiquées au registre sont davantage à jour, tandis que pour d’autres, un nombre élevé de règles d’exécution doivent encore être communiquées. </w:t>
      </w:r>
    </w:p>
    <w:p>
      <w:pPr>
        <w:jc w:val="both"/>
        <w:rPr>
          <w:rFonts w:ascii="Times New Roman" w:hAnsi="Times New Roman" w:cs="Times New Roman"/>
          <w:noProof/>
          <w:sz w:val="24"/>
          <w:szCs w:val="24"/>
        </w:rPr>
      </w:pPr>
      <w:r>
        <w:rPr>
          <w:rFonts w:ascii="Times New Roman" w:hAnsi="Times New Roman"/>
          <w:noProof/>
          <w:sz w:val="24"/>
          <w:szCs w:val="24"/>
        </w:rPr>
        <w:t xml:space="preserve">Cela peut s’expliquer par le manque de clarté concernant la portée exacte de l’exigence de communiquer les règles d’exécution au registre et par l’absence d’un accord interinstitutionnel à cet effet. </w:t>
      </w:r>
    </w:p>
    <w:p>
      <w:pPr>
        <w:jc w:val="both"/>
        <w:rPr>
          <w:rFonts w:ascii="Times New Roman" w:hAnsi="Times New Roman" w:cs="Times New Roman"/>
          <w:noProof/>
          <w:sz w:val="24"/>
          <w:szCs w:val="24"/>
        </w:rPr>
      </w:pPr>
      <w:r>
        <w:rPr>
          <w:rFonts w:ascii="Times New Roman" w:hAnsi="Times New Roman"/>
          <w:noProof/>
          <w:sz w:val="24"/>
          <w:szCs w:val="24"/>
        </w:rPr>
        <w:t xml:space="preserve">Compte tenu de ce qui précède, il convient de relever que le contenu du registre n’est pas identique à celui du présent rapport, sauf en ce qui concerne les règles fixées d’un commun accord. </w:t>
      </w:r>
    </w:p>
    <w:p>
      <w:pPr>
        <w:spacing w:after="360"/>
        <w:jc w:val="both"/>
        <w:rPr>
          <w:rFonts w:ascii="Times New Roman" w:hAnsi="Times New Roman" w:cs="Times New Roman"/>
          <w:b/>
          <w:i/>
          <w:noProof/>
          <w:sz w:val="24"/>
          <w:szCs w:val="24"/>
        </w:rPr>
      </w:pPr>
      <w:r>
        <w:rPr>
          <w:rFonts w:ascii="Times New Roman" w:hAnsi="Times New Roman"/>
          <w:noProof/>
          <w:sz w:val="24"/>
          <w:szCs w:val="24"/>
        </w:rPr>
        <w:t>En plus des différences qui découlent du degré varié d’exhaustivité des informations communiquées au registre, cette divergence est due en partie aux particularités de la méthode utilisée pour élaborer le présent rapport. Le présent rapport ne contient notamment que des règles d’exécution qui étaient en vigueur durant la période 2017-2019, tandis que le registre contient aussi des règles d’exécution qui n’étaient plus applicables durant cette période. Par ailleurs, certaines institutions ont communiqué séparément au registre des règles modifiant une règle existante, tandis que, dans le présent rapport, les règles modificatives ne sont pas considérées comme des règles distinctes.</w:t>
      </w:r>
    </w:p>
    <w:p>
      <w:pPr>
        <w:pBdr>
          <w:top w:val="double" w:sz="4" w:space="1" w:color="auto"/>
          <w:left w:val="double" w:sz="4" w:space="4" w:color="auto"/>
          <w:bottom w:val="double" w:sz="4" w:space="1" w:color="auto"/>
          <w:right w:val="double" w:sz="4" w:space="4" w:color="auto"/>
        </w:pBdr>
        <w:jc w:val="center"/>
        <w:rPr>
          <w:rFonts w:ascii="Times New Roman" w:hAnsi="Times New Roman" w:cs="Times New Roman"/>
          <w:b/>
          <w:i/>
          <w:noProof/>
          <w:sz w:val="24"/>
          <w:szCs w:val="24"/>
        </w:rPr>
      </w:pPr>
      <w:r>
        <w:rPr>
          <w:rFonts w:ascii="Times New Roman" w:hAnsi="Times New Roman"/>
          <w:b/>
          <w:i/>
          <w:noProof/>
          <w:sz w:val="24"/>
          <w:szCs w:val="24"/>
        </w:rPr>
        <w:t>RESPECT</w:t>
      </w:r>
    </w:p>
    <w:p>
      <w:pPr>
        <w:pBdr>
          <w:top w:val="double" w:sz="4" w:space="1" w:color="auto"/>
          <w:left w:val="double" w:sz="4" w:space="4" w:color="auto"/>
          <w:bottom w:val="double" w:sz="4" w:space="1" w:color="auto"/>
          <w:right w:val="double" w:sz="4" w:space="4" w:color="auto"/>
        </w:pBdr>
        <w:jc w:val="both"/>
        <w:rPr>
          <w:rFonts w:ascii="Times New Roman" w:hAnsi="Times New Roman" w:cs="Times New Roman"/>
          <w:b/>
          <w:i/>
          <w:noProof/>
          <w:sz w:val="24"/>
          <w:szCs w:val="24"/>
        </w:rPr>
      </w:pPr>
      <w:r>
        <w:rPr>
          <w:rFonts w:ascii="Times New Roman" w:hAnsi="Times New Roman"/>
          <w:b/>
          <w:i/>
          <w:noProof/>
          <w:sz w:val="24"/>
          <w:szCs w:val="24"/>
        </w:rPr>
        <w:t>→ Les institutions se sont dans l’ensemble conformées au cadre du statut et du RAA.</w:t>
      </w:r>
    </w:p>
    <w:p>
      <w:pPr>
        <w:pBdr>
          <w:top w:val="double" w:sz="4" w:space="1" w:color="auto"/>
          <w:left w:val="double" w:sz="4" w:space="4" w:color="auto"/>
          <w:bottom w:val="double" w:sz="4" w:space="1" w:color="auto"/>
          <w:right w:val="double" w:sz="4" w:space="4" w:color="auto"/>
        </w:pBdr>
        <w:jc w:val="both"/>
        <w:rPr>
          <w:rFonts w:ascii="Times New Roman" w:hAnsi="Times New Roman" w:cs="Times New Roman"/>
          <w:b/>
          <w:noProof/>
          <w:sz w:val="24"/>
          <w:szCs w:val="24"/>
        </w:rPr>
      </w:pPr>
      <w:r>
        <w:rPr>
          <w:rFonts w:ascii="Times New Roman" w:hAnsi="Times New Roman"/>
          <w:b/>
          <w:i/>
          <w:noProof/>
          <w:sz w:val="24"/>
          <w:szCs w:val="24"/>
        </w:rPr>
        <w:t xml:space="preserve">→ Le rapport examine les domaines – globalement limités – dans lesquels les institutions et les agences semblent à la traîne pour se conformer au cadre statutaire. </w:t>
      </w:r>
    </w:p>
    <w:p>
      <w:pPr>
        <w:pBdr>
          <w:top w:val="double" w:sz="4" w:space="1" w:color="auto"/>
          <w:left w:val="double" w:sz="4" w:space="4" w:color="auto"/>
          <w:bottom w:val="double" w:sz="4" w:space="1" w:color="auto"/>
          <w:right w:val="double" w:sz="4" w:space="4" w:color="auto"/>
        </w:pBdr>
        <w:jc w:val="both"/>
        <w:rPr>
          <w:rFonts w:ascii="Times New Roman" w:hAnsi="Times New Roman" w:cs="Times New Roman"/>
          <w:b/>
          <w:i/>
          <w:noProof/>
          <w:sz w:val="24"/>
          <w:szCs w:val="24"/>
        </w:rPr>
      </w:pPr>
      <w:r>
        <w:rPr>
          <w:rFonts w:ascii="Times New Roman" w:hAnsi="Times New Roman"/>
          <w:b/>
          <w:i/>
          <w:noProof/>
          <w:sz w:val="24"/>
          <w:szCs w:val="24"/>
        </w:rPr>
        <w:t xml:space="preserve">→ Une convergence accrue entre les institutions sur les sujets des règles d’exécution a été observée durant la période de référence. Cette convergence était plus grande pour les sujets sur lesquels la majorité des institutions avaient déjà adopté des règles au cours de la précédente période de référence ou avant, suivies des autres institutions. Une convergence plus limitée a également été observée sur d’autres sujets. Quelques nouveaux sujets ont été également introduits. </w:t>
      </w:r>
    </w:p>
    <w:p>
      <w:pPr>
        <w:pBdr>
          <w:top w:val="double" w:sz="4" w:space="1" w:color="auto"/>
          <w:left w:val="double" w:sz="4" w:space="4" w:color="auto"/>
          <w:bottom w:val="double" w:sz="4" w:space="1" w:color="auto"/>
          <w:right w:val="double" w:sz="4" w:space="4" w:color="auto"/>
        </w:pBdr>
        <w:jc w:val="both"/>
        <w:rPr>
          <w:rFonts w:ascii="Times New Roman" w:hAnsi="Times New Roman" w:cs="Times New Roman"/>
          <w:b/>
          <w:i/>
          <w:noProof/>
          <w:sz w:val="24"/>
          <w:szCs w:val="24"/>
        </w:rPr>
      </w:pPr>
      <w:r>
        <w:rPr>
          <w:rFonts w:ascii="Times New Roman" w:hAnsi="Times New Roman"/>
          <w:b/>
          <w:i/>
          <w:noProof/>
          <w:sz w:val="24"/>
          <w:szCs w:val="24"/>
        </w:rPr>
        <w:t>→ Le registre tenu par la Cour de justice de l’Union européenne est fonctionnel, mais son contenu n’est pas synchronisé avec le présent rapport. La portée exacte de l’exigence de communiquer des règles d’exécution au registre doit être clarifiée et établie d’un commun accord entre les institutions et les agences.</w:t>
      </w:r>
    </w:p>
    <w:p>
      <w:pPr>
        <w:rPr>
          <w:rFonts w:ascii="Times New Roman" w:hAnsi="Times New Roman" w:cs="Times New Roman"/>
          <w:noProof/>
          <w:sz w:val="24"/>
          <w:szCs w:val="24"/>
        </w:rPr>
      </w:pPr>
    </w:p>
    <w:p>
      <w:pPr>
        <w:pStyle w:val="Heading1"/>
        <w:spacing w:before="240" w:after="360"/>
        <w:rPr>
          <w:noProof/>
        </w:rPr>
      </w:pPr>
      <w:bookmarkStart w:id="12" w:name="_Toc69825806"/>
      <w:r>
        <w:rPr>
          <w:rFonts w:ascii="Times New Roman" w:hAnsi="Times New Roman"/>
          <w:noProof/>
        </w:rPr>
        <w:t>TITRE </w:t>
      </w:r>
      <w:r>
        <w:rPr>
          <w:rFonts w:ascii="Times New Roman" w:hAnsi="Times New Roman"/>
          <w:bCs w:val="0"/>
          <w:noProof/>
        </w:rPr>
        <w:t>4</w:t>
      </w:r>
      <w:r>
        <w:rPr>
          <w:rFonts w:ascii="Times New Roman" w:hAnsi="Times New Roman"/>
          <w:noProof/>
        </w:rPr>
        <w:t>.</w:t>
      </w:r>
      <w:r>
        <w:rPr>
          <w:rFonts w:ascii="Times New Roman" w:hAnsi="Times New Roman"/>
          <w:noProof/>
        </w:rPr>
        <w:tab/>
      </w:r>
      <w:r>
        <w:rPr>
          <w:rFonts w:ascii="Times New Roman" w:hAnsi="Times New Roman"/>
          <w:bCs w:val="0"/>
          <w:noProof/>
        </w:rPr>
        <w:t>RÉCAPITULATIF</w:t>
      </w:r>
      <w:bookmarkEnd w:id="12"/>
    </w:p>
    <w:p>
      <w:pPr>
        <w:jc w:val="both"/>
        <w:rPr>
          <w:rFonts w:ascii="Times New Roman" w:hAnsi="Times New Roman" w:cs="Times New Roman"/>
          <w:noProof/>
          <w:sz w:val="24"/>
          <w:szCs w:val="24"/>
        </w:rPr>
      </w:pPr>
      <w:r>
        <w:rPr>
          <w:rFonts w:ascii="Times New Roman" w:hAnsi="Times New Roman"/>
          <w:noProof/>
          <w:sz w:val="24"/>
          <w:szCs w:val="24"/>
        </w:rPr>
        <w:t>Le présent rapport donne un aperçu des règles adoptées dans les institutions pour exécuter le statut des fonctionnaires et le RAA qui étaient en vigueur entre le 1</w:t>
      </w:r>
      <w:r>
        <w:rPr>
          <w:rFonts w:ascii="Times New Roman" w:hAnsi="Times New Roman"/>
          <w:noProof/>
          <w:sz w:val="24"/>
          <w:szCs w:val="24"/>
          <w:vertAlign w:val="superscript"/>
        </w:rPr>
        <w:t>er</w:t>
      </w:r>
      <w:r>
        <w:rPr>
          <w:rFonts w:ascii="Times New Roman" w:hAnsi="Times New Roman"/>
          <w:noProof/>
          <w:sz w:val="24"/>
          <w:szCs w:val="24"/>
        </w:rPr>
        <w:t> janvier 2017 et le 31 décembre 2019.</w:t>
      </w:r>
    </w:p>
    <w:p>
      <w:pPr>
        <w:jc w:val="both"/>
        <w:rPr>
          <w:rFonts w:ascii="Times New Roman" w:hAnsi="Times New Roman" w:cs="Times New Roman"/>
          <w:noProof/>
          <w:sz w:val="24"/>
          <w:szCs w:val="24"/>
        </w:rPr>
      </w:pPr>
      <w:r>
        <w:rPr>
          <w:rFonts w:ascii="Times New Roman" w:hAnsi="Times New Roman"/>
          <w:noProof/>
          <w:sz w:val="24"/>
          <w:szCs w:val="24"/>
        </w:rPr>
        <w:t>Le rapport démontre que les institutions disposent d’une certaine autonomie pour appliquer le statut des fonctionnaires et le RAA à leur personnel. Cette autonomie est exercée dans le respect du cadre juridique prévu par le statut. En outre, le statut prévoit des mécanismes spécifiques pour parvenir à une approche interinstitutionnelle commune chaque fois qu’une telle harmonisation est nécessaire.</w:t>
      </w:r>
    </w:p>
    <w:p>
      <w:pPr>
        <w:spacing w:after="240"/>
        <w:jc w:val="both"/>
        <w:rPr>
          <w:rFonts w:ascii="Times New Roman" w:hAnsi="Times New Roman" w:cs="Times New Roman"/>
          <w:noProof/>
          <w:sz w:val="24"/>
          <w:szCs w:val="24"/>
        </w:rPr>
      </w:pPr>
      <w:r>
        <w:rPr>
          <w:rFonts w:ascii="Times New Roman" w:hAnsi="Times New Roman"/>
          <w:noProof/>
          <w:sz w:val="24"/>
          <w:szCs w:val="24"/>
        </w:rPr>
        <w:t>Le rapport indique que les institutions ont largement fait usage de leur pouvoir d’adopter des règles d’exécution du statut des fonctionnaires et du RAA, même si les autorités investies du pouvoir de nomination de chaque institution ont exercé ce pouvoir à différents degrés. On peut considérer que cette divergence reflète des réalités administratives différentes et le principe d’autonomie de chaque institution en qualité d’employeur reconnu par le droit de l’Union. Cela dit, le rapport indique qu’une convergence accrue entre les institutions sur un nombre élevé de sujets couverts par des règles d’exécution a été observée durant la période de référence.</w:t>
      </w:r>
    </w:p>
    <w:p>
      <w:pPr>
        <w:jc w:val="both"/>
        <w:rPr>
          <w:rFonts w:ascii="Times New Roman" w:hAnsi="Times New Roman" w:cs="Times New Roman"/>
          <w:noProof/>
          <w:sz w:val="24"/>
          <w:szCs w:val="24"/>
        </w:rPr>
      </w:pPr>
      <w:r>
        <w:rPr>
          <w:rFonts w:ascii="Times New Roman" w:hAnsi="Times New Roman"/>
          <w:noProof/>
          <w:sz w:val="24"/>
          <w:szCs w:val="24"/>
        </w:rPr>
        <w:t>Le rapport dresse une liste exhaustive des règles d’exécution adoptées dans toutes les institutions. Il présente toutes les règles d’exécution à l’aide d’une même méthode. Cela permet de comparer la situation des différentes institutions et, dès lors, de renforcer la transparence. En ce qui concerne les agences, le rapport donne une vue d’ensemble et analyse les effets des mécanismes d’harmonisation introduits en 2014.</w:t>
      </w:r>
    </w:p>
    <w:p>
      <w:pPr>
        <w:spacing w:after="240"/>
        <w:jc w:val="both"/>
        <w:rPr>
          <w:rFonts w:ascii="Times New Roman" w:hAnsi="Times New Roman" w:cs="Times New Roman"/>
          <w:noProof/>
          <w:sz w:val="24"/>
          <w:szCs w:val="24"/>
        </w:rPr>
      </w:pPr>
      <w:r>
        <w:rPr>
          <w:rFonts w:ascii="Times New Roman" w:hAnsi="Times New Roman"/>
          <w:noProof/>
          <w:sz w:val="24"/>
          <w:szCs w:val="24"/>
        </w:rPr>
        <w:t xml:space="preserve">S’agissant du respect, le rapport permet de conclure que les autorités investies du pouvoir de nomination des institutions et des agences ont respecté dans une large mesure le cadre juridique prévu par le statut et le RAA lors de l’adoption des règles d’exécution. Le rapport examine les domaines – globalement limités – dans lesquels les institutions et les agences semblent à la traîne pour se conformer au cadre statutaire. Cela dit, bien que le présent rapport porte sur l’adoption de règles, et non sur l’interprétation et sur la mise en œuvre effective de ces règles par les institutions et les agences, qui agissent en appliquant le principe d’autonomie des institutions, les institutions et les agences pourraient réfléchir à la manière d’exploiter les mécanismes existants afin d’améliorer encore la cohérence dans l’application des règles et l’échange des bonnes pratiques. </w:t>
      </w:r>
    </w:p>
    <w:p>
      <w:pPr>
        <w:jc w:val="both"/>
        <w:rPr>
          <w:rFonts w:ascii="Times New Roman" w:hAnsi="Times New Roman" w:cs="Times New Roman"/>
          <w:noProof/>
          <w:sz w:val="24"/>
          <w:szCs w:val="24"/>
        </w:rPr>
      </w:pPr>
      <w:r>
        <w:rPr>
          <w:rFonts w:ascii="Times New Roman" w:hAnsi="Times New Roman"/>
          <w:noProof/>
          <w:sz w:val="24"/>
          <w:szCs w:val="24"/>
        </w:rPr>
        <w:t>La Cour de justice de l’Union européenne a mis en place le registre des règles d’exécution, conformément à l’article 110, paragraphe 6, du statut en février 2014. Ce registre est accessible au public et est mis à jour en permanence. Le rapport conclut que le registre est fonctionnel, mais que son contenu n’est pas synchronisé avec le présent rapport. Il s’avère que la portée exacte de l’exigence de communiquer des règles d’exécution au registre doit être clarifiée et établie d’un commun accord entre les institutions et les agences.</w:t>
      </w:r>
    </w:p>
    <w:p>
      <w:pPr>
        <w:jc w:val="both"/>
        <w:rPr>
          <w:rFonts w:ascii="Times New Roman" w:hAnsi="Times New Roman" w:cs="Times New Roman"/>
          <w:noProof/>
          <w:sz w:val="24"/>
          <w:szCs w:val="24"/>
        </w:rPr>
      </w:pPr>
      <w:r>
        <w:rPr>
          <w:rFonts w:ascii="Times New Roman" w:hAnsi="Times New Roman"/>
          <w:noProof/>
          <w:sz w:val="24"/>
          <w:szCs w:val="24"/>
        </w:rPr>
        <w:t xml:space="preserve">Pour ce qui est des prochaines étapes, les services de la Commission transmettront le présent rapport aux chefs d’administration de toutes les institutions et au réseau des agences de l’UE, ce qui permettra aux institutions et aux agences d’évaluer leur conformité avec le cadre statutaire décrit dans le présent rapport et de prendre toutes les mesures qu’elles jugeront nécessaires. </w:t>
      </w:r>
    </w:p>
    <w:p>
      <w:pPr>
        <w:jc w:val="both"/>
        <w:rPr>
          <w:rFonts w:ascii="Times New Roman" w:hAnsi="Times New Roman" w:cs="Times New Roman"/>
          <w:noProof/>
          <w:sz w:val="24"/>
          <w:szCs w:val="24"/>
        </w:rPr>
      </w:pPr>
      <w:r>
        <w:rPr>
          <w:rFonts w:ascii="Times New Roman" w:hAnsi="Times New Roman"/>
          <w:noProof/>
          <w:sz w:val="24"/>
          <w:szCs w:val="24"/>
        </w:rPr>
        <w:t>La Commission devra présenter le prochain rapport prévu à l’article 110, paragraphe 6, du statut dans trois ans. Celui-ci couvrira les règles d’exécution en vigueur entre le 1</w:t>
      </w:r>
      <w:r>
        <w:rPr>
          <w:rFonts w:ascii="Times New Roman" w:hAnsi="Times New Roman"/>
          <w:noProof/>
          <w:sz w:val="24"/>
          <w:szCs w:val="24"/>
          <w:vertAlign w:val="superscript"/>
        </w:rPr>
        <w:t>er</w:t>
      </w:r>
      <w:r>
        <w:rPr>
          <w:rFonts w:ascii="Times New Roman" w:hAnsi="Times New Roman"/>
          <w:noProof/>
          <w:sz w:val="24"/>
          <w:szCs w:val="24"/>
        </w:rPr>
        <w:t> janvier 2020 et le 31 décembre 2022.</w:t>
      </w:r>
    </w:p>
    <w:p>
      <w:pPr>
        <w:pBdr>
          <w:bottom w:val="single" w:sz="12" w:space="1" w:color="auto"/>
        </w:pBdr>
        <w:spacing w:before="120" w:after="120"/>
        <w:jc w:val="both"/>
        <w:rPr>
          <w:rFonts w:ascii="Times New Roman" w:hAnsi="Times New Roman" w:cs="Times New Roman"/>
          <w:noProof/>
          <w:sz w:val="24"/>
          <w:szCs w:val="24"/>
        </w:rPr>
      </w:pPr>
    </w:p>
    <w:p>
      <w:pPr>
        <w:spacing w:before="120" w:after="120"/>
        <w:jc w:val="both"/>
        <w:rPr>
          <w:rFonts w:ascii="Times New Roman" w:hAnsi="Times New Roman" w:cs="Times New Roman"/>
          <w:noProof/>
          <w:sz w:val="24"/>
          <w:szCs w:val="24"/>
        </w:rPr>
      </w:pPr>
    </w:p>
    <w:p>
      <w:pPr>
        <w:spacing w:before="120" w:after="120"/>
        <w:jc w:val="center"/>
        <w:rPr>
          <w:rFonts w:ascii="Times New Roman" w:hAnsi="Times New Roman" w:cs="Times New Roman"/>
          <w:b/>
          <w:noProof/>
          <w:sz w:val="24"/>
          <w:szCs w:val="24"/>
          <w:u w:val="single"/>
        </w:rPr>
      </w:pPr>
      <w:r>
        <w:rPr>
          <w:rFonts w:ascii="Times New Roman" w:hAnsi="Times New Roman"/>
          <w:b/>
          <w:noProof/>
          <w:sz w:val="24"/>
          <w:szCs w:val="24"/>
          <w:u w:val="single"/>
        </w:rPr>
        <w:t>ANNEXES</w:t>
      </w:r>
    </w:p>
    <w:p>
      <w:pPr>
        <w:spacing w:before="120" w:after="120"/>
        <w:jc w:val="both"/>
        <w:rPr>
          <w:rFonts w:ascii="Times New Roman" w:hAnsi="Times New Roman" w:cs="Times New Roman"/>
          <w:noProof/>
          <w:sz w:val="24"/>
          <w:szCs w:val="24"/>
        </w:rPr>
      </w:pPr>
    </w:p>
    <w:p>
      <w:pPr>
        <w:spacing w:before="120" w:after="120"/>
        <w:jc w:val="both"/>
        <w:rPr>
          <w:rFonts w:ascii="Times New Roman" w:hAnsi="Times New Roman" w:cs="Times New Roman"/>
          <w:b/>
          <w:noProof/>
          <w:sz w:val="24"/>
          <w:szCs w:val="24"/>
        </w:rPr>
      </w:pPr>
      <w:r>
        <w:rPr>
          <w:rFonts w:ascii="Times New Roman" w:hAnsi="Times New Roman"/>
          <w:b/>
          <w:noProof/>
          <w:sz w:val="24"/>
          <w:szCs w:val="24"/>
        </w:rPr>
        <w:t>Annexe I</w:t>
      </w:r>
      <w:r>
        <w:rPr>
          <w:rFonts w:ascii="Times New Roman" w:hAnsi="Times New Roman"/>
          <w:b/>
          <w:noProof/>
          <w:sz w:val="24"/>
          <w:szCs w:val="24"/>
        </w:rPr>
        <w:tab/>
      </w:r>
      <w:r>
        <w:rPr>
          <w:rFonts w:ascii="Times New Roman" w:hAnsi="Times New Roman"/>
          <w:b/>
          <w:noProof/>
          <w:sz w:val="24"/>
          <w:szCs w:val="24"/>
        </w:rPr>
        <w:tab/>
      </w:r>
      <w:r>
        <w:rPr>
          <w:rFonts w:ascii="Times New Roman" w:hAnsi="Times New Roman"/>
          <w:b/>
          <w:noProof/>
          <w:sz w:val="24"/>
          <w:szCs w:val="24"/>
        </w:rPr>
        <w:tab/>
        <w:t>Règles arrêtées d’un commun accord entre les institutions</w:t>
      </w:r>
    </w:p>
    <w:p>
      <w:pPr>
        <w:spacing w:before="120" w:after="120"/>
        <w:jc w:val="both"/>
        <w:rPr>
          <w:rFonts w:ascii="Times New Roman" w:hAnsi="Times New Roman" w:cs="Times New Roman"/>
          <w:b/>
          <w:noProof/>
          <w:sz w:val="24"/>
          <w:szCs w:val="24"/>
        </w:rPr>
      </w:pPr>
      <w:r>
        <w:rPr>
          <w:rFonts w:ascii="Times New Roman" w:hAnsi="Times New Roman"/>
          <w:b/>
          <w:noProof/>
          <w:sz w:val="24"/>
          <w:szCs w:val="24"/>
        </w:rPr>
        <w:t>Annexe II</w:t>
      </w:r>
      <w:r>
        <w:rPr>
          <w:rFonts w:ascii="Times New Roman" w:hAnsi="Times New Roman"/>
          <w:b/>
          <w:noProof/>
          <w:sz w:val="24"/>
          <w:szCs w:val="24"/>
        </w:rPr>
        <w:tab/>
      </w:r>
      <w:r>
        <w:rPr>
          <w:rFonts w:ascii="Times New Roman" w:hAnsi="Times New Roman"/>
          <w:b/>
          <w:noProof/>
          <w:sz w:val="24"/>
          <w:szCs w:val="24"/>
        </w:rPr>
        <w:tab/>
      </w:r>
      <w:r>
        <w:rPr>
          <w:rFonts w:ascii="Times New Roman" w:hAnsi="Times New Roman"/>
          <w:b/>
          <w:noProof/>
          <w:sz w:val="24"/>
          <w:szCs w:val="24"/>
        </w:rPr>
        <w:tab/>
        <w:t>Règles d’exécution dans les institutions</w:t>
      </w:r>
    </w:p>
    <w:p>
      <w:pPr>
        <w:spacing w:before="120" w:after="120"/>
        <w:jc w:val="both"/>
        <w:rPr>
          <w:rFonts w:ascii="Times New Roman" w:hAnsi="Times New Roman" w:cs="Times New Roman"/>
          <w:b/>
          <w:noProof/>
          <w:sz w:val="24"/>
          <w:szCs w:val="24"/>
        </w:rPr>
      </w:pPr>
      <w:r>
        <w:rPr>
          <w:rFonts w:ascii="Times New Roman" w:hAnsi="Times New Roman"/>
          <w:b/>
          <w:noProof/>
          <w:sz w:val="24"/>
          <w:szCs w:val="24"/>
        </w:rPr>
        <w:t>Annexe III</w:t>
      </w:r>
      <w:r>
        <w:rPr>
          <w:rFonts w:ascii="Times New Roman" w:hAnsi="Times New Roman"/>
          <w:b/>
          <w:noProof/>
          <w:sz w:val="24"/>
          <w:szCs w:val="24"/>
        </w:rPr>
        <w:tab/>
      </w:r>
      <w:r>
        <w:rPr>
          <w:rFonts w:ascii="Times New Roman" w:hAnsi="Times New Roman"/>
          <w:b/>
          <w:noProof/>
          <w:sz w:val="24"/>
          <w:szCs w:val="24"/>
        </w:rPr>
        <w:tab/>
      </w:r>
      <w:r>
        <w:rPr>
          <w:rFonts w:ascii="Times New Roman" w:hAnsi="Times New Roman"/>
          <w:b/>
          <w:noProof/>
          <w:sz w:val="24"/>
          <w:szCs w:val="24"/>
        </w:rPr>
        <w:tab/>
        <w:t>Tableau consolidé pour les institutions</w:t>
      </w:r>
    </w:p>
    <w:p>
      <w:pPr>
        <w:spacing w:before="120" w:after="120"/>
        <w:jc w:val="both"/>
        <w:rPr>
          <w:rFonts w:ascii="Times New Roman" w:hAnsi="Times New Roman" w:cs="Times New Roman"/>
          <w:b/>
          <w:noProof/>
          <w:sz w:val="24"/>
          <w:szCs w:val="24"/>
        </w:rPr>
      </w:pPr>
      <w:r>
        <w:rPr>
          <w:rFonts w:ascii="Times New Roman" w:hAnsi="Times New Roman"/>
          <w:b/>
          <w:noProof/>
          <w:sz w:val="24"/>
          <w:szCs w:val="24"/>
        </w:rPr>
        <w:t>Annexe IV</w:t>
      </w:r>
      <w:r>
        <w:rPr>
          <w:rFonts w:ascii="Times New Roman" w:hAnsi="Times New Roman"/>
          <w:b/>
          <w:noProof/>
          <w:sz w:val="24"/>
          <w:szCs w:val="24"/>
        </w:rPr>
        <w:tab/>
      </w:r>
      <w:r>
        <w:rPr>
          <w:rFonts w:ascii="Times New Roman" w:hAnsi="Times New Roman"/>
          <w:b/>
          <w:noProof/>
          <w:sz w:val="24"/>
          <w:szCs w:val="24"/>
        </w:rPr>
        <w:tab/>
      </w:r>
      <w:r>
        <w:rPr>
          <w:rFonts w:ascii="Times New Roman" w:hAnsi="Times New Roman"/>
          <w:b/>
          <w:noProof/>
          <w:sz w:val="24"/>
          <w:szCs w:val="24"/>
        </w:rPr>
        <w:tab/>
        <w:t>Règles d’exécution dans les agences</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9" w:footer="709"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DF25B" w16cex:dateUtc="2021-02-22T08:05:00Z"/>
  <w16cex:commentExtensible w16cex:durableId="23DE35FB" w16cex:dateUtc="2021-02-22T12:54:00Z"/>
  <w16cex:commentExtensible w16cex:durableId="23DE36F2" w16cex:dateUtc="2021-02-22T12:58:00Z"/>
  <w16cex:commentExtensible w16cex:durableId="23DE4866" w16cex:dateUtc="2021-02-22T14:12:00Z"/>
  <w16cex:commentExtensible w16cex:durableId="23E126BB" w16cex:dateUtc="2021-02-24T18:25:00Z"/>
  <w16cex:commentExtensible w16cex:durableId="23DE5FD2" w16cex:dateUtc="2021-02-22T15:52:00Z"/>
  <w16cex:commentExtensible w16cex:durableId="23DE601E" w16cex:dateUtc="2021-02-22T15:53:00Z"/>
  <w16cex:commentExtensible w16cex:durableId="23E122C0" w16cex:dateUtc="2021-02-24T18:08:00Z"/>
  <w16cex:commentExtensible w16cex:durableId="23E12514" w16cex:dateUtc="2021-02-24T18:18:00Z"/>
  <w16cex:commentExtensible w16cex:durableId="23E12555" w16cex:dateUtc="2021-02-24T18:19:00Z"/>
  <w16cex:commentExtensible w16cex:durableId="23DE70D7" w16cex:dateUtc="2021-02-22T17:05:00Z"/>
  <w16cex:commentExtensible w16cex:durableId="23DE7103" w16cex:dateUtc="2021-02-22T1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164F67" w16cid:durableId="23DDF25B"/>
  <w16cid:commentId w16cid:paraId="2C7FA61A" w16cid:durableId="23DE35FB"/>
  <w16cid:commentId w16cid:paraId="3EF26A3C" w16cid:durableId="23DE36F2"/>
  <w16cid:commentId w16cid:paraId="48A04496" w16cid:durableId="23DE4866"/>
  <w16cid:commentId w16cid:paraId="7C524691" w16cid:durableId="23E126BB"/>
  <w16cid:commentId w16cid:paraId="0B9DB258" w16cid:durableId="23DE5FD2"/>
  <w16cid:commentId w16cid:paraId="54035C74" w16cid:durableId="23DE601E"/>
  <w16cid:commentId w16cid:paraId="0E4E85F3" w16cid:durableId="23E122C0"/>
  <w16cid:commentId w16cid:paraId="1790F3EF" w16cid:durableId="23E12514"/>
  <w16cid:commentId w16cid:paraId="3A88A5E2" w16cid:durableId="23E12555"/>
  <w16cid:commentId w16cid:paraId="7BC1FBF4" w16cid:durableId="23DE70D7"/>
  <w16cid:commentId w16cid:paraId="5D3ADE98" w16cid:durableId="23DE71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21932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Tel que modifié par le règlement (UE, Euratom) nº 1023/2013 du 22 octobre 2013.</w:t>
      </w: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Pour une liste complète, voir titre II, points a) et b), du présent rapport.</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Il portait sur la période allant du 1</w:t>
      </w:r>
      <w:r>
        <w:rPr>
          <w:rFonts w:ascii="Times New Roman" w:hAnsi="Times New Roman"/>
          <w:vertAlign w:val="superscript"/>
        </w:rPr>
        <w:t>er</w:t>
      </w:r>
      <w:r>
        <w:rPr>
          <w:rFonts w:ascii="Times New Roman" w:hAnsi="Times New Roman"/>
        </w:rPr>
        <w:t> janvier 2014 au 31 décembre 2016. Rapport de la Commission au Parlement européen et au Conseil sur les règles d’exécution du statut des fonctionnaires adoptées par l’autorité investie du pouvoir de nomination de chaque institution [COM(2017) 632 final] (ci-après le «</w:t>
      </w:r>
      <w:r>
        <w:rPr>
          <w:rFonts w:ascii="Times New Roman" w:hAnsi="Times New Roman"/>
          <w:b/>
        </w:rPr>
        <w:t>rapport de 2014-2016</w:t>
      </w:r>
      <w:r>
        <w:rPr>
          <w:rFonts w:ascii="Times New Roman" w:hAnsi="Times New Roman"/>
        </w:rPr>
        <w:t>»).</w:t>
      </w:r>
    </w:p>
  </w:footnote>
  <w:footnote w:id="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Accessible au public au moyen de l’application internet «Centre de ressources de communication et d’information pour les administrations, les entreprises et les citoyens (CIRCABC)».</w:t>
      </w:r>
    </w:p>
  </w:footnote>
  <w:footnote w:id="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Voir considérant 32 du règlement (UE, Euratom) nº 1023/2013 du 22 octobre 2013.</w:t>
      </w:r>
    </w:p>
  </w:footnote>
  <w:footnote w:id="6">
    <w:p>
      <w:pPr>
        <w:pStyle w:val="FootnoteText"/>
      </w:pPr>
      <w:r>
        <w:rPr>
          <w:rStyle w:val="FootnoteReference"/>
        </w:rPr>
        <w:footnoteRef/>
      </w:r>
      <w:r>
        <w:rPr>
          <w:rFonts w:ascii="Times New Roman" w:hAnsi="Times New Roman"/>
        </w:rPr>
        <w:t xml:space="preserve"> Pour de plus amples informations, voir titre II, point b), du présent rapport.</w:t>
      </w:r>
    </w:p>
  </w:footnote>
  <w:footnote w:id="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Le rapport n’inclut pas les actes délégués adoptés sur la base des articles 111 et 112 du statut. Ces actes résultent de l’exercice, par la Commission (ou, avant la réforme du statut de 2014, par le Conseil), de son pouvoir spécifique d’édicter des règles ayant un effet général sur tous les membres du personnel de l’Union européenne. Les règles d’exécution au sens de l’article 110 du statut, en revanche, sont adoptées par une institution sur la base du pouvoir de son autorité investie du pouvoir de nomination et se limitent aux membres du personnel de ladite institution.</w:t>
      </w:r>
    </w:p>
  </w:footnote>
  <w:footnote w:id="8">
    <w:p>
      <w:pPr>
        <w:pStyle w:val="Default"/>
        <w:jc w:val="both"/>
      </w:pPr>
      <w:r>
        <w:rPr>
          <w:rStyle w:val="FootnoteReference"/>
          <w:sz w:val="20"/>
          <w:szCs w:val="20"/>
        </w:rPr>
        <w:footnoteRef/>
      </w:r>
      <w:r>
        <w:rPr>
          <w:sz w:val="20"/>
          <w:szCs w:val="20"/>
        </w:rPr>
        <w:t xml:space="preserve"> Le statut ne définit pas la procédure d’adoption d’une règle arrêtée d’un commun accord entre les institutions de l’Union. La procédure qui a été élaborée par la pratique interinstitutionnelle est décrite en détail dans le rapport de 2014-2016.</w:t>
      </w:r>
    </w:p>
  </w:footnote>
  <w:footnote w:id="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Le rapport ne couvre pas les pouvoirs prévus à l’article 2, paragraphe 3, de l’annexe «Mesures transitoires applicables aux agents relevant du régime applicable aux autres agents». Cette disposition ne porte pas sur la période couverte par le rapport.</w:t>
      </w:r>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À noter: dans son arrêt du 26 février 2020 dans l’affaire </w:t>
      </w:r>
      <w:r>
        <w:rPr>
          <w:rFonts w:ascii="Times New Roman" w:hAnsi="Times New Roman"/>
          <w:color w:val="000000"/>
        </w:rPr>
        <w:t>C</w:t>
      </w:r>
      <w:r>
        <w:rPr>
          <w:rFonts w:ascii="Times New Roman" w:hAnsi="Times New Roman"/>
          <w:color w:val="000000"/>
        </w:rPr>
        <w:noBreakHyphen/>
        <w:t xml:space="preserve">427/18 P, </w:t>
      </w:r>
      <w:r>
        <w:rPr>
          <w:rFonts w:ascii="Times New Roman" w:hAnsi="Times New Roman"/>
        </w:rPr>
        <w:t>SEAE/Alba Aguilera et al., la Cour de justice a constaté que l’article 1</w:t>
      </w:r>
      <w:r>
        <w:rPr>
          <w:rFonts w:ascii="Times New Roman" w:hAnsi="Times New Roman"/>
          <w:vertAlign w:val="superscript"/>
        </w:rPr>
        <w:t>er</w:t>
      </w:r>
      <w:r>
        <w:rPr>
          <w:rFonts w:ascii="Times New Roman" w:hAnsi="Times New Roman"/>
        </w:rPr>
        <w:t>, troisième alinéa, de l’annexe X du statut ne contient pas l’obligation, pour l’autorité investie du pouvoir de nomination, d’adopter des dispositions générales d’exécution pour l’ensemble de l’annexe X. La Cour a en revanche fait observer que la disposition fixe uniquement la procédure à suivre lorsque l’autorité investie du pouvoir de nomination décide d’adopter des dispositions générales d’exécution pour l’annexe X (voir points 77 et 83 de l’arrêt). Par conséquent, l’article 1</w:t>
      </w:r>
      <w:r>
        <w:rPr>
          <w:rFonts w:ascii="Times New Roman" w:hAnsi="Times New Roman"/>
          <w:vertAlign w:val="superscript"/>
        </w:rPr>
        <w:t>er</w:t>
      </w:r>
      <w:r>
        <w:rPr>
          <w:rFonts w:ascii="Times New Roman" w:hAnsi="Times New Roman"/>
        </w:rPr>
        <w:t>, troisième alinéa, de l’annexe X, n’est plus cité ici.</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Toutefois, en ce qui concerne le remboursement des frais médicaux dans le cadre du régime commun d’assurance maladie, la Commission a adopté, sur la base de la réglementation commune relative à la couverture des risques de maladie des fonctionnaires de l’Union européenne, des dispositions générales d’exécution s’appliquant aux membres du personnel de toutes les institutions et agences.</w:t>
      </w:r>
    </w:p>
  </w:footnote>
  <w:footnote w:id="1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Ce principe d’autonomie de chaque institution en qualité d’employeur a été confirmé par la jurisprudence; voir arrêts du 5 juillet 2011, V/Parlement européen, F</w:t>
      </w:r>
      <w:r>
        <w:rPr>
          <w:rFonts w:ascii="Times New Roman" w:hAnsi="Times New Roman"/>
        </w:rPr>
        <w:noBreakHyphen/>
        <w:t>46/09, point 135; et du 28 avril 2017, Azoulay et.al./Parlement européen, T</w:t>
      </w:r>
      <w:r>
        <w:rPr>
          <w:rFonts w:ascii="Times New Roman" w:hAnsi="Times New Roman"/>
        </w:rPr>
        <w:noBreakHyphen/>
        <w:t>580/16, point 57 et jurisprudence citée.</w:t>
      </w:r>
    </w:p>
  </w:footnote>
  <w:footnote w:id="1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Une vue d’ensemble détaillée de la procédure d’adoption des dispositions générales d’exécution figure dans le rapport de 2014-2016.</w:t>
      </w:r>
    </w:p>
  </w:footnote>
  <w:footnote w:id="1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Voir arrêt de la Cour de justice du 26 février 2020 dans l’affaire </w:t>
      </w:r>
      <w:r>
        <w:rPr>
          <w:rFonts w:ascii="Times New Roman" w:hAnsi="Times New Roman"/>
          <w:color w:val="000000"/>
        </w:rPr>
        <w:t>C</w:t>
      </w:r>
      <w:r>
        <w:rPr>
          <w:rFonts w:ascii="Times New Roman" w:hAnsi="Times New Roman"/>
          <w:color w:val="000000"/>
        </w:rPr>
        <w:noBreakHyphen/>
        <w:t xml:space="preserve">427/18 P, </w:t>
      </w:r>
      <w:r>
        <w:rPr>
          <w:rFonts w:ascii="Times New Roman" w:hAnsi="Times New Roman"/>
        </w:rPr>
        <w:t xml:space="preserve">SEAE/Alba Aguilera et al., point 57 et jurisprudence citée. </w:t>
      </w:r>
    </w:p>
  </w:footnote>
  <w:footnote w:id="15">
    <w:p>
      <w:pPr>
        <w:spacing w:line="240" w:lineRule="auto"/>
        <w:jc w:val="both"/>
        <w:rPr>
          <w:rFonts w:ascii="Times New Roman" w:hAnsi="Times New Roman" w:cs="Times New Roman"/>
          <w:sz w:val="20"/>
          <w:szCs w:val="20"/>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sz w:val="20"/>
          <w:szCs w:val="20"/>
        </w:rPr>
        <w:t>Dans un cas de figure (concernant les fonctionnaires de la Commission travaillant dans une délégation de l’Union et les fonctionnaires du SEAE qui doivent accomplir des tâches pour la Commission dans l’exercice de leurs fonctions), l’article 96 du statut prévoit un pouvoir commun de la Commission et du SEAE.</w:t>
      </w:r>
    </w:p>
    <w:p>
      <w:pPr>
        <w:pStyle w:val="FootnoteText"/>
        <w:jc w:val="both"/>
        <w:rPr>
          <w:rFonts w:ascii="Times New Roman" w:hAnsi="Times New Roman" w:cs="Times New Roman"/>
          <w:lang w:val="fr-BE"/>
        </w:rPr>
      </w:pPr>
    </w:p>
  </w:footnote>
  <w:footnote w:id="1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En vertu de l’article 36.1 du protocole (nº 4) sur les statuts du Système européen de banques centrales et de la Banque centrale européenne, les membres du personnel de la Banque centrale européenne relèvent du régime applicable au personnel de la BCE. </w:t>
      </w:r>
    </w:p>
  </w:footnote>
  <w:footnote w:id="1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À noter: dans les cas où la date d’entrée en vigueur était difficile à établir, la date d’adoption de la règle a été retenue.</w:t>
      </w:r>
    </w:p>
  </w:footnote>
  <w:footnote w:id="1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Une exception a été faite dans le cas des «décisions omnibus» arrêtées par le SEAE, c’est-à-dire des décisions globales qui adoptent, en bloc et par analogie, plusieurs décisions particulières d’autres institutions. Dans ce cas, le nombre de décisions particulières a été comptabilisé. </w:t>
      </w:r>
    </w:p>
  </w:footnote>
  <w:footnote w:id="1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Cependant, lorsqu’une disposition générale d’exécution a été remplacée par une règle d’exécution d’un autre type (ou inversement), deux règles d’exécution ont été comptabilisées (une pour chaque catégorie de règles).</w:t>
      </w:r>
    </w:p>
  </w:footnote>
  <w:footnote w:id="20">
    <w:p>
      <w:pPr>
        <w:spacing w:line="240" w:lineRule="auto"/>
        <w:jc w:val="both"/>
        <w:rPr>
          <w:rFonts w:ascii="Times New Roman" w:hAnsi="Times New Roman" w:cs="Times New Roman"/>
        </w:rPr>
      </w:pPr>
      <w:r>
        <w:rPr>
          <w:rStyle w:val="FootnoteReference"/>
          <w:rFonts w:ascii="Times New Roman" w:hAnsi="Times New Roman" w:cs="Times New Roman"/>
          <w:sz w:val="20"/>
          <w:szCs w:val="20"/>
        </w:rPr>
        <w:footnoteRef/>
      </w:r>
      <w:r>
        <w:rPr>
          <w:rFonts w:ascii="Times New Roman" w:hAnsi="Times New Roman"/>
          <w:sz w:val="20"/>
          <w:szCs w:val="20"/>
        </w:rPr>
        <w:t xml:space="preserve"> Ce tableau a été établi à partir du tableau du rapport de 2014-2016. Les chiffres du premier rapport ont été légèrement corrigés, compte tenu du fait que la plupart des institutions ont constaté qu’un certain nombre de règles qui étaient en vigueur durant la période de référence actuelle avaient été exclues par inadvertance du rapport de 2014-2016. Le tableau actuel a également été mis à jour pour tenir compte de ces corrections.  </w:t>
      </w:r>
    </w:p>
  </w:footnote>
  <w:footnote w:id="2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Parmi ces agences figure également le Parquet européen créé en octobre 2017. Cependant, étant donné que son collège n’avait pas encore été mis en place durant la période de référence, la Commission a notifié ses règles d’exécution au Parquet européen à ce jour uniquement à titre provisoire. La Commission notifiera formellement ses règles internes après l’institution du collège. </w:t>
      </w:r>
    </w:p>
  </w:footnote>
  <w:footnote w:id="2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Une liste complète des agences exécutives, entreprises communes, agences décentralisées et organes de l’Union figure à l’annexe IV du présent rapport. </w:t>
      </w:r>
    </w:p>
  </w:footnote>
  <w:footnote w:id="2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Pour plus de détails, voir communication C(2014) 6543 final du 26 septembre 2014 du Vice-président M. ŠEFČOVIČ à la Commission sur les lignes directrices relatives à la mise en œuvre de l’article 110, paragraphe 2, du statut en ce qui concerne les règles d’exécution du statut applicables dans les agences, et décision C(2014) 7229 final de la Commission du 8 octobre 2014 relative à l’exercice de certaines compétences en ce qui concerne l’accord de la Commission à donner aux agences avant l’adoption de règles d’exécution du statut conformément à l’article 110, paragraphe 2, du statut.</w:t>
      </w:r>
    </w:p>
  </w:footnote>
  <w:footnote w:id="2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L’accord de la Commission doit être sollicité avant l’expiration de la période de neuf mois susmentionnée. </w:t>
      </w:r>
    </w:p>
  </w:footnote>
  <w:footnote w:id="2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Disponible à l’adresse: </w:t>
      </w:r>
      <w:hyperlink r:id="rId1" w:history="1">
        <w:r>
          <w:rPr>
            <w:rStyle w:val="Hyperlink"/>
            <w:rFonts w:ascii="Times New Roman" w:hAnsi="Times New Roman"/>
          </w:rPr>
          <w:t>https://www.eca.europa.eu/Lists/ECADocuments/SR20_22/SR_Future_of_EU_Agencies_FR.pdf</w:t>
        </w:r>
      </w:hyperlink>
      <w:r>
        <w:rPr>
          <w:rFonts w:ascii="Times New Roman" w:hAnsi="Times New Roman"/>
        </w:rPr>
        <w:t xml:space="preserve"> (consulté pour la dernière fois le 9.12.2020).</w:t>
      </w:r>
    </w:p>
  </w:footnote>
  <w:footnote w:id="2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Toutes sauf le CEPD.</w:t>
      </w:r>
    </w:p>
  </w:footnote>
  <w:footnote w:id="2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PE, COM, CCE, SEAE, CESE, CdR, CEPD.</w:t>
      </w:r>
    </w:p>
  </w:footnote>
  <w:footnote w:id="2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Conseil, COM, CJUE, CCE, CESE, ME.</w:t>
      </w:r>
    </w:p>
  </w:footnote>
  <w:footnote w:id="2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CESE et CdR.</w:t>
      </w:r>
    </w:p>
  </w:footnote>
  <w:footnote w:id="3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CCE.</w:t>
      </w:r>
    </w:p>
  </w:footnote>
  <w:footnote w:id="3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PE, Conseil, COM, CJUE, CCE, CESE, CEPD.</w:t>
      </w:r>
    </w:p>
  </w:footnote>
  <w:footnote w:id="3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Le titre IV porte aussi sur les pouvoirs spécifiques de la Commission (avant la réforme du statut de 2014 du Conseil) pour déterminer, par voie d’actes délégués, les catégories de fonctionnaires ayant droit à des indemnités particulières (service continu, astreintes, conditions de travail particulièrement pénibles). Le présent rapport ne porte pas sur ces actes délégués, voir note de bas de page 5.</w:t>
      </w:r>
    </w:p>
  </w:footnote>
  <w:footnote w:id="3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Toutes sauf la CJUE.</w:t>
      </w:r>
    </w:p>
  </w:footnote>
  <w:footnote w:id="3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w:t>
      </w:r>
    </w:p>
  </w:footnote>
  <w:footnote w:id="3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Toutes sauf le SEAE et le CEPD.</w:t>
      </w:r>
    </w:p>
  </w:footnote>
  <w:footnote w:id="3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Toutes sauf le ME.</w:t>
      </w:r>
    </w:p>
  </w:footnote>
  <w:footnote w:id="3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Le SEAE.</w:t>
      </w:r>
    </w:p>
  </w:footnote>
  <w:footnote w:id="3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Le SEAE.</w:t>
      </w:r>
    </w:p>
  </w:footnote>
  <w:footnote w:id="3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ME.</w:t>
      </w:r>
    </w:p>
  </w:footnote>
  <w:footnote w:id="4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Conseil et CCE.</w:t>
      </w:r>
    </w:p>
  </w:footnote>
  <w:footnote w:id="4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Toutes sauf le Conseil et la CCE.</w:t>
      </w:r>
    </w:p>
  </w:footnote>
  <w:footnote w:id="4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CEPD.</w:t>
      </w:r>
    </w:p>
  </w:footnote>
  <w:footnote w:id="4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PE.</w:t>
      </w:r>
    </w:p>
  </w:footnote>
  <w:footnote w:id="4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Voir arrêt de la Cour de justice de l’Union européenne dans l’affaire C</w:t>
      </w:r>
      <w:r>
        <w:rPr>
          <w:rFonts w:ascii="Times New Roman" w:hAnsi="Times New Roman"/>
        </w:rPr>
        <w:noBreakHyphen/>
        <w:t>427/18 P, SEAE/Alba Aguilera et al., point 77.</w:t>
      </w:r>
    </w:p>
  </w:footnote>
  <w:footnote w:id="45">
    <w:p>
      <w:pPr>
        <w:pStyle w:val="FootnoteText"/>
        <w:jc w:val="both"/>
        <w:rPr>
          <w:rFonts w:ascii="Times New Roman" w:hAnsi="Times New Roman" w:cs="Times New Roman"/>
          <w:lang w:val="es-ES_tradnl"/>
        </w:rPr>
      </w:pPr>
      <w:r>
        <w:rPr>
          <w:rStyle w:val="FootnoteReference"/>
          <w:rFonts w:ascii="Times New Roman" w:hAnsi="Times New Roman" w:cs="Times New Roman"/>
        </w:rPr>
        <w:footnoteRef/>
      </w:r>
      <w:r>
        <w:rPr>
          <w:rFonts w:ascii="Times New Roman" w:hAnsi="Times New Roman"/>
          <w:lang w:val="es-ES_tradnl"/>
        </w:rPr>
        <w:t xml:space="preserve"> PE, CCE, SEAE, CESE, CdR.</w:t>
      </w:r>
    </w:p>
  </w:footnote>
  <w:footnote w:id="4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CCE, CESE.</w:t>
      </w:r>
    </w:p>
  </w:footnote>
  <w:footnote w:id="4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Toutes les agences sauf une agence nouvellement créée qui préparait les règles en vue de leur adoption au moment de l’élaboration du présent rapport.</w:t>
      </w:r>
    </w:p>
  </w:footnote>
  <w:footnote w:id="4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Toutes sauf trois agences, dont deux ont adopté, étant donné leur situation particulière, leurs propres règles concernant l’article 56 du RAA selon un accord individuel de la Commission, et non sur la base de l’accord ex ante de la Commission.</w:t>
      </w:r>
    </w:p>
  </w:footnote>
  <w:footnote w:id="4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 Commission n’a toutefois pas examiné en profondeur si toutes les règles pertinentes de toutes les agences avaient été communiquées.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003A"/>
    <w:multiLevelType w:val="hybridMultilevel"/>
    <w:tmpl w:val="C4241D94"/>
    <w:lvl w:ilvl="0" w:tplc="080C0001">
      <w:start w:val="1"/>
      <w:numFmt w:val="bullet"/>
      <w:lvlText w:val=""/>
      <w:lvlJc w:val="left"/>
      <w:pPr>
        <w:ind w:left="1440" w:hanging="360"/>
      </w:pPr>
      <w:rPr>
        <w:rFonts w:ascii="Symbol" w:hAnsi="Symbol" w:hint="default"/>
      </w:rPr>
    </w:lvl>
    <w:lvl w:ilvl="1" w:tplc="080C0003">
      <w:start w:val="1"/>
      <w:numFmt w:val="bullet"/>
      <w:lvlText w:val="o"/>
      <w:lvlJc w:val="left"/>
      <w:pPr>
        <w:ind w:left="2160" w:hanging="360"/>
      </w:pPr>
      <w:rPr>
        <w:rFonts w:ascii="Courier New" w:hAnsi="Courier New" w:cs="Courier New" w:hint="default"/>
      </w:rPr>
    </w:lvl>
    <w:lvl w:ilvl="2" w:tplc="080C0005">
      <w:start w:val="1"/>
      <w:numFmt w:val="bullet"/>
      <w:lvlText w:val=""/>
      <w:lvlJc w:val="left"/>
      <w:pPr>
        <w:ind w:left="2880" w:hanging="360"/>
      </w:pPr>
      <w:rPr>
        <w:rFonts w:ascii="Wingdings" w:hAnsi="Wingdings" w:hint="default"/>
      </w:rPr>
    </w:lvl>
    <w:lvl w:ilvl="3" w:tplc="080C0001">
      <w:start w:val="1"/>
      <w:numFmt w:val="bullet"/>
      <w:lvlText w:val=""/>
      <w:lvlJc w:val="left"/>
      <w:pPr>
        <w:ind w:left="3600" w:hanging="360"/>
      </w:pPr>
      <w:rPr>
        <w:rFonts w:ascii="Symbol" w:hAnsi="Symbol" w:hint="default"/>
      </w:rPr>
    </w:lvl>
    <w:lvl w:ilvl="4" w:tplc="080C0003">
      <w:start w:val="1"/>
      <w:numFmt w:val="bullet"/>
      <w:lvlText w:val="o"/>
      <w:lvlJc w:val="left"/>
      <w:pPr>
        <w:ind w:left="4320" w:hanging="360"/>
      </w:pPr>
      <w:rPr>
        <w:rFonts w:ascii="Courier New" w:hAnsi="Courier New" w:cs="Courier New" w:hint="default"/>
      </w:rPr>
    </w:lvl>
    <w:lvl w:ilvl="5" w:tplc="080C0005">
      <w:start w:val="1"/>
      <w:numFmt w:val="bullet"/>
      <w:lvlText w:val=""/>
      <w:lvlJc w:val="left"/>
      <w:pPr>
        <w:ind w:left="5040" w:hanging="360"/>
      </w:pPr>
      <w:rPr>
        <w:rFonts w:ascii="Wingdings" w:hAnsi="Wingdings" w:hint="default"/>
      </w:rPr>
    </w:lvl>
    <w:lvl w:ilvl="6" w:tplc="080C0001">
      <w:start w:val="1"/>
      <w:numFmt w:val="bullet"/>
      <w:lvlText w:val=""/>
      <w:lvlJc w:val="left"/>
      <w:pPr>
        <w:ind w:left="5760" w:hanging="360"/>
      </w:pPr>
      <w:rPr>
        <w:rFonts w:ascii="Symbol" w:hAnsi="Symbol" w:hint="default"/>
      </w:rPr>
    </w:lvl>
    <w:lvl w:ilvl="7" w:tplc="080C0003">
      <w:start w:val="1"/>
      <w:numFmt w:val="bullet"/>
      <w:lvlText w:val="o"/>
      <w:lvlJc w:val="left"/>
      <w:pPr>
        <w:ind w:left="6480" w:hanging="360"/>
      </w:pPr>
      <w:rPr>
        <w:rFonts w:ascii="Courier New" w:hAnsi="Courier New" w:cs="Courier New" w:hint="default"/>
      </w:rPr>
    </w:lvl>
    <w:lvl w:ilvl="8" w:tplc="080C0005">
      <w:start w:val="1"/>
      <w:numFmt w:val="bullet"/>
      <w:lvlText w:val=""/>
      <w:lvlJc w:val="left"/>
      <w:pPr>
        <w:ind w:left="7200" w:hanging="360"/>
      </w:pPr>
      <w:rPr>
        <w:rFonts w:ascii="Wingdings" w:hAnsi="Wingdings" w:hint="default"/>
      </w:rPr>
    </w:lvl>
  </w:abstractNum>
  <w:abstractNum w:abstractNumId="1">
    <w:nsid w:val="04962710"/>
    <w:multiLevelType w:val="hybridMultilevel"/>
    <w:tmpl w:val="7AA81386"/>
    <w:lvl w:ilvl="0" w:tplc="0809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05B177B7"/>
    <w:multiLevelType w:val="hybridMultilevel"/>
    <w:tmpl w:val="D974C0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95704AC"/>
    <w:multiLevelType w:val="hybridMultilevel"/>
    <w:tmpl w:val="B0620FF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0D0F3CD6"/>
    <w:multiLevelType w:val="hybridMultilevel"/>
    <w:tmpl w:val="1E5035E0"/>
    <w:lvl w:ilvl="0" w:tplc="1809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109428E6"/>
    <w:multiLevelType w:val="hybridMultilevel"/>
    <w:tmpl w:val="02F607EA"/>
    <w:lvl w:ilvl="0" w:tplc="0096F656">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1F34A4F"/>
    <w:multiLevelType w:val="hybridMultilevel"/>
    <w:tmpl w:val="B0620FF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16D530F9"/>
    <w:multiLevelType w:val="hybridMultilevel"/>
    <w:tmpl w:val="1B8662D4"/>
    <w:lvl w:ilvl="0" w:tplc="0809001B">
      <w:start w:val="1"/>
      <w:numFmt w:val="low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183729E5"/>
    <w:multiLevelType w:val="hybridMultilevel"/>
    <w:tmpl w:val="F7401DDC"/>
    <w:lvl w:ilvl="0" w:tplc="040C000F">
      <w:start w:val="1"/>
      <w:numFmt w:val="decimal"/>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1CA239A7"/>
    <w:multiLevelType w:val="hybridMultilevel"/>
    <w:tmpl w:val="D2E8874E"/>
    <w:lvl w:ilvl="0" w:tplc="1D189D98">
      <w:start w:val="1"/>
      <w:numFmt w:val="bullet"/>
      <w:lvlText w:val=""/>
      <w:lvlJc w:val="left"/>
      <w:pPr>
        <w:ind w:left="779" w:hanging="360"/>
      </w:pPr>
      <w:rPr>
        <w:rFonts w:ascii="Symbol" w:hAnsi="Symbol" w:hint="default"/>
      </w:rPr>
    </w:lvl>
    <w:lvl w:ilvl="1" w:tplc="040C0003" w:tentative="1">
      <w:start w:val="1"/>
      <w:numFmt w:val="bullet"/>
      <w:lvlText w:val="o"/>
      <w:lvlJc w:val="left"/>
      <w:pPr>
        <w:ind w:left="1499" w:hanging="360"/>
      </w:pPr>
      <w:rPr>
        <w:rFonts w:ascii="Courier New" w:hAnsi="Courier New" w:cs="Courier New" w:hint="default"/>
      </w:rPr>
    </w:lvl>
    <w:lvl w:ilvl="2" w:tplc="040C0005" w:tentative="1">
      <w:start w:val="1"/>
      <w:numFmt w:val="bullet"/>
      <w:lvlText w:val=""/>
      <w:lvlJc w:val="left"/>
      <w:pPr>
        <w:ind w:left="2219" w:hanging="360"/>
      </w:pPr>
      <w:rPr>
        <w:rFonts w:ascii="Wingdings" w:hAnsi="Wingdings" w:hint="default"/>
      </w:rPr>
    </w:lvl>
    <w:lvl w:ilvl="3" w:tplc="040C0001" w:tentative="1">
      <w:start w:val="1"/>
      <w:numFmt w:val="bullet"/>
      <w:lvlText w:val=""/>
      <w:lvlJc w:val="left"/>
      <w:pPr>
        <w:ind w:left="2939" w:hanging="360"/>
      </w:pPr>
      <w:rPr>
        <w:rFonts w:ascii="Symbol" w:hAnsi="Symbol" w:hint="default"/>
      </w:rPr>
    </w:lvl>
    <w:lvl w:ilvl="4" w:tplc="040C0003" w:tentative="1">
      <w:start w:val="1"/>
      <w:numFmt w:val="bullet"/>
      <w:lvlText w:val="o"/>
      <w:lvlJc w:val="left"/>
      <w:pPr>
        <w:ind w:left="3659" w:hanging="360"/>
      </w:pPr>
      <w:rPr>
        <w:rFonts w:ascii="Courier New" w:hAnsi="Courier New" w:cs="Courier New" w:hint="default"/>
      </w:rPr>
    </w:lvl>
    <w:lvl w:ilvl="5" w:tplc="040C0005" w:tentative="1">
      <w:start w:val="1"/>
      <w:numFmt w:val="bullet"/>
      <w:lvlText w:val=""/>
      <w:lvlJc w:val="left"/>
      <w:pPr>
        <w:ind w:left="4379" w:hanging="360"/>
      </w:pPr>
      <w:rPr>
        <w:rFonts w:ascii="Wingdings" w:hAnsi="Wingdings" w:hint="default"/>
      </w:rPr>
    </w:lvl>
    <w:lvl w:ilvl="6" w:tplc="040C0001" w:tentative="1">
      <w:start w:val="1"/>
      <w:numFmt w:val="bullet"/>
      <w:lvlText w:val=""/>
      <w:lvlJc w:val="left"/>
      <w:pPr>
        <w:ind w:left="5099" w:hanging="360"/>
      </w:pPr>
      <w:rPr>
        <w:rFonts w:ascii="Symbol" w:hAnsi="Symbol" w:hint="default"/>
      </w:rPr>
    </w:lvl>
    <w:lvl w:ilvl="7" w:tplc="040C0003" w:tentative="1">
      <w:start w:val="1"/>
      <w:numFmt w:val="bullet"/>
      <w:lvlText w:val="o"/>
      <w:lvlJc w:val="left"/>
      <w:pPr>
        <w:ind w:left="5819" w:hanging="360"/>
      </w:pPr>
      <w:rPr>
        <w:rFonts w:ascii="Courier New" w:hAnsi="Courier New" w:cs="Courier New" w:hint="default"/>
      </w:rPr>
    </w:lvl>
    <w:lvl w:ilvl="8" w:tplc="040C0005" w:tentative="1">
      <w:start w:val="1"/>
      <w:numFmt w:val="bullet"/>
      <w:lvlText w:val=""/>
      <w:lvlJc w:val="left"/>
      <w:pPr>
        <w:ind w:left="6539" w:hanging="360"/>
      </w:pPr>
      <w:rPr>
        <w:rFonts w:ascii="Wingdings" w:hAnsi="Wingdings" w:hint="default"/>
      </w:rPr>
    </w:lvl>
  </w:abstractNum>
  <w:abstractNum w:abstractNumId="10">
    <w:nsid w:val="1E1004F7"/>
    <w:multiLevelType w:val="hybridMultilevel"/>
    <w:tmpl w:val="3EA24F80"/>
    <w:lvl w:ilvl="0" w:tplc="040C000F">
      <w:start w:val="1"/>
      <w:numFmt w:val="decimal"/>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1E735911"/>
    <w:multiLevelType w:val="hybridMultilevel"/>
    <w:tmpl w:val="434AED90"/>
    <w:lvl w:ilvl="0" w:tplc="1D189D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EC07085"/>
    <w:multiLevelType w:val="hybridMultilevel"/>
    <w:tmpl w:val="CF3E3BEE"/>
    <w:lvl w:ilvl="0" w:tplc="1D189D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00504F3"/>
    <w:multiLevelType w:val="hybridMultilevel"/>
    <w:tmpl w:val="1954237A"/>
    <w:lvl w:ilvl="0" w:tplc="1D189D98">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221712FA"/>
    <w:multiLevelType w:val="hybridMultilevel"/>
    <w:tmpl w:val="469676FA"/>
    <w:lvl w:ilvl="0" w:tplc="1809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nsid w:val="24811224"/>
    <w:multiLevelType w:val="hybridMultilevel"/>
    <w:tmpl w:val="F7401DDC"/>
    <w:lvl w:ilvl="0" w:tplc="040C000F">
      <w:start w:val="1"/>
      <w:numFmt w:val="decimal"/>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nsid w:val="260D032E"/>
    <w:multiLevelType w:val="hybridMultilevel"/>
    <w:tmpl w:val="9FC60AAA"/>
    <w:lvl w:ilvl="0" w:tplc="1D189D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D820AC8"/>
    <w:multiLevelType w:val="hybridMultilevel"/>
    <w:tmpl w:val="A6488C0E"/>
    <w:lvl w:ilvl="0" w:tplc="0809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nsid w:val="313442F4"/>
    <w:multiLevelType w:val="hybridMultilevel"/>
    <w:tmpl w:val="9D123840"/>
    <w:lvl w:ilvl="0" w:tplc="040C000F">
      <w:start w:val="1"/>
      <w:numFmt w:val="decimal"/>
      <w:lvlText w:val="%1."/>
      <w:lvlJc w:val="left"/>
      <w:pPr>
        <w:ind w:left="360" w:hanging="360"/>
      </w:pPr>
      <w:rPr>
        <w:rFonts w:hint="default"/>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9">
    <w:nsid w:val="3A714FD4"/>
    <w:multiLevelType w:val="hybridMultilevel"/>
    <w:tmpl w:val="9B244966"/>
    <w:lvl w:ilvl="0" w:tplc="1809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nsid w:val="3E312B7C"/>
    <w:multiLevelType w:val="hybridMultilevel"/>
    <w:tmpl w:val="FA1A4926"/>
    <w:lvl w:ilvl="0" w:tplc="1D189D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F350E3C"/>
    <w:multiLevelType w:val="hybridMultilevel"/>
    <w:tmpl w:val="ABA41CBA"/>
    <w:lvl w:ilvl="0" w:tplc="0809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45A76CF6"/>
    <w:multiLevelType w:val="hybridMultilevel"/>
    <w:tmpl w:val="F05EC6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nsid w:val="45D243D6"/>
    <w:multiLevelType w:val="hybridMultilevel"/>
    <w:tmpl w:val="4D7858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49905F22"/>
    <w:multiLevelType w:val="hybridMultilevel"/>
    <w:tmpl w:val="405A3E00"/>
    <w:lvl w:ilvl="0" w:tplc="040C000F">
      <w:start w:val="1"/>
      <w:numFmt w:val="decimal"/>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nsid w:val="4A5A2B2D"/>
    <w:multiLevelType w:val="hybridMultilevel"/>
    <w:tmpl w:val="3EA24F80"/>
    <w:lvl w:ilvl="0" w:tplc="040C000F">
      <w:start w:val="1"/>
      <w:numFmt w:val="decimal"/>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nsid w:val="51FE3A3C"/>
    <w:multiLevelType w:val="hybridMultilevel"/>
    <w:tmpl w:val="DCC654B2"/>
    <w:lvl w:ilvl="0" w:tplc="040C000F">
      <w:start w:val="1"/>
      <w:numFmt w:val="decimal"/>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nsid w:val="5290124C"/>
    <w:multiLevelType w:val="hybridMultilevel"/>
    <w:tmpl w:val="4AAAB2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33C77D7"/>
    <w:multiLevelType w:val="hybridMultilevel"/>
    <w:tmpl w:val="A6488C0E"/>
    <w:lvl w:ilvl="0" w:tplc="0809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nsid w:val="592B1127"/>
    <w:multiLevelType w:val="hybridMultilevel"/>
    <w:tmpl w:val="876A4F14"/>
    <w:lvl w:ilvl="0" w:tplc="040C000F">
      <w:start w:val="1"/>
      <w:numFmt w:val="decimal"/>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nsid w:val="5AE677BE"/>
    <w:multiLevelType w:val="hybridMultilevel"/>
    <w:tmpl w:val="4D3C85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B006B5F"/>
    <w:multiLevelType w:val="hybridMultilevel"/>
    <w:tmpl w:val="D9FAFA64"/>
    <w:lvl w:ilvl="0" w:tplc="1D189D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C917455"/>
    <w:multiLevelType w:val="hybridMultilevel"/>
    <w:tmpl w:val="83B2C27A"/>
    <w:lvl w:ilvl="0" w:tplc="1D189D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D6419D2"/>
    <w:multiLevelType w:val="hybridMultilevel"/>
    <w:tmpl w:val="8206A064"/>
    <w:lvl w:ilvl="0" w:tplc="040C000F">
      <w:start w:val="1"/>
      <w:numFmt w:val="decimal"/>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nsid w:val="5F39481B"/>
    <w:multiLevelType w:val="hybridMultilevel"/>
    <w:tmpl w:val="FC40B928"/>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37D008A"/>
    <w:multiLevelType w:val="hybridMultilevel"/>
    <w:tmpl w:val="DD3E1B3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nsid w:val="65CA3386"/>
    <w:multiLevelType w:val="hybridMultilevel"/>
    <w:tmpl w:val="960AA21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nsid w:val="6AE52A71"/>
    <w:multiLevelType w:val="hybridMultilevel"/>
    <w:tmpl w:val="F6C6B6AC"/>
    <w:lvl w:ilvl="0" w:tplc="1D189D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C21798C"/>
    <w:multiLevelType w:val="hybridMultilevel"/>
    <w:tmpl w:val="C9021080"/>
    <w:lvl w:ilvl="0" w:tplc="0D361566">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9">
    <w:nsid w:val="6F707D72"/>
    <w:multiLevelType w:val="hybridMultilevel"/>
    <w:tmpl w:val="8D2674B4"/>
    <w:lvl w:ilvl="0" w:tplc="1809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nsid w:val="6FED2699"/>
    <w:multiLevelType w:val="hybridMultilevel"/>
    <w:tmpl w:val="D7903004"/>
    <w:lvl w:ilvl="0" w:tplc="1D189D98">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1">
    <w:nsid w:val="71842DB4"/>
    <w:multiLevelType w:val="hybridMultilevel"/>
    <w:tmpl w:val="38E2C49C"/>
    <w:lvl w:ilvl="0" w:tplc="1D189D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3A01E8F"/>
    <w:multiLevelType w:val="hybridMultilevel"/>
    <w:tmpl w:val="283A82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59C2B42"/>
    <w:multiLevelType w:val="hybridMultilevel"/>
    <w:tmpl w:val="59CC632A"/>
    <w:lvl w:ilvl="0" w:tplc="1D189D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5AC2A03"/>
    <w:multiLevelType w:val="hybridMultilevel"/>
    <w:tmpl w:val="D24C2E9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nsid w:val="784C5A47"/>
    <w:multiLevelType w:val="hybridMultilevel"/>
    <w:tmpl w:val="0D8898BE"/>
    <w:lvl w:ilvl="0" w:tplc="1D8834A6">
      <w:start w:val="1"/>
      <w:numFmt w:val="lowerRoman"/>
      <w:lvlText w:val="(%1)"/>
      <w:lvlJc w:val="left"/>
      <w:pPr>
        <w:ind w:left="1080" w:hanging="72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46">
    <w:nsid w:val="78AA5448"/>
    <w:multiLevelType w:val="hybridMultilevel"/>
    <w:tmpl w:val="12DE1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B860D03"/>
    <w:multiLevelType w:val="hybridMultilevel"/>
    <w:tmpl w:val="E488B6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7ED74131"/>
    <w:multiLevelType w:val="hybridMultilevel"/>
    <w:tmpl w:val="A6488C0E"/>
    <w:lvl w:ilvl="0" w:tplc="0809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34"/>
  </w:num>
  <w:num w:numId="2">
    <w:abstractNumId w:val="47"/>
  </w:num>
  <w:num w:numId="3">
    <w:abstractNumId w:val="2"/>
  </w:num>
  <w:num w:numId="4">
    <w:abstractNumId w:val="30"/>
  </w:num>
  <w:num w:numId="5">
    <w:abstractNumId w:val="5"/>
  </w:num>
  <w:num w:numId="6">
    <w:abstractNumId w:val="8"/>
  </w:num>
  <w:num w:numId="7">
    <w:abstractNumId w:val="25"/>
  </w:num>
  <w:num w:numId="8">
    <w:abstractNumId w:val="15"/>
  </w:num>
  <w:num w:numId="9">
    <w:abstractNumId w:val="29"/>
  </w:num>
  <w:num w:numId="10">
    <w:abstractNumId w:val="33"/>
  </w:num>
  <w:num w:numId="11">
    <w:abstractNumId w:val="31"/>
  </w:num>
  <w:num w:numId="12">
    <w:abstractNumId w:val="36"/>
  </w:num>
  <w:num w:numId="13">
    <w:abstractNumId w:val="23"/>
  </w:num>
  <w:num w:numId="14">
    <w:abstractNumId w:val="32"/>
  </w:num>
  <w:num w:numId="15">
    <w:abstractNumId w:val="16"/>
  </w:num>
  <w:num w:numId="16">
    <w:abstractNumId w:val="44"/>
  </w:num>
  <w:num w:numId="17">
    <w:abstractNumId w:val="24"/>
  </w:num>
  <w:num w:numId="18">
    <w:abstractNumId w:val="35"/>
  </w:num>
  <w:num w:numId="19">
    <w:abstractNumId w:val="26"/>
  </w:num>
  <w:num w:numId="20">
    <w:abstractNumId w:val="10"/>
  </w:num>
  <w:num w:numId="21">
    <w:abstractNumId w:val="27"/>
  </w:num>
  <w:num w:numId="22">
    <w:abstractNumId w:val="46"/>
  </w:num>
  <w:num w:numId="23">
    <w:abstractNumId w:val="13"/>
  </w:num>
  <w:num w:numId="24">
    <w:abstractNumId w:val="17"/>
  </w:num>
  <w:num w:numId="25">
    <w:abstractNumId w:val="28"/>
  </w:num>
  <w:num w:numId="26">
    <w:abstractNumId w:val="43"/>
  </w:num>
  <w:num w:numId="27">
    <w:abstractNumId w:val="48"/>
  </w:num>
  <w:num w:numId="28">
    <w:abstractNumId w:val="11"/>
  </w:num>
  <w:num w:numId="29">
    <w:abstractNumId w:val="40"/>
  </w:num>
  <w:num w:numId="30">
    <w:abstractNumId w:val="1"/>
  </w:num>
  <w:num w:numId="31">
    <w:abstractNumId w:val="9"/>
  </w:num>
  <w:num w:numId="32">
    <w:abstractNumId w:val="41"/>
  </w:num>
  <w:num w:numId="33">
    <w:abstractNumId w:val="20"/>
  </w:num>
  <w:num w:numId="34">
    <w:abstractNumId w:val="21"/>
  </w:num>
  <w:num w:numId="35">
    <w:abstractNumId w:val="12"/>
  </w:num>
  <w:num w:numId="36">
    <w:abstractNumId w:val="37"/>
  </w:num>
  <w:num w:numId="37">
    <w:abstractNumId w:val="42"/>
  </w:num>
  <w:num w:numId="38">
    <w:abstractNumId w:val="22"/>
  </w:num>
  <w:num w:numId="39">
    <w:abstractNumId w:val="38"/>
  </w:num>
  <w:num w:numId="40">
    <w:abstractNumId w:val="0"/>
  </w:num>
  <w:num w:numId="41">
    <w:abstractNumId w:val="7"/>
  </w:num>
  <w:num w:numId="42">
    <w:abstractNumId w:val="39"/>
  </w:num>
  <w:num w:numId="43">
    <w:abstractNumId w:val="14"/>
  </w:num>
  <w:num w:numId="44">
    <w:abstractNumId w:val="4"/>
  </w:num>
  <w:num w:numId="45">
    <w:abstractNumId w:val="19"/>
  </w:num>
  <w:num w:numId="46">
    <w:abstractNumId w:val="18"/>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fr-BE"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fr-BE" w:vendorID="64" w:dllVersion="0" w:nlCheck="1" w:checkStyle="0"/>
  <w:activeWritingStyle w:appName="MSWord" w:lang="es-ES" w:vendorID="64" w:dllVersion="0" w:nlCheck="1" w:checkStyle="0"/>
  <w:activeWritingStyle w:appName="MSWord" w:lang="en-GB" w:vendorID="64" w:dllVersion="131078" w:nlCheck="1" w:checkStyle="1"/>
  <w:activeWritingStyle w:appName="MSWord" w:lang="fr-BE"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n-IE" w:vendorID="64" w:dllVersion="131078" w:nlCheck="1" w:checkStyle="1"/>
  <w:activeWritingStyle w:appName="MSWord" w:lang="es-ES" w:vendorID="64" w:dllVersion="131078" w:nlCheck="1" w:checkStyle="0"/>
  <w:activeWritingStyle w:appName="MSWord" w:lang="es-ES_tradnl" w:vendorID="64" w:dllVersion="131078" w:nlCheck="1" w:checkStyle="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05A03147-8F86-47FD-A5D0-C043560A38CC"/>
    <w:docVar w:name="LW_COVERPAGE_TYPE" w:val="1"/>
    <w:docVar w:name="LW_CROSSREFERENCE" w:val="&lt;UNUSED&gt;"/>
    <w:docVar w:name="LW_DocType" w:val="NORMAL"/>
    <w:docVar w:name="LW_EMISSION" w:val="28.5.2021"/>
    <w:docVar w:name="LW_EMISSION_ISODATE" w:val="2021-05-28"/>
    <w:docVar w:name="LW_EMISSION_LOCATION" w:val="BRX"/>
    <w:docVar w:name="LW_EMISSION_PREFIX" w:val="Bruxelles, le "/>
    <w:docVar w:name="LW_EMISSION_SUFFIX" w:val=" "/>
    <w:docVar w:name="LW_ID_DOCTYPE_NONLW" w:val="CP-006"/>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21) 25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sur les règles d\u8217?exécution du statut des fonctionnaires adoptées par l\u8217?autorité investie du pouvoir de nomination de chaque institution&lt;/FMT&gt;"/>
    <w:docVar w:name="LW_TYPE.DOC.CP" w:val="RAPPORT DE LA COMMISSION AU PARLEMENT EUROPÉEN ET AU CONSEIL"/>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nhideWhenUsed/>
    <w:pPr>
      <w:spacing w:after="0" w:line="240" w:lineRule="auto"/>
    </w:pPr>
    <w:rPr>
      <w:sz w:val="20"/>
      <w:szCs w:val="20"/>
    </w:rPr>
  </w:style>
  <w:style w:type="character" w:customStyle="1" w:styleId="FootnoteTextChar">
    <w:name w:val="Footnote Text Char"/>
    <w:basedOn w:val="DefaultParagraphFont"/>
    <w:link w:val="FootnoteText"/>
    <w:rPr>
      <w:sz w:val="20"/>
      <w:szCs w:val="20"/>
    </w:rPr>
  </w:style>
  <w:style w:type="character" w:styleId="FootnoteReference">
    <w:name w:val="footnote reference"/>
    <w:basedOn w:val="DefaultParagraphFont"/>
    <w:uiPriority w:val="99"/>
    <w:unhideWhenUsed/>
    <w:rPr>
      <w:vertAlign w:val="superscript"/>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headersubtitle">
    <w:name w:val="contentheadersubtitle"/>
    <w:basedOn w:val="DefaultParagraphFont"/>
    <w:rPr>
      <w:sz w:val="19"/>
      <w:szCs w:val="19"/>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pPr>
      <w:outlineLvl w:val="9"/>
    </w:pPr>
    <w:rPr>
      <w:lang w:eastAsia="ja-JP"/>
    </w:rPr>
  </w:style>
  <w:style w:type="paragraph" w:styleId="TOC1">
    <w:name w:val="toc 1"/>
    <w:basedOn w:val="Normal"/>
    <w:next w:val="Normal"/>
    <w:autoRedefine/>
    <w:uiPriority w:val="39"/>
    <w:unhideWhenUsed/>
    <w:pPr>
      <w:tabs>
        <w:tab w:val="left" w:pos="1100"/>
        <w:tab w:val="right" w:leader="dot" w:pos="9062"/>
      </w:tabs>
      <w:spacing w:after="100"/>
    </w:pPr>
    <w:rPr>
      <w:b/>
      <w:noProof/>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Hyperlink">
    <w:name w:val="Hyperlink"/>
    <w:basedOn w:val="DefaultParagraphFont"/>
    <w:uiPriority w:val="99"/>
    <w:unhideWhenUsed/>
    <w:rPr>
      <w:color w:val="0000FF" w:themeColor="hyperlink"/>
      <w:u w:val="single"/>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TitreobjetPagedecouverture">
    <w:name w:val="Titre objet (Page de couverture)"/>
    <w:basedOn w:val="Titreobjet"/>
    <w:next w:val="Normal"/>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nhideWhenUsed/>
    <w:pPr>
      <w:spacing w:after="0" w:line="240" w:lineRule="auto"/>
    </w:pPr>
    <w:rPr>
      <w:sz w:val="20"/>
      <w:szCs w:val="20"/>
    </w:rPr>
  </w:style>
  <w:style w:type="character" w:customStyle="1" w:styleId="FootnoteTextChar">
    <w:name w:val="Footnote Text Char"/>
    <w:basedOn w:val="DefaultParagraphFont"/>
    <w:link w:val="FootnoteText"/>
    <w:rPr>
      <w:sz w:val="20"/>
      <w:szCs w:val="20"/>
    </w:rPr>
  </w:style>
  <w:style w:type="character" w:styleId="FootnoteReference">
    <w:name w:val="footnote reference"/>
    <w:basedOn w:val="DefaultParagraphFont"/>
    <w:uiPriority w:val="99"/>
    <w:unhideWhenUsed/>
    <w:rPr>
      <w:vertAlign w:val="superscript"/>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headersubtitle">
    <w:name w:val="contentheadersubtitle"/>
    <w:basedOn w:val="DefaultParagraphFont"/>
    <w:rPr>
      <w:sz w:val="19"/>
      <w:szCs w:val="19"/>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pPr>
      <w:outlineLvl w:val="9"/>
    </w:pPr>
    <w:rPr>
      <w:lang w:eastAsia="ja-JP"/>
    </w:rPr>
  </w:style>
  <w:style w:type="paragraph" w:styleId="TOC1">
    <w:name w:val="toc 1"/>
    <w:basedOn w:val="Normal"/>
    <w:next w:val="Normal"/>
    <w:autoRedefine/>
    <w:uiPriority w:val="39"/>
    <w:unhideWhenUsed/>
    <w:pPr>
      <w:tabs>
        <w:tab w:val="left" w:pos="1100"/>
        <w:tab w:val="right" w:leader="dot" w:pos="9062"/>
      </w:tabs>
      <w:spacing w:after="100"/>
    </w:pPr>
    <w:rPr>
      <w:b/>
      <w:noProof/>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Hyperlink">
    <w:name w:val="Hyperlink"/>
    <w:basedOn w:val="DefaultParagraphFont"/>
    <w:uiPriority w:val="99"/>
    <w:unhideWhenUsed/>
    <w:rPr>
      <w:color w:val="0000FF" w:themeColor="hyperlink"/>
      <w:u w:val="single"/>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TitreobjetPagedecouverture">
    <w:name w:val="Titre objet (Page de couverture)"/>
    <w:basedOn w:val="Titreobjet"/>
    <w:next w:val="Normal"/>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465672">
      <w:bodyDiv w:val="1"/>
      <w:marLeft w:val="0"/>
      <w:marRight w:val="0"/>
      <w:marTop w:val="0"/>
      <w:marBottom w:val="0"/>
      <w:divBdr>
        <w:top w:val="none" w:sz="0" w:space="0" w:color="auto"/>
        <w:left w:val="none" w:sz="0" w:space="0" w:color="auto"/>
        <w:bottom w:val="none" w:sz="0" w:space="0" w:color="auto"/>
        <w:right w:val="none" w:sz="0" w:space="0" w:color="auto"/>
      </w:divBdr>
    </w:div>
    <w:div w:id="468935053">
      <w:bodyDiv w:val="1"/>
      <w:marLeft w:val="0"/>
      <w:marRight w:val="0"/>
      <w:marTop w:val="0"/>
      <w:marBottom w:val="0"/>
      <w:divBdr>
        <w:top w:val="none" w:sz="0" w:space="0" w:color="auto"/>
        <w:left w:val="none" w:sz="0" w:space="0" w:color="auto"/>
        <w:bottom w:val="none" w:sz="0" w:space="0" w:color="auto"/>
        <w:right w:val="none" w:sz="0" w:space="0" w:color="auto"/>
      </w:divBdr>
    </w:div>
    <w:div w:id="674654650">
      <w:bodyDiv w:val="1"/>
      <w:marLeft w:val="0"/>
      <w:marRight w:val="0"/>
      <w:marTop w:val="0"/>
      <w:marBottom w:val="0"/>
      <w:divBdr>
        <w:top w:val="none" w:sz="0" w:space="0" w:color="auto"/>
        <w:left w:val="none" w:sz="0" w:space="0" w:color="auto"/>
        <w:bottom w:val="none" w:sz="0" w:space="0" w:color="auto"/>
        <w:right w:val="none" w:sz="0" w:space="0" w:color="auto"/>
      </w:divBdr>
    </w:div>
    <w:div w:id="1624189873">
      <w:bodyDiv w:val="1"/>
      <w:marLeft w:val="0"/>
      <w:marRight w:val="0"/>
      <w:marTop w:val="0"/>
      <w:marBottom w:val="0"/>
      <w:divBdr>
        <w:top w:val="none" w:sz="0" w:space="0" w:color="auto"/>
        <w:left w:val="none" w:sz="0" w:space="0" w:color="auto"/>
        <w:bottom w:val="none" w:sz="0" w:space="0" w:color="auto"/>
        <w:right w:val="none" w:sz="0" w:space="0" w:color="auto"/>
      </w:divBdr>
    </w:div>
    <w:div w:id="1720666895">
      <w:bodyDiv w:val="1"/>
      <w:marLeft w:val="0"/>
      <w:marRight w:val="0"/>
      <w:marTop w:val="0"/>
      <w:marBottom w:val="0"/>
      <w:divBdr>
        <w:top w:val="none" w:sz="0" w:space="0" w:color="auto"/>
        <w:left w:val="none" w:sz="0" w:space="0" w:color="auto"/>
        <w:bottom w:val="none" w:sz="0" w:space="0" w:color="auto"/>
        <w:right w:val="none" w:sz="0" w:space="0" w:color="auto"/>
      </w:divBdr>
    </w:div>
    <w:div w:id="1901667007">
      <w:bodyDiv w:val="1"/>
      <w:marLeft w:val="0"/>
      <w:marRight w:val="0"/>
      <w:marTop w:val="0"/>
      <w:marBottom w:val="0"/>
      <w:divBdr>
        <w:top w:val="none" w:sz="0" w:space="0" w:color="auto"/>
        <w:left w:val="none" w:sz="0" w:space="0" w:color="auto"/>
        <w:bottom w:val="none" w:sz="0" w:space="0" w:color="auto"/>
        <w:right w:val="none" w:sz="0" w:space="0" w:color="auto"/>
      </w:divBdr>
    </w:div>
    <w:div w:id="198227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www.eca.europa.eu/Lists/ECADocuments/SR20_22/SR_Future_of_EU_Agencies_F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B9B34-5F25-40BA-A470-2EB2D1ED7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8</Pages>
  <Words>10172</Words>
  <Characters>57474</Characters>
  <Application>Microsoft Office Word</Application>
  <DocSecurity>0</DocSecurity>
  <Lines>1126</Lines>
  <Paragraphs>638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38</cp:revision>
  <cp:lastPrinted>2020-10-05T12:07:00Z</cp:lastPrinted>
  <dcterms:created xsi:type="dcterms:W3CDTF">2021-03-16T15:06:00Z</dcterms:created>
  <dcterms:modified xsi:type="dcterms:W3CDTF">2021-05-20T08:04:00Z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7.0.1, Build 20190916</vt:lpwstr>
  </property>
  <property fmtid="{D5CDD505-2E9C-101B-9397-08002B2CF9AE}" pid="7" name="CPTemplateID">
    <vt:lpwstr>CP-006</vt:lpwstr>
  </property>
</Properties>
</file>