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fr-BE"/>
        </w:rPr>
      </w:pPr>
      <w:bookmarkStart w:id="0" w:name="LW_BM_COVERPAGE"/>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BFDD14C-520C-4811-AC0F-17ACEAFFFEBE" style="width:455.5pt;height:494pt">
            <v:imagedata r:id="rId9" o:title=""/>
          </v:shape>
        </w:pict>
      </w:r>
    </w:p>
    <w:bookmarkEnd w:id="0"/>
    <w:p>
      <w:pPr>
        <w:rPr>
          <w:noProof/>
          <w:lang w:val="fr-B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299"/>
        </w:sectPr>
      </w:pPr>
    </w:p>
    <w:p>
      <w:pPr>
        <w:pStyle w:val="Heading1"/>
        <w:numPr>
          <w:ilvl w:val="0"/>
          <w:numId w:val="124"/>
        </w:numPr>
        <w:rPr>
          <w:noProof/>
          <w:szCs w:val="24"/>
        </w:rPr>
      </w:pPr>
      <w:bookmarkStart w:id="1" w:name="_Coherence"/>
      <w:bookmarkStart w:id="2" w:name="_Toc58408894"/>
      <w:bookmarkStart w:id="3" w:name="_Toc59112076"/>
      <w:bookmarkStart w:id="4" w:name="_Toc59115846"/>
      <w:bookmarkStart w:id="5" w:name="_Toc59116253"/>
      <w:bookmarkStart w:id="6" w:name="_Toc64030968"/>
      <w:bookmarkStart w:id="7" w:name="_Toc64284080"/>
      <w:bookmarkStart w:id="8" w:name="_Toc64381653"/>
      <w:bookmarkStart w:id="9" w:name="_Toc67051841"/>
      <w:bookmarkStart w:id="10" w:name="_Toc73522932"/>
      <w:bookmarkStart w:id="11" w:name="_GoBack"/>
      <w:bookmarkEnd w:id="1"/>
      <w:bookmarkEnd w:id="11"/>
      <w:r>
        <w:rPr>
          <w:noProof/>
          <w:szCs w:val="24"/>
        </w:rPr>
        <w:lastRenderedPageBreak/>
        <w:t>Conclusions</w:t>
      </w:r>
      <w:bookmarkEnd w:id="2"/>
      <w:bookmarkEnd w:id="3"/>
      <w:bookmarkEnd w:id="4"/>
      <w:bookmarkEnd w:id="5"/>
      <w:bookmarkEnd w:id="6"/>
      <w:bookmarkEnd w:id="7"/>
      <w:bookmarkEnd w:id="8"/>
      <w:bookmarkEnd w:id="9"/>
      <w:bookmarkEnd w:id="10"/>
    </w:p>
    <w:p>
      <w:pPr>
        <w:ind w:firstLine="480"/>
        <w:jc w:val="both"/>
        <w:rPr>
          <w:rFonts w:ascii="Times New Roman" w:hAnsi="Times New Roman" w:cs="Times New Roman"/>
          <w:noProof/>
          <w:sz w:val="24"/>
          <w:szCs w:val="24"/>
        </w:rPr>
      </w:pPr>
      <w:r>
        <w:rPr>
          <w:rFonts w:ascii="Times New Roman" w:hAnsi="Times New Roman" w:cs="Times New Roman"/>
          <w:noProof/>
          <w:sz w:val="24"/>
          <w:szCs w:val="24"/>
        </w:rPr>
        <w:t>Based on the assessment presented in the previous sections, this section presents the conclusions of the targeted evaluation of the Solvency II framework. Although it is beyond the scope of the evaluation to provide any policy conclusions or follow-up action to take, the section also highlights the main areas with potential to improve the framework for the future, possibly in the process of the forthcoming review.</w:t>
      </w:r>
    </w:p>
    <w:p>
      <w:pPr>
        <w:pStyle w:val="Heading1"/>
        <w:numPr>
          <w:ilvl w:val="1"/>
          <w:numId w:val="124"/>
        </w:numPr>
        <w:ind w:left="1200" w:hanging="720"/>
        <w:rPr>
          <w:smallCaps w:val="0"/>
          <w:noProof/>
          <w:szCs w:val="24"/>
        </w:rPr>
      </w:pPr>
      <w:bookmarkStart w:id="12" w:name="_Toc58408895"/>
      <w:bookmarkStart w:id="13" w:name="_Toc59112077"/>
      <w:bookmarkStart w:id="14" w:name="_Toc59115847"/>
      <w:bookmarkStart w:id="15" w:name="_Toc59116254"/>
      <w:bookmarkStart w:id="16" w:name="_Toc64030969"/>
      <w:bookmarkStart w:id="17" w:name="_Toc64284081"/>
      <w:bookmarkStart w:id="18" w:name="_Toc64381654"/>
      <w:bookmarkStart w:id="19" w:name="_Toc67051842"/>
      <w:bookmarkStart w:id="20" w:name="_Toc73522933"/>
      <w:r>
        <w:rPr>
          <w:smallCaps w:val="0"/>
          <w:noProof/>
          <w:szCs w:val="24"/>
        </w:rPr>
        <w:t>Conclusions on the Solvency II framework</w:t>
      </w:r>
      <w:bookmarkEnd w:id="12"/>
      <w:bookmarkEnd w:id="13"/>
      <w:bookmarkEnd w:id="14"/>
      <w:bookmarkEnd w:id="15"/>
      <w:bookmarkEnd w:id="16"/>
      <w:bookmarkEnd w:id="17"/>
      <w:bookmarkEnd w:id="18"/>
      <w:bookmarkEnd w:id="19"/>
      <w:bookmarkEnd w:id="20"/>
    </w:p>
    <w:p>
      <w:pPr>
        <w:ind w:firstLine="480"/>
        <w:jc w:val="both"/>
        <w:rPr>
          <w:rFonts w:ascii="Times New Roman" w:hAnsi="Times New Roman" w:cs="Times New Roman"/>
          <w:noProof/>
          <w:sz w:val="24"/>
          <w:szCs w:val="24"/>
        </w:rPr>
      </w:pPr>
      <w:r>
        <w:rPr>
          <w:rFonts w:ascii="Times New Roman" w:hAnsi="Times New Roman" w:cs="Times New Roman"/>
          <w:noProof/>
          <w:sz w:val="24"/>
          <w:szCs w:val="24"/>
        </w:rPr>
        <w:t>Overall, the current Solvency II Directive and Delegated Regulation are broadly effective and coherent, still highly relevant, neutral with respect to many digital developments, and bring EU added value. Nonetheless, a number of issues in the implementation of their principles (risk-based and market-based, proportionality), in the supervisory convergence process, and the implementation of their requirements limit their efficiency, and to a lesser extent their effectiveness, while some additional dimensions are missing that could enhance their relevance in the current environment. Specifically:</w:t>
      </w:r>
    </w:p>
    <w:p>
      <w:pPr>
        <w:pStyle w:val="ListParagraph"/>
        <w:numPr>
          <w:ilvl w:val="0"/>
          <w:numId w:val="121"/>
        </w:numPr>
        <w:tabs>
          <w:tab w:val="num" w:pos="360"/>
        </w:tabs>
        <w:spacing w:after="24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Effectiveness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current risk-based, three-pillar approach of the Solvency II framework overall achieved progress towards its general objectives: </w:t>
      </w:r>
      <w:r>
        <w:rPr>
          <w:rFonts w:ascii="Times New Roman" w:hAnsi="Times New Roman" w:cs="Times New Roman"/>
          <w:noProof/>
          <w:sz w:val="24"/>
          <w:szCs w:val="24"/>
          <w:lang w:val="en-IE"/>
        </w:rPr>
        <w:t>to increase the EU insurance market integration, to enhance the protection of policyholders and beneficiaries, to improve competitiveness of EU insurers as well as to foster growth and recovery</w:t>
      </w:r>
      <w:r>
        <w:rPr>
          <w:rFonts w:ascii="Times New Roman" w:hAnsi="Times New Roman" w:cs="Times New Roman"/>
          <w:noProof/>
          <w:sz w:val="24"/>
          <w:szCs w:val="24"/>
        </w:rPr>
        <w:t xml:space="preserve">. It has significantly improved insurers’ risk management and internal governance and thereby reduced the likelihood of an insurer to fail. However, </w:t>
      </w:r>
      <w:r>
        <w:rPr>
          <w:rFonts w:ascii="Times New Roman" w:hAnsi="Times New Roman" w:cs="Times New Roman"/>
          <w:b/>
          <w:noProof/>
          <w:sz w:val="24"/>
          <w:szCs w:val="24"/>
        </w:rPr>
        <w:t>some of the numerous measures</w:t>
      </w:r>
      <w:r>
        <w:rPr>
          <w:rFonts w:ascii="Times New Roman" w:hAnsi="Times New Roman" w:cs="Times New Roman"/>
          <w:noProof/>
          <w:sz w:val="24"/>
          <w:szCs w:val="24"/>
        </w:rPr>
        <w:t xml:space="preserve"> aiming to facilitate an enhanced risk management (such as the </w:t>
      </w:r>
      <w:r>
        <w:rPr>
          <w:rFonts w:ascii="Times New Roman" w:hAnsi="Times New Roman" w:cs="Times New Roman"/>
          <w:b/>
          <w:noProof/>
          <w:sz w:val="24"/>
          <w:szCs w:val="24"/>
        </w:rPr>
        <w:t>volatility adjustment mechanism</w:t>
      </w:r>
      <w:r>
        <w:rPr>
          <w:rFonts w:ascii="Times New Roman" w:hAnsi="Times New Roman" w:cs="Times New Roman"/>
          <w:noProof/>
          <w:sz w:val="24"/>
          <w:szCs w:val="24"/>
        </w:rPr>
        <w:t xml:space="preserve">) </w:t>
      </w:r>
      <w:r>
        <w:rPr>
          <w:rFonts w:ascii="Times New Roman" w:hAnsi="Times New Roman" w:cs="Times New Roman"/>
          <w:b/>
          <w:noProof/>
          <w:sz w:val="24"/>
          <w:szCs w:val="24"/>
        </w:rPr>
        <w:t>could be refined,</w:t>
      </w:r>
      <w:r>
        <w:rPr>
          <w:rFonts w:ascii="Times New Roman" w:hAnsi="Times New Roman" w:cs="Times New Roman"/>
          <w:noProof/>
          <w:sz w:val="24"/>
          <w:szCs w:val="24"/>
        </w:rPr>
        <w:t xml:space="preserve"> as they can give rise to insufficient or undesirable effects depending on the economic situation and/or on the specificities of the national markets.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framework has also fostered transparency and strengthened supervisory cooperation and convergence, which in turn deepened the integration of the EU market and ensured a better level-playing field for EU insurers. Although all these benefits are largely acknowledged, the role of the insurers as institutional long-term investors or as “green” investors is still seen as unsatisfyingly discreet. Reasons can be found in socio-economic (policy) developments that were not foreseen at the time of the legislative process (such as the persisting low-interest-rate environment that renders some provisions or parameters outdated, insufficiently effective or even counter-effective). But they can also be found to some extent in the design of the framework and in its “principle-based” characteristic, which demands a very high level of clarity and cooperation to </w:t>
      </w:r>
      <w:r>
        <w:rPr>
          <w:rFonts w:ascii="Times New Roman" w:hAnsi="Times New Roman" w:cs="Times New Roman"/>
          <w:b/>
          <w:noProof/>
          <w:sz w:val="24"/>
          <w:szCs w:val="24"/>
        </w:rPr>
        <w:t>avoid legal uncertainties and ensure sufficient supervisory convergence</w:t>
      </w:r>
      <w:r>
        <w:rPr>
          <w:rFonts w:ascii="Times New Roman" w:hAnsi="Times New Roman" w:cs="Times New Roman"/>
          <w:noProof/>
          <w:sz w:val="24"/>
          <w:szCs w:val="24"/>
        </w:rPr>
        <w:t>. The needs for clarification evolve in turn with the implementation process, changing market conditions and new/emerging issues.</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Style w:val="ListParagraph"/>
        <w:numPr>
          <w:ilvl w:val="0"/>
          <w:numId w:val="121"/>
        </w:numPr>
        <w:tabs>
          <w:tab w:val="num" w:pos="360"/>
        </w:tabs>
        <w:spacing w:after="24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lastRenderedPageBreak/>
        <w:t>Efficiency</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Due to the difficulties in obtaining reliable cost estimates and the lack of means to quantify the general benefits of the Solvency II framework, it has not been possible to carry out a quantitative assessment of its efficiency at EU level. The available evidence on compliance costs, however, suggests that the proportionality objectives have not been reached yet, and that insurers, the smaller ones in particular, spend significant financial resources to comply with the current regulatory requirements. The reporting requirements in particular seem to generate a cost that can appear disproportionate for smaller insurers, both in terms of reaching the specific audiences and in terms of frequency. </w:t>
      </w:r>
      <w:r>
        <w:rPr>
          <w:rFonts w:ascii="Times New Roman" w:hAnsi="Times New Roman" w:cs="Times New Roman"/>
          <w:b/>
          <w:noProof/>
          <w:sz w:val="24"/>
          <w:szCs w:val="24"/>
        </w:rPr>
        <w:t>The assessment identified a number of areas where the supervisory reporting requirements could be better adapted to the size, nature and complexity of the insurance companies</w:t>
      </w:r>
      <w:r>
        <w:rPr>
          <w:rFonts w:ascii="Times New Roman" w:hAnsi="Times New Roman" w:cs="Times New Roman"/>
          <w:noProof/>
          <w:sz w:val="24"/>
          <w:szCs w:val="24"/>
        </w:rPr>
        <w:t xml:space="preserve">. Therefore, the Solvency II framework is not as efficient as it could be. Both </w:t>
      </w:r>
      <w:r>
        <w:rPr>
          <w:rFonts w:ascii="Times New Roman" w:hAnsi="Times New Roman" w:cs="Times New Roman"/>
          <w:b/>
          <w:noProof/>
          <w:sz w:val="24"/>
          <w:szCs w:val="24"/>
        </w:rPr>
        <w:t>updating and clarifying the application of the proportionality principle</w:t>
      </w:r>
      <w:r>
        <w:rPr>
          <w:rFonts w:ascii="Times New Roman" w:hAnsi="Times New Roman" w:cs="Times New Roman"/>
          <w:noProof/>
          <w:sz w:val="24"/>
          <w:szCs w:val="24"/>
        </w:rPr>
        <w:t xml:space="preserve"> could improve the general efficiency of the framework.</w:t>
      </w:r>
    </w:p>
    <w:p>
      <w:pPr>
        <w:pStyle w:val="ListParagraph"/>
        <w:numPr>
          <w:ilvl w:val="0"/>
          <w:numId w:val="121"/>
        </w:numPr>
        <w:tabs>
          <w:tab w:val="num" w:pos="360"/>
        </w:tabs>
        <w:spacing w:after="24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Relevance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main objectives of the Solvency II framework – to deepen the integration of the EU insurance market while ensuring sufficient policyholder protection and financial stability, support the competitiveness of EU insurers and foster economic growth – remain highly relevant. However, the economic and financial conditions faced by insurers and reinsurers over the recent years and months (in particular in relation to interest rate risks and market volatility) significantly differ from those during which the Solvency II framework was designed. Therefore, some provisions and parameters now prove outdated and lead to insufficient or undesired outcomes. Likewise, it may also raise financial stability issues, and </w:t>
      </w:r>
      <w:r>
        <w:rPr>
          <w:rFonts w:ascii="Times New Roman" w:hAnsi="Times New Roman" w:cs="Times New Roman"/>
          <w:b/>
          <w:noProof/>
          <w:sz w:val="24"/>
          <w:szCs w:val="24"/>
        </w:rPr>
        <w:t>the existing macro-prudential tools</w:t>
      </w:r>
      <w:r>
        <w:rPr>
          <w:rFonts w:ascii="Times New Roman" w:hAnsi="Times New Roman" w:cs="Times New Roman"/>
          <w:noProof/>
          <w:sz w:val="24"/>
          <w:szCs w:val="24"/>
        </w:rPr>
        <w:t xml:space="preserve"> already embedded in the framework </w:t>
      </w:r>
      <w:r>
        <w:rPr>
          <w:rFonts w:ascii="Times New Roman" w:hAnsi="Times New Roman" w:cs="Times New Roman"/>
          <w:b/>
          <w:noProof/>
          <w:sz w:val="24"/>
          <w:szCs w:val="24"/>
        </w:rPr>
        <w:t>may not be fit to sufficiently allow addressing potential systemic risks</w:t>
      </w:r>
      <w:r>
        <w:rPr>
          <w:rFonts w:ascii="Times New Roman" w:hAnsi="Times New Roman" w:cs="Times New Roman"/>
          <w:noProof/>
          <w:sz w:val="24"/>
          <w:szCs w:val="24"/>
        </w:rPr>
        <w:t xml:space="preserve"> in the insurance sector. In particular, Solvency II does not provide a </w:t>
      </w:r>
      <w:r>
        <w:rPr>
          <w:rFonts w:ascii="Times New Roman" w:hAnsi="Times New Roman" w:cs="Times New Roman"/>
          <w:b/>
          <w:noProof/>
          <w:sz w:val="24"/>
          <w:szCs w:val="24"/>
        </w:rPr>
        <w:t>framework for the coordinated resolution of insurers</w:t>
      </w:r>
      <w:r>
        <w:rPr>
          <w:rFonts w:ascii="Times New Roman" w:hAnsi="Times New Roman" w:cs="Times New Roman"/>
          <w:noProof/>
          <w:sz w:val="24"/>
          <w:szCs w:val="24"/>
        </w:rPr>
        <w:t xml:space="preserve"> when the disorderly failures of an insurer would lead to suboptimal outcomes for policyholders, the economy, financial stability and potentially taxpayers. Similarly, there is no harmonised and coordinated approach of safety nets in the form of </w:t>
      </w:r>
      <w:r>
        <w:rPr>
          <w:rFonts w:ascii="Times New Roman" w:hAnsi="Times New Roman" w:cs="Times New Roman"/>
          <w:b/>
          <w:noProof/>
          <w:sz w:val="24"/>
          <w:szCs w:val="24"/>
        </w:rPr>
        <w:t>insurance guarantee schemes</w:t>
      </w:r>
      <w:r>
        <w:rPr>
          <w:rFonts w:ascii="Times New Roman" w:hAnsi="Times New Roman" w:cs="Times New Roman"/>
          <w:noProof/>
          <w:sz w:val="24"/>
          <w:szCs w:val="24"/>
        </w:rPr>
        <w:t xml:space="preserve"> that would protect policyholders and beneficiaries in case of failure.  Another newly emerged objective is the role insurers are expected to play as institutional investors for a sustainable and green recovery, and into long-term sustainable investments in general. </w:t>
      </w:r>
      <w:r>
        <w:rPr>
          <w:rFonts w:ascii="Times New Roman" w:hAnsi="Times New Roman" w:cs="Times New Roman"/>
          <w:b/>
          <w:noProof/>
          <w:sz w:val="24"/>
          <w:szCs w:val="24"/>
        </w:rPr>
        <w:t>The current framework seems to lack the necessary prudential incentives for insurers</w:t>
      </w:r>
      <w:r>
        <w:rPr>
          <w:rFonts w:ascii="Times New Roman" w:hAnsi="Times New Roman" w:cs="Times New Roman"/>
          <w:noProof/>
          <w:sz w:val="24"/>
          <w:szCs w:val="24"/>
        </w:rPr>
        <w:t xml:space="preserve"> to make long-term sustainable investments as well as </w:t>
      </w:r>
      <w:r>
        <w:rPr>
          <w:rFonts w:ascii="Times New Roman" w:hAnsi="Times New Roman" w:cs="Times New Roman"/>
          <w:b/>
          <w:noProof/>
          <w:sz w:val="24"/>
          <w:szCs w:val="24"/>
        </w:rPr>
        <w:t>to manage and reflect climate and environmental risks in their risk management</w:t>
      </w:r>
      <w:r>
        <w:rPr>
          <w:rFonts w:ascii="Times New Roman" w:hAnsi="Times New Roman" w:cs="Times New Roman"/>
          <w:noProof/>
          <w:sz w:val="24"/>
          <w:szCs w:val="24"/>
        </w:rPr>
        <w:t>. Reviewing the design of the capital requirements in order to better reflect the current (and foreseeable) (natural and financial) environment also highlights some additional objectives, or put even more emphasis on existing ones. As to the horizontal digital issues that can concern the insurance market, they are part of horizontal workstreams, and also subject to continued scrutiny and ongoing work, in collaboration with the ESAs.</w:t>
      </w:r>
    </w:p>
    <w:p>
      <w:pPr>
        <w:jc w:val="both"/>
        <w:rPr>
          <w:rFonts w:ascii="Times New Roman" w:hAnsi="Times New Roman" w:cs="Times New Roman"/>
          <w:noProof/>
          <w:sz w:val="24"/>
          <w:szCs w:val="24"/>
        </w:rPr>
      </w:pPr>
    </w:p>
    <w:p>
      <w:pPr>
        <w:pStyle w:val="ListParagraph"/>
        <w:numPr>
          <w:ilvl w:val="0"/>
          <w:numId w:val="121"/>
        </w:numPr>
        <w:tabs>
          <w:tab w:val="num" w:pos="360"/>
        </w:tabs>
        <w:spacing w:after="24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Coherence</w:t>
      </w:r>
    </w:p>
    <w:p>
      <w:pPr>
        <w:pStyle w:val="ListParagraph"/>
        <w:spacing w:after="0"/>
        <w:rPr>
          <w:rFonts w:ascii="Times New Roman" w:hAnsi="Times New Roman" w:cs="Times New Roman"/>
          <w:noProof/>
          <w:sz w:val="24"/>
          <w:szCs w:val="24"/>
        </w:rPr>
      </w:pPr>
    </w:p>
    <w:p>
      <w:pPr>
        <w:jc w:val="both"/>
        <w:rPr>
          <w:rFonts w:ascii="Times New Roman" w:hAnsi="Times New Roman" w:cs="Times New Roman"/>
          <w:bCs/>
          <w:noProof/>
          <w:sz w:val="24"/>
          <w:szCs w:val="24"/>
          <w:lang w:val="en-IE"/>
        </w:rPr>
      </w:pPr>
      <w:r>
        <w:rPr>
          <w:rFonts w:ascii="Times New Roman" w:hAnsi="Times New Roman" w:cs="Times New Roman"/>
          <w:bCs/>
          <w:noProof/>
          <w:sz w:val="24"/>
          <w:szCs w:val="24"/>
        </w:rPr>
        <w:t>The interaction of the Solvency II framework with other parts of legislation</w:t>
      </w:r>
      <w:r>
        <w:rPr>
          <w:rFonts w:ascii="Times New Roman" w:hAnsi="Times New Roman" w:cs="Times New Roman"/>
          <w:bCs/>
          <w:noProof/>
          <w:sz w:val="24"/>
          <w:szCs w:val="24"/>
          <w:lang w:val="en-IE"/>
        </w:rPr>
        <w:t xml:space="preserve"> is limited as Solvency II is self-standing and by itself replacing a patchwork of 14 former Directives. Further, while it focuses on the prudential dimension and policyholder protection by ensuring that insurers have sufficient capital to meet their obligations, the Solvency II Directive is very broad, encompassing also requirements for insurance groups. </w:t>
      </w:r>
      <w:r>
        <w:rPr>
          <w:rFonts w:ascii="Times New Roman" w:hAnsi="Times New Roman" w:cs="Times New Roman"/>
          <w:noProof/>
          <w:sz w:val="24"/>
          <w:szCs w:val="24"/>
        </w:rPr>
        <w:t xml:space="preserve">However, the current provisions of the framework do not seem to be effective in a way that corresponds to the objectives of the renewed Action Plan on the Capital Markets Union: issues of </w:t>
      </w:r>
      <w:r>
        <w:rPr>
          <w:rFonts w:ascii="Times New Roman" w:hAnsi="Times New Roman" w:cs="Times New Roman"/>
          <w:b/>
          <w:noProof/>
          <w:sz w:val="24"/>
          <w:szCs w:val="24"/>
        </w:rPr>
        <w:t>insufficient volatility mitigation</w:t>
      </w:r>
      <w:r>
        <w:rPr>
          <w:rFonts w:ascii="Times New Roman" w:hAnsi="Times New Roman" w:cs="Times New Roman"/>
          <w:noProof/>
          <w:sz w:val="24"/>
          <w:szCs w:val="24"/>
        </w:rPr>
        <w:t xml:space="preserve">, impacting the </w:t>
      </w:r>
      <w:r>
        <w:rPr>
          <w:rFonts w:ascii="Times New Roman" w:hAnsi="Times New Roman" w:cs="Times New Roman"/>
          <w:b/>
          <w:noProof/>
          <w:sz w:val="24"/>
          <w:szCs w:val="24"/>
        </w:rPr>
        <w:t>insufficient effect of the framework on long-term investment</w:t>
      </w:r>
      <w:r>
        <w:rPr>
          <w:rFonts w:ascii="Times New Roman" w:hAnsi="Times New Roman" w:cs="Times New Roman"/>
          <w:noProof/>
          <w:sz w:val="24"/>
          <w:szCs w:val="24"/>
        </w:rPr>
        <w:t xml:space="preserve"> by the insurers. The same holds for “</w:t>
      </w:r>
      <w:r>
        <w:rPr>
          <w:rFonts w:ascii="Times New Roman" w:hAnsi="Times New Roman" w:cs="Times New Roman"/>
          <w:b/>
          <w:noProof/>
          <w:sz w:val="24"/>
          <w:szCs w:val="24"/>
        </w:rPr>
        <w:t>green investment</w:t>
      </w:r>
      <w:r>
        <w:rPr>
          <w:rFonts w:ascii="Times New Roman" w:hAnsi="Times New Roman" w:cs="Times New Roman"/>
          <w:noProof/>
          <w:sz w:val="24"/>
          <w:szCs w:val="24"/>
        </w:rPr>
        <w:t>” and the European Green Deal.</w:t>
      </w:r>
    </w:p>
    <w:p>
      <w:pPr>
        <w:jc w:val="both"/>
        <w:rPr>
          <w:rFonts w:ascii="Times New Roman" w:hAnsi="Times New Roman" w:cs="Times New Roman"/>
          <w:noProof/>
          <w:sz w:val="24"/>
          <w:szCs w:val="24"/>
        </w:rPr>
      </w:pPr>
      <w:r>
        <w:rPr>
          <w:rFonts w:ascii="Times New Roman" w:hAnsi="Times New Roman" w:cs="Times New Roman"/>
          <w:noProof/>
          <w:sz w:val="24"/>
          <w:szCs w:val="24"/>
        </w:rPr>
        <w:t>From an international point of view, Solvency II is one of the most advanced standards at international level, and several jurisdictions are in the process in incorporating (some of) the European rules in national legislations. On the other hand, the current lack of harmonised framework for coordination and management of crisis situations, including to address potential systemic risk, is not consistent with the objectives set at international level by the IAIS and the FSB.</w:t>
      </w:r>
    </w:p>
    <w:p>
      <w:pPr>
        <w:pStyle w:val="ListParagraph"/>
        <w:numPr>
          <w:ilvl w:val="0"/>
          <w:numId w:val="121"/>
        </w:numPr>
        <w:tabs>
          <w:tab w:val="num" w:pos="360"/>
        </w:tabs>
        <w:spacing w:after="24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EU added value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Overall, the Solvency II framework has clear added value by providing a harmonised and sound prudential framework for insurance and reinsurance companies in the EU, merging and harmonising the piece-wise regulation that existed before. Based on the risk profile of individual firms, it promotes comparability, transparency and competitiveness. Solvency II has significantly enhanced the protection of policyholders and beneficiaries, by limiting the likelihood that their insurer fails, as well as increasing transparency on the risks their insurer is facing. Under the coordination of EIOPA, Solvency II has also facilitated supervisory convergence within the Union and contributed to the integration of the Single Market for insurance services. However, the assessment suggests weaknesses in supervisory convergence and cooperation which clearly hinder the effectiveness of the framework in terms of competitiveness and integration of the EU market. It identified such issues related to insufficient supervisory convergence and cooperation in particular in the case of cross-border activities, and insufficient or unequal policyholder protection in case of failure. In particular, there is no harmonised and coordinated approach of safety nets in the form of </w:t>
      </w:r>
      <w:r>
        <w:rPr>
          <w:rFonts w:ascii="Times New Roman" w:hAnsi="Times New Roman" w:cs="Times New Roman"/>
          <w:b/>
          <w:noProof/>
          <w:sz w:val="24"/>
          <w:szCs w:val="24"/>
        </w:rPr>
        <w:t>insurance guarantee schemes</w:t>
      </w:r>
      <w:r>
        <w:rPr>
          <w:rFonts w:ascii="Times New Roman" w:hAnsi="Times New Roman" w:cs="Times New Roman"/>
          <w:noProof/>
          <w:sz w:val="24"/>
          <w:szCs w:val="24"/>
        </w:rPr>
        <w:t xml:space="preserve"> that would protect policyholders and beneficiaries in case of failure.</w:t>
      </w:r>
    </w:p>
    <w:p>
      <w:pPr>
        <w:jc w:val="both"/>
        <w:rPr>
          <w:rFonts w:ascii="Times New Roman" w:hAnsi="Times New Roman" w:cs="Times New Roman"/>
          <w:noProof/>
          <w:sz w:val="24"/>
          <w:szCs w:val="24"/>
        </w:rPr>
      </w:pPr>
      <w:r>
        <w:rPr>
          <w:rFonts w:ascii="Times New Roman" w:hAnsi="Times New Roman" w:cs="Times New Roman"/>
          <w:noProof/>
          <w:sz w:val="24"/>
          <w:szCs w:val="24"/>
        </w:rPr>
        <w:t>There is no question about the need for the EU-wide Solvency II framework. Nonetheless, the assessment suggests that there is scope for improvement in a number of areas, identified in the above-analysis and listed below. The feasibility of specific policy actions, and the costs of any required changes, would be the subject of the back-to-back impact assessment.</w:t>
      </w:r>
    </w:p>
    <w:p>
      <w:pPr>
        <w:pStyle w:val="Heading1"/>
        <w:numPr>
          <w:ilvl w:val="1"/>
          <w:numId w:val="124"/>
        </w:numPr>
        <w:ind w:left="1200" w:hanging="720"/>
        <w:rPr>
          <w:smallCaps w:val="0"/>
          <w:noProof/>
          <w:szCs w:val="24"/>
        </w:rPr>
      </w:pPr>
      <w:bookmarkStart w:id="21" w:name="_Toc58408896"/>
      <w:bookmarkStart w:id="22" w:name="_Toc59112078"/>
      <w:bookmarkStart w:id="23" w:name="_Toc59115848"/>
      <w:bookmarkStart w:id="24" w:name="_Toc59116255"/>
      <w:bookmarkStart w:id="25" w:name="_Toc64030970"/>
      <w:bookmarkStart w:id="26" w:name="_Toc64284082"/>
      <w:bookmarkStart w:id="27" w:name="_Toc64381655"/>
      <w:bookmarkStart w:id="28" w:name="_Toc67051843"/>
      <w:bookmarkStart w:id="29" w:name="_Toc73522934"/>
      <w:r>
        <w:rPr>
          <w:smallCaps w:val="0"/>
          <w:noProof/>
          <w:szCs w:val="24"/>
        </w:rPr>
        <w:t>Lessons learned</w:t>
      </w:r>
      <w:bookmarkEnd w:id="21"/>
      <w:bookmarkEnd w:id="22"/>
      <w:bookmarkEnd w:id="23"/>
      <w:bookmarkEnd w:id="24"/>
      <w:bookmarkEnd w:id="25"/>
      <w:bookmarkEnd w:id="26"/>
      <w:bookmarkEnd w:id="27"/>
      <w:bookmarkEnd w:id="28"/>
      <w:bookmarkEnd w:id="29"/>
      <w:r>
        <w:rPr>
          <w:smallCaps w:val="0"/>
          <w:noProof/>
          <w:szCs w:val="24"/>
        </w:rPr>
        <w:t xml:space="preserve"> </w:t>
      </w:r>
    </w:p>
    <w:p>
      <w:pPr>
        <w:ind w:firstLine="720"/>
        <w:jc w:val="both"/>
        <w:rPr>
          <w:rFonts w:ascii="Times New Roman" w:hAnsi="Times New Roman" w:cs="Times New Roman"/>
          <w:noProof/>
          <w:sz w:val="24"/>
          <w:szCs w:val="24"/>
        </w:rPr>
      </w:pPr>
      <w:r>
        <w:rPr>
          <w:rFonts w:ascii="Times New Roman" w:hAnsi="Times New Roman" w:cs="Times New Roman"/>
          <w:noProof/>
          <w:sz w:val="24"/>
          <w:szCs w:val="24"/>
        </w:rPr>
        <w:t>The following points summarise the lessons learned in this targeted evaluation in terms of the main areas for improvement in the Solvency II framework. These need to be understood within the above overall conclusion that the Solvency II framework is broadly fit for purpose, and generally acknowledged by all stakeholders as a well-functioning and robust regulatory framework. The risk-based framework has promoted comparability, transparency, enhancing risk management practices and competitiveness. It has therefore significantly enhanced the protection of policyholders and beneficiaries, also providing strong incentives for insurers to better measure and manage their risks, and to improve their internal governance. Under the coordination of EIOPA, Solvency II has also facilitated supervisory convergence within the Union and contributed to the integration of the Single Market for insurance services. The Framework has therefore achieved progress in the different specific (and operational) objectives, thereby contributing to the general objectives that had been set. The summary below focuses on the identified areas for improvement.</w:t>
      </w:r>
    </w:p>
    <w:p>
      <w:pPr>
        <w:tabs>
          <w:tab w:val="left" w:pos="4962"/>
        </w:tabs>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Insufficient risk-sensitivity in the design of the capital requirements</w:t>
      </w:r>
    </w:p>
    <w:p>
      <w:pPr>
        <w:pStyle w:val="ListParagraph"/>
        <w:numPr>
          <w:ilvl w:val="0"/>
          <w:numId w:val="98"/>
        </w:numPr>
        <w:tabs>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Solvency II is a “risk-based” framework. It defines capital requirements based on quantitative evidence, setting the amount of capital resources that insurers have to set aside in order for them to be able to cope with very extreme adverse events. Higher capital requirements on investments are therefore applied to assets that are more volatile and/or riskier. This risk-based principle has significantly improved insurers’ risk management practices.</w:t>
      </w:r>
    </w:p>
    <w:p>
      <w:pPr>
        <w:pStyle w:val="ListParagraph"/>
        <w:numPr>
          <w:ilvl w:val="0"/>
          <w:numId w:val="98"/>
        </w:numPr>
        <w:tabs>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However, the framework needs to be regularly updated, so that it appropriately captures all the risks that insurers are facing. It is a necessary condition to maintain the reliability of the risk management as well as of the supervision, and to protect policyholders effectively. </w:t>
      </w:r>
    </w:p>
    <w:p>
      <w:pPr>
        <w:pStyle w:val="ListParagraph"/>
        <w:numPr>
          <w:ilvl w:val="0"/>
          <w:numId w:val="98"/>
        </w:numPr>
        <w:tabs>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Indeed, current Solvency II provisions and parameters may not reflect key recent economic and financial trends. </w:t>
      </w:r>
    </w:p>
    <w:p>
      <w:pPr>
        <w:pStyle w:val="ListParagraph"/>
        <w:numPr>
          <w:ilvl w:val="0"/>
          <w:numId w:val="98"/>
        </w:numPr>
        <w:tabs>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In particular, in the new economic environment characterised by compressed spreads and low yields, the level of capital requirements using </w:t>
      </w:r>
      <w:r>
        <w:rPr>
          <w:rFonts w:ascii="Times New Roman" w:hAnsi="Times New Roman" w:cs="Times New Roman"/>
          <w:b/>
          <w:noProof/>
          <w:sz w:val="24"/>
          <w:szCs w:val="24"/>
        </w:rPr>
        <w:t>the standard formula may sometimes underestimate the risks insurers are actually facing</w:t>
      </w:r>
      <w:r>
        <w:rPr>
          <w:rFonts w:ascii="Times New Roman" w:hAnsi="Times New Roman" w:cs="Times New Roman"/>
          <w:noProof/>
          <w:sz w:val="24"/>
          <w:szCs w:val="24"/>
        </w:rPr>
        <w:t xml:space="preserve">, in particular in relation to interest rates; </w:t>
      </w:r>
      <w:r>
        <w:rPr>
          <w:rFonts w:ascii="Times New Roman" w:hAnsi="Times New Roman" w:cs="Times New Roman"/>
          <w:noProof/>
          <w:sz w:val="24"/>
          <w:szCs w:val="24"/>
          <w:lang w:val="en-IE"/>
        </w:rPr>
        <w:t xml:space="preserve">Underestimation of interest rate risk can also have negative effect on investment behaviours and risk-taking activities by insurers, with potential side effects on financial stability. </w:t>
      </w:r>
      <w:r>
        <w:rPr>
          <w:rFonts w:ascii="Times New Roman" w:hAnsi="Times New Roman" w:cs="Times New Roman"/>
          <w:noProof/>
          <w:sz w:val="24"/>
          <w:szCs w:val="24"/>
        </w:rPr>
        <w:t>The calibration of the interest rate risk sub-module and the extrapolation of the risk-free interest rates are therefore not optimal.</w:t>
      </w:r>
    </w:p>
    <w:p>
      <w:pPr>
        <w:pStyle w:val="ListParagraph"/>
        <w:numPr>
          <w:ilvl w:val="0"/>
          <w:numId w:val="98"/>
        </w:numPr>
        <w:tabs>
          <w:tab w:val="left" w:pos="4962"/>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In addition, the current risk approach does not capture the possible risk differential between “green” and “brown” assets.</w:t>
      </w:r>
    </w:p>
    <w:p>
      <w:pPr>
        <w:tabs>
          <w:tab w:val="left" w:pos="4962"/>
        </w:tabs>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Limited ability of the framework to mitigate short-term volatility of insurers’ solvency position</w:t>
      </w:r>
    </w:p>
    <w:p>
      <w:pPr>
        <w:pStyle w:val="ListParagraph"/>
        <w:numPr>
          <w:ilvl w:val="0"/>
          <w:numId w:val="99"/>
        </w:numPr>
        <w:spacing w:after="240"/>
        <w:ind w:left="357" w:hanging="357"/>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Solvency II framework also relies on full market-based valuation of insurers’ assets and liabilities, which allows monitoring the impact of economic and financial conditions on insurers’ solvency in real time and on an ongoing basis.</w:t>
      </w:r>
    </w:p>
    <w:p>
      <w:pPr>
        <w:pStyle w:val="ListParagraph"/>
        <w:numPr>
          <w:ilvl w:val="0"/>
          <w:numId w:val="99"/>
        </w:numPr>
        <w:tabs>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Solvency II comprises several </w:t>
      </w:r>
      <w:r>
        <w:rPr>
          <w:rFonts w:ascii="Times New Roman" w:hAnsi="Times New Roman" w:cs="Times New Roman"/>
          <w:b/>
          <w:noProof/>
          <w:sz w:val="24"/>
          <w:szCs w:val="24"/>
        </w:rPr>
        <w:t>regulatory tools aiming at mitigating the impact of short-term market volatility</w:t>
      </w:r>
      <w:r>
        <w:rPr>
          <w:rFonts w:ascii="Times New Roman" w:hAnsi="Times New Roman" w:cs="Times New Roman"/>
          <w:noProof/>
          <w:sz w:val="24"/>
          <w:szCs w:val="24"/>
        </w:rPr>
        <w:t xml:space="preserve">, relying on this “market-consistent” valuation. Such tools currently </w:t>
      </w:r>
      <w:r>
        <w:rPr>
          <w:rFonts w:ascii="Times New Roman" w:hAnsi="Times New Roman" w:cs="Times New Roman"/>
          <w:b/>
          <w:noProof/>
          <w:sz w:val="24"/>
          <w:szCs w:val="24"/>
        </w:rPr>
        <w:t>seem unable to avoid events of very volatile capital resources</w:t>
      </w:r>
      <w:r>
        <w:rPr>
          <w:rFonts w:ascii="Times New Roman" w:hAnsi="Times New Roman" w:cs="Times New Roman"/>
          <w:noProof/>
          <w:sz w:val="24"/>
          <w:szCs w:val="24"/>
        </w:rPr>
        <w:t>, in particular under stressed situations.</w:t>
      </w:r>
    </w:p>
    <w:p>
      <w:pPr>
        <w:pStyle w:val="ListParagraph"/>
        <w:numPr>
          <w:ilvl w:val="0"/>
          <w:numId w:val="99"/>
        </w:numPr>
        <w:tabs>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This remaining excessive short-term volatility poses a risk to the international competitiveness of EU insurers, by generating more uncertainty. </w:t>
      </w:r>
      <w:r>
        <w:rPr>
          <w:rFonts w:ascii="Times New Roman" w:hAnsi="Times New Roman" w:cs="Times New Roman"/>
          <w:noProof/>
          <w:sz w:val="24"/>
          <w:szCs w:val="24"/>
          <w:lang w:val="en-IE"/>
        </w:rPr>
        <w:t>This uncertainty can disincentivise insurers from further expanding their business and activities internationally.</w:t>
      </w:r>
    </w:p>
    <w:p>
      <w:pPr>
        <w:pStyle w:val="ListParagraph"/>
        <w:numPr>
          <w:ilvl w:val="0"/>
          <w:numId w:val="99"/>
        </w:numPr>
        <w:tabs>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b/>
          <w:noProof/>
          <w:sz w:val="24"/>
          <w:szCs w:val="24"/>
        </w:rPr>
        <w:t>It fosters short-termism in insurers’ underwriting and investment activities</w:t>
      </w:r>
      <w:r>
        <w:rPr>
          <w:rFonts w:ascii="Times New Roman" w:hAnsi="Times New Roman" w:cs="Times New Roman"/>
          <w:noProof/>
          <w:sz w:val="24"/>
          <w:szCs w:val="24"/>
        </w:rPr>
        <w:t xml:space="preserve">, divesting from real assets supporting the European economy, and thereby hinders the opportunities for the insurance market to fully play its role as institutional investor. </w:t>
      </w:r>
    </w:p>
    <w:p>
      <w:pPr>
        <w:pStyle w:val="ListParagraph"/>
        <w:numPr>
          <w:ilvl w:val="0"/>
          <w:numId w:val="99"/>
        </w:numPr>
        <w:tabs>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It also makes it more costly for insurers to offer products with long-term guarantees, incentivising a shift towards unit- or index-linked products where a large part of the risk is transferred to policyholders. </w:t>
      </w:r>
    </w:p>
    <w:p>
      <w:pPr>
        <w:pStyle w:val="ListParagraph"/>
        <w:numPr>
          <w:ilvl w:val="0"/>
          <w:numId w:val="99"/>
        </w:numPr>
        <w:tabs>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In addition, </w:t>
      </w:r>
      <w:r>
        <w:rPr>
          <w:rFonts w:ascii="Times New Roman" w:hAnsi="Times New Roman" w:cs="Times New Roman"/>
          <w:b/>
          <w:noProof/>
          <w:sz w:val="24"/>
          <w:szCs w:val="24"/>
        </w:rPr>
        <w:t>the current mechanism can also lead either to insufficient adjustment or to unexpected stability or even improvements</w:t>
      </w:r>
      <w:r>
        <w:rPr>
          <w:rFonts w:ascii="Times New Roman" w:hAnsi="Times New Roman" w:cs="Times New Roman"/>
          <w:noProof/>
          <w:sz w:val="24"/>
          <w:szCs w:val="24"/>
        </w:rPr>
        <w:t xml:space="preserve"> (so-called “overshooting”) in the solvency position of insurers, as observed during the Covid-19 outbreak. Such unintended situations raise supervisory challenges, as appropriate risk measurement may be hindered under stressed situations.</w:t>
      </w:r>
    </w:p>
    <w:p>
      <w:pPr>
        <w:rPr>
          <w:rFonts w:ascii="Times New Roman" w:hAnsi="Times New Roman" w:cs="Times New Roman"/>
          <w:noProof/>
          <w:sz w:val="24"/>
          <w:szCs w:val="24"/>
          <w:u w:val="single"/>
        </w:rPr>
      </w:pPr>
      <w:r>
        <w:rPr>
          <w:rFonts w:ascii="Times New Roman" w:hAnsi="Times New Roman" w:cs="Times New Roman"/>
          <w:noProof/>
          <w:sz w:val="24"/>
          <w:szCs w:val="24"/>
          <w:u w:val="single"/>
        </w:rPr>
        <w:t>Limited incentives for insurers to contribute to the long-term financing</w:t>
      </w:r>
    </w:p>
    <w:p>
      <w:pPr>
        <w:pStyle w:val="ListParagraph"/>
        <w:numPr>
          <w:ilvl w:val="0"/>
          <w:numId w:val="100"/>
        </w:numPr>
        <w:tabs>
          <w:tab w:val="num" w:pos="360"/>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Solvency II has enforced a “risk-based” principle which has significantly improved insurers’ risk management practices.</w:t>
      </w:r>
    </w:p>
    <w:p>
      <w:pPr>
        <w:pStyle w:val="ListParagraph"/>
        <w:numPr>
          <w:ilvl w:val="0"/>
          <w:numId w:val="100"/>
        </w:numPr>
        <w:tabs>
          <w:tab w:val="num" w:pos="360"/>
          <w:tab w:val="left" w:pos="4962"/>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With regard to market risks faced by insurers, the risk-based approach implies that the definition of </w:t>
      </w:r>
      <w:r>
        <w:rPr>
          <w:rFonts w:ascii="Times New Roman" w:hAnsi="Times New Roman" w:cs="Times New Roman"/>
          <w:b/>
          <w:noProof/>
          <w:sz w:val="24"/>
          <w:szCs w:val="24"/>
        </w:rPr>
        <w:t>capital requirements on investments only depends on the relative riskiness of each asset over a one-year time horizon, without taking into account other EU political objectives</w:t>
      </w:r>
      <w:r>
        <w:rPr>
          <w:rFonts w:ascii="Times New Roman" w:hAnsi="Times New Roman" w:cs="Times New Roman"/>
          <w:noProof/>
          <w:sz w:val="24"/>
          <w:szCs w:val="24"/>
        </w:rPr>
        <w:t xml:space="preserve">. </w:t>
      </w:r>
    </w:p>
    <w:p>
      <w:pPr>
        <w:pStyle w:val="ListParagraph"/>
        <w:numPr>
          <w:ilvl w:val="0"/>
          <w:numId w:val="100"/>
        </w:numPr>
        <w:tabs>
          <w:tab w:val="num" w:pos="360"/>
          <w:tab w:val="left" w:pos="4962"/>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Consequently, </w:t>
      </w:r>
      <w:r>
        <w:rPr>
          <w:rFonts w:ascii="Times New Roman" w:hAnsi="Times New Roman" w:cs="Times New Roman"/>
          <w:b/>
          <w:noProof/>
          <w:sz w:val="24"/>
          <w:szCs w:val="24"/>
        </w:rPr>
        <w:t>the quantitative rules on long-term investments in general are seen as very conservative</w:t>
      </w:r>
      <w:r>
        <w:rPr>
          <w:rFonts w:ascii="Times New Roman" w:hAnsi="Times New Roman" w:cs="Times New Roman"/>
          <w:noProof/>
          <w:sz w:val="24"/>
          <w:szCs w:val="24"/>
        </w:rPr>
        <w:t xml:space="preserve"> by stakeholders and the framework has not sufficiently contributed to foster long-termism in insurers’ investment decisions, which could support the long-term funding of the real economy and the financing of the recovery from the economic impact of the Covid-19 outbreak.</w:t>
      </w:r>
    </w:p>
    <w:p>
      <w:pPr>
        <w:pStyle w:val="ListParagraph"/>
        <w:numPr>
          <w:ilvl w:val="0"/>
          <w:numId w:val="100"/>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The Commission introduced changes in 2019 via the Solvency II Delegated Regulation, to ensure that investments in qualifying long-term equity are subject to a preferential prudential treatment. Feedback received after more than a year of implementation tend to establish that the conditions imposed for the application of that preferential treatment may be either too complex or difficult to meet.</w:t>
      </w:r>
    </w:p>
    <w:p>
      <w:pPr>
        <w:pStyle w:val="ListParagraph"/>
        <w:numPr>
          <w:ilvl w:val="0"/>
          <w:numId w:val="100"/>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b/>
          <w:noProof/>
          <w:sz w:val="24"/>
          <w:szCs w:val="24"/>
        </w:rPr>
        <w:t xml:space="preserve">Improvements could further facilitate long-term investment </w:t>
      </w:r>
      <w:r>
        <w:rPr>
          <w:rFonts w:ascii="Times New Roman" w:hAnsi="Times New Roman" w:cs="Times New Roman"/>
          <w:noProof/>
          <w:sz w:val="24"/>
          <w:szCs w:val="24"/>
        </w:rPr>
        <w:t>and incentivise insurers to play their full part as institutional investor for the long-term financing of the EU economy.</w:t>
      </w:r>
    </w:p>
    <w:p>
      <w:pPr>
        <w:rPr>
          <w:rFonts w:ascii="Times New Roman" w:hAnsi="Times New Roman" w:cs="Times New Roman"/>
          <w:noProof/>
          <w:sz w:val="24"/>
          <w:szCs w:val="24"/>
          <w:u w:val="single"/>
        </w:rPr>
      </w:pPr>
      <w:r>
        <w:rPr>
          <w:rFonts w:ascii="Times New Roman" w:hAnsi="Times New Roman" w:cs="Times New Roman"/>
          <w:noProof/>
          <w:sz w:val="24"/>
          <w:szCs w:val="24"/>
          <w:u w:val="single"/>
        </w:rPr>
        <w:t>Insufficient contribution to the greening of the European economy</w:t>
      </w:r>
    </w:p>
    <w:p>
      <w:pPr>
        <w:pStyle w:val="ListParagraph"/>
        <w:numPr>
          <w:ilvl w:val="0"/>
          <w:numId w:val="101"/>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The greening of the European economy concerns the insurers’ balance sheets on both sides: assets and liabilities.</w:t>
      </w:r>
    </w:p>
    <w:p>
      <w:pPr>
        <w:pStyle w:val="ListParagraph"/>
        <w:numPr>
          <w:ilvl w:val="0"/>
          <w:numId w:val="101"/>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On the one hand, the risk-based approach implies that the definition of capital requirements on investments only depends on the relative riskiness of each asset over a one-year time horizon, without taking into account other EU political objectives. Therefore, it also means that </w:t>
      </w:r>
      <w:r>
        <w:rPr>
          <w:rFonts w:ascii="Times New Roman" w:hAnsi="Times New Roman" w:cs="Times New Roman"/>
          <w:b/>
          <w:noProof/>
          <w:sz w:val="24"/>
          <w:szCs w:val="24"/>
        </w:rPr>
        <w:t>prudential rules do not take into account the brown/green nature of investments</w:t>
      </w:r>
      <w:r>
        <w:rPr>
          <w:rFonts w:ascii="Times New Roman" w:hAnsi="Times New Roman" w:cs="Times New Roman"/>
          <w:noProof/>
          <w:sz w:val="24"/>
          <w:szCs w:val="24"/>
        </w:rPr>
        <w:t xml:space="preserve">. This may (at least partially) explain why insurers’ investments in green assets remain a small share of their total investments, even though insurers are key institutional investors for the financing of the green transition, and despite the neutrality of the prudential framework with regard to investment in assets or activities that are either environmentally-sustainable or detrimental to the Commission’s objective of a climate-neutral continent. </w:t>
      </w:r>
    </w:p>
    <w:p>
      <w:pPr>
        <w:pStyle w:val="ListParagraph"/>
        <w:numPr>
          <w:ilvl w:val="0"/>
          <w:numId w:val="101"/>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while Solvency II contains a </w:t>
      </w:r>
      <w:r>
        <w:rPr>
          <w:rFonts w:ascii="Times New Roman" w:hAnsi="Times New Roman" w:cs="Times New Roman"/>
          <w:b/>
          <w:noProof/>
          <w:sz w:val="24"/>
          <w:szCs w:val="24"/>
        </w:rPr>
        <w:t>general requirement on insurers to take into account all risks in their risk management, the Directive does not name explicitly climate and environmental risks</w:t>
      </w:r>
      <w:r>
        <w:rPr>
          <w:rFonts w:ascii="Times New Roman" w:hAnsi="Times New Roman" w:cs="Times New Roman"/>
          <w:noProof/>
          <w:sz w:val="24"/>
          <w:szCs w:val="24"/>
        </w:rPr>
        <w:t xml:space="preserve"> (although other particular risk categories are mentioned). Still, those risks would often materialise through other risk categories, e.g. market or underwriting risk. This may result in a lack of clarity as regards whether and where insurers are expected to reflect climate and environmental risks and, as a consequence, in insufficient management of those risks by insurers.</w:t>
      </w:r>
    </w:p>
    <w:p>
      <w:pPr>
        <w:pStyle w:val="ListParagraph"/>
        <w:numPr>
          <w:ilvl w:val="0"/>
          <w:numId w:val="101"/>
        </w:numPr>
        <w:tabs>
          <w:tab w:val="num" w:pos="360"/>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Improvements in this area could build on integrating sustainability considerations in one or all of the three Solvency II pillars.</w:t>
      </w:r>
    </w:p>
    <w:p>
      <w:pPr>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Insufficient proportionality of the current rules</w:t>
      </w:r>
    </w:p>
    <w:p>
      <w:pPr>
        <w:pStyle w:val="ListParagraph"/>
        <w:numPr>
          <w:ilvl w:val="0"/>
          <w:numId w:val="102"/>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The assessment and feedback show that Solvency II is a sophisticated framework, which provides good incentives for robust risk management by insurers. However, it can also prove to be very complex, and its implementation generates significant compliance costs. In some cases, these high compliance costs may outweigh the benefits of the application of the framework for the smaller insurers, and there is a general sentiment that proportionality is insufficiently implemented in the supervisory process.</w:t>
      </w:r>
    </w:p>
    <w:p>
      <w:pPr>
        <w:pStyle w:val="ListParagraph"/>
        <w:numPr>
          <w:ilvl w:val="0"/>
          <w:numId w:val="102"/>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The implementation of the framework also relies on a “proportionality principle”. First, as regards the scope of firms that are subject to the Solvency II requirements, current thresholds have not been updated yet, and may prove to be outdated.</w:t>
      </w:r>
    </w:p>
    <w:p>
      <w:pPr>
        <w:pStyle w:val="ListParagraph"/>
        <w:numPr>
          <w:ilvl w:val="0"/>
          <w:numId w:val="102"/>
        </w:numPr>
        <w:tabs>
          <w:tab w:val="num" w:pos="360"/>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Second, the frameworks embeds an overarching principle of proportionality, which supposedly ensures that both the requirements imposed to companies and the intensity of supervisory activities by public authorities are commensurate to the “nature, scale and complexity” of the risks of each firm. </w:t>
      </w:r>
      <w:r>
        <w:rPr>
          <w:rFonts w:ascii="Times New Roman" w:hAnsi="Times New Roman" w:cs="Times New Roman"/>
          <w:b/>
          <w:noProof/>
          <w:sz w:val="24"/>
          <w:szCs w:val="24"/>
        </w:rPr>
        <w:t>However, in practice, the framework does not fully specify the nature of such “proportionate measures”</w:t>
      </w:r>
      <w:r>
        <w:rPr>
          <w:rFonts w:ascii="Times New Roman" w:hAnsi="Times New Roman" w:cs="Times New Roman"/>
          <w:noProof/>
          <w:sz w:val="24"/>
          <w:szCs w:val="24"/>
        </w:rPr>
        <w:t xml:space="preserve">. This overarching principle has proven to be too “abstract”, resulting in legal uncertainties and, at this stage, </w:t>
      </w:r>
      <w:r>
        <w:rPr>
          <w:rFonts w:ascii="Times New Roman" w:hAnsi="Times New Roman" w:cs="Times New Roman"/>
          <w:b/>
          <w:noProof/>
          <w:sz w:val="24"/>
          <w:szCs w:val="24"/>
        </w:rPr>
        <w:t>the implementation of proportionality has been insufficient to effectively reduce the regulatory burden for smaller insurers</w:t>
      </w:r>
      <w:r>
        <w:rPr>
          <w:rFonts w:ascii="Times New Roman" w:hAnsi="Times New Roman" w:cs="Times New Roman"/>
          <w:noProof/>
          <w:sz w:val="24"/>
          <w:szCs w:val="24"/>
        </w:rPr>
        <w:t>.</w:t>
      </w:r>
    </w:p>
    <w:p>
      <w:pPr>
        <w:pStyle w:val="ListParagraph"/>
        <w:numPr>
          <w:ilvl w:val="0"/>
          <w:numId w:val="102"/>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The supervisory reporting and disclosure in particular, being a pivotal component of the Solvency II framework, has at the same time significantly enhanced transparency and disclosure to all types of external stakeholders, and developed as a core compliance cost, in particular for smaller insurers.</w:t>
      </w:r>
    </w:p>
    <w:p>
      <w:pPr>
        <w:pStyle w:val="ListParagraph"/>
        <w:numPr>
          <w:ilvl w:val="0"/>
          <w:numId w:val="102"/>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In addition, so</w:t>
      </w:r>
      <w:r>
        <w:rPr>
          <w:rFonts w:ascii="Times New Roman" w:hAnsi="Times New Roman" w:cs="Times New Roman"/>
          <w:b/>
          <w:noProof/>
          <w:sz w:val="24"/>
          <w:szCs w:val="24"/>
        </w:rPr>
        <w:t>me characteristics of the reporting and disclosure provisions could be improved</w:t>
      </w:r>
      <w:r>
        <w:rPr>
          <w:rFonts w:ascii="Times New Roman" w:hAnsi="Times New Roman" w:cs="Times New Roman"/>
          <w:noProof/>
          <w:sz w:val="24"/>
          <w:szCs w:val="24"/>
        </w:rPr>
        <w:t>, as they are sometimes reported as inadequate to the targeted audience or seen as unnecessarily burdensome and frequent in regard to the expected use of the information.</w:t>
      </w:r>
    </w:p>
    <w:p>
      <w:pPr>
        <w:pStyle w:val="ListParagraph"/>
        <w:spacing w:after="0"/>
        <w:ind w:left="1200"/>
        <w:rPr>
          <w:rFonts w:ascii="Times New Roman" w:hAnsi="Times New Roman" w:cs="Times New Roman"/>
          <w:noProof/>
          <w:sz w:val="24"/>
          <w:szCs w:val="24"/>
          <w:u w:val="single"/>
        </w:rPr>
      </w:pPr>
    </w:p>
    <w:p>
      <w:pPr>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Regulatory and supervisory shortcomings in policyholder protection, including in the event of an insurer’s failure</w:t>
      </w:r>
    </w:p>
    <w:p>
      <w:pPr>
        <w:pStyle w:val="ListParagraph"/>
        <w:numPr>
          <w:ilvl w:val="0"/>
          <w:numId w:val="103"/>
        </w:numPr>
        <w:tabs>
          <w:tab w:val="num" w:pos="360"/>
        </w:tabs>
        <w:spacing w:after="240"/>
        <w:ind w:left="357" w:hanging="357"/>
        <w:jc w:val="both"/>
        <w:rPr>
          <w:rFonts w:ascii="Times New Roman" w:hAnsi="Times New Roman" w:cs="Times New Roman"/>
          <w:noProof/>
          <w:sz w:val="24"/>
          <w:szCs w:val="24"/>
          <w:lang w:val="en-IE"/>
        </w:rPr>
      </w:pPr>
      <w:r>
        <w:rPr>
          <w:rFonts w:ascii="Times New Roman" w:hAnsi="Times New Roman" w:cs="Times New Roman"/>
          <w:noProof/>
          <w:sz w:val="24"/>
          <w:szCs w:val="24"/>
        </w:rPr>
        <w:t xml:space="preserve">The assessment shows that Solvency II has facilitated the integration of the Single Market for insurance services by improving the level-playing field and supervisory convergence. However, feedback and EIOPA’s reports also point to issues of inconsistent application of some Solvency II provisions across the EU, and </w:t>
      </w:r>
      <w:r>
        <w:rPr>
          <w:rFonts w:ascii="Times New Roman" w:hAnsi="Times New Roman" w:cs="Times New Roman"/>
          <w:b/>
          <w:noProof/>
          <w:sz w:val="24"/>
          <w:szCs w:val="24"/>
          <w:lang w:val="en-IE"/>
        </w:rPr>
        <w:t>due to legal uncertainties, several areas of the framework may not ensure a harmonised implementation of the rules by insurers and supervisory authorities</w:t>
      </w:r>
      <w:r>
        <w:rPr>
          <w:rFonts w:ascii="Times New Roman" w:hAnsi="Times New Roman" w:cs="Times New Roman"/>
          <w:noProof/>
          <w:sz w:val="24"/>
          <w:szCs w:val="24"/>
          <w:lang w:val="en-IE"/>
        </w:rPr>
        <w:t>, in particular in relation to the supervision of internal models, and to the supervision of insurance groups.</w:t>
      </w:r>
    </w:p>
    <w:p>
      <w:pPr>
        <w:pStyle w:val="ListParagraph"/>
        <w:numPr>
          <w:ilvl w:val="0"/>
          <w:numId w:val="103"/>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Indeed, </w:t>
      </w:r>
      <w:r>
        <w:rPr>
          <w:rFonts w:ascii="Times New Roman" w:hAnsi="Times New Roman" w:cs="Times New Roman"/>
          <w:b/>
          <w:noProof/>
          <w:sz w:val="24"/>
          <w:szCs w:val="24"/>
        </w:rPr>
        <w:t>EIOPA’s recently enhanced role may prove insufficient to ensure a high-quality convergent supervision across Member States, and closing gaps may not always be achieved solely through non-binding tools. In addition, the lack of data sharing between supervisory authorities may hinder the effective supervision of insurers operating on a cross-border basis</w:t>
      </w:r>
      <w:r>
        <w:rPr>
          <w:rFonts w:ascii="Times New Roman" w:hAnsi="Times New Roman" w:cs="Times New Roman"/>
          <w:noProof/>
          <w:sz w:val="24"/>
          <w:szCs w:val="24"/>
        </w:rPr>
        <w:t>. This can also affect citizens’ trust in the single market and is detrimental to the Single Market for insurance services.</w:t>
      </w:r>
    </w:p>
    <w:p>
      <w:pPr>
        <w:pStyle w:val="ListParagraph"/>
        <w:numPr>
          <w:ilvl w:val="0"/>
          <w:numId w:val="103"/>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Recent failures of insurance companies, which operated mainly outside the country where they were initially authorised, have indicated that there may be a need to consider enhancements in quality, consistency and coordination of insurance supervision in the EU, including in relation to cross-border business and group supervision.</w:t>
      </w:r>
    </w:p>
    <w:p>
      <w:pPr>
        <w:pStyle w:val="ListParagraph"/>
        <w:numPr>
          <w:ilvl w:val="0"/>
          <w:numId w:val="103"/>
        </w:numPr>
        <w:tabs>
          <w:tab w:val="num" w:pos="360"/>
        </w:tabs>
        <w:spacing w:after="240"/>
        <w:ind w:left="357" w:hanging="357"/>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The situation confirmed that </w:t>
      </w:r>
      <w:r>
        <w:rPr>
          <w:rFonts w:ascii="Times New Roman" w:hAnsi="Times New Roman" w:cs="Times New Roman"/>
          <w:b/>
          <w:noProof/>
          <w:sz w:val="24"/>
          <w:szCs w:val="24"/>
        </w:rPr>
        <w:t>policyholders are not consistently protected across the European Union in the event that their insurer fails</w:t>
      </w:r>
      <w:r>
        <w:rPr>
          <w:rFonts w:ascii="Times New Roman" w:hAnsi="Times New Roman" w:cs="Times New Roman"/>
          <w:noProof/>
          <w:sz w:val="24"/>
          <w:szCs w:val="24"/>
        </w:rPr>
        <w:t xml:space="preserve">, in particular in the cross-border context. </w:t>
      </w:r>
      <w:r>
        <w:rPr>
          <w:rFonts w:ascii="Times New Roman" w:hAnsi="Times New Roman" w:cs="Times New Roman"/>
          <w:b/>
          <w:noProof/>
          <w:sz w:val="24"/>
          <w:szCs w:val="24"/>
        </w:rPr>
        <w:t xml:space="preserve">National resolution regimes are mostly incomplete and uncoordinated. </w:t>
      </w:r>
      <w:r>
        <w:rPr>
          <w:rFonts w:ascii="Times New Roman" w:hAnsi="Times New Roman" w:cs="Times New Roman"/>
          <w:noProof/>
          <w:sz w:val="24"/>
          <w:szCs w:val="24"/>
        </w:rPr>
        <w:t xml:space="preserve">Further, although a majority of Member States have set up an </w:t>
      </w:r>
      <w:r>
        <w:rPr>
          <w:rFonts w:ascii="Times New Roman" w:hAnsi="Times New Roman" w:cs="Times New Roman"/>
          <w:b/>
          <w:noProof/>
          <w:sz w:val="24"/>
          <w:szCs w:val="24"/>
        </w:rPr>
        <w:t>insurance guarantee scheme</w:t>
      </w:r>
      <w:r>
        <w:rPr>
          <w:rFonts w:ascii="Times New Roman" w:hAnsi="Times New Roman" w:cs="Times New Roman"/>
          <w:noProof/>
          <w:sz w:val="24"/>
          <w:szCs w:val="24"/>
        </w:rPr>
        <w:t xml:space="preserve"> for certain life or non-life policies, the approach they have followed for the design diverges quite substantially from each other. It results in a </w:t>
      </w:r>
      <w:r>
        <w:rPr>
          <w:rFonts w:ascii="Times New Roman" w:hAnsi="Times New Roman" w:cs="Times New Roman"/>
          <w:b/>
          <w:noProof/>
          <w:sz w:val="24"/>
          <w:szCs w:val="24"/>
        </w:rPr>
        <w:t>patchwork of the national insurance guarantee schemes</w:t>
      </w:r>
      <w:r>
        <w:rPr>
          <w:rFonts w:ascii="Times New Roman" w:hAnsi="Times New Roman" w:cs="Times New Roman"/>
          <w:noProof/>
          <w:sz w:val="24"/>
          <w:szCs w:val="24"/>
        </w:rPr>
        <w:t>, which are expected to act as a safety net to pay claims in the event of the insurer’s insolvency. This can leave some policyholders without any protection.</w:t>
      </w:r>
    </w:p>
    <w:p>
      <w:pPr>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Limited specific supervisory tools to address the potential build-up of systemic risk in the insurance sector</w:t>
      </w:r>
    </w:p>
    <w:p>
      <w:pPr>
        <w:pStyle w:val="ListParagraph"/>
        <w:numPr>
          <w:ilvl w:val="0"/>
          <w:numId w:val="104"/>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Financial stability is a primary objective of the Solvency II framework. </w:t>
      </w:r>
    </w:p>
    <w:p>
      <w:pPr>
        <w:pStyle w:val="ListParagraph"/>
        <w:numPr>
          <w:ilvl w:val="0"/>
          <w:numId w:val="104"/>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In line with most rules of the Solvency II Framework that are targeted to individual insurers (so-called “micro-prudential supervision”), some existing measures contribute to addressing potential systemic risk when it stems from large insurers. Other provisions of the framework also aim at addressing systemic risk stemming from “pro-cyclical behaviours” by a large number of insurers, which may collectively act as an amplifier of market downturns or of an exogenous shock.</w:t>
      </w:r>
    </w:p>
    <w:p>
      <w:pPr>
        <w:pStyle w:val="ListParagraph"/>
        <w:numPr>
          <w:ilvl w:val="0"/>
          <w:numId w:val="104"/>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However, these tools provided for in the Solvency II Directive have been thought through at a time where the insurance sector was still deemed protected from “domino effects” such as those that have been observed in the banking sector. </w:t>
      </w:r>
      <w:r>
        <w:rPr>
          <w:rFonts w:ascii="Times New Roman" w:hAnsi="Times New Roman" w:cs="Times New Roman"/>
          <w:b/>
          <w:noProof/>
          <w:sz w:val="24"/>
          <w:szCs w:val="24"/>
        </w:rPr>
        <w:t>Interconnectedness with other market participants, intersectoral impacts and common risky (herding) behaviours among insurers may have been overlooked</w:t>
      </w:r>
      <w:r>
        <w:rPr>
          <w:rFonts w:ascii="Times New Roman" w:hAnsi="Times New Roman" w:cs="Times New Roman"/>
          <w:noProof/>
          <w:sz w:val="24"/>
          <w:szCs w:val="24"/>
        </w:rPr>
        <w:t>.</w:t>
      </w:r>
    </w:p>
    <w:p>
      <w:pPr>
        <w:pStyle w:val="ListParagraph"/>
        <w:numPr>
          <w:ilvl w:val="0"/>
          <w:numId w:val="104"/>
        </w:numPr>
        <w:tabs>
          <w:tab w:val="num" w:pos="360"/>
        </w:tabs>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There may be a need to further assess additional “dedicated” macro-prudential tools that would be better fit for purpose and less narrow in terms of scope. They should vest supervisory authorities with sufficient powers to allow an appropriate macro-prudential supervision (i.e. a supervision of the whole insurance sector) and to effectively prevent a build-up of systemic risk in the insurance sector.</w:t>
      </w:r>
    </w:p>
    <w:p>
      <w:pPr>
        <w:pStyle w:val="ListParagraph"/>
        <w:numPr>
          <w:ilvl w:val="0"/>
          <w:numId w:val="104"/>
        </w:numPr>
        <w:spacing w:after="240"/>
        <w:ind w:left="357" w:hanging="357"/>
        <w:jc w:val="both"/>
        <w:rPr>
          <w:rFonts w:ascii="Times New Roman" w:hAnsi="Times New Roman" w:cs="Times New Roman"/>
          <w:noProof/>
          <w:sz w:val="24"/>
          <w:szCs w:val="24"/>
        </w:rPr>
      </w:pPr>
      <w:r>
        <w:rPr>
          <w:rFonts w:ascii="Times New Roman" w:hAnsi="Times New Roman" w:cs="Times New Roman"/>
          <w:noProof/>
          <w:sz w:val="24"/>
          <w:szCs w:val="24"/>
        </w:rPr>
        <w:t>In particular, there may be no sufficient toolkit for public authorities to monitor, avoid and handle failures of insurers, as regular insolvency procedure might be unable to manage a failure in the EU insurance sector in an orderly fashion. From a macro-prudential perspective, a patchwork of national recovery and resolution regimes and insurance guarantee schemes is not beneficial to the integration of the EU financial market.</w:t>
      </w:r>
    </w:p>
    <w:p>
      <w:pPr>
        <w:spacing w:after="0"/>
        <w:jc w:val="center"/>
        <w:rPr>
          <w:rFonts w:ascii="Times New Roman" w:hAnsi="Times New Roman" w:cs="Times New Roman"/>
          <w:noProof/>
          <w:szCs w:val="24"/>
          <w:lang w:val="en-IE"/>
        </w:rPr>
      </w:pPr>
      <w:r>
        <w:rPr>
          <w:rFonts w:ascii="Times New Roman" w:hAnsi="Times New Roman" w:cs="Times New Roman"/>
          <w:noProof/>
          <w:szCs w:val="24"/>
        </w:rPr>
        <w:tab/>
        <w:t>**********************</w:t>
      </w: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85"/>
          <w:cols w:space="720"/>
          <w:titlePg/>
        </w:sectPr>
      </w:pPr>
      <w:r>
        <w:rPr>
          <w:noProof/>
        </w:rPr>
        <w:br w:type="page"/>
      </w:r>
    </w:p>
    <w:p>
      <w:pPr>
        <w:pStyle w:val="Heading1"/>
        <w:numPr>
          <w:ilvl w:val="0"/>
          <w:numId w:val="0"/>
        </w:numPr>
        <w:spacing w:before="0"/>
        <w:ind w:left="360"/>
        <w:jc w:val="center"/>
        <w:rPr>
          <w:noProof/>
          <w:sz w:val="28"/>
        </w:rPr>
      </w:pPr>
      <w:bookmarkStart w:id="30" w:name="_Toc481484483"/>
      <w:bookmarkStart w:id="31" w:name="_Toc67051844"/>
      <w:bookmarkStart w:id="32" w:name="_Toc73522935"/>
      <w:r>
        <w:rPr>
          <w:noProof/>
          <w:sz w:val="28"/>
        </w:rPr>
        <w:t>List of references</w:t>
      </w:r>
      <w:bookmarkEnd w:id="30"/>
      <w:bookmarkEnd w:id="31"/>
      <w:bookmarkEnd w:id="32"/>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Solvency II Framework:</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 xml:space="preserve">Directive: </w:t>
      </w:r>
      <w:r>
        <w:rPr>
          <w:rFonts w:ascii="Times New Roman" w:hAnsi="Times New Roman" w:cs="Times New Roman"/>
          <w:noProof/>
          <w:szCs w:val="24"/>
          <w:lang w:val="en-IE"/>
        </w:rPr>
        <w:t xml:space="preserve">Directive 2009/138/EC of the European Parliament and of the Council of 25 November 2009 on the taking-up and pursuit of the business of Insurance and Reinsurance (Solvency II), OJ L 335, 17.12.2009; consolidated version of 13 January 2019 (EUR-Lex </w:t>
      </w:r>
      <w:hyperlink r:id="rId22" w:history="1">
        <w:r>
          <w:rPr>
            <w:rStyle w:val="Hyperlink"/>
            <w:rFonts w:ascii="Times New Roman" w:hAnsi="Times New Roman" w:cs="Times New Roman"/>
            <w:noProof/>
            <w:szCs w:val="24"/>
            <w:lang w:val="en-IE"/>
          </w:rPr>
          <w:t>link</w:t>
        </w:r>
      </w:hyperlink>
      <w:r>
        <w:rPr>
          <w:rFonts w:ascii="Times New Roman" w:hAnsi="Times New Roman" w:cs="Times New Roman"/>
          <w:noProof/>
          <w:szCs w:val="24"/>
          <w:lang w:val="en-IE"/>
        </w:rPr>
        <w:t>);</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 xml:space="preserve">Delegated Regulation: Commission Delegated Regulation (EU) 2015/35 of 10 October 2014 supplementing Directive 2009/138/EC of the European Parliament and of the Council on the taking-up and pursuit of the business of Insurance and Reinsurance (Solvency II) – (EUR-Lex </w:t>
      </w:r>
      <w:hyperlink r:id="rId23"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1"/>
          <w:numId w:val="79"/>
        </w:numPr>
        <w:spacing w:after="240" w:line="240" w:lineRule="auto"/>
        <w:rPr>
          <w:rFonts w:ascii="Times New Roman" w:hAnsi="Times New Roman" w:cs="Times New Roman"/>
          <w:noProof/>
          <w:szCs w:val="24"/>
        </w:rPr>
      </w:pPr>
      <w:r>
        <w:rPr>
          <w:rFonts w:ascii="Times New Roman" w:hAnsi="Times New Roman" w:cs="Times New Roman"/>
          <w:noProof/>
          <w:szCs w:val="24"/>
          <w:lang w:val="en-IE"/>
        </w:rPr>
        <w:t xml:space="preserve">Solvency II on the « Have your Say » page :  </w:t>
      </w:r>
      <w:hyperlink r:id="rId24" w:history="1">
        <w:r>
          <w:rPr>
            <w:rStyle w:val="Hyperlink"/>
            <w:rFonts w:ascii="Times New Roman" w:hAnsi="Times New Roman" w:cs="Times New Roman"/>
            <w:noProof/>
            <w:szCs w:val="24"/>
            <w:lang w:val="en-IE"/>
          </w:rPr>
          <w:t>https://ec.europa.eu/info/law/better-regulation/have-your-say/initiatives/12461-Review-of-measures-on-taking-up-and-pursuit-of-the-insurance-and-reinsurance-business-Solvency-II-</w:t>
        </w:r>
      </w:hyperlink>
    </w:p>
    <w:p>
      <w:pPr>
        <w:pStyle w:val="ListParagraph"/>
        <w:ind w:left="1080"/>
        <w:rPr>
          <w:rFonts w:ascii="Times New Roman" w:hAnsi="Times New Roman" w:cs="Times New Roman"/>
          <w:noProof/>
          <w:szCs w:val="24"/>
        </w:rPr>
      </w:pP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COM:</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w:t>
      </w:r>
      <w:r>
        <w:rPr>
          <w:rFonts w:ascii="Times New Roman" w:hAnsi="Times New Roman" w:cs="Times New Roman"/>
          <w:i/>
          <w:noProof/>
          <w:szCs w:val="24"/>
        </w:rPr>
        <w:t>Solvency II Impact Assessment Report</w:t>
      </w:r>
      <w:r>
        <w:rPr>
          <w:rFonts w:ascii="Times New Roman" w:hAnsi="Times New Roman" w:cs="Times New Roman"/>
          <w:noProof/>
          <w:szCs w:val="24"/>
        </w:rPr>
        <w:t>”, 2007: Commission Staff Working Document - Accompanying document to the Proposal for a Directive of the European Parliament and of Council concerning life assurance on the taking-up and pursuit of the business of Insurance and Reinsurance –{COM(2007) 361 final}{SEC(2007) 870} (</w:t>
      </w:r>
      <w:hyperlink r:id="rId25" w:history="1">
        <w:r>
          <w:rPr>
            <w:rStyle w:val="Hyperlink"/>
            <w:rFonts w:ascii="Times New Roman" w:hAnsi="Times New Roman" w:cs="Times New Roman"/>
            <w:noProof/>
            <w:szCs w:val="24"/>
          </w:rPr>
          <w:t>EUR-Lex link</w:t>
        </w:r>
      </w:hyperlink>
      <w:r>
        <w:rPr>
          <w:rFonts w:ascii="Times New Roman" w:hAnsi="Times New Roman" w:cs="Times New Roman"/>
          <w:noProof/>
          <w:szCs w:val="24"/>
        </w:rPr>
        <w:t>)</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w:t>
      </w:r>
      <w:r>
        <w:rPr>
          <w:rFonts w:ascii="Times New Roman" w:hAnsi="Times New Roman" w:cs="Times New Roman"/>
          <w:i/>
          <w:noProof/>
          <w:szCs w:val="24"/>
        </w:rPr>
        <w:t>Fitness Check of EU Supervisory Reporting Requirements</w:t>
      </w:r>
      <w:r>
        <w:rPr>
          <w:rFonts w:ascii="Times New Roman" w:hAnsi="Times New Roman" w:cs="Times New Roman"/>
          <w:noProof/>
          <w:szCs w:val="24"/>
        </w:rPr>
        <w:t xml:space="preserve"> [in Financial Services]”, 2019: Commission Staff Working Document – {SWD(2019) 403 final} (available at this </w:t>
      </w:r>
      <w:hyperlink r:id="rId26"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spacing w:after="240" w:line="240" w:lineRule="auto"/>
        <w:ind w:left="1080"/>
        <w:jc w:val="both"/>
        <w:rPr>
          <w:rFonts w:ascii="Times New Roman" w:hAnsi="Times New Roman" w:cs="Times New Roman"/>
          <w:noProof/>
          <w:szCs w:val="24"/>
        </w:rPr>
      </w:pP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EIOPA’s Opinion on the 2020 Review of Solvency II (</w:t>
      </w:r>
      <w:hyperlink r:id="rId27" w:history="1">
        <w:r>
          <w:rPr>
            <w:rStyle w:val="Hyperlink"/>
            <w:rFonts w:ascii="Times New Roman" w:hAnsi="Times New Roman" w:cs="Times New Roman"/>
            <w:noProof/>
            <w:szCs w:val="24"/>
          </w:rPr>
          <w:t>website</w:t>
        </w:r>
      </w:hyperlink>
      <w:r>
        <w:rPr>
          <w:rFonts w:ascii="Times New Roman" w:hAnsi="Times New Roman" w:cs="Times New Roman"/>
          <w:noProof/>
          <w:szCs w:val="24"/>
        </w:rPr>
        <w:t>):</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w:t>
      </w:r>
      <w:r>
        <w:rPr>
          <w:rFonts w:ascii="Times New Roman" w:hAnsi="Times New Roman" w:cs="Times New Roman"/>
          <w:i/>
          <w:noProof/>
          <w:szCs w:val="24"/>
        </w:rPr>
        <w:t>EIOPA’s Advice</w:t>
      </w:r>
      <w:r>
        <w:rPr>
          <w:rFonts w:ascii="Times New Roman" w:hAnsi="Times New Roman" w:cs="Times New Roman"/>
          <w:noProof/>
          <w:szCs w:val="24"/>
        </w:rPr>
        <w:t>”, 2020: Opinion on the 2020 Review of Solvency II (</w:t>
      </w:r>
      <w:hyperlink r:id="rId28" w:history="1">
        <w:r>
          <w:rPr>
            <w:rStyle w:val="Hyperlink"/>
            <w:rFonts w:ascii="Times New Roman" w:hAnsi="Times New Roman" w:cs="Times New Roman"/>
            <w:noProof/>
            <w:szCs w:val="24"/>
          </w:rPr>
          <w:t>paper</w:t>
        </w:r>
      </w:hyperlink>
      <w:r>
        <w:rPr>
          <w:rFonts w:ascii="Times New Roman" w:hAnsi="Times New Roman" w:cs="Times New Roman"/>
          <w:noProof/>
          <w:szCs w:val="24"/>
        </w:rPr>
        <w:t>)</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lang w:val="en-IE"/>
        </w:rPr>
        <w:t>EIOPA’s Background analysis, 2020 (</w:t>
      </w:r>
      <w:hyperlink r:id="rId29" w:history="1">
        <w:r>
          <w:rPr>
            <w:rStyle w:val="Hyperlink"/>
            <w:rFonts w:ascii="Times New Roman" w:hAnsi="Times New Roman" w:cs="Times New Roman"/>
            <w:noProof/>
            <w:szCs w:val="24"/>
            <w:lang w:val="en-IE"/>
          </w:rPr>
          <w:t>paper</w:t>
        </w:r>
      </w:hyperlink>
      <w:r>
        <w:rPr>
          <w:rFonts w:ascii="Times New Roman" w:hAnsi="Times New Roman" w:cs="Times New Roman"/>
          <w:noProof/>
          <w:szCs w:val="24"/>
          <w:lang w:val="en-IE"/>
        </w:rPr>
        <w:t>)</w:t>
      </w:r>
    </w:p>
    <w:p>
      <w:pPr>
        <w:pStyle w:val="ListParagraph"/>
        <w:numPr>
          <w:ilvl w:val="0"/>
          <w:numId w:val="79"/>
        </w:numPr>
        <w:tabs>
          <w:tab w:val="left" w:pos="2410"/>
        </w:tabs>
        <w:spacing w:after="240" w:line="240" w:lineRule="auto"/>
        <w:jc w:val="both"/>
        <w:rPr>
          <w:rFonts w:ascii="Times New Roman" w:hAnsi="Times New Roman" w:cs="Times New Roman"/>
          <w:noProof/>
          <w:szCs w:val="24"/>
        </w:rPr>
      </w:pPr>
      <w:r>
        <w:rPr>
          <w:rFonts w:ascii="Times New Roman" w:hAnsi="Times New Roman" w:cs="Times New Roman"/>
          <w:noProof/>
          <w:szCs w:val="24"/>
        </w:rPr>
        <w:t>EIOPA’s supporting public consultations:</w:t>
      </w:r>
    </w:p>
    <w:p>
      <w:pPr>
        <w:pStyle w:val="ListParagraph"/>
        <w:numPr>
          <w:ilvl w:val="1"/>
          <w:numId w:val="79"/>
        </w:numPr>
        <w:tabs>
          <w:tab w:val="left" w:pos="2410"/>
        </w:tabs>
        <w:spacing w:after="240" w:line="240" w:lineRule="auto"/>
        <w:jc w:val="both"/>
        <w:rPr>
          <w:rFonts w:ascii="Times New Roman" w:hAnsi="Times New Roman" w:cs="Times New Roman"/>
          <w:noProof/>
          <w:szCs w:val="24"/>
        </w:rPr>
      </w:pPr>
      <w:r>
        <w:rPr>
          <w:rFonts w:ascii="Times New Roman" w:hAnsi="Times New Roman" w:cs="Times New Roman"/>
          <w:noProof/>
          <w:szCs w:val="24"/>
        </w:rPr>
        <w:t xml:space="preserve">on </w:t>
      </w:r>
      <w:hyperlink r:id="rId30" w:history="1">
        <w:r>
          <w:rPr>
            <w:rStyle w:val="Hyperlink"/>
            <w:rFonts w:ascii="Times New Roman" w:hAnsi="Times New Roman" w:cs="Times New Roman"/>
            <w:noProof/>
            <w:szCs w:val="24"/>
          </w:rPr>
          <w:t>reporting and public disclosure</w:t>
        </w:r>
      </w:hyperlink>
      <w:r>
        <w:rPr>
          <w:rFonts w:ascii="Times New Roman" w:hAnsi="Times New Roman" w:cs="Times New Roman"/>
          <w:noProof/>
          <w:szCs w:val="24"/>
        </w:rPr>
        <w:t xml:space="preserve"> </w:t>
      </w:r>
    </w:p>
    <w:p>
      <w:pPr>
        <w:pStyle w:val="ListParagraph"/>
        <w:numPr>
          <w:ilvl w:val="1"/>
          <w:numId w:val="79"/>
        </w:numPr>
        <w:tabs>
          <w:tab w:val="left" w:pos="2410"/>
        </w:tabs>
        <w:spacing w:after="240" w:line="240" w:lineRule="auto"/>
        <w:jc w:val="both"/>
        <w:rPr>
          <w:rStyle w:val="Hyperlink"/>
          <w:rFonts w:ascii="Times New Roman" w:hAnsi="Times New Roman" w:cs="Times New Roman"/>
          <w:noProof/>
          <w:szCs w:val="24"/>
        </w:rPr>
      </w:pPr>
      <w:r>
        <w:rPr>
          <w:rFonts w:ascii="Times New Roman" w:hAnsi="Times New Roman" w:cs="Times New Roman"/>
          <w:noProof/>
          <w:szCs w:val="24"/>
        </w:rPr>
        <w:t xml:space="preserve">on </w:t>
      </w:r>
      <w:hyperlink r:id="rId31" w:history="1">
        <w:r>
          <w:rPr>
            <w:rStyle w:val="Hyperlink"/>
            <w:rFonts w:ascii="Times New Roman" w:hAnsi="Times New Roman" w:cs="Times New Roman"/>
            <w:noProof/>
            <w:szCs w:val="24"/>
          </w:rPr>
          <w:t>insurance guarantee schemes</w:t>
        </w:r>
      </w:hyperlink>
    </w:p>
    <w:p>
      <w:pPr>
        <w:pStyle w:val="ListParagraph"/>
        <w:numPr>
          <w:ilvl w:val="1"/>
          <w:numId w:val="79"/>
        </w:numPr>
        <w:tabs>
          <w:tab w:val="left" w:pos="2410"/>
        </w:tabs>
        <w:spacing w:after="240" w:line="240" w:lineRule="auto"/>
        <w:jc w:val="both"/>
        <w:rPr>
          <w:rFonts w:ascii="Times New Roman" w:hAnsi="Times New Roman" w:cs="Times New Roman"/>
          <w:noProof/>
          <w:szCs w:val="24"/>
        </w:rPr>
      </w:pPr>
      <w:r>
        <w:rPr>
          <w:rFonts w:ascii="Times New Roman" w:hAnsi="Times New Roman" w:cs="Times New Roman"/>
          <w:noProof/>
          <w:szCs w:val="24"/>
        </w:rPr>
        <w:t>EIOPA’s Consultation</w:t>
      </w:r>
      <w:r>
        <w:rPr>
          <w:rFonts w:ascii="Times New Roman" w:hAnsi="Times New Roman" w:cs="Times New Roman"/>
          <w:noProof/>
          <w:szCs w:val="24"/>
          <w:lang w:val="en-IE"/>
        </w:rPr>
        <w:t xml:space="preserve"> Paper on the Opinion on the 2020 review of Solvency II, 2019 (</w:t>
      </w:r>
      <w:hyperlink r:id="rId32" w:history="1">
        <w:r>
          <w:rPr>
            <w:rStyle w:val="Hyperlink"/>
            <w:rFonts w:ascii="Times New Roman" w:hAnsi="Times New Roman" w:cs="Times New Roman"/>
            <w:noProof/>
            <w:szCs w:val="24"/>
            <w:lang w:val="en-IE"/>
          </w:rPr>
          <w:t>webpage</w:t>
        </w:r>
      </w:hyperlink>
      <w:r>
        <w:rPr>
          <w:rFonts w:ascii="Times New Roman" w:hAnsi="Times New Roman" w:cs="Times New Roman"/>
          <w:noProof/>
          <w:szCs w:val="24"/>
          <w:lang w:val="en-IE"/>
        </w:rPr>
        <w:t xml:space="preserve">): </w:t>
      </w:r>
      <w:r>
        <w:rPr>
          <w:rFonts w:ascii="Times New Roman" w:hAnsi="Times New Roman" w:cs="Times New Roman"/>
          <w:noProof/>
          <w:szCs w:val="24"/>
        </w:rPr>
        <w:t xml:space="preserve">a </w:t>
      </w:r>
      <w:hyperlink r:id="rId33" w:history="1">
        <w:r>
          <w:rPr>
            <w:rStyle w:val="Hyperlink"/>
            <w:rFonts w:ascii="Times New Roman" w:hAnsi="Times New Roman" w:cs="Times New Roman"/>
            <w:noProof/>
            <w:szCs w:val="24"/>
          </w:rPr>
          <w:t>broader consultation on the other topics of the review</w:t>
        </w:r>
      </w:hyperlink>
      <w:r>
        <w:rPr>
          <w:rFonts w:ascii="Times New Roman" w:hAnsi="Times New Roman" w:cs="Times New Roman"/>
          <w:noProof/>
          <w:szCs w:val="24"/>
        </w:rPr>
        <w:t xml:space="preserve"> (+ general </w:t>
      </w:r>
      <w:hyperlink r:id="rId34" w:history="1">
        <w:r>
          <w:rPr>
            <w:rStyle w:val="Hyperlink"/>
            <w:rFonts w:ascii="Times New Roman" w:hAnsi="Times New Roman" w:cs="Times New Roman"/>
            <w:noProof/>
            <w:szCs w:val="24"/>
          </w:rPr>
          <w:t>feedback statement</w:t>
        </w:r>
      </w:hyperlink>
      <w:r>
        <w:rPr>
          <w:rFonts w:ascii="Times New Roman" w:hAnsi="Times New Roman" w:cs="Times New Roman"/>
          <w:noProof/>
          <w:szCs w:val="24"/>
        </w:rPr>
        <w:t xml:space="preserve"> on the outcome of the consultation and detailed </w:t>
      </w:r>
      <w:hyperlink r:id="rId35" w:history="1">
        <w:r>
          <w:rPr>
            <w:rStyle w:val="Hyperlink"/>
            <w:rFonts w:ascii="Times New Roman" w:hAnsi="Times New Roman" w:cs="Times New Roman"/>
            <w:noProof/>
            <w:szCs w:val="24"/>
          </w:rPr>
          <w:t>resolution of stakeholders’ comments</w:t>
        </w:r>
      </w:hyperlink>
      <w:r>
        <w:rPr>
          <w:rStyle w:val="Hyperlink"/>
          <w:rFonts w:ascii="Times New Roman" w:hAnsi="Times New Roman" w:cs="Times New Roman"/>
          <w:noProof/>
          <w:szCs w:val="24"/>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COM and EIOPA reports on group supervision (under the Art. 242 mandate):</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w:t>
      </w:r>
      <w:r>
        <w:rPr>
          <w:rFonts w:ascii="Times New Roman" w:hAnsi="Times New Roman" w:cs="Times New Roman"/>
          <w:i/>
          <w:noProof/>
          <w:szCs w:val="24"/>
        </w:rPr>
        <w:t>Report from the Commission to the European Parliament and the Council</w:t>
      </w:r>
      <w:r>
        <w:rPr>
          <w:rFonts w:ascii="Times New Roman" w:hAnsi="Times New Roman" w:cs="Times New Roman"/>
          <w:noProof/>
          <w:szCs w:val="24"/>
        </w:rPr>
        <w:t xml:space="preserve"> on the application of Directive 2009/138/EC of the European Parliament and of the Council of 25 November 2009 on the taking and pursuit of the business of Insurance and Reinsurance (Solvency II) </w:t>
      </w:r>
      <w:r>
        <w:rPr>
          <w:rFonts w:ascii="Times New Roman" w:hAnsi="Times New Roman" w:cs="Times New Roman"/>
          <w:i/>
          <w:noProof/>
          <w:szCs w:val="24"/>
        </w:rPr>
        <w:t>with regard to group supervision and capital management within a group of insurance or reinsurance undertakings</w:t>
      </w:r>
      <w:r>
        <w:rPr>
          <w:rFonts w:ascii="Times New Roman" w:hAnsi="Times New Roman" w:cs="Times New Roman"/>
          <w:noProof/>
          <w:szCs w:val="24"/>
        </w:rPr>
        <w:t xml:space="preserve">”, 2019 (available at this </w:t>
      </w:r>
      <w:hyperlink r:id="rId36"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 xml:space="preserve">EIOPA submitted two reports on the functioning of group supervision, supervisory cooperation and capital management within insurance groups, in </w:t>
      </w:r>
      <w:hyperlink r:id="rId37" w:history="1">
        <w:r>
          <w:rPr>
            <w:rStyle w:val="Hyperlink"/>
            <w:rFonts w:ascii="Times New Roman" w:hAnsi="Times New Roman" w:cs="Times New Roman"/>
            <w:noProof/>
            <w:szCs w:val="24"/>
          </w:rPr>
          <w:t>December 2017</w:t>
        </w:r>
      </w:hyperlink>
      <w:r>
        <w:rPr>
          <w:rFonts w:ascii="Times New Roman" w:hAnsi="Times New Roman" w:cs="Times New Roman"/>
          <w:noProof/>
          <w:szCs w:val="24"/>
        </w:rPr>
        <w:t xml:space="preserve"> and </w:t>
      </w:r>
      <w:hyperlink r:id="rId38" w:history="1">
        <w:r>
          <w:rPr>
            <w:rStyle w:val="Hyperlink"/>
            <w:rFonts w:ascii="Times New Roman" w:hAnsi="Times New Roman" w:cs="Times New Roman"/>
            <w:noProof/>
            <w:szCs w:val="24"/>
          </w:rPr>
          <w:t>December 2018</w:t>
        </w:r>
      </w:hyperlink>
      <w:r>
        <w:rPr>
          <w:rStyle w:val="Hyperlink"/>
          <w:rFonts w:ascii="Times New Roman" w:hAnsi="Times New Roman" w:cs="Times New Roman"/>
          <w:noProof/>
          <w:szCs w:val="24"/>
        </w:rPr>
        <w:t>:</w:t>
      </w:r>
      <w:r>
        <w:rPr>
          <w:rFonts w:ascii="Times New Roman" w:hAnsi="Times New Roman" w:cs="Times New Roman"/>
          <w:noProof/>
          <w:szCs w:val="24"/>
        </w:rPr>
        <w:t xml:space="preserve"> “</w:t>
      </w:r>
      <w:hyperlink r:id="rId39" w:history="1">
        <w:r>
          <w:rPr>
            <w:rStyle w:val="Hyperlink"/>
            <w:rFonts w:ascii="Times New Roman" w:hAnsi="Times New Roman" w:cs="Times New Roman"/>
            <w:noProof/>
            <w:szCs w:val="24"/>
            <w:lang w:val="en-IE"/>
          </w:rPr>
          <w:t>Report to the European Commission on the Application of Group Supervision under the Solvency II Directive</w:t>
        </w:r>
      </w:hyperlink>
      <w:r>
        <w:rPr>
          <w:rStyle w:val="Hyperlink"/>
          <w:rFonts w:ascii="Times New Roman" w:hAnsi="Times New Roman" w:cs="Times New Roman"/>
          <w:noProof/>
          <w:szCs w:val="24"/>
          <w:lang w:val="en-IE"/>
        </w:rPr>
        <w:t>”</w:t>
      </w:r>
      <w:r>
        <w:rPr>
          <w:rFonts w:ascii="Times New Roman" w:hAnsi="Times New Roman" w:cs="Times New Roman"/>
          <w:noProof/>
          <w:szCs w:val="24"/>
          <w:lang w:val="en-IE"/>
        </w:rPr>
        <w:t xml:space="preserve"> (EIOPA, 2017); “</w:t>
      </w:r>
      <w:hyperlink r:id="rId40" w:history="1">
        <w:r>
          <w:rPr>
            <w:rStyle w:val="Hyperlink"/>
            <w:rFonts w:ascii="Times New Roman" w:hAnsi="Times New Roman" w:cs="Times New Roman"/>
            <w:noProof/>
            <w:szCs w:val="24"/>
            <w:lang w:val="en-IE"/>
          </w:rPr>
          <w:t>Report to the European Commission on Group Supervision and Capital Management with a Group of Insurance or Reinsurance Undertakings, and FoS and FoE under Solvency II</w:t>
        </w:r>
      </w:hyperlink>
      <w:r>
        <w:rPr>
          <w:rStyle w:val="Hyperlink"/>
          <w:rFonts w:ascii="Times New Roman" w:hAnsi="Times New Roman" w:cs="Times New Roman"/>
          <w:noProof/>
          <w:szCs w:val="24"/>
          <w:lang w:val="en-IE"/>
        </w:rPr>
        <w:t>”</w:t>
      </w:r>
      <w:r>
        <w:rPr>
          <w:rFonts w:ascii="Times New Roman" w:hAnsi="Times New Roman" w:cs="Times New Roman"/>
          <w:noProof/>
          <w:szCs w:val="24"/>
          <w:lang w:val="en-IE"/>
        </w:rPr>
        <w:t xml:space="preserve"> (EIOPA, 2018).</w:t>
      </w:r>
    </w:p>
    <w:p>
      <w:pPr>
        <w:pStyle w:val="ListParagraph"/>
        <w:ind w:left="1080"/>
        <w:rPr>
          <w:rFonts w:ascii="Times New Roman" w:hAnsi="Times New Roman" w:cs="Times New Roman"/>
          <w:noProof/>
          <w:szCs w:val="24"/>
        </w:rPr>
      </w:pP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EIOPA annual reports:</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Long-term guarantee measures: “</w:t>
      </w:r>
      <w:r>
        <w:rPr>
          <w:rFonts w:ascii="Times New Roman" w:hAnsi="Times New Roman" w:cs="Times New Roman"/>
          <w:i/>
          <w:noProof/>
          <w:szCs w:val="24"/>
          <w:lang w:val="en-US"/>
        </w:rPr>
        <w:t>Report on long-term guarantees measures and measures on equity risk</w:t>
      </w:r>
      <w:r>
        <w:rPr>
          <w:rFonts w:ascii="Times New Roman" w:hAnsi="Times New Roman" w:cs="Times New Roman"/>
          <w:noProof/>
          <w:szCs w:val="24"/>
          <w:lang w:val="en-US"/>
        </w:rPr>
        <w:t>”</w:t>
      </w:r>
      <w:r>
        <w:rPr>
          <w:rFonts w:ascii="Times New Roman" w:hAnsi="Times New Roman" w:cs="Times New Roman"/>
          <w:i/>
          <w:noProof/>
          <w:szCs w:val="24"/>
          <w:lang w:val="en-US"/>
        </w:rPr>
        <w:t xml:space="preserve">; </w:t>
      </w:r>
      <w:r>
        <w:rPr>
          <w:rFonts w:ascii="Times New Roman" w:hAnsi="Times New Roman" w:cs="Times New Roman"/>
          <w:noProof/>
          <w:szCs w:val="24"/>
        </w:rPr>
        <w:t xml:space="preserve">EIOPA published such reports at the end of </w:t>
      </w:r>
      <w:hyperlink r:id="rId41" w:history="1">
        <w:r>
          <w:rPr>
            <w:rStyle w:val="Hyperlink"/>
            <w:rFonts w:ascii="Times New Roman" w:hAnsi="Times New Roman" w:cs="Times New Roman"/>
            <w:noProof/>
            <w:szCs w:val="24"/>
          </w:rPr>
          <w:t>2016</w:t>
        </w:r>
      </w:hyperlink>
      <w:r>
        <w:rPr>
          <w:rFonts w:ascii="Times New Roman" w:hAnsi="Times New Roman" w:cs="Times New Roman"/>
          <w:noProof/>
          <w:szCs w:val="24"/>
        </w:rPr>
        <w:t xml:space="preserve">, </w:t>
      </w:r>
      <w:hyperlink r:id="rId42" w:history="1">
        <w:r>
          <w:rPr>
            <w:rStyle w:val="Hyperlink"/>
            <w:rFonts w:ascii="Times New Roman" w:hAnsi="Times New Roman" w:cs="Times New Roman"/>
            <w:noProof/>
            <w:szCs w:val="24"/>
          </w:rPr>
          <w:t>2017</w:t>
        </w:r>
      </w:hyperlink>
      <w:r>
        <w:rPr>
          <w:rFonts w:ascii="Times New Roman" w:hAnsi="Times New Roman" w:cs="Times New Roman"/>
          <w:noProof/>
          <w:szCs w:val="24"/>
        </w:rPr>
        <w:t xml:space="preserve">, </w:t>
      </w:r>
      <w:hyperlink r:id="rId43" w:history="1">
        <w:r>
          <w:rPr>
            <w:rStyle w:val="Hyperlink"/>
            <w:rFonts w:ascii="Times New Roman" w:hAnsi="Times New Roman" w:cs="Times New Roman"/>
            <w:noProof/>
            <w:szCs w:val="24"/>
          </w:rPr>
          <w:t>2018</w:t>
        </w:r>
      </w:hyperlink>
      <w:r>
        <w:rPr>
          <w:rFonts w:ascii="Times New Roman" w:hAnsi="Times New Roman" w:cs="Times New Roman"/>
          <w:noProof/>
          <w:szCs w:val="24"/>
        </w:rPr>
        <w:t xml:space="preserve">, </w:t>
      </w:r>
      <w:hyperlink r:id="rId44" w:history="1">
        <w:r>
          <w:rPr>
            <w:rStyle w:val="Hyperlink"/>
            <w:rFonts w:ascii="Times New Roman" w:hAnsi="Times New Roman" w:cs="Times New Roman"/>
            <w:noProof/>
            <w:szCs w:val="24"/>
          </w:rPr>
          <w:t>2019</w:t>
        </w:r>
      </w:hyperlink>
      <w:r>
        <w:rPr>
          <w:rFonts w:ascii="Times New Roman" w:hAnsi="Times New Roman" w:cs="Times New Roman"/>
          <w:noProof/>
          <w:szCs w:val="24"/>
        </w:rPr>
        <w:t xml:space="preserve"> and </w:t>
      </w:r>
      <w:hyperlink r:id="rId45" w:history="1">
        <w:r>
          <w:rPr>
            <w:rStyle w:val="Hyperlink"/>
            <w:rFonts w:ascii="Times New Roman" w:hAnsi="Times New Roman" w:cs="Times New Roman"/>
            <w:noProof/>
            <w:szCs w:val="24"/>
          </w:rPr>
          <w:t>2020</w:t>
        </w:r>
      </w:hyperlink>
      <w:r>
        <w:rPr>
          <w:rFonts w:ascii="Times New Roman" w:hAnsi="Times New Roman" w:cs="Times New Roman"/>
          <w:noProof/>
          <w:szCs w:val="24"/>
        </w:rPr>
        <w:t>.</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[consumer trends (if they have relevant context on products with long-term guarantees or their alternatives, e.g. unit-linked and/or hybrids)]</w:t>
      </w:r>
    </w:p>
    <w:p>
      <w:pPr>
        <w:pStyle w:val="ListParagraph"/>
        <w:numPr>
          <w:ilvl w:val="1"/>
          <w:numId w:val="79"/>
        </w:numPr>
        <w:spacing w:after="100" w:afterAutospacing="1" w:line="240" w:lineRule="auto"/>
        <w:jc w:val="both"/>
        <w:rPr>
          <w:rFonts w:ascii="Times New Roman" w:hAnsi="Times New Roman" w:cs="Times New Roman"/>
          <w:noProof/>
          <w:szCs w:val="24"/>
        </w:rPr>
      </w:pPr>
      <w:r>
        <w:rPr>
          <w:rFonts w:ascii="Times New Roman" w:hAnsi="Times New Roman" w:cs="Times New Roman"/>
          <w:noProof/>
          <w:szCs w:val="24"/>
        </w:rPr>
        <w:t>“</w:t>
      </w:r>
      <w:r>
        <w:rPr>
          <w:rFonts w:ascii="Times New Roman" w:hAnsi="Times New Roman" w:cs="Times New Roman"/>
          <w:i/>
          <w:noProof/>
          <w:szCs w:val="24"/>
        </w:rPr>
        <w:t>Financial Stability Report</w:t>
      </w:r>
      <w:r>
        <w:rPr>
          <w:rFonts w:ascii="Times New Roman" w:hAnsi="Times New Roman" w:cs="Times New Roman"/>
          <w:noProof/>
          <w:szCs w:val="24"/>
        </w:rPr>
        <w:t xml:space="preserve">” (latest – December 2020 – available at this </w:t>
      </w:r>
      <w:hyperlink r:id="rId46" w:history="1">
        <w:r>
          <w:rPr>
            <w:rStyle w:val="Hyperlink"/>
            <w:rFonts w:ascii="Times New Roman" w:hAnsi="Times New Roman" w:cs="Times New Roman"/>
            <w:noProof/>
            <w:szCs w:val="24"/>
          </w:rPr>
          <w:t>link</w:t>
        </w:r>
      </w:hyperlink>
      <w:r>
        <w:rPr>
          <w:rFonts w:ascii="Times New Roman" w:hAnsi="Times New Roman" w:cs="Times New Roman"/>
          <w:noProof/>
          <w:szCs w:val="24"/>
        </w:rPr>
        <w:t xml:space="preserve">) </w:t>
      </w:r>
    </w:p>
    <w:p>
      <w:pPr>
        <w:pStyle w:val="ListParagraph"/>
        <w:numPr>
          <w:ilvl w:val="1"/>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w:t>
      </w:r>
      <w:r>
        <w:rPr>
          <w:rFonts w:ascii="Times New Roman" w:hAnsi="Times New Roman" w:cs="Times New Roman"/>
          <w:i/>
          <w:noProof/>
          <w:szCs w:val="24"/>
        </w:rPr>
        <w:t>Risk Dashboard</w:t>
      </w:r>
      <w:r>
        <w:rPr>
          <w:rFonts w:ascii="Times New Roman" w:hAnsi="Times New Roman" w:cs="Times New Roman"/>
          <w:noProof/>
          <w:szCs w:val="24"/>
        </w:rPr>
        <w:t xml:space="preserve">” (latest available at this </w:t>
      </w:r>
      <w:hyperlink r:id="rId47"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ind w:left="360"/>
        <w:rPr>
          <w:rFonts w:ascii="Times New Roman" w:hAnsi="Times New Roman" w:cs="Times New Roman"/>
          <w:noProof/>
          <w:szCs w:val="24"/>
        </w:rPr>
      </w:pP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EIOPA, 2016: “</w:t>
      </w:r>
      <w:r>
        <w:rPr>
          <w:rFonts w:ascii="Times New Roman" w:hAnsi="Times New Roman" w:cs="Times New Roman"/>
          <w:i/>
          <w:noProof/>
          <w:szCs w:val="24"/>
        </w:rPr>
        <w:t>Peer Review on freedom to provide services</w:t>
      </w:r>
      <w:r>
        <w:rPr>
          <w:rFonts w:ascii="Times New Roman" w:hAnsi="Times New Roman" w:cs="Times New Roman"/>
          <w:noProof/>
          <w:szCs w:val="24"/>
        </w:rPr>
        <w:t xml:space="preserve">”, available at this </w:t>
      </w:r>
      <w:hyperlink r:id="rId48"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EIOPA, 2017a: “</w:t>
      </w:r>
      <w:r>
        <w:rPr>
          <w:rFonts w:ascii="Times New Roman" w:hAnsi="Times New Roman" w:cs="Times New Roman"/>
          <w:i/>
          <w:noProof/>
          <w:szCs w:val="24"/>
        </w:rPr>
        <w:t>Decision on the collaboration of the insurance supervisory authorities</w:t>
      </w:r>
      <w:r>
        <w:rPr>
          <w:rFonts w:ascii="Times New Roman" w:hAnsi="Times New Roman" w:cs="Times New Roman"/>
          <w:noProof/>
          <w:szCs w:val="24"/>
        </w:rPr>
        <w:t xml:space="preserve">”, available at this </w:t>
      </w:r>
      <w:hyperlink r:id="rId49"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0"/>
          <w:numId w:val="79"/>
        </w:numPr>
        <w:spacing w:after="240" w:line="240" w:lineRule="auto"/>
        <w:jc w:val="both"/>
        <w:rPr>
          <w:rFonts w:ascii="Times New Roman" w:hAnsi="Times New Roman" w:cs="Times New Roman"/>
          <w:noProof/>
          <w:szCs w:val="24"/>
          <w:lang w:val="en-IE"/>
        </w:rPr>
      </w:pPr>
      <w:r>
        <w:rPr>
          <w:rFonts w:ascii="Times New Roman" w:hAnsi="Times New Roman" w:cs="Times New Roman"/>
          <w:noProof/>
          <w:szCs w:val="24"/>
          <w:lang w:val="en-IE"/>
        </w:rPr>
        <w:t>EIOPA, 2017b: “</w:t>
      </w:r>
      <w:r>
        <w:rPr>
          <w:rFonts w:ascii="Times New Roman" w:hAnsi="Times New Roman" w:cs="Times New Roman"/>
          <w:i/>
          <w:noProof/>
          <w:szCs w:val="24"/>
          <w:lang w:val="en-IE"/>
        </w:rPr>
        <w:t>Opinion on the harmonisation of recovery and resolution frameworks</w:t>
      </w:r>
      <w:r>
        <w:rPr>
          <w:rFonts w:ascii="Times New Roman" w:hAnsi="Times New Roman" w:cs="Times New Roman"/>
          <w:noProof/>
          <w:szCs w:val="24"/>
        </w:rPr>
        <w:t xml:space="preserve">”, available at this </w:t>
      </w:r>
      <w:hyperlink r:id="rId50" w:history="1">
        <w:r>
          <w:rPr>
            <w:rStyle w:val="Hyperlink"/>
            <w:rFonts w:ascii="Times New Roman" w:hAnsi="Times New Roman" w:cs="Times New Roman"/>
            <w:noProof/>
            <w:szCs w:val="24"/>
          </w:rPr>
          <w:t>link</w:t>
        </w:r>
      </w:hyperlink>
      <w:r>
        <w:rPr>
          <w:rFonts w:ascii="Times New Roman" w:hAnsi="Times New Roman" w:cs="Times New Roman"/>
          <w:noProof/>
          <w:szCs w:val="24"/>
          <w:lang w:val="en-IE"/>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lang w:val="en-IE"/>
        </w:rPr>
        <w:t>EIOPA, 2018a: “</w:t>
      </w:r>
      <w:r>
        <w:rPr>
          <w:rFonts w:ascii="Times New Roman" w:hAnsi="Times New Roman" w:cs="Times New Roman"/>
          <w:i/>
          <w:noProof/>
          <w:szCs w:val="24"/>
          <w:lang w:val="en-IE"/>
        </w:rPr>
        <w:t>Failures and near-misses in insurance</w:t>
      </w:r>
      <w:r>
        <w:rPr>
          <w:rFonts w:ascii="Times New Roman" w:hAnsi="Times New Roman" w:cs="Times New Roman"/>
          <w:noProof/>
          <w:szCs w:val="24"/>
          <w:lang w:val="en-IE"/>
        </w:rPr>
        <w:t xml:space="preserve">”, available at this </w:t>
      </w:r>
      <w:hyperlink r:id="rId51" w:history="1">
        <w:r>
          <w:rPr>
            <w:rStyle w:val="Hyperlink"/>
            <w:rFonts w:ascii="Times New Roman" w:hAnsi="Times New Roman" w:cs="Times New Roman"/>
            <w:noProof/>
            <w:szCs w:val="24"/>
            <w:lang w:val="en-IE"/>
          </w:rPr>
          <w:t>link</w:t>
        </w:r>
      </w:hyperlink>
      <w:r>
        <w:rPr>
          <w:rFonts w:ascii="Times New Roman" w:hAnsi="Times New Roman" w:cs="Times New Roman"/>
          <w:noProof/>
          <w:szCs w:val="24"/>
          <w:lang w:val="en-IE"/>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EIOPA, 2018b: “</w:t>
      </w:r>
      <w:r>
        <w:rPr>
          <w:rFonts w:ascii="Times New Roman" w:hAnsi="Times New Roman" w:cs="Times New Roman"/>
          <w:i/>
          <w:noProof/>
          <w:szCs w:val="24"/>
        </w:rPr>
        <w:t>Peer Review of key functions</w:t>
      </w:r>
      <w:r>
        <w:rPr>
          <w:rFonts w:ascii="Times New Roman" w:hAnsi="Times New Roman" w:cs="Times New Roman"/>
          <w:noProof/>
          <w:szCs w:val="24"/>
        </w:rPr>
        <w:t xml:space="preserve">”, available at this </w:t>
      </w:r>
      <w:hyperlink r:id="rId52"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 xml:space="preserve">EIOPA, 2018c: “Insurance Stress Test Report”, available at this </w:t>
      </w:r>
      <w:hyperlink r:id="rId53"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 xml:space="preserve">EIOPA, 2019: “Opinion on Sustainability within Solvency II”, available at this </w:t>
      </w:r>
      <w:hyperlink r:id="rId54"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EIOPA, 2020a: “Report</w:t>
      </w:r>
      <w:r>
        <w:rPr>
          <w:rFonts w:ascii="Times New Roman" w:hAnsi="Times New Roman" w:cs="Times New Roman"/>
          <w:noProof/>
          <w:szCs w:val="24"/>
          <w:lang w:val="en-IE"/>
        </w:rPr>
        <w:t xml:space="preserve"> on the use of limitations and exemptions from reporting 2018 and Q1 2019”, available at this </w:t>
      </w:r>
      <w:hyperlink r:id="rId55" w:history="1">
        <w:r>
          <w:rPr>
            <w:rStyle w:val="Hyperlink"/>
            <w:rFonts w:ascii="Times New Roman" w:hAnsi="Times New Roman" w:cs="Times New Roman"/>
            <w:noProof/>
            <w:szCs w:val="24"/>
            <w:lang w:val="en-IE"/>
          </w:rPr>
          <w:t>link</w:t>
        </w:r>
      </w:hyperlink>
      <w:r>
        <w:rPr>
          <w:rFonts w:ascii="Times New Roman" w:hAnsi="Times New Roman" w:cs="Times New Roman"/>
          <w:noProof/>
          <w:szCs w:val="24"/>
          <w:lang w:val="en-IE"/>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EIOPA, 2020b: “</w:t>
      </w:r>
      <w:r>
        <w:rPr>
          <w:rFonts w:ascii="Times New Roman" w:hAnsi="Times New Roman" w:cs="Times New Roman"/>
          <w:i/>
          <w:noProof/>
          <w:szCs w:val="24"/>
        </w:rPr>
        <w:t>Results of the Peer Review on the Regular Supervisory Report (RSR)</w:t>
      </w:r>
      <w:r>
        <w:rPr>
          <w:rFonts w:ascii="Times New Roman" w:hAnsi="Times New Roman" w:cs="Times New Roman"/>
          <w:noProof/>
          <w:szCs w:val="24"/>
        </w:rPr>
        <w:t xml:space="preserve">”, available at this </w:t>
      </w:r>
      <w:hyperlink r:id="rId56"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EIOPA, 2020c: “</w:t>
      </w:r>
      <w:r>
        <w:rPr>
          <w:rFonts w:ascii="Times New Roman" w:hAnsi="Times New Roman" w:cs="Times New Roman"/>
          <w:i/>
          <w:noProof/>
          <w:szCs w:val="24"/>
        </w:rPr>
        <w:t>Impact of ultra-low yields on the insurance sector, including first effects of the COVID-19 crisis</w:t>
      </w:r>
      <w:r>
        <w:rPr>
          <w:rFonts w:ascii="Times New Roman" w:hAnsi="Times New Roman" w:cs="Times New Roman"/>
          <w:noProof/>
          <w:szCs w:val="24"/>
        </w:rPr>
        <w:t xml:space="preserve">”, available at this </w:t>
      </w:r>
      <w:hyperlink r:id="rId57"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lang w:val="en-IE"/>
        </w:rPr>
        <w:t>EIOPA, 2020d:</w:t>
      </w:r>
      <w:r>
        <w:rPr>
          <w:rFonts w:ascii="Times New Roman" w:hAnsi="Times New Roman" w:cs="Times New Roman"/>
          <w:noProof/>
          <w:szCs w:val="24"/>
        </w:rPr>
        <w:t xml:space="preserve"> “</w:t>
      </w:r>
      <w:r>
        <w:rPr>
          <w:rFonts w:ascii="Times New Roman" w:hAnsi="Times New Roman" w:cs="Times New Roman"/>
          <w:i/>
          <w:noProof/>
          <w:szCs w:val="24"/>
          <w:lang w:val="en-IE"/>
        </w:rPr>
        <w:t>Peer Review on EIOPA’s Decision on the collaboration of the insurance supervisory authorities</w:t>
      </w:r>
      <w:r>
        <w:rPr>
          <w:rStyle w:val="Hyperlink"/>
          <w:rFonts w:ascii="Times New Roman" w:hAnsi="Times New Roman" w:cs="Times New Roman"/>
          <w:noProof/>
          <w:szCs w:val="24"/>
          <w:lang w:val="en-IE"/>
        </w:rPr>
        <w:t>”</w:t>
      </w:r>
      <w:r>
        <w:rPr>
          <w:rFonts w:ascii="Times New Roman" w:hAnsi="Times New Roman" w:cs="Times New Roman"/>
          <w:noProof/>
          <w:szCs w:val="24"/>
          <w:lang w:val="en-IE"/>
        </w:rPr>
        <w:t xml:space="preserve">, available at this </w:t>
      </w:r>
      <w:hyperlink r:id="rId58" w:history="1">
        <w:r>
          <w:rPr>
            <w:rStyle w:val="Hyperlink"/>
            <w:rFonts w:ascii="Times New Roman" w:hAnsi="Times New Roman" w:cs="Times New Roman"/>
            <w:noProof/>
            <w:szCs w:val="24"/>
            <w:lang w:val="en-IE"/>
          </w:rPr>
          <w:t>link</w:t>
        </w:r>
      </w:hyperlink>
      <w:r>
        <w:rPr>
          <w:rFonts w:ascii="Times New Roman" w:hAnsi="Times New Roman" w:cs="Times New Roman"/>
          <w:noProof/>
          <w:szCs w:val="24"/>
          <w:lang w:val="en-IE"/>
        </w:rPr>
        <w:t xml:space="preserve">; </w:t>
      </w:r>
    </w:p>
    <w:p>
      <w:pPr>
        <w:pStyle w:val="ListParagraph"/>
        <w:numPr>
          <w:ilvl w:val="0"/>
          <w:numId w:val="79"/>
        </w:numPr>
        <w:spacing w:after="240" w:line="240" w:lineRule="auto"/>
        <w:jc w:val="both"/>
        <w:rPr>
          <w:rFonts w:ascii="Times New Roman" w:hAnsi="Times New Roman" w:cs="Times New Roman"/>
          <w:i/>
          <w:noProof/>
          <w:szCs w:val="24"/>
        </w:rPr>
      </w:pPr>
      <w:r>
        <w:rPr>
          <w:rFonts w:ascii="Times New Roman" w:hAnsi="Times New Roman" w:cs="Times New Roman"/>
          <w:noProof/>
          <w:szCs w:val="24"/>
        </w:rPr>
        <w:t>EIOPA, 2020e: “</w:t>
      </w:r>
      <w:r>
        <w:rPr>
          <w:rFonts w:ascii="Times New Roman" w:hAnsi="Times New Roman" w:cs="Times New Roman"/>
          <w:i/>
          <w:noProof/>
          <w:szCs w:val="24"/>
        </w:rPr>
        <w:t xml:space="preserve">Discussion Paper: </w:t>
      </w:r>
      <w:hyperlink r:id="rId59" w:history="1">
        <w:r>
          <w:rPr>
            <w:rFonts w:ascii="Times New Roman" w:hAnsi="Times New Roman" w:cs="Times New Roman"/>
            <w:i/>
            <w:noProof/>
            <w:szCs w:val="24"/>
          </w:rPr>
          <w:t>Methodology on potential inclusion of climate change in the nat cat standard formula</w:t>
        </w:r>
      </w:hyperlink>
      <w:r>
        <w:rPr>
          <w:rFonts w:ascii="Times New Roman" w:hAnsi="Times New Roman" w:cs="Times New Roman"/>
          <w:noProof/>
          <w:szCs w:val="24"/>
        </w:rPr>
        <w:t xml:space="preserve">”, available at this </w:t>
      </w:r>
      <w:hyperlink r:id="rId60"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0"/>
          <w:numId w:val="79"/>
        </w:numPr>
        <w:spacing w:after="240" w:line="240" w:lineRule="auto"/>
        <w:jc w:val="both"/>
        <w:rPr>
          <w:rFonts w:ascii="Times New Roman" w:hAnsi="Times New Roman" w:cs="Times New Roman"/>
          <w:i/>
          <w:noProof/>
          <w:szCs w:val="24"/>
          <w:lang w:val="en-IE"/>
        </w:rPr>
      </w:pPr>
      <w:r>
        <w:rPr>
          <w:rFonts w:ascii="Times New Roman" w:hAnsi="Times New Roman" w:cs="Times New Roman"/>
          <w:noProof/>
          <w:szCs w:val="24"/>
        </w:rPr>
        <w:t>EIOPA, 2020f:</w:t>
      </w:r>
      <w:r>
        <w:rPr>
          <w:rFonts w:ascii="Times New Roman" w:hAnsi="Times New Roman" w:cs="Times New Roman"/>
          <w:noProof/>
          <w:szCs w:val="24"/>
          <w:lang w:val="en-IE"/>
        </w:rPr>
        <w:t xml:space="preserve"> “</w:t>
      </w:r>
      <w:r>
        <w:rPr>
          <w:rFonts w:ascii="Times New Roman" w:hAnsi="Times New Roman" w:cs="Times New Roman"/>
          <w:i/>
          <w:noProof/>
          <w:szCs w:val="24"/>
          <w:lang w:val="en-IE"/>
        </w:rPr>
        <w:t>Sensitivity analysis of climate-change related transition risks</w:t>
      </w:r>
      <w:r>
        <w:rPr>
          <w:rFonts w:ascii="Times New Roman" w:hAnsi="Times New Roman" w:cs="Times New Roman"/>
          <w:noProof/>
          <w:szCs w:val="24"/>
          <w:lang w:val="en-IE"/>
        </w:rPr>
        <w:t xml:space="preserve">”, available at this </w:t>
      </w:r>
      <w:hyperlink r:id="rId61" w:history="1">
        <w:r>
          <w:rPr>
            <w:rStyle w:val="Hyperlink"/>
            <w:rFonts w:ascii="Times New Roman" w:hAnsi="Times New Roman" w:cs="Times New Roman"/>
            <w:noProof/>
            <w:szCs w:val="24"/>
            <w:lang w:val="en-IE"/>
          </w:rPr>
          <w:t>link</w:t>
        </w:r>
      </w:hyperlink>
      <w:r>
        <w:rPr>
          <w:rFonts w:ascii="Times New Roman" w:hAnsi="Times New Roman" w:cs="Times New Roman"/>
          <w:noProof/>
          <w:szCs w:val="24"/>
          <w:lang w:val="en-IE"/>
        </w:rPr>
        <w:t>;</w:t>
      </w:r>
    </w:p>
    <w:p>
      <w:pPr>
        <w:pStyle w:val="ListParagraph"/>
        <w:ind w:left="360"/>
        <w:rPr>
          <w:rFonts w:ascii="Times New Roman" w:hAnsi="Times New Roman" w:cs="Times New Roman"/>
          <w:noProof/>
          <w:szCs w:val="24"/>
        </w:rPr>
      </w:pP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European Court of Auditors (ECA) - Special Report 29: “EIOPA made an important contribution to supervision and stability in the insurance sector, but significant challenges remain”, 2018 (</w:t>
      </w:r>
      <w:hyperlink r:id="rId62"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ind w:left="360"/>
        <w:rPr>
          <w:rFonts w:ascii="Times New Roman" w:hAnsi="Times New Roman" w:cs="Times New Roman"/>
          <w:noProof/>
          <w:szCs w:val="24"/>
        </w:rPr>
      </w:pP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bCs/>
          <w:noProof/>
          <w:szCs w:val="24"/>
          <w:lang w:val="en-IE"/>
        </w:rPr>
        <w:t>European Commission, DG FISMA, 2019: “</w:t>
      </w:r>
      <w:r>
        <w:rPr>
          <w:rFonts w:ascii="Times New Roman" w:hAnsi="Times New Roman" w:cs="Times New Roman"/>
          <w:bCs/>
          <w:i/>
          <w:noProof/>
          <w:szCs w:val="24"/>
          <w:lang w:val="en-IE"/>
        </w:rPr>
        <w:t>Study on the drivers of investments in equity by insurers and pension funds</w:t>
      </w:r>
      <w:r>
        <w:rPr>
          <w:rFonts w:ascii="Times New Roman" w:hAnsi="Times New Roman" w:cs="Times New Roman"/>
          <w:bCs/>
          <w:noProof/>
          <w:szCs w:val="24"/>
          <w:lang w:val="en-IE"/>
        </w:rPr>
        <w:t>”;</w:t>
      </w:r>
      <w:r>
        <w:rPr>
          <w:rFonts w:ascii="Times New Roman" w:hAnsi="Times New Roman" w:cs="Times New Roman"/>
          <w:noProof/>
          <w:szCs w:val="24"/>
          <w:lang w:val="en-IE"/>
        </w:rPr>
        <w:t xml:space="preserve"> prepared by Deloitte Belgium and CEPS</w:t>
      </w:r>
      <w:r>
        <w:rPr>
          <w:rFonts w:ascii="Times New Roman" w:hAnsi="Times New Roman" w:cs="Times New Roman"/>
          <w:noProof/>
          <w:szCs w:val="24"/>
        </w:rPr>
        <w:t xml:space="preserve">, available at this </w:t>
      </w:r>
      <w:hyperlink r:id="rId63" w:history="1">
        <w:r>
          <w:rPr>
            <w:rStyle w:val="Hyperlink"/>
            <w:rFonts w:ascii="Times New Roman" w:hAnsi="Times New Roman" w:cs="Times New Roman"/>
            <w:noProof/>
            <w:szCs w:val="24"/>
          </w:rPr>
          <w:t>link</w:t>
        </w:r>
      </w:hyperlink>
      <w:r>
        <w:rPr>
          <w:rFonts w:ascii="Times New Roman" w:hAnsi="Times New Roman" w:cs="Times New Roman"/>
          <w:noProof/>
          <w:szCs w:val="24"/>
        </w:rPr>
        <w:t xml:space="preserve"> ;</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European Commission, DG FISMA, 2020: “</w:t>
      </w:r>
      <w:r>
        <w:rPr>
          <w:rFonts w:ascii="Times New Roman" w:hAnsi="Times New Roman" w:cs="Times New Roman"/>
          <w:i/>
          <w:noProof/>
          <w:szCs w:val="24"/>
        </w:rPr>
        <w:t>Study on the costs of compliance for the financial sector</w:t>
      </w:r>
      <w:r>
        <w:rPr>
          <w:rFonts w:ascii="Times New Roman" w:hAnsi="Times New Roman" w:cs="Times New Roman"/>
          <w:noProof/>
          <w:szCs w:val="24"/>
        </w:rPr>
        <w:t xml:space="preserve">”; written by ICF and CEPS, available at this </w:t>
      </w:r>
      <w:hyperlink r:id="rId64" w:history="1">
        <w:r>
          <w:rPr>
            <w:rStyle w:val="Hyperlink"/>
            <w:rFonts w:ascii="Times New Roman" w:hAnsi="Times New Roman" w:cs="Times New Roman"/>
            <w:noProof/>
            <w:szCs w:val="24"/>
          </w:rPr>
          <w:t>link</w:t>
        </w:r>
      </w:hyperlink>
      <w:r>
        <w:rPr>
          <w:rFonts w:ascii="Times New Roman" w:hAnsi="Times New Roman" w:cs="Times New Roman"/>
          <w:noProof/>
          <w:szCs w:val="24"/>
        </w:rPr>
        <w:t xml:space="preserve"> ;</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Fitness Check on the EU Framework for public reporting by Companies;</w:t>
      </w:r>
    </w:p>
    <w:p>
      <w:pPr>
        <w:pStyle w:val="ListParagraph"/>
        <w:ind w:left="360"/>
        <w:rPr>
          <w:rFonts w:ascii="Times New Roman" w:hAnsi="Times New Roman" w:cs="Times New Roman"/>
          <w:noProof/>
          <w:szCs w:val="24"/>
        </w:rPr>
      </w:pPr>
    </w:p>
    <w:p>
      <w:pPr>
        <w:pStyle w:val="ListParagraph"/>
        <w:numPr>
          <w:ilvl w:val="0"/>
          <w:numId w:val="79"/>
        </w:numPr>
        <w:spacing w:after="240" w:line="240" w:lineRule="auto"/>
        <w:jc w:val="both"/>
        <w:rPr>
          <w:rFonts w:ascii="Times New Roman" w:hAnsi="Times New Roman" w:cs="Times New Roman"/>
          <w:noProof/>
          <w:szCs w:val="24"/>
          <w:lang w:val="de-DE"/>
        </w:rPr>
      </w:pPr>
      <w:r>
        <w:rPr>
          <w:rFonts w:ascii="Times New Roman" w:hAnsi="Times New Roman" w:cs="Times New Roman"/>
          <w:noProof/>
          <w:szCs w:val="24"/>
          <w:lang w:val="de-DE"/>
        </w:rPr>
        <w:t>GDV (Gesamtverband der Deutschen Versicherungswirtschaft), Official statement/Survey, 2019: “</w:t>
      </w:r>
      <w:r>
        <w:rPr>
          <w:rFonts w:ascii="Times New Roman" w:hAnsi="Times New Roman" w:cs="Times New Roman"/>
          <w:i/>
          <w:noProof/>
          <w:szCs w:val="24"/>
          <w:lang w:val="de-DE"/>
        </w:rPr>
        <w:t xml:space="preserve">25.02.2019 </w:t>
      </w:r>
      <w:hyperlink r:id="rId65" w:tooltip="Regulierung und Aufsicht kompakt" w:history="1">
        <w:r>
          <w:rPr>
            <w:rStyle w:val="Hyperlink"/>
            <w:rFonts w:ascii="Times New Roman" w:hAnsi="Times New Roman" w:cs="Times New Roman"/>
            <w:i/>
            <w:noProof/>
            <w:szCs w:val="24"/>
            <w:lang w:val="de-DE"/>
          </w:rPr>
          <w:t>Regulierung und Aufsicht kompakt</w:t>
        </w:r>
      </w:hyperlink>
      <w:r>
        <w:rPr>
          <w:rFonts w:ascii="Times New Roman" w:hAnsi="Times New Roman" w:cs="Times New Roman"/>
          <w:noProof/>
          <w:szCs w:val="24"/>
          <w:lang w:val="de-DE"/>
        </w:rPr>
        <w:t xml:space="preserve">” , available at this </w:t>
      </w:r>
      <w:hyperlink r:id="rId66" w:history="1">
        <w:r>
          <w:rPr>
            <w:rStyle w:val="Hyperlink"/>
            <w:rFonts w:ascii="Times New Roman" w:hAnsi="Times New Roman" w:cs="Times New Roman"/>
            <w:noProof/>
            <w:szCs w:val="24"/>
            <w:lang w:val="de-DE"/>
          </w:rPr>
          <w:t>link</w:t>
        </w:r>
      </w:hyperlink>
      <w:r>
        <w:rPr>
          <w:rFonts w:ascii="Times New Roman" w:hAnsi="Times New Roman" w:cs="Times New Roman"/>
          <w:noProof/>
          <w:szCs w:val="24"/>
          <w:lang w:val="de-DE"/>
        </w:rPr>
        <w:t>;</w:t>
      </w:r>
    </w:p>
    <w:p>
      <w:pPr>
        <w:pStyle w:val="ListParagraph"/>
        <w:numPr>
          <w:ilvl w:val="0"/>
          <w:numId w:val="79"/>
        </w:numPr>
        <w:spacing w:after="240" w:line="240" w:lineRule="auto"/>
        <w:jc w:val="both"/>
        <w:rPr>
          <w:rFonts w:ascii="Times New Roman" w:hAnsi="Times New Roman" w:cs="Times New Roman"/>
          <w:noProof/>
          <w:szCs w:val="24"/>
        </w:rPr>
      </w:pPr>
      <w:r>
        <w:rPr>
          <w:rFonts w:ascii="Times New Roman" w:hAnsi="Times New Roman" w:cs="Times New Roman"/>
          <w:noProof/>
          <w:szCs w:val="24"/>
        </w:rPr>
        <w:t>KPMG study – 25 February 2020 (see IGS Annex 5)</w:t>
      </w:r>
    </w:p>
    <w:p>
      <w:pPr>
        <w:pStyle w:val="ListParagraph"/>
        <w:spacing w:after="240" w:line="240" w:lineRule="auto"/>
        <w:ind w:left="360"/>
        <w:jc w:val="both"/>
        <w:rPr>
          <w:rFonts w:ascii="Times New Roman" w:hAnsi="Times New Roman" w:cs="Times New Roman"/>
          <w:noProof/>
          <w:szCs w:val="24"/>
        </w:rPr>
      </w:pPr>
    </w:p>
    <w:p>
      <w:pPr>
        <w:pStyle w:val="ListParagraph"/>
        <w:numPr>
          <w:ilvl w:val="0"/>
          <w:numId w:val="79"/>
        </w:numPr>
        <w:spacing w:after="0" w:line="240" w:lineRule="auto"/>
        <w:jc w:val="both"/>
        <w:rPr>
          <w:rFonts w:ascii="Times New Roman" w:hAnsi="Times New Roman" w:cs="Times New Roman"/>
          <w:noProof/>
          <w:szCs w:val="24"/>
        </w:rPr>
      </w:pPr>
      <w:r>
        <w:rPr>
          <w:rFonts w:ascii="Times New Roman" w:hAnsi="Times New Roman" w:cs="Times New Roman"/>
          <w:noProof/>
          <w:szCs w:val="24"/>
        </w:rPr>
        <w:t>COM:</w:t>
      </w:r>
    </w:p>
    <w:p>
      <w:pPr>
        <w:pStyle w:val="ListParagraph"/>
        <w:numPr>
          <w:ilvl w:val="1"/>
          <w:numId w:val="79"/>
        </w:numPr>
        <w:spacing w:after="0" w:line="240" w:lineRule="auto"/>
        <w:jc w:val="both"/>
        <w:rPr>
          <w:rFonts w:ascii="Times New Roman" w:hAnsi="Times New Roman" w:cs="Times New Roman"/>
          <w:noProof/>
          <w:szCs w:val="24"/>
        </w:rPr>
      </w:pPr>
      <w:r>
        <w:rPr>
          <w:rFonts w:ascii="Times New Roman" w:hAnsi="Times New Roman" w:cs="Times New Roman"/>
          <w:noProof/>
          <w:szCs w:val="24"/>
        </w:rPr>
        <w:t xml:space="preserve">Commission Communication: </w:t>
      </w:r>
      <w:r>
        <w:rPr>
          <w:rFonts w:ascii="Times New Roman" w:hAnsi="Times New Roman" w:cs="Times New Roman"/>
          <w:bCs/>
          <w:i/>
          <w:noProof/>
          <w:szCs w:val="24"/>
          <w:lang w:val="en-IE"/>
        </w:rPr>
        <w:t>Action Plan on Building a Capital Markets Union</w:t>
      </w:r>
      <w:r>
        <w:rPr>
          <w:rFonts w:ascii="Times New Roman" w:hAnsi="Times New Roman" w:cs="Times New Roman"/>
          <w:noProof/>
          <w:szCs w:val="24"/>
          <w:lang w:val="en-IE"/>
        </w:rPr>
        <w:t xml:space="preserve"> (EUR-Lex </w:t>
      </w:r>
      <w:hyperlink r:id="rId67" w:history="1">
        <w:r>
          <w:rPr>
            <w:rStyle w:val="Hyperlink"/>
            <w:rFonts w:ascii="Times New Roman" w:hAnsi="Times New Roman" w:cs="Times New Roman"/>
            <w:noProof/>
            <w:szCs w:val="24"/>
            <w:lang w:val="en-IE"/>
          </w:rPr>
          <w:t>link</w:t>
        </w:r>
      </w:hyperlink>
      <w:r>
        <w:rPr>
          <w:rFonts w:ascii="Times New Roman" w:hAnsi="Times New Roman" w:cs="Times New Roman"/>
          <w:noProof/>
          <w:szCs w:val="24"/>
          <w:lang w:val="en-IE"/>
        </w:rPr>
        <w:t>)</w:t>
      </w:r>
    </w:p>
    <w:p>
      <w:pPr>
        <w:pStyle w:val="ListParagraph"/>
        <w:numPr>
          <w:ilvl w:val="1"/>
          <w:numId w:val="79"/>
        </w:numPr>
        <w:spacing w:after="0" w:line="240" w:lineRule="auto"/>
        <w:jc w:val="both"/>
        <w:rPr>
          <w:rFonts w:ascii="Times New Roman" w:hAnsi="Times New Roman" w:cs="Times New Roman"/>
          <w:noProof/>
          <w:szCs w:val="24"/>
        </w:rPr>
      </w:pPr>
      <w:r>
        <w:rPr>
          <w:rFonts w:ascii="Times New Roman" w:hAnsi="Times New Roman" w:cs="Times New Roman"/>
          <w:noProof/>
          <w:szCs w:val="24"/>
        </w:rPr>
        <w:t xml:space="preserve">Commission Communication: </w:t>
      </w:r>
      <w:r>
        <w:rPr>
          <w:rFonts w:ascii="Times New Roman" w:hAnsi="Times New Roman" w:cs="Times New Roman"/>
          <w:i/>
          <w:noProof/>
          <w:szCs w:val="24"/>
        </w:rPr>
        <w:t>European Green Deal</w:t>
      </w:r>
      <w:r>
        <w:rPr>
          <w:rFonts w:ascii="Times New Roman" w:hAnsi="Times New Roman" w:cs="Times New Roman"/>
          <w:noProof/>
          <w:szCs w:val="24"/>
        </w:rPr>
        <w:t xml:space="preserve"> (EUR-Lex </w:t>
      </w:r>
      <w:hyperlink r:id="rId68"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1"/>
          <w:numId w:val="79"/>
        </w:numPr>
        <w:spacing w:after="0" w:line="240" w:lineRule="auto"/>
        <w:jc w:val="both"/>
        <w:rPr>
          <w:rFonts w:ascii="Times New Roman" w:hAnsi="Times New Roman" w:cs="Times New Roman"/>
          <w:noProof/>
          <w:szCs w:val="24"/>
        </w:rPr>
      </w:pPr>
      <w:r>
        <w:rPr>
          <w:rFonts w:ascii="Times New Roman" w:hAnsi="Times New Roman" w:cs="Times New Roman"/>
          <w:noProof/>
          <w:szCs w:val="24"/>
        </w:rPr>
        <w:t xml:space="preserve">Commission Communication: </w:t>
      </w:r>
      <w:r>
        <w:rPr>
          <w:rFonts w:ascii="Times New Roman" w:hAnsi="Times New Roman" w:cs="Times New Roman"/>
          <w:i/>
          <w:noProof/>
          <w:szCs w:val="24"/>
        </w:rPr>
        <w:t>Stepping up Europe’s 2030 climate ambition</w:t>
      </w:r>
      <w:r>
        <w:rPr>
          <w:rFonts w:ascii="Times New Roman" w:hAnsi="Times New Roman" w:cs="Times New Roman"/>
          <w:noProof/>
          <w:szCs w:val="24"/>
        </w:rPr>
        <w:t xml:space="preserve"> (EUR-Lex </w:t>
      </w:r>
      <w:hyperlink r:id="rId69"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p>
      <w:pPr>
        <w:pStyle w:val="ListParagraph"/>
        <w:numPr>
          <w:ilvl w:val="1"/>
          <w:numId w:val="79"/>
        </w:numPr>
        <w:spacing w:after="0" w:line="240" w:lineRule="auto"/>
        <w:jc w:val="both"/>
        <w:rPr>
          <w:rFonts w:ascii="Times New Roman" w:hAnsi="Times New Roman" w:cs="Times New Roman"/>
          <w:noProof/>
          <w:szCs w:val="24"/>
        </w:rPr>
      </w:pPr>
      <w:r>
        <w:rPr>
          <w:rFonts w:ascii="Times New Roman" w:hAnsi="Times New Roman" w:cs="Times New Roman"/>
          <w:noProof/>
          <w:szCs w:val="24"/>
        </w:rPr>
        <w:t xml:space="preserve">Commission Communication: </w:t>
      </w:r>
      <w:r>
        <w:rPr>
          <w:rFonts w:ascii="Times New Roman" w:hAnsi="Times New Roman" w:cs="Times New Roman"/>
          <w:i/>
          <w:noProof/>
          <w:szCs w:val="24"/>
          <w:lang w:val="en-IE"/>
        </w:rPr>
        <w:t>A Capital Markets Union for people and businesses-new action plan</w:t>
      </w:r>
      <w:r>
        <w:rPr>
          <w:rFonts w:ascii="Times New Roman" w:hAnsi="Times New Roman" w:cs="Times New Roman"/>
          <w:noProof/>
          <w:szCs w:val="24"/>
          <w:lang w:val="en-IE"/>
        </w:rPr>
        <w:t xml:space="preserve"> (EUR-Lex </w:t>
      </w:r>
      <w:hyperlink r:id="rId70" w:history="1">
        <w:r>
          <w:rPr>
            <w:rStyle w:val="Hyperlink"/>
            <w:rFonts w:ascii="Times New Roman" w:hAnsi="Times New Roman" w:cs="Times New Roman"/>
            <w:noProof/>
            <w:szCs w:val="24"/>
            <w:lang w:val="en-IE"/>
          </w:rPr>
          <w:t>link</w:t>
        </w:r>
      </w:hyperlink>
      <w:r>
        <w:rPr>
          <w:rFonts w:ascii="Times New Roman" w:hAnsi="Times New Roman" w:cs="Times New Roman"/>
          <w:noProof/>
          <w:szCs w:val="24"/>
          <w:lang w:val="en-IE"/>
        </w:rPr>
        <w:t>)</w:t>
      </w:r>
    </w:p>
    <w:p>
      <w:pPr>
        <w:pStyle w:val="ListParagraph"/>
        <w:numPr>
          <w:ilvl w:val="1"/>
          <w:numId w:val="79"/>
        </w:numPr>
        <w:spacing w:after="0" w:line="240" w:lineRule="auto"/>
        <w:jc w:val="both"/>
        <w:rPr>
          <w:rFonts w:ascii="Times New Roman" w:hAnsi="Times New Roman" w:cs="Times New Roman"/>
          <w:noProof/>
          <w:szCs w:val="24"/>
        </w:rPr>
      </w:pPr>
      <w:r>
        <w:rPr>
          <w:rFonts w:ascii="Times New Roman" w:hAnsi="Times New Roman" w:cs="Times New Roman"/>
          <w:noProof/>
          <w:szCs w:val="24"/>
        </w:rPr>
        <w:t xml:space="preserve">“Taxonomy”: technical screening criteria for the identification of sustainable economic activities as adopted under Regulation (EU) 2020/852 of the European Parliament and of the Council of 18 June 2020 on the establishment of a framework to facilitate sustainable investment, and amending Regulation (EU) 2019/2088, OJ L 198, 22.6.2020, p. 13 (EUR-Lex </w:t>
      </w:r>
      <w:hyperlink r:id="rId71" w:history="1">
        <w:r>
          <w:rPr>
            <w:rStyle w:val="Hyperlink"/>
            <w:rFonts w:ascii="Times New Roman" w:hAnsi="Times New Roman" w:cs="Times New Roman"/>
            <w:noProof/>
            <w:szCs w:val="24"/>
          </w:rPr>
          <w:t>link</w:t>
        </w:r>
      </w:hyperlink>
      <w:r>
        <w:rPr>
          <w:rFonts w:ascii="Times New Roman" w:hAnsi="Times New Roman" w:cs="Times New Roman"/>
          <w:noProof/>
          <w:szCs w:val="24"/>
        </w:rPr>
        <w:t>)</w:t>
      </w:r>
    </w:p>
    <w:sectPr>
      <w:headerReference w:type="even" r:id="rId72"/>
      <w:headerReference w:type="default" r:id="rId73"/>
      <w:footerReference w:type="even" r:id="rId74"/>
      <w:footerReference w:type="default" r:id="rId75"/>
      <w:headerReference w:type="first" r:id="rId76"/>
      <w:footerReference w:type="first" r:id="rId77"/>
      <w:pgSz w:w="11906" w:h="16838"/>
      <w:pgMar w:top="568"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881083662"/>
      <w:docPartObj>
        <w:docPartGallery w:val="Page Numbers (Bottom of Page)"/>
        <w:docPartUnique/>
      </w:docPartObj>
    </w:sdtPr>
    <w:sdtContent>
      <w:p>
        <w:pPr>
          <w:pStyle w:val="Footer"/>
          <w:spacing w:before="0"/>
          <w:jc w:val="right"/>
          <w:rPr>
            <w:sz w:val="22"/>
          </w:rPr>
        </w:pPr>
        <w:r>
          <w:rPr>
            <w:sz w:val="22"/>
          </w:rPr>
          <w:t xml:space="preserve">Page | </w:t>
        </w:r>
        <w:r>
          <w:rPr>
            <w:sz w:val="22"/>
          </w:rPr>
          <w:fldChar w:fldCharType="begin"/>
        </w:r>
        <w:r>
          <w:rPr>
            <w:sz w:val="22"/>
          </w:rPr>
          <w:instrText xml:space="preserve"> PAGE   \* MERGEFORMAT </w:instrText>
        </w:r>
        <w:r>
          <w:rPr>
            <w:sz w:val="22"/>
          </w:rPr>
          <w:fldChar w:fldCharType="separate"/>
        </w:r>
        <w:r>
          <w:rPr>
            <w:noProof/>
            <w:sz w:val="22"/>
          </w:rPr>
          <w:t>286</w:t>
        </w:r>
        <w:r>
          <w:rPr>
            <w:noProof/>
            <w:sz w:val="22"/>
          </w:rPr>
          <w:fldChar w:fldCharType="end"/>
        </w:r>
        <w:r>
          <w:rPr>
            <w:sz w:val="22"/>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174378742"/>
      <w:docPartObj>
        <w:docPartGallery w:val="Page Numbers (Bottom of Page)"/>
        <w:docPartUnique/>
      </w:docPartObj>
    </w:sdtPr>
    <w:sdtContent>
      <w:p>
        <w:pPr>
          <w:pStyle w:val="Footer"/>
          <w:spacing w:before="0"/>
          <w:jc w:val="right"/>
          <w:rPr>
            <w:sz w:val="22"/>
          </w:rPr>
        </w:pPr>
        <w:r>
          <w:rPr>
            <w:sz w:val="22"/>
          </w:rPr>
          <w:t xml:space="preserve">Page | </w:t>
        </w:r>
        <w:r>
          <w:rPr>
            <w:sz w:val="22"/>
          </w:rPr>
          <w:fldChar w:fldCharType="begin"/>
        </w:r>
        <w:r>
          <w:rPr>
            <w:sz w:val="22"/>
          </w:rPr>
          <w:instrText xml:space="preserve"> PAGE   \* MERGEFORMAT </w:instrText>
        </w:r>
        <w:r>
          <w:rPr>
            <w:sz w:val="22"/>
          </w:rPr>
          <w:fldChar w:fldCharType="separate"/>
        </w:r>
        <w:r>
          <w:rPr>
            <w:noProof/>
            <w:sz w:val="22"/>
          </w:rPr>
          <w:t>285</w:t>
        </w:r>
        <w:r>
          <w:rPr>
            <w:noProof/>
            <w:sz w:val="22"/>
          </w:rPr>
          <w:fldChar w:fldCharType="end"/>
        </w:r>
        <w:r>
          <w:rPr>
            <w:sz w:val="22"/>
          </w:rPr>
          <w:t xml:space="preserve"> </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764987272"/>
      <w:docPartObj>
        <w:docPartGallery w:val="Page Numbers (Bottom of Page)"/>
        <w:docPartUnique/>
      </w:docPartObj>
    </w:sdtPr>
    <w:sdtContent>
      <w:p>
        <w:pPr>
          <w:pStyle w:val="Footer"/>
          <w:spacing w:before="0"/>
          <w:jc w:val="right"/>
          <w:rPr>
            <w:sz w:val="22"/>
          </w:rPr>
        </w:pPr>
        <w:r>
          <w:rPr>
            <w:sz w:val="22"/>
          </w:rPr>
          <w:t xml:space="preserve">Page | </w:t>
        </w:r>
        <w:r>
          <w:rPr>
            <w:sz w:val="22"/>
          </w:rPr>
          <w:fldChar w:fldCharType="begin"/>
        </w:r>
        <w:r>
          <w:rPr>
            <w:sz w:val="22"/>
          </w:rPr>
          <w:instrText xml:space="preserve"> PAGE   \* MERGEFORMAT </w:instrText>
        </w:r>
        <w:r>
          <w:rPr>
            <w:sz w:val="22"/>
          </w:rPr>
          <w:fldChar w:fldCharType="separate"/>
        </w:r>
        <w:r>
          <w:rPr>
            <w:noProof/>
            <w:sz w:val="22"/>
          </w:rPr>
          <w:t>294</w:t>
        </w:r>
        <w:r>
          <w:rPr>
            <w:noProof/>
            <w:sz w:val="22"/>
          </w:rPr>
          <w:fldChar w:fldCharType="end"/>
        </w:r>
        <w:r>
          <w:rPr>
            <w:sz w:val="22"/>
          </w:rPr>
          <w:t xml:space="preserve"> </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630789513"/>
      <w:docPartObj>
        <w:docPartGallery w:val="Page Numbers (Bottom of Page)"/>
        <w:docPartUnique/>
      </w:docPartObj>
    </w:sdtPr>
    <w:sdtContent>
      <w:p>
        <w:pPr>
          <w:pStyle w:val="Footer"/>
          <w:spacing w:before="0"/>
          <w:jc w:val="right"/>
          <w:rPr>
            <w:sz w:val="22"/>
          </w:rPr>
        </w:pPr>
        <w:r>
          <w:rPr>
            <w:sz w:val="22"/>
          </w:rPr>
          <w:t xml:space="preserve">Page | </w:t>
        </w:r>
        <w:r>
          <w:rPr>
            <w:sz w:val="22"/>
          </w:rPr>
          <w:fldChar w:fldCharType="begin"/>
        </w:r>
        <w:r>
          <w:rPr>
            <w:sz w:val="22"/>
          </w:rPr>
          <w:instrText xml:space="preserve"> PAGE   \* MERGEFORMAT </w:instrText>
        </w:r>
        <w:r>
          <w:rPr>
            <w:sz w:val="22"/>
          </w:rPr>
          <w:fldChar w:fldCharType="separate"/>
        </w:r>
        <w:r>
          <w:rPr>
            <w:noProof/>
            <w:sz w:val="22"/>
          </w:rPr>
          <w:t>144</w:t>
        </w:r>
        <w:r>
          <w:rPr>
            <w:noProof/>
            <w:sz w:val="22"/>
          </w:rPr>
          <w:fldChar w:fldCharType="end"/>
        </w:r>
        <w:r>
          <w:rPr>
            <w:sz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288"/>
    <w:multiLevelType w:val="multilevel"/>
    <w:tmpl w:val="30EAC77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776537"/>
    <w:multiLevelType w:val="hybridMultilevel"/>
    <w:tmpl w:val="82022D50"/>
    <w:lvl w:ilvl="0" w:tplc="0415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8F5A6C"/>
    <w:multiLevelType w:val="hybridMultilevel"/>
    <w:tmpl w:val="526455C2"/>
    <w:lvl w:ilvl="0" w:tplc="D472D1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840EEC"/>
    <w:multiLevelType w:val="hybridMultilevel"/>
    <w:tmpl w:val="70B2C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3A63CD"/>
    <w:multiLevelType w:val="hybridMultilevel"/>
    <w:tmpl w:val="FEF2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457281B"/>
    <w:multiLevelType w:val="hybridMultilevel"/>
    <w:tmpl w:val="918C3510"/>
    <w:lvl w:ilvl="0" w:tplc="403210B8">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04E61EAC"/>
    <w:multiLevelType w:val="hybridMultilevel"/>
    <w:tmpl w:val="C8E2356C"/>
    <w:lvl w:ilvl="0" w:tplc="080C0001">
      <w:start w:val="1"/>
      <w:numFmt w:val="bullet"/>
      <w:lvlText w:val=""/>
      <w:lvlJc w:val="left"/>
      <w:pPr>
        <w:ind w:left="1200" w:hanging="360"/>
      </w:pPr>
      <w:rPr>
        <w:rFonts w:ascii="Symbol" w:hAnsi="Symbol" w:hint="default"/>
      </w:rPr>
    </w:lvl>
    <w:lvl w:ilvl="1" w:tplc="080C0003" w:tentative="1">
      <w:start w:val="1"/>
      <w:numFmt w:val="bullet"/>
      <w:lvlText w:val="o"/>
      <w:lvlJc w:val="left"/>
      <w:pPr>
        <w:ind w:left="1920" w:hanging="360"/>
      </w:pPr>
      <w:rPr>
        <w:rFonts w:ascii="Courier New" w:hAnsi="Courier New" w:cs="Courier New" w:hint="default"/>
      </w:rPr>
    </w:lvl>
    <w:lvl w:ilvl="2" w:tplc="080C0005" w:tentative="1">
      <w:start w:val="1"/>
      <w:numFmt w:val="bullet"/>
      <w:lvlText w:val=""/>
      <w:lvlJc w:val="left"/>
      <w:pPr>
        <w:ind w:left="2640" w:hanging="360"/>
      </w:pPr>
      <w:rPr>
        <w:rFonts w:ascii="Wingdings" w:hAnsi="Wingdings" w:hint="default"/>
      </w:rPr>
    </w:lvl>
    <w:lvl w:ilvl="3" w:tplc="080C0001" w:tentative="1">
      <w:start w:val="1"/>
      <w:numFmt w:val="bullet"/>
      <w:lvlText w:val=""/>
      <w:lvlJc w:val="left"/>
      <w:pPr>
        <w:ind w:left="3360" w:hanging="360"/>
      </w:pPr>
      <w:rPr>
        <w:rFonts w:ascii="Symbol" w:hAnsi="Symbol" w:hint="default"/>
      </w:rPr>
    </w:lvl>
    <w:lvl w:ilvl="4" w:tplc="080C0003" w:tentative="1">
      <w:start w:val="1"/>
      <w:numFmt w:val="bullet"/>
      <w:lvlText w:val="o"/>
      <w:lvlJc w:val="left"/>
      <w:pPr>
        <w:ind w:left="4080" w:hanging="360"/>
      </w:pPr>
      <w:rPr>
        <w:rFonts w:ascii="Courier New" w:hAnsi="Courier New" w:cs="Courier New" w:hint="default"/>
      </w:rPr>
    </w:lvl>
    <w:lvl w:ilvl="5" w:tplc="080C0005" w:tentative="1">
      <w:start w:val="1"/>
      <w:numFmt w:val="bullet"/>
      <w:lvlText w:val=""/>
      <w:lvlJc w:val="left"/>
      <w:pPr>
        <w:ind w:left="4800" w:hanging="360"/>
      </w:pPr>
      <w:rPr>
        <w:rFonts w:ascii="Wingdings" w:hAnsi="Wingdings" w:hint="default"/>
      </w:rPr>
    </w:lvl>
    <w:lvl w:ilvl="6" w:tplc="080C0001" w:tentative="1">
      <w:start w:val="1"/>
      <w:numFmt w:val="bullet"/>
      <w:lvlText w:val=""/>
      <w:lvlJc w:val="left"/>
      <w:pPr>
        <w:ind w:left="5520" w:hanging="360"/>
      </w:pPr>
      <w:rPr>
        <w:rFonts w:ascii="Symbol" w:hAnsi="Symbol" w:hint="default"/>
      </w:rPr>
    </w:lvl>
    <w:lvl w:ilvl="7" w:tplc="080C0003" w:tentative="1">
      <w:start w:val="1"/>
      <w:numFmt w:val="bullet"/>
      <w:lvlText w:val="o"/>
      <w:lvlJc w:val="left"/>
      <w:pPr>
        <w:ind w:left="6240" w:hanging="360"/>
      </w:pPr>
      <w:rPr>
        <w:rFonts w:ascii="Courier New" w:hAnsi="Courier New" w:cs="Courier New" w:hint="default"/>
      </w:rPr>
    </w:lvl>
    <w:lvl w:ilvl="8" w:tplc="080C0005" w:tentative="1">
      <w:start w:val="1"/>
      <w:numFmt w:val="bullet"/>
      <w:lvlText w:val=""/>
      <w:lvlJc w:val="left"/>
      <w:pPr>
        <w:ind w:left="6960" w:hanging="360"/>
      </w:pPr>
      <w:rPr>
        <w:rFonts w:ascii="Wingdings" w:hAnsi="Wingdings" w:hint="default"/>
      </w:rPr>
    </w:lvl>
  </w:abstractNum>
  <w:abstractNum w:abstractNumId="7">
    <w:nsid w:val="063D0383"/>
    <w:multiLevelType w:val="multilevel"/>
    <w:tmpl w:val="3ACC0EC6"/>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6D96487"/>
    <w:multiLevelType w:val="hybridMultilevel"/>
    <w:tmpl w:val="BD946E76"/>
    <w:lvl w:ilvl="0" w:tplc="009C975A">
      <w:start w:val="1"/>
      <w:numFmt w:val="bullet"/>
      <w:lvlText w:val=""/>
      <w:lvlJc w:val="left"/>
      <w:pPr>
        <w:tabs>
          <w:tab w:val="num" w:pos="720"/>
        </w:tabs>
        <w:ind w:left="720" w:hanging="360"/>
      </w:pPr>
      <w:rPr>
        <w:rFonts w:ascii="Wingdings" w:hAnsi="Wingdings" w:hint="default"/>
      </w:rPr>
    </w:lvl>
    <w:lvl w:ilvl="1" w:tplc="EE04D372">
      <w:start w:val="1"/>
      <w:numFmt w:val="bullet"/>
      <w:lvlText w:val=""/>
      <w:lvlJc w:val="left"/>
      <w:pPr>
        <w:tabs>
          <w:tab w:val="num" w:pos="1440"/>
        </w:tabs>
        <w:ind w:left="1440" w:hanging="360"/>
      </w:pPr>
      <w:rPr>
        <w:rFonts w:ascii="Wingdings" w:hAnsi="Wingdings" w:hint="default"/>
      </w:rPr>
    </w:lvl>
    <w:lvl w:ilvl="2" w:tplc="5B8687B4">
      <w:start w:val="1"/>
      <w:numFmt w:val="bullet"/>
      <w:lvlText w:val=""/>
      <w:lvlJc w:val="left"/>
      <w:pPr>
        <w:tabs>
          <w:tab w:val="num" w:pos="2160"/>
        </w:tabs>
        <w:ind w:left="2160" w:hanging="360"/>
      </w:pPr>
      <w:rPr>
        <w:rFonts w:ascii="Wingdings" w:hAnsi="Wingdings" w:hint="default"/>
      </w:rPr>
    </w:lvl>
    <w:lvl w:ilvl="3" w:tplc="ABC663EA">
      <w:start w:val="1"/>
      <w:numFmt w:val="bullet"/>
      <w:lvlText w:val=""/>
      <w:lvlJc w:val="left"/>
      <w:pPr>
        <w:tabs>
          <w:tab w:val="num" w:pos="2880"/>
        </w:tabs>
        <w:ind w:left="2880" w:hanging="360"/>
      </w:pPr>
      <w:rPr>
        <w:rFonts w:ascii="Wingdings" w:hAnsi="Wingdings" w:hint="default"/>
      </w:rPr>
    </w:lvl>
    <w:lvl w:ilvl="4" w:tplc="9AA653D8">
      <w:start w:val="1"/>
      <w:numFmt w:val="bullet"/>
      <w:lvlText w:val=""/>
      <w:lvlJc w:val="left"/>
      <w:pPr>
        <w:tabs>
          <w:tab w:val="num" w:pos="3600"/>
        </w:tabs>
        <w:ind w:left="3600" w:hanging="360"/>
      </w:pPr>
      <w:rPr>
        <w:rFonts w:ascii="Wingdings" w:hAnsi="Wingdings" w:hint="default"/>
      </w:rPr>
    </w:lvl>
    <w:lvl w:ilvl="5" w:tplc="08620B02">
      <w:start w:val="1"/>
      <w:numFmt w:val="bullet"/>
      <w:lvlText w:val=""/>
      <w:lvlJc w:val="left"/>
      <w:pPr>
        <w:tabs>
          <w:tab w:val="num" w:pos="4320"/>
        </w:tabs>
        <w:ind w:left="4320" w:hanging="360"/>
      </w:pPr>
      <w:rPr>
        <w:rFonts w:ascii="Wingdings" w:hAnsi="Wingdings" w:hint="default"/>
      </w:rPr>
    </w:lvl>
    <w:lvl w:ilvl="6" w:tplc="A8041098">
      <w:start w:val="1"/>
      <w:numFmt w:val="bullet"/>
      <w:lvlText w:val=""/>
      <w:lvlJc w:val="left"/>
      <w:pPr>
        <w:tabs>
          <w:tab w:val="num" w:pos="5040"/>
        </w:tabs>
        <w:ind w:left="5040" w:hanging="360"/>
      </w:pPr>
      <w:rPr>
        <w:rFonts w:ascii="Wingdings" w:hAnsi="Wingdings" w:hint="default"/>
      </w:rPr>
    </w:lvl>
    <w:lvl w:ilvl="7" w:tplc="004E1466">
      <w:start w:val="1"/>
      <w:numFmt w:val="bullet"/>
      <w:lvlText w:val=""/>
      <w:lvlJc w:val="left"/>
      <w:pPr>
        <w:tabs>
          <w:tab w:val="num" w:pos="5760"/>
        </w:tabs>
        <w:ind w:left="5760" w:hanging="360"/>
      </w:pPr>
      <w:rPr>
        <w:rFonts w:ascii="Wingdings" w:hAnsi="Wingdings" w:hint="default"/>
      </w:rPr>
    </w:lvl>
    <w:lvl w:ilvl="8" w:tplc="E83E1EC8">
      <w:start w:val="1"/>
      <w:numFmt w:val="bullet"/>
      <w:lvlText w:val=""/>
      <w:lvlJc w:val="left"/>
      <w:pPr>
        <w:tabs>
          <w:tab w:val="num" w:pos="6480"/>
        </w:tabs>
        <w:ind w:left="6480" w:hanging="360"/>
      </w:pPr>
      <w:rPr>
        <w:rFonts w:ascii="Wingdings" w:hAnsi="Wingdings" w:hint="default"/>
      </w:rPr>
    </w:lvl>
  </w:abstractNum>
  <w:abstractNum w:abstractNumId="9">
    <w:nsid w:val="0757359C"/>
    <w:multiLevelType w:val="hybridMultilevel"/>
    <w:tmpl w:val="B7804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AF753CF"/>
    <w:multiLevelType w:val="hybridMultilevel"/>
    <w:tmpl w:val="C5FE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C1C459D"/>
    <w:multiLevelType w:val="hybridMultilevel"/>
    <w:tmpl w:val="4126E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0D246015"/>
    <w:multiLevelType w:val="multilevel"/>
    <w:tmpl w:val="F07A3B1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D94081E"/>
    <w:multiLevelType w:val="multilevel"/>
    <w:tmpl w:val="3ACC0EC6"/>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0E9E659D"/>
    <w:multiLevelType w:val="multilevel"/>
    <w:tmpl w:val="B874D3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F4C0DA7"/>
    <w:multiLevelType w:val="hybridMultilevel"/>
    <w:tmpl w:val="D5D86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0FCB1A9A"/>
    <w:multiLevelType w:val="multilevel"/>
    <w:tmpl w:val="E1EA8CA2"/>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0164B35"/>
    <w:multiLevelType w:val="multilevel"/>
    <w:tmpl w:val="3ACC0EC6"/>
    <w:lvl w:ilvl="0">
      <w:start w:val="1"/>
      <w:numFmt w:val="decimal"/>
      <w:lvlText w:val="%1."/>
      <w:lvlJc w:val="left"/>
      <w:pPr>
        <w:tabs>
          <w:tab w:val="num" w:pos="1440"/>
        </w:tabs>
        <w:ind w:left="1440" w:hanging="720"/>
      </w:pPr>
    </w:lvl>
    <w:lvl w:ilvl="1">
      <w:start w:val="1"/>
      <w:numFmt w:val="bullet"/>
      <w:lvlText w:val=""/>
      <w:lvlJc w:val="left"/>
      <w:pPr>
        <w:tabs>
          <w:tab w:val="num" w:pos="2160"/>
        </w:tabs>
        <w:ind w:left="2160" w:hanging="720"/>
      </w:pPr>
      <w:rPr>
        <w:rFonts w:ascii="Symbol" w:hAnsi="Symbol" w:hint="default"/>
      </w:r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8">
    <w:nsid w:val="10B65708"/>
    <w:multiLevelType w:val="hybridMultilevel"/>
    <w:tmpl w:val="BAD617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11AD496F"/>
    <w:multiLevelType w:val="hybridMultilevel"/>
    <w:tmpl w:val="B8D65D7E"/>
    <w:lvl w:ilvl="0" w:tplc="EDA2ED78">
      <w:numFmt w:val="bullet"/>
      <w:lvlText w:val="-"/>
      <w:lvlJc w:val="left"/>
      <w:pPr>
        <w:ind w:left="1560" w:hanging="360"/>
      </w:pPr>
      <w:rPr>
        <w:rFonts w:ascii="Times New Roman" w:eastAsia="Times New Roman" w:hAnsi="Times New Roman" w:cs="Times New Roman" w:hint="default"/>
      </w:rPr>
    </w:lvl>
    <w:lvl w:ilvl="1" w:tplc="080C0003" w:tentative="1">
      <w:start w:val="1"/>
      <w:numFmt w:val="bullet"/>
      <w:lvlText w:val="o"/>
      <w:lvlJc w:val="left"/>
      <w:pPr>
        <w:ind w:left="2640" w:hanging="360"/>
      </w:pPr>
      <w:rPr>
        <w:rFonts w:ascii="Courier New" w:hAnsi="Courier New" w:cs="Courier New" w:hint="default"/>
      </w:rPr>
    </w:lvl>
    <w:lvl w:ilvl="2" w:tplc="080C0005" w:tentative="1">
      <w:start w:val="1"/>
      <w:numFmt w:val="bullet"/>
      <w:lvlText w:val=""/>
      <w:lvlJc w:val="left"/>
      <w:pPr>
        <w:ind w:left="3360" w:hanging="360"/>
      </w:pPr>
      <w:rPr>
        <w:rFonts w:ascii="Wingdings" w:hAnsi="Wingdings" w:hint="default"/>
      </w:rPr>
    </w:lvl>
    <w:lvl w:ilvl="3" w:tplc="080C0001" w:tentative="1">
      <w:start w:val="1"/>
      <w:numFmt w:val="bullet"/>
      <w:lvlText w:val=""/>
      <w:lvlJc w:val="left"/>
      <w:pPr>
        <w:ind w:left="4080" w:hanging="360"/>
      </w:pPr>
      <w:rPr>
        <w:rFonts w:ascii="Symbol" w:hAnsi="Symbol" w:hint="default"/>
      </w:rPr>
    </w:lvl>
    <w:lvl w:ilvl="4" w:tplc="080C0003" w:tentative="1">
      <w:start w:val="1"/>
      <w:numFmt w:val="bullet"/>
      <w:lvlText w:val="o"/>
      <w:lvlJc w:val="left"/>
      <w:pPr>
        <w:ind w:left="4800" w:hanging="360"/>
      </w:pPr>
      <w:rPr>
        <w:rFonts w:ascii="Courier New" w:hAnsi="Courier New" w:cs="Courier New" w:hint="default"/>
      </w:rPr>
    </w:lvl>
    <w:lvl w:ilvl="5" w:tplc="080C0005" w:tentative="1">
      <w:start w:val="1"/>
      <w:numFmt w:val="bullet"/>
      <w:lvlText w:val=""/>
      <w:lvlJc w:val="left"/>
      <w:pPr>
        <w:ind w:left="5520" w:hanging="360"/>
      </w:pPr>
      <w:rPr>
        <w:rFonts w:ascii="Wingdings" w:hAnsi="Wingdings" w:hint="default"/>
      </w:rPr>
    </w:lvl>
    <w:lvl w:ilvl="6" w:tplc="080C0001" w:tentative="1">
      <w:start w:val="1"/>
      <w:numFmt w:val="bullet"/>
      <w:lvlText w:val=""/>
      <w:lvlJc w:val="left"/>
      <w:pPr>
        <w:ind w:left="6240" w:hanging="360"/>
      </w:pPr>
      <w:rPr>
        <w:rFonts w:ascii="Symbol" w:hAnsi="Symbol" w:hint="default"/>
      </w:rPr>
    </w:lvl>
    <w:lvl w:ilvl="7" w:tplc="080C0003" w:tentative="1">
      <w:start w:val="1"/>
      <w:numFmt w:val="bullet"/>
      <w:lvlText w:val="o"/>
      <w:lvlJc w:val="left"/>
      <w:pPr>
        <w:ind w:left="6960" w:hanging="360"/>
      </w:pPr>
      <w:rPr>
        <w:rFonts w:ascii="Courier New" w:hAnsi="Courier New" w:cs="Courier New" w:hint="default"/>
      </w:rPr>
    </w:lvl>
    <w:lvl w:ilvl="8" w:tplc="080C0005" w:tentative="1">
      <w:start w:val="1"/>
      <w:numFmt w:val="bullet"/>
      <w:lvlText w:val=""/>
      <w:lvlJc w:val="left"/>
      <w:pPr>
        <w:ind w:left="7680" w:hanging="360"/>
      </w:pPr>
      <w:rPr>
        <w:rFonts w:ascii="Wingdings" w:hAnsi="Wingdings" w:hint="default"/>
      </w:rPr>
    </w:lvl>
  </w:abstractNum>
  <w:abstractNum w:abstractNumId="20">
    <w:nsid w:val="12C703D3"/>
    <w:multiLevelType w:val="hybridMultilevel"/>
    <w:tmpl w:val="E5F21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5396C4B"/>
    <w:multiLevelType w:val="hybridMultilevel"/>
    <w:tmpl w:val="8EA61434"/>
    <w:lvl w:ilvl="0" w:tplc="F258AC08">
      <w:start w:val="4"/>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nsid w:val="15CE2D90"/>
    <w:multiLevelType w:val="hybridMultilevel"/>
    <w:tmpl w:val="08609B6A"/>
    <w:lvl w:ilvl="0" w:tplc="080C0011">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16347290"/>
    <w:multiLevelType w:val="multilevel"/>
    <w:tmpl w:val="B28896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8D96B6A"/>
    <w:multiLevelType w:val="multilevel"/>
    <w:tmpl w:val="E1EA8CA2"/>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AFC660E"/>
    <w:multiLevelType w:val="hybridMultilevel"/>
    <w:tmpl w:val="0C78C01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nsid w:val="1B2346D2"/>
    <w:multiLevelType w:val="hybridMultilevel"/>
    <w:tmpl w:val="A4BEB89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1B7C28D7"/>
    <w:multiLevelType w:val="hybridMultilevel"/>
    <w:tmpl w:val="E28218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nsid w:val="1BA52E55"/>
    <w:multiLevelType w:val="multilevel"/>
    <w:tmpl w:val="E1EA8CA2"/>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1E4163CE"/>
    <w:multiLevelType w:val="hybridMultilevel"/>
    <w:tmpl w:val="4C5CE486"/>
    <w:lvl w:ilvl="0" w:tplc="85B274C8">
      <w:start w:val="1"/>
      <w:numFmt w:val="bullet"/>
      <w:lvlText w:val="•"/>
      <w:lvlJc w:val="left"/>
      <w:pPr>
        <w:tabs>
          <w:tab w:val="num" w:pos="720"/>
        </w:tabs>
        <w:ind w:left="720" w:hanging="360"/>
      </w:pPr>
      <w:rPr>
        <w:rFonts w:ascii="Times New Roman" w:hAnsi="Times New Roman" w:hint="default"/>
      </w:rPr>
    </w:lvl>
    <w:lvl w:ilvl="1" w:tplc="78444E48" w:tentative="1">
      <w:start w:val="1"/>
      <w:numFmt w:val="bullet"/>
      <w:lvlText w:val="•"/>
      <w:lvlJc w:val="left"/>
      <w:pPr>
        <w:tabs>
          <w:tab w:val="num" w:pos="1440"/>
        </w:tabs>
        <w:ind w:left="1440" w:hanging="360"/>
      </w:pPr>
      <w:rPr>
        <w:rFonts w:ascii="Times New Roman" w:hAnsi="Times New Roman" w:hint="default"/>
      </w:rPr>
    </w:lvl>
    <w:lvl w:ilvl="2" w:tplc="9EDCEE7C" w:tentative="1">
      <w:start w:val="1"/>
      <w:numFmt w:val="bullet"/>
      <w:lvlText w:val="•"/>
      <w:lvlJc w:val="left"/>
      <w:pPr>
        <w:tabs>
          <w:tab w:val="num" w:pos="2160"/>
        </w:tabs>
        <w:ind w:left="2160" w:hanging="360"/>
      </w:pPr>
      <w:rPr>
        <w:rFonts w:ascii="Times New Roman" w:hAnsi="Times New Roman" w:hint="default"/>
      </w:rPr>
    </w:lvl>
    <w:lvl w:ilvl="3" w:tplc="A3360002" w:tentative="1">
      <w:start w:val="1"/>
      <w:numFmt w:val="bullet"/>
      <w:lvlText w:val="•"/>
      <w:lvlJc w:val="left"/>
      <w:pPr>
        <w:tabs>
          <w:tab w:val="num" w:pos="2880"/>
        </w:tabs>
        <w:ind w:left="2880" w:hanging="360"/>
      </w:pPr>
      <w:rPr>
        <w:rFonts w:ascii="Times New Roman" w:hAnsi="Times New Roman" w:hint="default"/>
      </w:rPr>
    </w:lvl>
    <w:lvl w:ilvl="4" w:tplc="97AC348C" w:tentative="1">
      <w:start w:val="1"/>
      <w:numFmt w:val="bullet"/>
      <w:lvlText w:val="•"/>
      <w:lvlJc w:val="left"/>
      <w:pPr>
        <w:tabs>
          <w:tab w:val="num" w:pos="3600"/>
        </w:tabs>
        <w:ind w:left="3600" w:hanging="360"/>
      </w:pPr>
      <w:rPr>
        <w:rFonts w:ascii="Times New Roman" w:hAnsi="Times New Roman" w:hint="default"/>
      </w:rPr>
    </w:lvl>
    <w:lvl w:ilvl="5" w:tplc="7056025C" w:tentative="1">
      <w:start w:val="1"/>
      <w:numFmt w:val="bullet"/>
      <w:lvlText w:val="•"/>
      <w:lvlJc w:val="left"/>
      <w:pPr>
        <w:tabs>
          <w:tab w:val="num" w:pos="4320"/>
        </w:tabs>
        <w:ind w:left="4320" w:hanging="360"/>
      </w:pPr>
      <w:rPr>
        <w:rFonts w:ascii="Times New Roman" w:hAnsi="Times New Roman" w:hint="default"/>
      </w:rPr>
    </w:lvl>
    <w:lvl w:ilvl="6" w:tplc="D3866BB0" w:tentative="1">
      <w:start w:val="1"/>
      <w:numFmt w:val="bullet"/>
      <w:lvlText w:val="•"/>
      <w:lvlJc w:val="left"/>
      <w:pPr>
        <w:tabs>
          <w:tab w:val="num" w:pos="5040"/>
        </w:tabs>
        <w:ind w:left="5040" w:hanging="360"/>
      </w:pPr>
      <w:rPr>
        <w:rFonts w:ascii="Times New Roman" w:hAnsi="Times New Roman" w:hint="default"/>
      </w:rPr>
    </w:lvl>
    <w:lvl w:ilvl="7" w:tplc="AF3070F4" w:tentative="1">
      <w:start w:val="1"/>
      <w:numFmt w:val="bullet"/>
      <w:lvlText w:val="•"/>
      <w:lvlJc w:val="left"/>
      <w:pPr>
        <w:tabs>
          <w:tab w:val="num" w:pos="5760"/>
        </w:tabs>
        <w:ind w:left="5760" w:hanging="360"/>
      </w:pPr>
      <w:rPr>
        <w:rFonts w:ascii="Times New Roman" w:hAnsi="Times New Roman" w:hint="default"/>
      </w:rPr>
    </w:lvl>
    <w:lvl w:ilvl="8" w:tplc="C2C0FB7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1E4F737F"/>
    <w:multiLevelType w:val="hybridMultilevel"/>
    <w:tmpl w:val="FD600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1F734306"/>
    <w:multiLevelType w:val="multilevel"/>
    <w:tmpl w:val="B28896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20D129CC"/>
    <w:multiLevelType w:val="hybridMultilevel"/>
    <w:tmpl w:val="5C5478A2"/>
    <w:lvl w:ilvl="0" w:tplc="403210B8">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23BB0169"/>
    <w:multiLevelType w:val="hybridMultilevel"/>
    <w:tmpl w:val="949A4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24231BCF"/>
    <w:multiLevelType w:val="hybridMultilevel"/>
    <w:tmpl w:val="43987168"/>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5BC68BE"/>
    <w:multiLevelType w:val="multilevel"/>
    <w:tmpl w:val="E1EA8CA2"/>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A9D75F2"/>
    <w:multiLevelType w:val="hybridMultilevel"/>
    <w:tmpl w:val="9E7C9B1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nsid w:val="2C2E2297"/>
    <w:multiLevelType w:val="hybridMultilevel"/>
    <w:tmpl w:val="863E8DA0"/>
    <w:lvl w:ilvl="0" w:tplc="0809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nsid w:val="2C6C708B"/>
    <w:multiLevelType w:val="hybridMultilevel"/>
    <w:tmpl w:val="B0649C3C"/>
    <w:lvl w:ilvl="0" w:tplc="D2F6E3C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2CA621D4"/>
    <w:multiLevelType w:val="hybridMultilevel"/>
    <w:tmpl w:val="D7349F4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nsid w:val="2D293CE3"/>
    <w:multiLevelType w:val="multilevel"/>
    <w:tmpl w:val="8D7C4D2A"/>
    <w:lvl w:ilvl="0">
      <w:start w:val="1"/>
      <w:numFmt w:val="decimal"/>
      <w:pStyle w:val="LegalNumPar"/>
      <w:lvlText w:val="%1."/>
      <w:lvlJc w:val="left"/>
      <w:pPr>
        <w:ind w:left="476" w:hanging="476"/>
      </w:pPr>
    </w:lvl>
    <w:lvl w:ilvl="1">
      <w:start w:val="1"/>
      <w:numFmt w:val="lowerLetter"/>
      <w:pStyle w:val="LegalNumPar2"/>
      <w:lvlText w:val="%2."/>
      <w:lvlJc w:val="left"/>
      <w:pPr>
        <w:ind w:left="953" w:hanging="477"/>
      </w:pPr>
    </w:lvl>
    <w:lvl w:ilvl="2">
      <w:start w:val="1"/>
      <w:numFmt w:val="lowerRoman"/>
      <w:pStyle w:val="LegalNumPar3"/>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D6F3096"/>
    <w:multiLevelType w:val="hybridMultilevel"/>
    <w:tmpl w:val="551A5D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2DFF51EB"/>
    <w:multiLevelType w:val="hybridMultilevel"/>
    <w:tmpl w:val="CDCCCA96"/>
    <w:lvl w:ilvl="0" w:tplc="08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2FC54E07"/>
    <w:multiLevelType w:val="hybridMultilevel"/>
    <w:tmpl w:val="01A42FD0"/>
    <w:lvl w:ilvl="0" w:tplc="9D3C7754">
      <w:start w:val="1"/>
      <w:numFmt w:val="bullet"/>
      <w:lvlText w:val=""/>
      <w:lvlJc w:val="left"/>
      <w:pPr>
        <w:ind w:left="720" w:hanging="360"/>
      </w:pPr>
      <w:rPr>
        <w:rFonts w:ascii="Symbol" w:hAnsi="Symbol" w:hint="default"/>
        <w:lang w:val="en-US"/>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nsid w:val="2FE64B81"/>
    <w:multiLevelType w:val="hybridMultilevel"/>
    <w:tmpl w:val="93C4392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nsid w:val="2FFA34D3"/>
    <w:multiLevelType w:val="hybridMultilevel"/>
    <w:tmpl w:val="8AB020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nsid w:val="303E76BC"/>
    <w:multiLevelType w:val="hybridMultilevel"/>
    <w:tmpl w:val="C8AE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0A02B9E"/>
    <w:multiLevelType w:val="multilevel"/>
    <w:tmpl w:val="B874D3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30F26BA7"/>
    <w:multiLevelType w:val="multilevel"/>
    <w:tmpl w:val="3ACC0EC6"/>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31734B3B"/>
    <w:multiLevelType w:val="hybridMultilevel"/>
    <w:tmpl w:val="C6DEDBE0"/>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nsid w:val="32BC1CEE"/>
    <w:multiLevelType w:val="hybridMultilevel"/>
    <w:tmpl w:val="277A0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32F4CD9"/>
    <w:multiLevelType w:val="hybridMultilevel"/>
    <w:tmpl w:val="B546BB32"/>
    <w:lvl w:ilvl="0" w:tplc="D37CD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4EA2C2B"/>
    <w:multiLevelType w:val="hybridMultilevel"/>
    <w:tmpl w:val="7DF49662"/>
    <w:lvl w:ilvl="0" w:tplc="E0CC6D9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355D5D74"/>
    <w:multiLevelType w:val="hybridMultilevel"/>
    <w:tmpl w:val="A720212A"/>
    <w:lvl w:ilvl="0" w:tplc="080C0011">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nsid w:val="371A1C59"/>
    <w:multiLevelType w:val="hybridMultilevel"/>
    <w:tmpl w:val="73F4BA4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5">
    <w:nsid w:val="378B0CC1"/>
    <w:multiLevelType w:val="hybridMultilevel"/>
    <w:tmpl w:val="D424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7EF78BA"/>
    <w:multiLevelType w:val="hybridMultilevel"/>
    <w:tmpl w:val="AB08F5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3944193D"/>
    <w:multiLevelType w:val="hybridMultilevel"/>
    <w:tmpl w:val="16CE4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nsid w:val="396D5175"/>
    <w:multiLevelType w:val="hybridMultilevel"/>
    <w:tmpl w:val="8D4C03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nsid w:val="3B6A1922"/>
    <w:multiLevelType w:val="hybridMultilevel"/>
    <w:tmpl w:val="CAF6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61">
    <w:nsid w:val="3ECF5B8B"/>
    <w:multiLevelType w:val="hybridMultilevel"/>
    <w:tmpl w:val="6738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nsid w:val="40083C16"/>
    <w:multiLevelType w:val="hybridMultilevel"/>
    <w:tmpl w:val="B41E7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03036FA"/>
    <w:multiLevelType w:val="hybridMultilevel"/>
    <w:tmpl w:val="C3A8B4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nsid w:val="42EA3D3C"/>
    <w:multiLevelType w:val="hybridMultilevel"/>
    <w:tmpl w:val="BAF28222"/>
    <w:lvl w:ilvl="0" w:tplc="85B274C8">
      <w:start w:val="1"/>
      <w:numFmt w:val="bullet"/>
      <w:lvlText w:val="•"/>
      <w:lvlJc w:val="left"/>
      <w:pPr>
        <w:ind w:left="360" w:hanging="360"/>
      </w:pPr>
      <w:rPr>
        <w:rFonts w:ascii="Times New Roman" w:hAnsi="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nsid w:val="45BB609A"/>
    <w:multiLevelType w:val="hybridMultilevel"/>
    <w:tmpl w:val="8CCAAB4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6">
    <w:nsid w:val="49672EC6"/>
    <w:multiLevelType w:val="hybridMultilevel"/>
    <w:tmpl w:val="774AC11E"/>
    <w:lvl w:ilvl="0" w:tplc="D2F6E3C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7">
    <w:nsid w:val="4A1E2041"/>
    <w:multiLevelType w:val="multilevel"/>
    <w:tmpl w:val="E1EA8CA2"/>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4A380607"/>
    <w:multiLevelType w:val="hybridMultilevel"/>
    <w:tmpl w:val="CC6E1950"/>
    <w:lvl w:ilvl="0" w:tplc="18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AC2338F"/>
    <w:multiLevelType w:val="hybridMultilevel"/>
    <w:tmpl w:val="7C8A3922"/>
    <w:lvl w:ilvl="0" w:tplc="D37CD5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nsid w:val="4AE506AA"/>
    <w:multiLevelType w:val="hybridMultilevel"/>
    <w:tmpl w:val="8C947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CAA5C85"/>
    <w:multiLevelType w:val="hybridMultilevel"/>
    <w:tmpl w:val="26E8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4CF75A73"/>
    <w:multiLevelType w:val="hybridMultilevel"/>
    <w:tmpl w:val="77C09A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3">
    <w:nsid w:val="4DD05A31"/>
    <w:multiLevelType w:val="hybridMultilevel"/>
    <w:tmpl w:val="ED846B88"/>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4F6B0F3B"/>
    <w:multiLevelType w:val="hybridMultilevel"/>
    <w:tmpl w:val="8CFAE752"/>
    <w:lvl w:ilvl="0" w:tplc="2DAEEEC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53150445"/>
    <w:multiLevelType w:val="hybridMultilevel"/>
    <w:tmpl w:val="E628203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6">
    <w:nsid w:val="54837981"/>
    <w:multiLevelType w:val="hybridMultilevel"/>
    <w:tmpl w:val="4CC8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55D801B0"/>
    <w:multiLevelType w:val="hybridMultilevel"/>
    <w:tmpl w:val="F16EA286"/>
    <w:lvl w:ilvl="0" w:tplc="8E82A718">
      <w:start w:val="1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6565A86"/>
    <w:multiLevelType w:val="hybridMultilevel"/>
    <w:tmpl w:val="A1F6D2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9">
    <w:nsid w:val="56693CE2"/>
    <w:multiLevelType w:val="hybridMultilevel"/>
    <w:tmpl w:val="C848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57907AC9"/>
    <w:multiLevelType w:val="hybridMultilevel"/>
    <w:tmpl w:val="84E82D9A"/>
    <w:lvl w:ilvl="0" w:tplc="EDA2ED78">
      <w:numFmt w:val="bullet"/>
      <w:lvlText w:val="-"/>
      <w:lvlJc w:val="left"/>
      <w:pPr>
        <w:ind w:left="360" w:hanging="360"/>
      </w:pPr>
      <w:rPr>
        <w:rFonts w:ascii="Times New Roman" w:eastAsia="Times New Roman"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1">
    <w:nsid w:val="5AC90E48"/>
    <w:multiLevelType w:val="hybridMultilevel"/>
    <w:tmpl w:val="E9C24D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nsid w:val="5B1A4C8F"/>
    <w:multiLevelType w:val="hybridMultilevel"/>
    <w:tmpl w:val="AD86662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3">
    <w:nsid w:val="5BE35A6C"/>
    <w:multiLevelType w:val="hybridMultilevel"/>
    <w:tmpl w:val="B866C1AC"/>
    <w:lvl w:ilvl="0" w:tplc="7060996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4">
    <w:nsid w:val="5C8230B5"/>
    <w:multiLevelType w:val="hybridMultilevel"/>
    <w:tmpl w:val="42FC4CD8"/>
    <w:lvl w:ilvl="0" w:tplc="5D6202D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5E3D26E5"/>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5F7E41E8"/>
    <w:multiLevelType w:val="hybridMultilevel"/>
    <w:tmpl w:val="4B2E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88">
    <w:nsid w:val="608E6BE1"/>
    <w:multiLevelType w:val="hybridMultilevel"/>
    <w:tmpl w:val="EF8C6634"/>
    <w:lvl w:ilvl="0" w:tplc="08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44324CF"/>
    <w:multiLevelType w:val="hybridMultilevel"/>
    <w:tmpl w:val="373A3EB4"/>
    <w:lvl w:ilvl="0" w:tplc="10D0793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nsid w:val="68EE2F58"/>
    <w:multiLevelType w:val="hybridMultilevel"/>
    <w:tmpl w:val="188E8718"/>
    <w:lvl w:ilvl="0" w:tplc="D2F6E3C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6AF20BBF"/>
    <w:multiLevelType w:val="hybridMultilevel"/>
    <w:tmpl w:val="A10E0D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nsid w:val="6EA916FA"/>
    <w:multiLevelType w:val="hybridMultilevel"/>
    <w:tmpl w:val="0150D0F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3">
    <w:nsid w:val="6EEC14D1"/>
    <w:multiLevelType w:val="hybridMultilevel"/>
    <w:tmpl w:val="AA38B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4">
    <w:nsid w:val="75174B92"/>
    <w:multiLevelType w:val="hybridMultilevel"/>
    <w:tmpl w:val="B726B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7303259"/>
    <w:multiLevelType w:val="hybridMultilevel"/>
    <w:tmpl w:val="901CE6E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6">
    <w:nsid w:val="77C478C7"/>
    <w:multiLevelType w:val="hybridMultilevel"/>
    <w:tmpl w:val="734ED1F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7">
    <w:nsid w:val="78290720"/>
    <w:multiLevelType w:val="hybridMultilevel"/>
    <w:tmpl w:val="1456A1F2"/>
    <w:lvl w:ilvl="0" w:tplc="D37CD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795D45DA"/>
    <w:multiLevelType w:val="hybridMultilevel"/>
    <w:tmpl w:val="DE748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A776DED"/>
    <w:multiLevelType w:val="hybridMultilevel"/>
    <w:tmpl w:val="D7A8DD6E"/>
    <w:lvl w:ilvl="0" w:tplc="D2F6E3C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0">
    <w:nsid w:val="7AB84335"/>
    <w:multiLevelType w:val="hybridMultilevel"/>
    <w:tmpl w:val="09985750"/>
    <w:lvl w:ilvl="0" w:tplc="08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1">
    <w:nsid w:val="7CF3397C"/>
    <w:multiLevelType w:val="hybridMultilevel"/>
    <w:tmpl w:val="F6244450"/>
    <w:lvl w:ilvl="0" w:tplc="08090001">
      <w:start w:val="1"/>
      <w:numFmt w:val="bullet"/>
      <w:lvlText w:val=""/>
      <w:lvlJc w:val="left"/>
      <w:pPr>
        <w:ind w:left="720" w:hanging="360"/>
      </w:pPr>
      <w:rPr>
        <w:rFonts w:ascii="Symbol" w:hAnsi="Symbol" w:hint="default"/>
      </w:rPr>
    </w:lvl>
    <w:lvl w:ilvl="1" w:tplc="35AC69B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7D9C0D0C"/>
    <w:multiLevelType w:val="hybridMultilevel"/>
    <w:tmpl w:val="88467B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3">
    <w:nsid w:val="7EE562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FA82AE6"/>
    <w:multiLevelType w:val="hybridMultilevel"/>
    <w:tmpl w:val="CE4E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num>
  <w:num w:numId="4">
    <w:abstractNumId w:val="87"/>
  </w:num>
  <w:num w:numId="5">
    <w:abstractNumId w:val="40"/>
  </w:num>
  <w:num w:numId="6">
    <w:abstractNumId w:val="100"/>
  </w:num>
  <w:num w:numId="7">
    <w:abstractNumId w:val="8"/>
  </w:num>
  <w:num w:numId="8">
    <w:abstractNumId w:val="66"/>
  </w:num>
  <w:num w:numId="9">
    <w:abstractNumId w:val="99"/>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num>
  <w:num w:numId="12">
    <w:abstractNumId w:val="31"/>
  </w:num>
  <w:num w:numId="13">
    <w:abstractNumId w:val="63"/>
  </w:num>
  <w:num w:numId="14">
    <w:abstractNumId w:val="90"/>
  </w:num>
  <w:num w:numId="15">
    <w:abstractNumId w:val="52"/>
  </w:num>
  <w:num w:numId="16">
    <w:abstractNumId w:val="103"/>
  </w:num>
  <w:num w:numId="17">
    <w:abstractNumId w:val="94"/>
  </w:num>
  <w:num w:numId="18">
    <w:abstractNumId w:val="62"/>
  </w:num>
  <w:num w:numId="19">
    <w:abstractNumId w:val="20"/>
  </w:num>
  <w:num w:numId="20">
    <w:abstractNumId w:val="98"/>
  </w:num>
  <w:num w:numId="21">
    <w:abstractNumId w:val="84"/>
  </w:num>
  <w:num w:numId="22">
    <w:abstractNumId w:val="2"/>
  </w:num>
  <w:num w:numId="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10"/>
  </w:num>
  <w:num w:numId="27">
    <w:abstractNumId w:val="76"/>
  </w:num>
  <w:num w:numId="28">
    <w:abstractNumId w:val="50"/>
  </w:num>
  <w:num w:numId="29">
    <w:abstractNumId w:val="70"/>
  </w:num>
  <w:num w:numId="30">
    <w:abstractNumId w:val="46"/>
  </w:num>
  <w:num w:numId="31">
    <w:abstractNumId w:val="55"/>
  </w:num>
  <w:num w:numId="32">
    <w:abstractNumId w:val="41"/>
  </w:num>
  <w:num w:numId="33">
    <w:abstractNumId w:val="86"/>
  </w:num>
  <w:num w:numId="34">
    <w:abstractNumId w:val="71"/>
  </w:num>
  <w:num w:numId="35">
    <w:abstractNumId w:val="59"/>
  </w:num>
  <w:num w:numId="36">
    <w:abstractNumId w:val="79"/>
  </w:num>
  <w:num w:numId="37">
    <w:abstractNumId w:val="101"/>
  </w:num>
  <w:num w:numId="38">
    <w:abstractNumId w:val="69"/>
  </w:num>
  <w:num w:numId="39">
    <w:abstractNumId w:val="97"/>
  </w:num>
  <w:num w:numId="40">
    <w:abstractNumId w:val="51"/>
  </w:num>
  <w:num w:numId="41">
    <w:abstractNumId w:val="5"/>
  </w:num>
  <w:num w:numId="42">
    <w:abstractNumId w:val="32"/>
  </w:num>
  <w:num w:numId="43">
    <w:abstractNumId w:val="45"/>
  </w:num>
  <w:num w:numId="44">
    <w:abstractNumId w:val="11"/>
  </w:num>
  <w:num w:numId="45">
    <w:abstractNumId w:val="15"/>
  </w:num>
  <w:num w:numId="46">
    <w:abstractNumId w:val="93"/>
  </w:num>
  <w:num w:numId="47">
    <w:abstractNumId w:val="102"/>
  </w:num>
  <w:num w:numId="48">
    <w:abstractNumId w:val="57"/>
  </w:num>
  <w:num w:numId="49">
    <w:abstractNumId w:val="68"/>
  </w:num>
  <w:num w:numId="50">
    <w:abstractNumId w:val="61"/>
  </w:num>
  <w:num w:numId="51">
    <w:abstractNumId w:val="67"/>
  </w:num>
  <w:num w:numId="52">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num>
  <w:num w:numId="54">
    <w:abstractNumId w:val="34"/>
  </w:num>
  <w:num w:numId="55">
    <w:abstractNumId w:val="73"/>
  </w:num>
  <w:num w:numId="56">
    <w:abstractNumId w:val="88"/>
  </w:num>
  <w:num w:numId="5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1"/>
  </w:num>
  <w:num w:numId="59">
    <w:abstractNumId w:val="56"/>
  </w:num>
  <w:num w:numId="60">
    <w:abstractNumId w:val="104"/>
  </w:num>
  <w:num w:numId="61">
    <w:abstractNumId w:val="0"/>
  </w:num>
  <w:num w:numId="62">
    <w:abstractNumId w:val="37"/>
  </w:num>
  <w:num w:numId="63">
    <w:abstractNumId w:val="16"/>
  </w:num>
  <w:num w:numId="64">
    <w:abstractNumId w:val="35"/>
  </w:num>
  <w:num w:numId="65">
    <w:abstractNumId w:val="24"/>
  </w:num>
  <w:num w:numId="66">
    <w:abstractNumId w:val="14"/>
  </w:num>
  <w:num w:numId="67">
    <w:abstractNumId w:val="0"/>
  </w:num>
  <w:num w:numId="68">
    <w:abstractNumId w:val="28"/>
  </w:num>
  <w:num w:numId="69">
    <w:abstractNumId w:val="42"/>
  </w:num>
  <w:num w:numId="70">
    <w:abstractNumId w:val="3"/>
  </w:num>
  <w:num w:numId="71">
    <w:abstractNumId w:val="47"/>
  </w:num>
  <w:num w:numId="72">
    <w:abstractNumId w:val="0"/>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num>
  <w:num w:numId="75">
    <w:abstractNumId w:val="0"/>
  </w:num>
  <w:num w:numId="76">
    <w:abstractNumId w:val="9"/>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4"/>
  </w:num>
  <w:num w:numId="79">
    <w:abstractNumId w:val="80"/>
  </w:num>
  <w:num w:numId="80">
    <w:abstractNumId w:val="30"/>
  </w:num>
  <w:num w:numId="81">
    <w:abstractNumId w:val="25"/>
  </w:num>
  <w:num w:numId="82">
    <w:abstractNumId w:val="89"/>
  </w:num>
  <w:num w:numId="83">
    <w:abstractNumId w:val="29"/>
  </w:num>
  <w:num w:numId="84">
    <w:abstractNumId w:val="38"/>
  </w:num>
  <w:num w:numId="85">
    <w:abstractNumId w:val="81"/>
  </w:num>
  <w:num w:numId="86">
    <w:abstractNumId w:val="21"/>
  </w:num>
  <w:num w:numId="87">
    <w:abstractNumId w:val="43"/>
  </w:num>
  <w:num w:numId="88">
    <w:abstractNumId w:val="33"/>
  </w:num>
  <w:num w:numId="89">
    <w:abstractNumId w:val="7"/>
  </w:num>
  <w:num w:numId="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2"/>
  </w:num>
  <w:num w:numId="98">
    <w:abstractNumId w:val="36"/>
  </w:num>
  <w:num w:numId="99">
    <w:abstractNumId w:val="44"/>
  </w:num>
  <w:num w:numId="100">
    <w:abstractNumId w:val="39"/>
  </w:num>
  <w:num w:numId="101">
    <w:abstractNumId w:val="27"/>
  </w:num>
  <w:num w:numId="102">
    <w:abstractNumId w:val="65"/>
  </w:num>
  <w:num w:numId="103">
    <w:abstractNumId w:val="95"/>
  </w:num>
  <w:num w:numId="104">
    <w:abstractNumId w:val="75"/>
  </w:num>
  <w:num w:numId="105">
    <w:abstractNumId w:val="49"/>
  </w:num>
  <w:num w:numId="106">
    <w:abstractNumId w:val="83"/>
  </w:num>
  <w:num w:numId="107">
    <w:abstractNumId w:val="53"/>
  </w:num>
  <w:num w:numId="108">
    <w:abstractNumId w:val="17"/>
  </w:num>
  <w:num w:numId="109">
    <w:abstractNumId w:val="26"/>
  </w:num>
  <w:num w:numId="110">
    <w:abstractNumId w:val="19"/>
  </w:num>
  <w:num w:numId="111">
    <w:abstractNumId w:val="64"/>
  </w:num>
  <w:num w:numId="112">
    <w:abstractNumId w:val="78"/>
  </w:num>
  <w:num w:numId="113">
    <w:abstractNumId w:val="48"/>
  </w:num>
  <w:num w:numId="114">
    <w:abstractNumId w:val="77"/>
  </w:num>
  <w:num w:numId="1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
  </w:num>
  <w:num w:numId="118">
    <w:abstractNumId w:val="92"/>
  </w:num>
  <w:num w:numId="119">
    <w:abstractNumId w:val="18"/>
  </w:num>
  <w:num w:numId="120">
    <w:abstractNumId w:val="22"/>
  </w:num>
  <w:num w:numId="121">
    <w:abstractNumId w:val="13"/>
  </w:num>
  <w:num w:numId="122">
    <w:abstractNumId w:val="74"/>
  </w:num>
  <w:num w:numId="123">
    <w:abstractNumId w:val="23"/>
  </w:num>
  <w:num w:numId="124">
    <w:abstractNumId w:val="1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es-AR" w:vendorID="64" w:dllVersion="131078" w:nlCheck="1" w:checkStyle="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s"/>
    <w:docVar w:name="LW_CORRIGENDUM" w:val="&lt;UNUSED&gt;"/>
    <w:docVar w:name="LW_COVERPAGE_EXISTS" w:val="True"/>
    <w:docVar w:name="LW_COVERPAGE_GUID" w:val="6BFDD14C-520C-4811-AC0F-17ACEAFFFEBE"/>
    <w:docVar w:name="LW_COVERPAGE_TYPE" w:val="1"/>
    <w:docVar w:name="LW_CROSSREFERENCE" w:val="{COM(2021) 581 final} - {SEC(2021) 620 final} - {SWD(2021) 261 final}"/>
    <w:docVar w:name="LW_DocType" w:val="NORMAL"/>
    <w:docVar w:name="LW_EMISSION" w:val="22.9.2021"/>
    <w:docVar w:name="LW_EMISSION_ISODATE" w:val="2021-09-22"/>
    <w:docVar w:name="LW_EMISSION_LOCATION" w:val="BRX"/>
    <w:docVar w:name="LW_EMISSION_PREFIX" w:val="Brussels,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and Proposal for a Directive of the European Parliament and of the Council establishing a framework for the recovery and resolution of insurance and reinsurance undertakings and amending Directives 2002/47/EC, 2004/25/EC, 2009/138/EC, (EU) 2017/1132 and Regulations (EU) No 1094/2010 and (EU) No 648/2012"/>
    <w:docVar w:name="LW_PART_NBR" w:val="4"/>
    <w:docVar w:name="LW_PART_NBR_TOTAL" w:val="4"/>
    <w:docVar w:name="LW_REF.INST.NEW" w:val="SWD"/>
    <w:docVar w:name="LW_REF.INST.NEW_ADOPTED" w:val="final"/>
    <w:docVar w:name="LW_REF.INST.NEW_TEXT" w:val="(2021) 2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IMPACT ASSESSMENT REPORT_x000b_"/>
    <w:docVar w:name="LW_TYPEACTEPRINCIPAL.CP" w:val="Proposal for a Directive of the European Parliament and of the Council amending Directive 2009/138/EC as regards proportionality, quality of supervision, reporting, long-term guarantee measures, macro-prudential tools, sustainability risks, group and cross-border supervision"/>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Text1"/>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Heading1"/>
    <w:next w:val="Text2"/>
    <w:link w:val="Heading2Char"/>
    <w:unhideWhenUsed/>
    <w:qFormat/>
    <w:pPr>
      <w:numPr>
        <w:ilvl w:val="1"/>
      </w:numPr>
      <w:spacing w:before="160" w:after="160"/>
      <w:outlineLvl w:val="1"/>
    </w:pPr>
    <w:rPr>
      <w:rFonts w:ascii="Times New Roman Bold" w:hAnsi="Times New Roman Bold"/>
      <w:smallCaps w:val="0"/>
    </w:rPr>
  </w:style>
  <w:style w:type="paragraph" w:styleId="Heading3">
    <w:name w:val="heading 3"/>
    <w:basedOn w:val="Heading2"/>
    <w:next w:val="Normal"/>
    <w:link w:val="Heading3Char"/>
    <w:uiPriority w:val="9"/>
    <w:unhideWhenUsed/>
    <w:qFormat/>
    <w:pPr>
      <w:numPr>
        <w:ilvl w:val="2"/>
      </w:numPr>
      <w:spacing w:before="200" w:after="200"/>
      <w:outlineLvl w:val="2"/>
    </w:pPr>
    <w:rPr>
      <w:rFonts w:ascii="Times New Roman" w:hAnsi="Times New Roman"/>
      <w:b w:val="0"/>
      <w:i/>
      <w:sz w:val="22"/>
      <w:szCs w:val="22"/>
    </w:rPr>
  </w:style>
  <w:style w:type="paragraph" w:styleId="Heading4">
    <w:name w:val="heading 4"/>
    <w:basedOn w:val="Heading3"/>
    <w:next w:val="Normal"/>
    <w:link w:val="Heading4Char"/>
    <w:unhideWhenUsed/>
    <w:qFormat/>
    <w:pPr>
      <w:ind w:left="1728" w:hanging="648"/>
      <w:outlineLvl w:val="3"/>
    </w:pPr>
    <w:rPr>
      <w:i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Bold" w:eastAsia="Times New Roman" w:hAnsi="Times New Roman Bold" w:cs="Times New Roman"/>
      <w:b/>
      <w:sz w:val="24"/>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rPr>
  </w:style>
  <w:style w:type="character" w:customStyle="1" w:styleId="Heading4Char">
    <w:name w:val="Heading 4 Char"/>
    <w:basedOn w:val="DefaultParagraphFont"/>
    <w:link w:val="Heading4"/>
    <w:rPr>
      <w:rFonts w:ascii="Times New Roman" w:eastAsia="Times New Roman" w:hAnsi="Times New Roman" w:cs="Times New Roman"/>
    </w:rPr>
  </w:style>
  <w:style w:type="numbering" w:customStyle="1" w:styleId="NoList1">
    <w:name w:val="No List1"/>
    <w:next w:val="No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msonormal0">
    <w:name w:val="msonormal"/>
    <w:basedOn w:val="Normal"/>
    <w:uiPriority w:val="9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1">
    <w:name w:val="toc 1"/>
    <w:basedOn w:val="Normal"/>
    <w:next w:val="Normal"/>
    <w:autoRedefine/>
    <w:uiPriority w:val="39"/>
    <w:unhideWhenUsed/>
    <w:pPr>
      <w:tabs>
        <w:tab w:val="right" w:leader="dot" w:pos="8640"/>
      </w:tabs>
      <w:spacing w:before="120" w:after="120" w:line="240" w:lineRule="auto"/>
      <w:ind w:left="482" w:right="720" w:hanging="482"/>
      <w:jc w:val="both"/>
    </w:pPr>
    <w:rPr>
      <w:rFonts w:ascii="Times New Roman" w:eastAsia="Times New Roman" w:hAnsi="Times New Roman" w:cs="Times New Roman"/>
      <w:caps/>
      <w:noProof/>
    </w:rPr>
  </w:style>
  <w:style w:type="paragraph" w:styleId="TOC2">
    <w:name w:val="toc 2"/>
    <w:basedOn w:val="Normal"/>
    <w:next w:val="Normal"/>
    <w:autoRedefine/>
    <w:uiPriority w:val="39"/>
    <w:unhideWhenUsed/>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autoRedefine/>
    <w:uiPriority w:val="39"/>
    <w:unhideWhenUsed/>
    <w:pPr>
      <w:spacing w:after="100"/>
      <w:ind w:left="440"/>
    </w:pPr>
  </w:style>
  <w:style w:type="character" w:customStyle="1" w:styleId="FootnoteTextChar">
    <w:name w:val="Footnote Text Char"/>
    <w:aliases w:val="Footnote Text Char Char Char,DTE-Voetnoottekst Char1 Char Char,DTE-Voetnoottekst Char Char Char Char,fn Char Char Char,footnote text Char Char Char,Footnotes Char Char Char,Footnote ak Char Char Char,Footnote Text Char1 Char Char Char"/>
    <w:basedOn w:val="DefaultParagraphFont"/>
    <w:link w:val="FootnoteText"/>
    <w:uiPriority w:val="99"/>
    <w:qFormat/>
    <w:locked/>
    <w:rPr>
      <w:sz w:val="20"/>
      <w:szCs w:val="20"/>
    </w:rPr>
  </w:style>
  <w:style w:type="paragraph" w:styleId="FootnoteText">
    <w:name w:val="footnote text"/>
    <w:aliases w:val="Footnote Text Char Char,DTE-Voetnoottekst Char1 Char,DTE-Voetnoottekst Char Char Char,fn Char Char,footnote text Char Char,Footnotes Char Char,Footnote ak Char Char,Footnote Text Char1 Char Char,DTE-Voetnoottekst,Char, Carattere1,Fußnote"/>
    <w:basedOn w:val="Normal"/>
    <w:link w:val="FootnoteTextChar"/>
    <w:uiPriority w:val="99"/>
    <w:unhideWhenUsed/>
    <w:qFormat/>
    <w:pPr>
      <w:spacing w:after="0" w:line="240" w:lineRule="auto"/>
    </w:pPr>
    <w:rPr>
      <w:sz w:val="20"/>
      <w:szCs w:val="20"/>
    </w:rPr>
  </w:style>
  <w:style w:type="character" w:customStyle="1" w:styleId="FootnoteTextChar1">
    <w:name w:val="Footnote Text Char1"/>
    <w:basedOn w:val="DefaultParagraphFont"/>
    <w:uiPriority w:val="99"/>
    <w:semiHidden/>
    <w:rPr>
      <w:sz w:val="20"/>
      <w:szCs w:val="20"/>
    </w:rPr>
  </w:style>
  <w:style w:type="character" w:customStyle="1" w:styleId="FootnoteTextChar2">
    <w:name w:val="Footnote Text Char2"/>
    <w:aliases w:val="Footnote Text Char1 Char1,Footnote Text Char Char Char1,DTE-Voetnoottekst Char1 Char Char1,DTE-Voetnoottekst Char Char Char Char1,fn Char Char Char1,footnote text Char Char Char1,Footnotes Char Char Char1,Footnote ak Char Char Char1"/>
    <w:basedOn w:val="DefaultParagraphFont"/>
    <w:uiPriority w:val="99"/>
    <w:semiHidden/>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ListBullet">
    <w:name w:val="List Bullet"/>
    <w:basedOn w:val="Normal"/>
    <w:unhideWhenUsed/>
    <w:pPr>
      <w:numPr>
        <w:numId w:val="3"/>
      </w:numPr>
      <w:spacing w:after="240" w:line="240" w:lineRule="auto"/>
      <w:jc w:val="both"/>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pPr>
      <w:spacing w:after="0" w:line="240" w:lineRule="auto"/>
    </w:pPr>
  </w:style>
  <w:style w:type="paragraph" w:styleId="Revision">
    <w:name w:val="Revision"/>
    <w:uiPriority w:val="99"/>
    <w:semiHidden/>
    <w:pPr>
      <w:spacing w:after="0" w:line="240" w:lineRule="auto"/>
    </w:p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Ha"/>
    <w:basedOn w:val="Normal"/>
    <w:link w:val="ListParagraphChar"/>
    <w:uiPriority w:val="34"/>
    <w:qFormat/>
    <w:pPr>
      <w:ind w:left="720"/>
      <w:contextualSpacing/>
    </w:pPr>
  </w:style>
  <w:style w:type="paragraph" w:styleId="TOCHeading">
    <w:name w:val="TOC Heading"/>
    <w:basedOn w:val="Normal"/>
    <w:next w:val="Normal"/>
    <w:link w:val="TOCHeadingChar"/>
    <w:uiPriority w:val="39"/>
    <w:unhideWhenUsed/>
    <w:qFormat/>
    <w:pPr>
      <w:keepNext/>
      <w:spacing w:before="240" w:after="240" w:line="240" w:lineRule="auto"/>
      <w:jc w:val="center"/>
    </w:pPr>
    <w:rPr>
      <w:rFonts w:ascii="Times New Roman" w:eastAsia="Times New Roman" w:hAnsi="Times New Roman" w:cs="Times New Roman"/>
      <w:b/>
      <w:sz w:val="24"/>
      <w:szCs w:val="20"/>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character" w:customStyle="1" w:styleId="FooterCoverPageChar">
    <w:name w:val="Footer Cover Page Char"/>
    <w:basedOn w:val="DefaultParagraphFont"/>
    <w:link w:val="FooterCoverPage"/>
    <w:locked/>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HeaderCoverPageChar">
    <w:name w:val="Header Cover Page Char"/>
    <w:basedOn w:val="DefaultParagraphFont"/>
    <w:link w:val="HeaderCoverPage"/>
    <w:locked/>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paragraph" w:customStyle="1" w:styleId="ListDash1">
    <w:name w:val="List Dash 1"/>
    <w:basedOn w:val="Text1"/>
    <w:pPr>
      <w:numPr>
        <w:numId w:val="4"/>
      </w:numPr>
    </w:pPr>
  </w:style>
  <w:style w:type="character" w:customStyle="1" w:styleId="AnnexTitleChar">
    <w:name w:val="Annex Title Char"/>
    <w:basedOn w:val="DefaultParagraphFont"/>
    <w:link w:val="AnnexTitle"/>
    <w:locked/>
    <w:rPr>
      <w:rFonts w:ascii="Times New Roman" w:eastAsia="Times New Roman" w:hAnsi="Times New Roman" w:cs="Times New Roman"/>
      <w:b/>
      <w:sz w:val="32"/>
      <w:szCs w:val="20"/>
    </w:r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HeaderSensitivityRightChar">
    <w:name w:val="Header Sensitivity Right Char"/>
    <w:basedOn w:val="DefaultParagraphFont"/>
    <w:link w:val="HeaderSensitivityRight"/>
    <w:locked/>
    <w:rPr>
      <w:rFonts w:ascii="Times New Roman" w:hAnsi="Times New Roman" w:cs="Times New Roman"/>
      <w:sz w:val="28"/>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fr-FR"/>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Char1,Footnote"/>
    <w:basedOn w:val="DefaultParagraphFont"/>
    <w:link w:val="16Point"/>
    <w:uiPriority w:val="99"/>
    <w:unhideWhenUsed/>
    <w:qFormat/>
    <w:rPr>
      <w:vertAlign w:val="superscript"/>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pPr>
      <w:spacing w:line="240" w:lineRule="exact"/>
    </w:pPr>
    <w:rPr>
      <w:vertAlign w:val="superscript"/>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M1">
    <w:name w:val="CM1"/>
    <w:basedOn w:val="Default"/>
    <w:next w:val="Default"/>
    <w:uiPriority w:val="99"/>
    <w:rPr>
      <w:rFonts w:ascii="Times New Roman" w:hAnsi="Times New Roman" w:cs="Times New Roman"/>
      <w:color w:val="auto"/>
    </w:rPr>
  </w:style>
  <w:style w:type="paragraph" w:customStyle="1" w:styleId="CM3">
    <w:name w:val="CM3"/>
    <w:basedOn w:val="Default"/>
    <w:next w:val="Default"/>
    <w:uiPriority w:val="99"/>
    <w:rPr>
      <w:rFonts w:ascii="Times New Roman" w:hAnsi="Times New Roman" w:cs="Times New Roman"/>
      <w:color w:val="auto"/>
    </w:rPr>
  </w:style>
  <w:style w:type="paragraph" w:customStyle="1" w:styleId="Text3">
    <w:name w:val="Text 3"/>
    <w:basedOn w:val="Normal"/>
    <w:uiPriority w:val="1"/>
    <w:qFormat/>
    <w:pPr>
      <w:spacing w:after="240" w:line="240" w:lineRule="auto"/>
      <w:ind w:left="1916"/>
      <w:jc w:val="both"/>
    </w:pPr>
    <w:rPr>
      <w:rFonts w:ascii="Times New Roman" w:eastAsia="Times New Roman" w:hAnsi="Times New Roman" w:cs="Times New Roman"/>
      <w:sz w:val="24"/>
      <w:szCs w:val="20"/>
      <w:lang w:eastAsia="fr-FR"/>
    </w:rPr>
  </w:style>
  <w:style w:type="paragraph" w:customStyle="1" w:styleId="LegalNumPar">
    <w:name w:val="LegalNumPar"/>
    <w:basedOn w:val="Normal"/>
    <w:pPr>
      <w:numPr>
        <w:numId w:val="5"/>
      </w:numPr>
      <w:spacing w:line="360" w:lineRule="auto"/>
    </w:pPr>
    <w:rPr>
      <w:sz w:val="24"/>
    </w:rPr>
  </w:style>
  <w:style w:type="paragraph" w:customStyle="1" w:styleId="LegalNumPar2">
    <w:name w:val="LegalNumPar2"/>
    <w:basedOn w:val="Normal"/>
    <w:pPr>
      <w:numPr>
        <w:ilvl w:val="1"/>
        <w:numId w:val="5"/>
      </w:numPr>
      <w:spacing w:line="360" w:lineRule="auto"/>
    </w:pPr>
    <w:rPr>
      <w:sz w:val="24"/>
    </w:rPr>
  </w:style>
  <w:style w:type="paragraph" w:customStyle="1" w:styleId="LegalNumPar3">
    <w:name w:val="LegalNumPar3"/>
    <w:basedOn w:val="Normal"/>
    <w:pPr>
      <w:numPr>
        <w:ilvl w:val="2"/>
        <w:numId w:val="5"/>
      </w:numPr>
      <w:spacing w:line="360" w:lineRule="auto"/>
    </w:pPr>
    <w:rPr>
      <w:sz w:val="24"/>
    </w:rPr>
  </w:style>
  <w:style w:type="paragraph" w:customStyle="1" w:styleId="ti-art">
    <w:name w:val="ti-art"/>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i-art">
    <w:name w:val="sti-art"/>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CommentReference">
    <w:name w:val="annotation reference"/>
    <w:basedOn w:val="DefaultParagraphFont"/>
    <w:uiPriority w:val="99"/>
    <w:semiHidden/>
    <w:unhideWhenUsed/>
    <w:rPr>
      <w:sz w:val="16"/>
      <w:szCs w:val="16"/>
    </w:rPr>
  </w:style>
  <w:style w:type="character" w:customStyle="1" w:styleId="Marker">
    <w:name w:val="Marker"/>
    <w:basedOn w:val="DefaultParagraphFont"/>
    <w:rPr>
      <w:color w:val="0000FF"/>
    </w:rPr>
  </w:style>
  <w:style w:type="character" w:customStyle="1" w:styleId="hgkelc">
    <w:name w:val="hgkelc"/>
    <w:basedOn w:val="DefaultParagraphFont"/>
  </w:style>
  <w:style w:type="character" w:customStyle="1" w:styleId="kx21rb">
    <w:name w:val="kx21rb"/>
    <w:basedOn w:val="DefaultParagraphFont"/>
  </w:style>
  <w:style w:type="character" w:customStyle="1" w:styleId="ecb-footnote-toggle">
    <w:name w:val="ecb-footnote-toggle"/>
    <w:basedOn w:val="DefaultParagraphFont"/>
  </w:style>
  <w:style w:type="character" w:customStyle="1" w:styleId="UnresolvedMention">
    <w:name w:val="Unresolved Mention"/>
    <w:basedOn w:val="DefaultParagraphFont"/>
    <w:uiPriority w:val="99"/>
    <w:semiHidden/>
    <w:rPr>
      <w:color w:val="605E5C"/>
      <w:shd w:val="clear" w:color="auto" w:fill="E1DFDD"/>
    </w:rPr>
  </w:style>
  <w:style w:type="character" w:customStyle="1" w:styleId="texthighlight">
    <w:name w:val="texthighlight"/>
    <w:basedOn w:val="DefaultParagraphFont"/>
  </w:style>
  <w:style w:type="table" w:styleId="TableGrid">
    <w:name w:val="Table Grid"/>
    <w:aliases w:val="Document Table,CV1"/>
    <w:basedOn w:val="TableNormal"/>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TableNormal"/>
    <w:uiPriority w:val="49"/>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
    <w:name w:val="Grid Table 5 Dark Accent 1"/>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5">
    <w:name w:val="Grid Table 4 Accent 5"/>
    <w:basedOn w:val="TableNormal"/>
    <w:uiPriority w:val="49"/>
    <w:pPr>
      <w:spacing w:after="0" w:line="240" w:lineRule="auto"/>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
    <w:name w:val="Grid Table 5 Dark Accent 5"/>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6">
    <w:name w:val="Grid Table 4 Accent 6"/>
    <w:basedOn w:val="TableNormal"/>
    <w:uiPriority w:val="49"/>
    <w:pPr>
      <w:spacing w:after="0" w:line="240" w:lineRule="auto"/>
    </w:p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
    <w:name w:val="Grid Table 5 Dark Accent 6"/>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CV11">
    <w:name w:val="CV11"/>
    <w:basedOn w:val="TableNormal"/>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CV14">
    <w:name w:val="CV14"/>
    <w:basedOn w:val="TableNormal"/>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table" w:customStyle="1" w:styleId="ListTable4Accent5">
    <w:name w:val="List Table 4 Accent 5"/>
    <w:basedOn w:val="TableNormal"/>
    <w:uiPriority w:val="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aps">
    <w:name w:val="caps"/>
    <w:basedOn w:val="DefaultParagraphFont"/>
  </w:style>
  <w:style w:type="table" w:customStyle="1" w:styleId="CV15">
    <w:name w:val="CV15"/>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pPr>
      <w:spacing w:after="100" w:line="259" w:lineRule="auto"/>
      <w:ind w:left="660"/>
    </w:pPr>
    <w:rPr>
      <w:rFonts w:eastAsiaTheme="minorEastAsia"/>
      <w:lang w:val="fr-FR" w:eastAsia="fr-FR"/>
    </w:rPr>
  </w:style>
  <w:style w:type="paragraph" w:styleId="TOC5">
    <w:name w:val="toc 5"/>
    <w:basedOn w:val="Normal"/>
    <w:next w:val="Normal"/>
    <w:autoRedefine/>
    <w:uiPriority w:val="39"/>
    <w:unhideWhenUsed/>
    <w:pPr>
      <w:spacing w:after="100" w:line="259" w:lineRule="auto"/>
      <w:ind w:left="880"/>
    </w:pPr>
    <w:rPr>
      <w:rFonts w:eastAsiaTheme="minorEastAsia"/>
      <w:lang w:val="fr-FR" w:eastAsia="fr-FR"/>
    </w:rPr>
  </w:style>
  <w:style w:type="paragraph" w:styleId="TOC6">
    <w:name w:val="toc 6"/>
    <w:basedOn w:val="Normal"/>
    <w:next w:val="Normal"/>
    <w:autoRedefine/>
    <w:uiPriority w:val="39"/>
    <w:unhideWhenUsed/>
    <w:pPr>
      <w:spacing w:after="100" w:line="259" w:lineRule="auto"/>
      <w:ind w:left="1100"/>
    </w:pPr>
    <w:rPr>
      <w:rFonts w:eastAsiaTheme="minorEastAsia"/>
      <w:lang w:val="fr-FR" w:eastAsia="fr-FR"/>
    </w:rPr>
  </w:style>
  <w:style w:type="paragraph" w:styleId="TOC7">
    <w:name w:val="toc 7"/>
    <w:basedOn w:val="Normal"/>
    <w:next w:val="Normal"/>
    <w:autoRedefine/>
    <w:uiPriority w:val="39"/>
    <w:unhideWhenUsed/>
    <w:pPr>
      <w:spacing w:after="100" w:line="259" w:lineRule="auto"/>
      <w:ind w:left="1320"/>
    </w:pPr>
    <w:rPr>
      <w:rFonts w:eastAsiaTheme="minorEastAsia"/>
      <w:lang w:val="fr-FR" w:eastAsia="fr-FR"/>
    </w:rPr>
  </w:style>
  <w:style w:type="paragraph" w:styleId="TOC8">
    <w:name w:val="toc 8"/>
    <w:basedOn w:val="Normal"/>
    <w:next w:val="Normal"/>
    <w:autoRedefine/>
    <w:uiPriority w:val="39"/>
    <w:unhideWhenUsed/>
    <w:pPr>
      <w:spacing w:after="100" w:line="259" w:lineRule="auto"/>
      <w:ind w:left="1540"/>
    </w:pPr>
    <w:rPr>
      <w:rFonts w:eastAsiaTheme="minorEastAsia"/>
      <w:lang w:val="fr-FR" w:eastAsia="fr-FR"/>
    </w:rPr>
  </w:style>
  <w:style w:type="paragraph" w:styleId="TOC9">
    <w:name w:val="toc 9"/>
    <w:basedOn w:val="Normal"/>
    <w:next w:val="Normal"/>
    <w:autoRedefine/>
    <w:uiPriority w:val="39"/>
    <w:unhideWhenUsed/>
    <w:pPr>
      <w:spacing w:after="100" w:line="259" w:lineRule="auto"/>
      <w:ind w:left="1760"/>
    </w:pPr>
    <w:rPr>
      <w:rFonts w:eastAsiaTheme="minorEastAsia"/>
      <w:lang w:val="fr-FR" w:eastAsia="fr-FR"/>
    </w:rPr>
  </w:style>
  <w:style w:type="table" w:customStyle="1" w:styleId="ListTable4Accent1">
    <w:name w:val="List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umPar1">
    <w:name w:val="NumPar 1"/>
    <w:basedOn w:val="Heading1"/>
    <w:next w:val="Text1"/>
    <w:pPr>
      <w:keepNext w:val="0"/>
      <w:numPr>
        <w:numId w:val="0"/>
      </w:numPr>
      <w:spacing w:before="0"/>
      <w:outlineLvl w:val="9"/>
    </w:pPr>
    <w:rPr>
      <w:b w:val="0"/>
      <w:smallCaps w:val="0"/>
    </w:rPr>
  </w:style>
  <w:style w:type="paragraph" w:customStyle="1" w:styleId="SubTitle1">
    <w:name w:val="SubTitle 1"/>
    <w:basedOn w:val="Normal"/>
    <w:next w:val="Normal"/>
    <w:pPr>
      <w:spacing w:after="240" w:line="240" w:lineRule="auto"/>
      <w:jc w:val="center"/>
    </w:pPr>
    <w:rPr>
      <w:rFonts w:ascii="Times New Roman" w:eastAsia="Times New Roman" w:hAnsi="Times New Roman" w:cs="Times New Roman"/>
      <w:b/>
      <w:sz w:val="40"/>
      <w:szCs w:val="20"/>
    </w:rPr>
  </w:style>
  <w:style w:type="character" w:customStyle="1" w:styleId="TOCHeadingChar">
    <w:name w:val="TOC Heading Char"/>
    <w:basedOn w:val="DefaultParagraphFont"/>
    <w:link w:val="TOCHeading"/>
    <w:rPr>
      <w:rFonts w:ascii="Times New Roman" w:eastAsia="Times New Roman" w:hAnsi="Times New Roman" w:cs="Times New Roman"/>
      <w:b/>
      <w:sz w:val="24"/>
      <w:szCs w:val="20"/>
    </w:rPr>
  </w:style>
  <w:style w:type="character" w:customStyle="1" w:styleId="FooterSensitivityChar">
    <w:name w:val="Footer Sensitivity Char"/>
    <w:basedOn w:val="TOCHeadingChar"/>
    <w:link w:val="FooterSensitivity"/>
    <w:rPr>
      <w:rFonts w:ascii="Times New Roman" w:eastAsia="Times New Roman" w:hAnsi="Times New Roman" w:cs="Times New Roman"/>
      <w:b/>
      <w:sz w:val="32"/>
      <w:szCs w:val="20"/>
    </w:rPr>
  </w:style>
  <w:style w:type="character" w:customStyle="1" w:styleId="HeaderSensitivityChar">
    <w:name w:val="Header Sensitivity Char"/>
    <w:basedOn w:val="TOCHeadingChar"/>
    <w:link w:val="HeaderSensitivity"/>
    <w:rPr>
      <w:rFonts w:ascii="Times New Roman" w:eastAsia="Times New Roman" w:hAnsi="Times New Roman" w:cs="Times New Roman"/>
      <w:b/>
      <w:sz w:val="32"/>
      <w:szCs w:val="20"/>
    </w:rPr>
  </w:style>
  <w:style w:type="paragraph" w:styleId="Caption">
    <w:name w:val="caption"/>
    <w:basedOn w:val="Normal"/>
    <w:next w:val="Normal"/>
    <w:uiPriority w:val="35"/>
    <w:unhideWhenUsed/>
    <w:qFormat/>
    <w:pPr>
      <w:spacing w:line="240" w:lineRule="auto"/>
    </w:pPr>
    <w:rPr>
      <w:i/>
      <w:iCs/>
      <w:color w:val="44546A" w:themeColor="text2"/>
      <w:sz w:val="18"/>
      <w:szCs w:val="18"/>
      <w:lang w:val="fr-BE"/>
    </w:rPr>
  </w:style>
  <w:style w:type="paragraph" w:styleId="TableofFigures">
    <w:name w:val="table of figures"/>
    <w:basedOn w:val="Normal"/>
    <w:next w:val="Normal"/>
    <w:uiPriority w:val="99"/>
    <w:unhideWhenUsed/>
    <w:pPr>
      <w:spacing w:after="0"/>
    </w:pPr>
    <w:rPr>
      <w:lang w:val="fr-B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locked/>
  </w:style>
  <w:style w:type="table" w:customStyle="1" w:styleId="CV16">
    <w:name w:val="CV16"/>
    <w:basedOn w:val="TableNormal"/>
    <w:next w:val="TableGrid"/>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7">
    <w:name w:val="CV17"/>
    <w:basedOn w:val="TableNormal"/>
    <w:next w:val="TableGrid"/>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Normal"/>
    <w:next w:val="Heading1"/>
    <w:pPr>
      <w:keepNext/>
      <w:spacing w:after="480" w:line="240" w:lineRule="auto"/>
      <w:jc w:val="center"/>
    </w:pPr>
    <w:rPr>
      <w:rFonts w:ascii="Times New Roman" w:eastAsia="Times New Roman" w:hAnsi="Times New Roman" w:cs="Times New Roman"/>
      <w:b/>
      <w:smallCap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Text1"/>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Heading1"/>
    <w:next w:val="Text2"/>
    <w:link w:val="Heading2Char"/>
    <w:unhideWhenUsed/>
    <w:qFormat/>
    <w:pPr>
      <w:numPr>
        <w:ilvl w:val="1"/>
      </w:numPr>
      <w:spacing w:before="160" w:after="160"/>
      <w:outlineLvl w:val="1"/>
    </w:pPr>
    <w:rPr>
      <w:rFonts w:ascii="Times New Roman Bold" w:hAnsi="Times New Roman Bold"/>
      <w:smallCaps w:val="0"/>
    </w:rPr>
  </w:style>
  <w:style w:type="paragraph" w:styleId="Heading3">
    <w:name w:val="heading 3"/>
    <w:basedOn w:val="Heading2"/>
    <w:next w:val="Normal"/>
    <w:link w:val="Heading3Char"/>
    <w:uiPriority w:val="9"/>
    <w:unhideWhenUsed/>
    <w:qFormat/>
    <w:pPr>
      <w:numPr>
        <w:ilvl w:val="2"/>
      </w:numPr>
      <w:spacing w:before="200" w:after="200"/>
      <w:outlineLvl w:val="2"/>
    </w:pPr>
    <w:rPr>
      <w:rFonts w:ascii="Times New Roman" w:hAnsi="Times New Roman"/>
      <w:b w:val="0"/>
      <w:i/>
      <w:sz w:val="22"/>
      <w:szCs w:val="22"/>
    </w:rPr>
  </w:style>
  <w:style w:type="paragraph" w:styleId="Heading4">
    <w:name w:val="heading 4"/>
    <w:basedOn w:val="Heading3"/>
    <w:next w:val="Normal"/>
    <w:link w:val="Heading4Char"/>
    <w:unhideWhenUsed/>
    <w:qFormat/>
    <w:pPr>
      <w:ind w:left="1728" w:hanging="648"/>
      <w:outlineLvl w:val="3"/>
    </w:pPr>
    <w:rPr>
      <w:i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Bold" w:eastAsia="Times New Roman" w:hAnsi="Times New Roman Bold" w:cs="Times New Roman"/>
      <w:b/>
      <w:sz w:val="24"/>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rPr>
  </w:style>
  <w:style w:type="character" w:customStyle="1" w:styleId="Heading4Char">
    <w:name w:val="Heading 4 Char"/>
    <w:basedOn w:val="DefaultParagraphFont"/>
    <w:link w:val="Heading4"/>
    <w:rPr>
      <w:rFonts w:ascii="Times New Roman" w:eastAsia="Times New Roman" w:hAnsi="Times New Roman" w:cs="Times New Roman"/>
    </w:rPr>
  </w:style>
  <w:style w:type="numbering" w:customStyle="1" w:styleId="NoList1">
    <w:name w:val="No List1"/>
    <w:next w:val="No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msonormal0">
    <w:name w:val="msonormal"/>
    <w:basedOn w:val="Normal"/>
    <w:uiPriority w:val="9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1">
    <w:name w:val="toc 1"/>
    <w:basedOn w:val="Normal"/>
    <w:next w:val="Normal"/>
    <w:autoRedefine/>
    <w:uiPriority w:val="39"/>
    <w:unhideWhenUsed/>
    <w:pPr>
      <w:tabs>
        <w:tab w:val="right" w:leader="dot" w:pos="8640"/>
      </w:tabs>
      <w:spacing w:before="120" w:after="120" w:line="240" w:lineRule="auto"/>
      <w:ind w:left="482" w:right="720" w:hanging="482"/>
      <w:jc w:val="both"/>
    </w:pPr>
    <w:rPr>
      <w:rFonts w:ascii="Times New Roman" w:eastAsia="Times New Roman" w:hAnsi="Times New Roman" w:cs="Times New Roman"/>
      <w:caps/>
      <w:noProof/>
    </w:rPr>
  </w:style>
  <w:style w:type="paragraph" w:styleId="TOC2">
    <w:name w:val="toc 2"/>
    <w:basedOn w:val="Normal"/>
    <w:next w:val="Normal"/>
    <w:autoRedefine/>
    <w:uiPriority w:val="39"/>
    <w:unhideWhenUsed/>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autoRedefine/>
    <w:uiPriority w:val="39"/>
    <w:unhideWhenUsed/>
    <w:pPr>
      <w:spacing w:after="100"/>
      <w:ind w:left="440"/>
    </w:pPr>
  </w:style>
  <w:style w:type="character" w:customStyle="1" w:styleId="FootnoteTextChar">
    <w:name w:val="Footnote Text Char"/>
    <w:aliases w:val="Footnote Text Char Char Char,DTE-Voetnoottekst Char1 Char Char,DTE-Voetnoottekst Char Char Char Char,fn Char Char Char,footnote text Char Char Char,Footnotes Char Char Char,Footnote ak Char Char Char,Footnote Text Char1 Char Char Char"/>
    <w:basedOn w:val="DefaultParagraphFont"/>
    <w:link w:val="FootnoteText"/>
    <w:uiPriority w:val="99"/>
    <w:qFormat/>
    <w:locked/>
    <w:rPr>
      <w:sz w:val="20"/>
      <w:szCs w:val="20"/>
    </w:rPr>
  </w:style>
  <w:style w:type="paragraph" w:styleId="FootnoteText">
    <w:name w:val="footnote text"/>
    <w:aliases w:val="Footnote Text Char Char,DTE-Voetnoottekst Char1 Char,DTE-Voetnoottekst Char Char Char,fn Char Char,footnote text Char Char,Footnotes Char Char,Footnote ak Char Char,Footnote Text Char1 Char Char,DTE-Voetnoottekst,Char, Carattere1,Fußnote"/>
    <w:basedOn w:val="Normal"/>
    <w:link w:val="FootnoteTextChar"/>
    <w:uiPriority w:val="99"/>
    <w:unhideWhenUsed/>
    <w:qFormat/>
    <w:pPr>
      <w:spacing w:after="0" w:line="240" w:lineRule="auto"/>
    </w:pPr>
    <w:rPr>
      <w:sz w:val="20"/>
      <w:szCs w:val="20"/>
    </w:rPr>
  </w:style>
  <w:style w:type="character" w:customStyle="1" w:styleId="FootnoteTextChar1">
    <w:name w:val="Footnote Text Char1"/>
    <w:basedOn w:val="DefaultParagraphFont"/>
    <w:uiPriority w:val="99"/>
    <w:semiHidden/>
    <w:rPr>
      <w:sz w:val="20"/>
      <w:szCs w:val="20"/>
    </w:rPr>
  </w:style>
  <w:style w:type="character" w:customStyle="1" w:styleId="FootnoteTextChar2">
    <w:name w:val="Footnote Text Char2"/>
    <w:aliases w:val="Footnote Text Char1 Char1,Footnote Text Char Char Char1,DTE-Voetnoottekst Char1 Char Char1,DTE-Voetnoottekst Char Char Char Char1,fn Char Char Char1,footnote text Char Char Char1,Footnotes Char Char Char1,Footnote ak Char Char Char1"/>
    <w:basedOn w:val="DefaultParagraphFont"/>
    <w:uiPriority w:val="99"/>
    <w:semiHidden/>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ListBullet">
    <w:name w:val="List Bullet"/>
    <w:basedOn w:val="Normal"/>
    <w:unhideWhenUsed/>
    <w:pPr>
      <w:numPr>
        <w:numId w:val="3"/>
      </w:numPr>
      <w:spacing w:after="240" w:line="240" w:lineRule="auto"/>
      <w:jc w:val="both"/>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pPr>
      <w:spacing w:after="0" w:line="240" w:lineRule="auto"/>
    </w:pPr>
  </w:style>
  <w:style w:type="paragraph" w:styleId="Revision">
    <w:name w:val="Revision"/>
    <w:uiPriority w:val="99"/>
    <w:semiHidden/>
    <w:pPr>
      <w:spacing w:after="0" w:line="240" w:lineRule="auto"/>
    </w:p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Ha"/>
    <w:basedOn w:val="Normal"/>
    <w:link w:val="ListParagraphChar"/>
    <w:uiPriority w:val="34"/>
    <w:qFormat/>
    <w:pPr>
      <w:ind w:left="720"/>
      <w:contextualSpacing/>
    </w:pPr>
  </w:style>
  <w:style w:type="paragraph" w:styleId="TOCHeading">
    <w:name w:val="TOC Heading"/>
    <w:basedOn w:val="Normal"/>
    <w:next w:val="Normal"/>
    <w:link w:val="TOCHeadingChar"/>
    <w:uiPriority w:val="39"/>
    <w:unhideWhenUsed/>
    <w:qFormat/>
    <w:pPr>
      <w:keepNext/>
      <w:spacing w:before="240" w:after="240" w:line="240" w:lineRule="auto"/>
      <w:jc w:val="center"/>
    </w:pPr>
    <w:rPr>
      <w:rFonts w:ascii="Times New Roman" w:eastAsia="Times New Roman" w:hAnsi="Times New Roman" w:cs="Times New Roman"/>
      <w:b/>
      <w:sz w:val="24"/>
      <w:szCs w:val="20"/>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character" w:customStyle="1" w:styleId="FooterCoverPageChar">
    <w:name w:val="Footer Cover Page Char"/>
    <w:basedOn w:val="DefaultParagraphFont"/>
    <w:link w:val="FooterCoverPage"/>
    <w:locked/>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HeaderCoverPageChar">
    <w:name w:val="Header Cover Page Char"/>
    <w:basedOn w:val="DefaultParagraphFont"/>
    <w:link w:val="HeaderCoverPage"/>
    <w:locked/>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paragraph" w:customStyle="1" w:styleId="ListDash1">
    <w:name w:val="List Dash 1"/>
    <w:basedOn w:val="Text1"/>
    <w:pPr>
      <w:numPr>
        <w:numId w:val="4"/>
      </w:numPr>
    </w:pPr>
  </w:style>
  <w:style w:type="character" w:customStyle="1" w:styleId="AnnexTitleChar">
    <w:name w:val="Annex Title Char"/>
    <w:basedOn w:val="DefaultParagraphFont"/>
    <w:link w:val="AnnexTitle"/>
    <w:locked/>
    <w:rPr>
      <w:rFonts w:ascii="Times New Roman" w:eastAsia="Times New Roman" w:hAnsi="Times New Roman" w:cs="Times New Roman"/>
      <w:b/>
      <w:sz w:val="32"/>
      <w:szCs w:val="20"/>
    </w:r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HeaderSensitivityRightChar">
    <w:name w:val="Header Sensitivity Right Char"/>
    <w:basedOn w:val="DefaultParagraphFont"/>
    <w:link w:val="HeaderSensitivityRight"/>
    <w:locked/>
    <w:rPr>
      <w:rFonts w:ascii="Times New Roman" w:hAnsi="Times New Roman" w:cs="Times New Roman"/>
      <w:sz w:val="28"/>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fr-FR"/>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Char1,Footnote"/>
    <w:basedOn w:val="DefaultParagraphFont"/>
    <w:link w:val="16Point"/>
    <w:uiPriority w:val="99"/>
    <w:unhideWhenUsed/>
    <w:qFormat/>
    <w:rPr>
      <w:vertAlign w:val="superscript"/>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pPr>
      <w:spacing w:line="240" w:lineRule="exact"/>
    </w:pPr>
    <w:rPr>
      <w:vertAlign w:val="superscript"/>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M1">
    <w:name w:val="CM1"/>
    <w:basedOn w:val="Default"/>
    <w:next w:val="Default"/>
    <w:uiPriority w:val="99"/>
    <w:rPr>
      <w:rFonts w:ascii="Times New Roman" w:hAnsi="Times New Roman" w:cs="Times New Roman"/>
      <w:color w:val="auto"/>
    </w:rPr>
  </w:style>
  <w:style w:type="paragraph" w:customStyle="1" w:styleId="CM3">
    <w:name w:val="CM3"/>
    <w:basedOn w:val="Default"/>
    <w:next w:val="Default"/>
    <w:uiPriority w:val="99"/>
    <w:rPr>
      <w:rFonts w:ascii="Times New Roman" w:hAnsi="Times New Roman" w:cs="Times New Roman"/>
      <w:color w:val="auto"/>
    </w:rPr>
  </w:style>
  <w:style w:type="paragraph" w:customStyle="1" w:styleId="Text3">
    <w:name w:val="Text 3"/>
    <w:basedOn w:val="Normal"/>
    <w:uiPriority w:val="1"/>
    <w:qFormat/>
    <w:pPr>
      <w:spacing w:after="240" w:line="240" w:lineRule="auto"/>
      <w:ind w:left="1916"/>
      <w:jc w:val="both"/>
    </w:pPr>
    <w:rPr>
      <w:rFonts w:ascii="Times New Roman" w:eastAsia="Times New Roman" w:hAnsi="Times New Roman" w:cs="Times New Roman"/>
      <w:sz w:val="24"/>
      <w:szCs w:val="20"/>
      <w:lang w:eastAsia="fr-FR"/>
    </w:rPr>
  </w:style>
  <w:style w:type="paragraph" w:customStyle="1" w:styleId="LegalNumPar">
    <w:name w:val="LegalNumPar"/>
    <w:basedOn w:val="Normal"/>
    <w:pPr>
      <w:numPr>
        <w:numId w:val="5"/>
      </w:numPr>
      <w:spacing w:line="360" w:lineRule="auto"/>
    </w:pPr>
    <w:rPr>
      <w:sz w:val="24"/>
    </w:rPr>
  </w:style>
  <w:style w:type="paragraph" w:customStyle="1" w:styleId="LegalNumPar2">
    <w:name w:val="LegalNumPar2"/>
    <w:basedOn w:val="Normal"/>
    <w:pPr>
      <w:numPr>
        <w:ilvl w:val="1"/>
        <w:numId w:val="5"/>
      </w:numPr>
      <w:spacing w:line="360" w:lineRule="auto"/>
    </w:pPr>
    <w:rPr>
      <w:sz w:val="24"/>
    </w:rPr>
  </w:style>
  <w:style w:type="paragraph" w:customStyle="1" w:styleId="LegalNumPar3">
    <w:name w:val="LegalNumPar3"/>
    <w:basedOn w:val="Normal"/>
    <w:pPr>
      <w:numPr>
        <w:ilvl w:val="2"/>
        <w:numId w:val="5"/>
      </w:numPr>
      <w:spacing w:line="360" w:lineRule="auto"/>
    </w:pPr>
    <w:rPr>
      <w:sz w:val="24"/>
    </w:rPr>
  </w:style>
  <w:style w:type="paragraph" w:customStyle="1" w:styleId="ti-art">
    <w:name w:val="ti-art"/>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i-art">
    <w:name w:val="sti-art"/>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CommentReference">
    <w:name w:val="annotation reference"/>
    <w:basedOn w:val="DefaultParagraphFont"/>
    <w:uiPriority w:val="99"/>
    <w:semiHidden/>
    <w:unhideWhenUsed/>
    <w:rPr>
      <w:sz w:val="16"/>
      <w:szCs w:val="16"/>
    </w:rPr>
  </w:style>
  <w:style w:type="character" w:customStyle="1" w:styleId="Marker">
    <w:name w:val="Marker"/>
    <w:basedOn w:val="DefaultParagraphFont"/>
    <w:rPr>
      <w:color w:val="0000FF"/>
    </w:rPr>
  </w:style>
  <w:style w:type="character" w:customStyle="1" w:styleId="hgkelc">
    <w:name w:val="hgkelc"/>
    <w:basedOn w:val="DefaultParagraphFont"/>
  </w:style>
  <w:style w:type="character" w:customStyle="1" w:styleId="kx21rb">
    <w:name w:val="kx21rb"/>
    <w:basedOn w:val="DefaultParagraphFont"/>
  </w:style>
  <w:style w:type="character" w:customStyle="1" w:styleId="ecb-footnote-toggle">
    <w:name w:val="ecb-footnote-toggle"/>
    <w:basedOn w:val="DefaultParagraphFont"/>
  </w:style>
  <w:style w:type="character" w:customStyle="1" w:styleId="UnresolvedMention">
    <w:name w:val="Unresolved Mention"/>
    <w:basedOn w:val="DefaultParagraphFont"/>
    <w:uiPriority w:val="99"/>
    <w:semiHidden/>
    <w:rPr>
      <w:color w:val="605E5C"/>
      <w:shd w:val="clear" w:color="auto" w:fill="E1DFDD"/>
    </w:rPr>
  </w:style>
  <w:style w:type="character" w:customStyle="1" w:styleId="texthighlight">
    <w:name w:val="texthighlight"/>
    <w:basedOn w:val="DefaultParagraphFont"/>
  </w:style>
  <w:style w:type="table" w:styleId="TableGrid">
    <w:name w:val="Table Grid"/>
    <w:aliases w:val="Document Table,CV1"/>
    <w:basedOn w:val="TableNormal"/>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TableNormal"/>
    <w:uiPriority w:val="49"/>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
    <w:name w:val="Grid Table 5 Dark Accent 1"/>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5">
    <w:name w:val="Grid Table 4 Accent 5"/>
    <w:basedOn w:val="TableNormal"/>
    <w:uiPriority w:val="49"/>
    <w:pPr>
      <w:spacing w:after="0" w:line="240" w:lineRule="auto"/>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
    <w:name w:val="Grid Table 5 Dark Accent 5"/>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6">
    <w:name w:val="Grid Table 4 Accent 6"/>
    <w:basedOn w:val="TableNormal"/>
    <w:uiPriority w:val="49"/>
    <w:pPr>
      <w:spacing w:after="0" w:line="240" w:lineRule="auto"/>
    </w:p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
    <w:name w:val="Grid Table 5 Dark Accent 6"/>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CV11">
    <w:name w:val="CV11"/>
    <w:basedOn w:val="TableNormal"/>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CV14">
    <w:name w:val="CV14"/>
    <w:basedOn w:val="TableNormal"/>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table" w:customStyle="1" w:styleId="ListTable4Accent5">
    <w:name w:val="List Table 4 Accent 5"/>
    <w:basedOn w:val="TableNormal"/>
    <w:uiPriority w:val="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aps">
    <w:name w:val="caps"/>
    <w:basedOn w:val="DefaultParagraphFont"/>
  </w:style>
  <w:style w:type="table" w:customStyle="1" w:styleId="CV15">
    <w:name w:val="CV15"/>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pPr>
      <w:spacing w:after="100" w:line="259" w:lineRule="auto"/>
      <w:ind w:left="660"/>
    </w:pPr>
    <w:rPr>
      <w:rFonts w:eastAsiaTheme="minorEastAsia"/>
      <w:lang w:val="fr-FR" w:eastAsia="fr-FR"/>
    </w:rPr>
  </w:style>
  <w:style w:type="paragraph" w:styleId="TOC5">
    <w:name w:val="toc 5"/>
    <w:basedOn w:val="Normal"/>
    <w:next w:val="Normal"/>
    <w:autoRedefine/>
    <w:uiPriority w:val="39"/>
    <w:unhideWhenUsed/>
    <w:pPr>
      <w:spacing w:after="100" w:line="259" w:lineRule="auto"/>
      <w:ind w:left="880"/>
    </w:pPr>
    <w:rPr>
      <w:rFonts w:eastAsiaTheme="minorEastAsia"/>
      <w:lang w:val="fr-FR" w:eastAsia="fr-FR"/>
    </w:rPr>
  </w:style>
  <w:style w:type="paragraph" w:styleId="TOC6">
    <w:name w:val="toc 6"/>
    <w:basedOn w:val="Normal"/>
    <w:next w:val="Normal"/>
    <w:autoRedefine/>
    <w:uiPriority w:val="39"/>
    <w:unhideWhenUsed/>
    <w:pPr>
      <w:spacing w:after="100" w:line="259" w:lineRule="auto"/>
      <w:ind w:left="1100"/>
    </w:pPr>
    <w:rPr>
      <w:rFonts w:eastAsiaTheme="minorEastAsia"/>
      <w:lang w:val="fr-FR" w:eastAsia="fr-FR"/>
    </w:rPr>
  </w:style>
  <w:style w:type="paragraph" w:styleId="TOC7">
    <w:name w:val="toc 7"/>
    <w:basedOn w:val="Normal"/>
    <w:next w:val="Normal"/>
    <w:autoRedefine/>
    <w:uiPriority w:val="39"/>
    <w:unhideWhenUsed/>
    <w:pPr>
      <w:spacing w:after="100" w:line="259" w:lineRule="auto"/>
      <w:ind w:left="1320"/>
    </w:pPr>
    <w:rPr>
      <w:rFonts w:eastAsiaTheme="minorEastAsia"/>
      <w:lang w:val="fr-FR" w:eastAsia="fr-FR"/>
    </w:rPr>
  </w:style>
  <w:style w:type="paragraph" w:styleId="TOC8">
    <w:name w:val="toc 8"/>
    <w:basedOn w:val="Normal"/>
    <w:next w:val="Normal"/>
    <w:autoRedefine/>
    <w:uiPriority w:val="39"/>
    <w:unhideWhenUsed/>
    <w:pPr>
      <w:spacing w:after="100" w:line="259" w:lineRule="auto"/>
      <w:ind w:left="1540"/>
    </w:pPr>
    <w:rPr>
      <w:rFonts w:eastAsiaTheme="minorEastAsia"/>
      <w:lang w:val="fr-FR" w:eastAsia="fr-FR"/>
    </w:rPr>
  </w:style>
  <w:style w:type="paragraph" w:styleId="TOC9">
    <w:name w:val="toc 9"/>
    <w:basedOn w:val="Normal"/>
    <w:next w:val="Normal"/>
    <w:autoRedefine/>
    <w:uiPriority w:val="39"/>
    <w:unhideWhenUsed/>
    <w:pPr>
      <w:spacing w:after="100" w:line="259" w:lineRule="auto"/>
      <w:ind w:left="1760"/>
    </w:pPr>
    <w:rPr>
      <w:rFonts w:eastAsiaTheme="minorEastAsia"/>
      <w:lang w:val="fr-FR" w:eastAsia="fr-FR"/>
    </w:rPr>
  </w:style>
  <w:style w:type="table" w:customStyle="1" w:styleId="ListTable4Accent1">
    <w:name w:val="List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umPar1">
    <w:name w:val="NumPar 1"/>
    <w:basedOn w:val="Heading1"/>
    <w:next w:val="Text1"/>
    <w:pPr>
      <w:keepNext w:val="0"/>
      <w:numPr>
        <w:numId w:val="0"/>
      </w:numPr>
      <w:spacing w:before="0"/>
      <w:outlineLvl w:val="9"/>
    </w:pPr>
    <w:rPr>
      <w:b w:val="0"/>
      <w:smallCaps w:val="0"/>
    </w:rPr>
  </w:style>
  <w:style w:type="paragraph" w:customStyle="1" w:styleId="SubTitle1">
    <w:name w:val="SubTitle 1"/>
    <w:basedOn w:val="Normal"/>
    <w:next w:val="Normal"/>
    <w:pPr>
      <w:spacing w:after="240" w:line="240" w:lineRule="auto"/>
      <w:jc w:val="center"/>
    </w:pPr>
    <w:rPr>
      <w:rFonts w:ascii="Times New Roman" w:eastAsia="Times New Roman" w:hAnsi="Times New Roman" w:cs="Times New Roman"/>
      <w:b/>
      <w:sz w:val="40"/>
      <w:szCs w:val="20"/>
    </w:rPr>
  </w:style>
  <w:style w:type="character" w:customStyle="1" w:styleId="TOCHeadingChar">
    <w:name w:val="TOC Heading Char"/>
    <w:basedOn w:val="DefaultParagraphFont"/>
    <w:link w:val="TOCHeading"/>
    <w:rPr>
      <w:rFonts w:ascii="Times New Roman" w:eastAsia="Times New Roman" w:hAnsi="Times New Roman" w:cs="Times New Roman"/>
      <w:b/>
      <w:sz w:val="24"/>
      <w:szCs w:val="20"/>
    </w:rPr>
  </w:style>
  <w:style w:type="character" w:customStyle="1" w:styleId="FooterSensitivityChar">
    <w:name w:val="Footer Sensitivity Char"/>
    <w:basedOn w:val="TOCHeadingChar"/>
    <w:link w:val="FooterSensitivity"/>
    <w:rPr>
      <w:rFonts w:ascii="Times New Roman" w:eastAsia="Times New Roman" w:hAnsi="Times New Roman" w:cs="Times New Roman"/>
      <w:b/>
      <w:sz w:val="32"/>
      <w:szCs w:val="20"/>
    </w:rPr>
  </w:style>
  <w:style w:type="character" w:customStyle="1" w:styleId="HeaderSensitivityChar">
    <w:name w:val="Header Sensitivity Char"/>
    <w:basedOn w:val="TOCHeadingChar"/>
    <w:link w:val="HeaderSensitivity"/>
    <w:rPr>
      <w:rFonts w:ascii="Times New Roman" w:eastAsia="Times New Roman" w:hAnsi="Times New Roman" w:cs="Times New Roman"/>
      <w:b/>
      <w:sz w:val="32"/>
      <w:szCs w:val="20"/>
    </w:rPr>
  </w:style>
  <w:style w:type="paragraph" w:styleId="Caption">
    <w:name w:val="caption"/>
    <w:basedOn w:val="Normal"/>
    <w:next w:val="Normal"/>
    <w:uiPriority w:val="35"/>
    <w:unhideWhenUsed/>
    <w:qFormat/>
    <w:pPr>
      <w:spacing w:line="240" w:lineRule="auto"/>
    </w:pPr>
    <w:rPr>
      <w:i/>
      <w:iCs/>
      <w:color w:val="44546A" w:themeColor="text2"/>
      <w:sz w:val="18"/>
      <w:szCs w:val="18"/>
      <w:lang w:val="fr-BE"/>
    </w:rPr>
  </w:style>
  <w:style w:type="paragraph" w:styleId="TableofFigures">
    <w:name w:val="table of figures"/>
    <w:basedOn w:val="Normal"/>
    <w:next w:val="Normal"/>
    <w:uiPriority w:val="99"/>
    <w:unhideWhenUsed/>
    <w:pPr>
      <w:spacing w:after="0"/>
    </w:pPr>
    <w:rPr>
      <w:lang w:val="fr-B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locked/>
  </w:style>
  <w:style w:type="table" w:customStyle="1" w:styleId="CV16">
    <w:name w:val="CV16"/>
    <w:basedOn w:val="TableNormal"/>
    <w:next w:val="TableGrid"/>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7">
    <w:name w:val="CV17"/>
    <w:basedOn w:val="TableNormal"/>
    <w:next w:val="TableGrid"/>
    <w:uiPriority w:val="3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Normal"/>
    <w:next w:val="Heading1"/>
    <w:pPr>
      <w:keepNext/>
      <w:spacing w:after="480" w:line="240" w:lineRule="auto"/>
      <w:jc w:val="center"/>
    </w:pPr>
    <w:rPr>
      <w:rFonts w:ascii="Times New Roman" w:eastAsia="Times New Roman" w:hAnsi="Times New Roman" w:cs="Times New Roman"/>
      <w:b/>
      <w:small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99871">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1375229188">
      <w:bodyDiv w:val="1"/>
      <w:marLeft w:val="0"/>
      <w:marRight w:val="0"/>
      <w:marTop w:val="0"/>
      <w:marBottom w:val="0"/>
      <w:divBdr>
        <w:top w:val="none" w:sz="0" w:space="0" w:color="auto"/>
        <w:left w:val="none" w:sz="0" w:space="0" w:color="auto"/>
        <w:bottom w:val="none" w:sz="0" w:space="0" w:color="auto"/>
        <w:right w:val="none" w:sz="0" w:space="0" w:color="auto"/>
      </w:divBdr>
    </w:div>
    <w:div w:id="1506869654">
      <w:bodyDiv w:val="1"/>
      <w:marLeft w:val="0"/>
      <w:marRight w:val="0"/>
      <w:marTop w:val="0"/>
      <w:marBottom w:val="0"/>
      <w:divBdr>
        <w:top w:val="none" w:sz="0" w:space="0" w:color="auto"/>
        <w:left w:val="none" w:sz="0" w:space="0" w:color="auto"/>
        <w:bottom w:val="none" w:sz="0" w:space="0" w:color="auto"/>
        <w:right w:val="none" w:sz="0" w:space="0" w:color="auto"/>
      </w:divBdr>
    </w:div>
    <w:div w:id="1807775195">
      <w:bodyDiv w:val="1"/>
      <w:marLeft w:val="0"/>
      <w:marRight w:val="0"/>
      <w:marTop w:val="0"/>
      <w:marBottom w:val="0"/>
      <w:divBdr>
        <w:top w:val="none" w:sz="0" w:space="0" w:color="auto"/>
        <w:left w:val="none" w:sz="0" w:space="0" w:color="auto"/>
        <w:bottom w:val="none" w:sz="0" w:space="0" w:color="auto"/>
        <w:right w:val="none" w:sz="0" w:space="0" w:color="auto"/>
      </w:divBdr>
    </w:div>
    <w:div w:id="1954747456">
      <w:bodyDiv w:val="1"/>
      <w:marLeft w:val="0"/>
      <w:marRight w:val="0"/>
      <w:marTop w:val="0"/>
      <w:marBottom w:val="0"/>
      <w:divBdr>
        <w:top w:val="none" w:sz="0" w:space="0" w:color="auto"/>
        <w:left w:val="none" w:sz="0" w:space="0" w:color="auto"/>
        <w:bottom w:val="none" w:sz="0" w:space="0" w:color="auto"/>
        <w:right w:val="none" w:sz="0" w:space="0" w:color="auto"/>
      </w:divBdr>
    </w:div>
    <w:div w:id="202292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ec.europa.eu/info/sites/info/files/swd_2019_0402_en.pdf" TargetMode="External"/><Relationship Id="rId39" Type="http://schemas.openxmlformats.org/officeDocument/2006/relationships/hyperlink" Target="https://www.eiopa.europa.eu/sites/default/files/publications/submissions/report_to_the_european_commission_on_the_application_of_group_supervision.pdf" TargetMode="External"/><Relationship Id="rId21" Type="http://schemas.openxmlformats.org/officeDocument/2006/relationships/footer" Target="footer6.xml"/><Relationship Id="rId34" Type="http://schemas.openxmlformats.org/officeDocument/2006/relationships/hyperlink" Target="https://www.eiopa.europa.eu/sites/default/files/solvency_ii/eiopa-bos-20-752-feedback-statement.pdf" TargetMode="External"/><Relationship Id="rId42" Type="http://schemas.openxmlformats.org/officeDocument/2006/relationships/hyperlink" Target="https://www.eiopa.europa.eu/sites/default/files/publications/reports/2017-12-20_ltg_report_2017.pdf" TargetMode="External"/><Relationship Id="rId47" Type="http://schemas.openxmlformats.org/officeDocument/2006/relationships/hyperlink" Target="https://www.eiopa.europa.eu/tools-and-data/risk-dashboard_en" TargetMode="External"/><Relationship Id="rId50" Type="http://schemas.openxmlformats.org/officeDocument/2006/relationships/hyperlink" Target="https://www.eiopa.europa.eu/sites/default/files/publications/opinions/eiopa-bos-17-148_opinion_on_recovery_and_resolution_for_reinsurers.pdf" TargetMode="External"/><Relationship Id="rId55" Type="http://schemas.openxmlformats.org/officeDocument/2006/relationships/hyperlink" Target="https://www.eiopa.europa.eu/content/report-use-limitations-and-exemptions-reporting-2018-and-q1-2019" TargetMode="External"/><Relationship Id="rId63" Type="http://schemas.openxmlformats.org/officeDocument/2006/relationships/hyperlink" Target="https://ec.europa.eu/info/publications/191216-insurers-pension-funds-investments-in-equity_en" TargetMode="External"/><Relationship Id="rId68" Type="http://schemas.openxmlformats.org/officeDocument/2006/relationships/hyperlink" Target="https://eur-lex.europa.eu/legal-content/EN/TXT/?uri=CELEX:52019DC0640" TargetMode="External"/><Relationship Id="rId76" Type="http://schemas.openxmlformats.org/officeDocument/2006/relationships/header" Target="header9.xml"/><Relationship Id="rId7" Type="http://schemas.openxmlformats.org/officeDocument/2006/relationships/footnotes" Target="footnotes.xml"/><Relationship Id="rId71" Type="http://schemas.openxmlformats.org/officeDocument/2006/relationships/hyperlink" Target="https://eur-lex.europa.eu/legal-content/EN/TXT/?uri=CELEX:32020R0852"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eiopa.europa.eu/sites/default/files/solvency_ii/eiopa-bos-20-750-background-analysis.pdf" TargetMode="External"/><Relationship Id="rId11" Type="http://schemas.openxmlformats.org/officeDocument/2006/relationships/header" Target="header2.xml"/><Relationship Id="rId24" Type="http://schemas.openxmlformats.org/officeDocument/2006/relationships/hyperlink" Target="https://ec.europa.eu/info/law/better-regulation/have-your-say/initiatives/12461-Review-of-measures-on-taking-up-and-pursuit-of-the-insurance-and-reinsurance-business-Solvency-II-" TargetMode="External"/><Relationship Id="rId32" Type="http://schemas.openxmlformats.org/officeDocument/2006/relationships/hyperlink" Target="https://www.eiopa.europa.eu/content/consultation-paper-opinion-2020-review-of-solvency-ii" TargetMode="External"/><Relationship Id="rId37" Type="http://schemas.openxmlformats.org/officeDocument/2006/relationships/hyperlink" Target="http://wayback.archive-it.org/org-1495/20191229133723/https:/eiopa.europa.eu/Publications/Consultations/Report%20to%20the%20European%20Commission%20on%20the%20Application%20of%20Group%20Supervision.pdf" TargetMode="External"/><Relationship Id="rId40" Type="http://schemas.openxmlformats.org/officeDocument/2006/relationships/hyperlink" Target="https://register.eiopa.europa.eu/Publications/Reports/Report%20on%20Article%20242%20COM%20Request_FINAL%2014%20Dec%202018.pdf" TargetMode="External"/><Relationship Id="rId45" Type="http://schemas.openxmlformats.org/officeDocument/2006/relationships/hyperlink" Target="https://www.eiopa.europa.eu/sites/default/files/publications/reports/eiopa-bos-20-706-long-term-guarantees-ltg-report-2020.pdf" TargetMode="External"/><Relationship Id="rId53" Type="http://schemas.openxmlformats.org/officeDocument/2006/relationships/hyperlink" Target="https://www.eiopa.europa.eu/sites/default/files/financial_stability/insurance_stress_test/insurance_stress_test_2018/eiopa_2018_insurance_stress_test_report_0.pdf" TargetMode="External"/><Relationship Id="rId58" Type="http://schemas.openxmlformats.org/officeDocument/2006/relationships/hyperlink" Target="https://www.eiopa.europa.eu/content/peer-review-eiopa-decision-collaboration-insurance-supervisory-authorities_en" TargetMode="External"/><Relationship Id="rId66" Type="http://schemas.openxmlformats.org/officeDocument/2006/relationships/hyperlink" Target="https://www.gdv.de/de/themen/news/solvenzberichte--weniger-daten-fuer-mehr-transparenz-43630" TargetMode="External"/><Relationship Id="rId74" Type="http://schemas.openxmlformats.org/officeDocument/2006/relationships/footer" Target="footer7.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eiopa.europa.eu/sites/default/files/publications/reports/sensitivity-analysis-climate-change-transition-risks.pdf"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www.eiopa.europa.eu/content/eiopa-consults-harmonisation-national-insurance-guarantee-schemes_en" TargetMode="External"/><Relationship Id="rId44" Type="http://schemas.openxmlformats.org/officeDocument/2006/relationships/hyperlink" Target="https://www.eiopa.europa.eu/sites/default/files/publications/reports/eiopa-ltg-report2019.pdf" TargetMode="External"/><Relationship Id="rId52" Type="http://schemas.openxmlformats.org/officeDocument/2006/relationships/hyperlink" Target="https://www.eiopa.europa.eu/content/eiopa-assesses-supervisory-practices-and-application-key-functions-through-peer-review_en" TargetMode="External"/><Relationship Id="rId60" Type="http://schemas.openxmlformats.org/officeDocument/2006/relationships/hyperlink" Target="https://www.eiopa.europa.eu/content/discussion-paper-methodology-potential-inclusion-of-climate-change-nat-cat-standard-formula_en" TargetMode="External"/><Relationship Id="rId65" Type="http://schemas.openxmlformats.org/officeDocument/2006/relationships/hyperlink" Target="https://www.gdv.de/de/tag/regulierung-und-aufsicht-kompakt-4390" TargetMode="External"/><Relationship Id="rId73" Type="http://schemas.openxmlformats.org/officeDocument/2006/relationships/header" Target="header8.xm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eur-lex.europa.eu/legal-content/EN/TXT/?uri=CELEX%3A02009L0138-20190113&amp;qid=1614251446510" TargetMode="External"/><Relationship Id="rId27" Type="http://schemas.openxmlformats.org/officeDocument/2006/relationships/hyperlink" Target="https://www.eiopa.europa.eu/content/opinion-2020-review-of-solvency-ii_en" TargetMode="External"/><Relationship Id="rId30" Type="http://schemas.openxmlformats.org/officeDocument/2006/relationships/hyperlink" Target="https://www.eiopa.europa.eu/content/consultation-supervisory-reporting-and-public-disclosure_en" TargetMode="External"/><Relationship Id="rId35" Type="http://schemas.openxmlformats.org/officeDocument/2006/relationships/hyperlink" Target="https://www.eiopa.europa.eu/sites/default/files/solvency_ii/eiopa-bos-20-753-1_resolution-stakeholders-comments.xlsx" TargetMode="External"/><Relationship Id="rId43" Type="http://schemas.openxmlformats.org/officeDocument/2006/relationships/hyperlink" Target="https://www.eiopa.europa.eu/sites/default/files/publications/pdfs/2018-12-18_ltg_annualreport2018.pdf" TargetMode="External"/><Relationship Id="rId48" Type="http://schemas.openxmlformats.org/officeDocument/2006/relationships/hyperlink" Target="https://www.eiopa.europa.eu/content/peer-review-freedom-provide-services_en" TargetMode="External"/><Relationship Id="rId56" Type="http://schemas.openxmlformats.org/officeDocument/2006/relationships/hyperlink" Target="https://www.eiopa.europa.eu/content/peer-review-regular-supervisory-report_en" TargetMode="External"/><Relationship Id="rId64" Type="http://schemas.openxmlformats.org/officeDocument/2006/relationships/hyperlink" Target="https://op.europa.eu/en/publication-detail/-/publication/4b62e682-4e0f-11ea-aece-01aa75ed71a1/language-en" TargetMode="External"/><Relationship Id="rId69" Type="http://schemas.openxmlformats.org/officeDocument/2006/relationships/hyperlink" Target="https://eur-lex.europa.eu/legal-content/EN/TXT/?uri=CELEX:52020DC0562" TargetMode="External"/><Relationship Id="rId77"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hyperlink" Target="https://www.eiopa.europa.eu/content/eiopa-examines-causes-insurers&#8217;-failures-and-near-misses_en?source=search" TargetMode="External"/><Relationship Id="rId72"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eur-lex.europa.eu/legal-content/EN/TXT/?uri=CELEX:52007SC0871" TargetMode="External"/><Relationship Id="rId33" Type="http://schemas.openxmlformats.org/officeDocument/2006/relationships/hyperlink" Target="https://www.eiopa.europa.eu/content/consultation-paper-opinion-2020-review-of-solvency-ii_en" TargetMode="External"/><Relationship Id="rId38" Type="http://schemas.openxmlformats.org/officeDocument/2006/relationships/hyperlink" Target="https://www.eiopa.europa.eu/content/eiopa-reports-group-supervision-and-capital-management-insurance-and-reinsurance_en" TargetMode="External"/><Relationship Id="rId46" Type="http://schemas.openxmlformats.org/officeDocument/2006/relationships/hyperlink" Target="https://www.eiopa.europa.eu/content/financial-stability-report-december-2020_en" TargetMode="External"/><Relationship Id="rId59" Type="http://schemas.openxmlformats.org/officeDocument/2006/relationships/hyperlink" Target="https://myintracomm-collab.ec.europa.eu/dg/FISMA/D/D4/Solvency%20II/Discussion%20Paper:%20Methodology%20on%20potential%20inclusion%20of%20climate%20change%20in%20the%20nat%20cat%20standard%20formula" TargetMode="External"/><Relationship Id="rId67" Type="http://schemas.openxmlformats.org/officeDocument/2006/relationships/hyperlink" Target="https://eur-lex.europa.eu/legal-content/EN/TXT/?uri=CELEX:52015DC0468" TargetMode="External"/><Relationship Id="rId20" Type="http://schemas.openxmlformats.org/officeDocument/2006/relationships/header" Target="header6.xml"/><Relationship Id="rId41" Type="http://schemas.openxmlformats.org/officeDocument/2006/relationships/hyperlink" Target="https://www.eiopa.europa.eu/sites/default/files/publications/submissions/eiopa-bos-16-279_ltg_report_2016.pdf" TargetMode="External"/><Relationship Id="rId54" Type="http://schemas.openxmlformats.org/officeDocument/2006/relationships/hyperlink" Target="https://www.eiopa.europa.eu/content/eiopa-issues-opinion-sustainability-within-solvency-ii_en" TargetMode="External"/><Relationship Id="rId62" Type="http://schemas.openxmlformats.org/officeDocument/2006/relationships/hyperlink" Target="https://www.eca.europa.eu/Lists/ECADocuments/SR18_29/SR_EIOPA_EN.pdf" TargetMode="External"/><Relationship Id="rId70" Type="http://schemas.openxmlformats.org/officeDocument/2006/relationships/hyperlink" Target="https://eur-lex.europa.eu/legal-content/EN/TXT/?uri=COM:2020:590:FIN" TargetMode="External"/><Relationship Id="rId75"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ur-lex.europa.eu/legal-content/EN/TXT/?uri=CELEX:32015R0035" TargetMode="External"/><Relationship Id="rId28" Type="http://schemas.openxmlformats.org/officeDocument/2006/relationships/hyperlink" Target="https://www.eiopa.europa.eu/sites/default/files/solvency_ii/eiopa-bos-20-749-opinion-2020-review-solvency-ii.pdf" TargetMode="External"/><Relationship Id="rId36" Type="http://schemas.openxmlformats.org/officeDocument/2006/relationships/hyperlink" Target="https://ec.europa.eu/transparency/regdoc/rep/1/2019/EN/COM-2019-292-F1-EN-MAIN-PART-1.PDF" TargetMode="External"/><Relationship Id="rId49" Type="http://schemas.openxmlformats.org/officeDocument/2006/relationships/hyperlink" Target="https://www.eiopa.europa.eu/content/decision-collaboration-insurance-supervisory-authorities_en" TargetMode="External"/><Relationship Id="rId57" Type="http://schemas.openxmlformats.org/officeDocument/2006/relationships/hyperlink" Target="https://www.eiopa.europa.eu/content/impact-ultra-low-yields-insurance-sector-including-first-effects-covid-19-crisi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1C4DDA1-B977-4CEC-B854-2A034ADF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5133</Words>
  <Characters>30082</Characters>
  <Application>Microsoft Office Word</Application>
  <DocSecurity>0</DocSecurity>
  <Lines>509</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34</cp:revision>
  <cp:lastPrinted>2021-03-19T14:31:00Z</cp:lastPrinted>
  <dcterms:created xsi:type="dcterms:W3CDTF">2021-09-14T13:34:00Z</dcterms:created>
  <dcterms:modified xsi:type="dcterms:W3CDTF">2021-09-22T09:20:00Z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4</vt:lpwstr>
  </property>
  <property fmtid="{D5CDD505-2E9C-101B-9397-08002B2CF9AE}" pid="4" name="Total parts">
    <vt:lpwstr>4</vt:lpwstr>
  </property>
  <property fmtid="{D5CDD505-2E9C-101B-9397-08002B2CF9AE}" pid="5" name="DocStatus">
    <vt:lpwstr>Green</vt:lpwstr>
  </property>
  <property fmtid="{D5CDD505-2E9C-101B-9397-08002B2CF9AE}" pid="6" name="CPTemplateID">
    <vt:lpwstr>CP-026</vt:lpwstr>
  </property>
  <property fmtid="{D5CDD505-2E9C-101B-9397-08002B2CF9AE}" pid="7" name="Last edited using">
    <vt:lpwstr>LW 7.0.1, Build 20200226</vt:lpwstr>
  </property>
  <property fmtid="{D5CDD505-2E9C-101B-9397-08002B2CF9AE}" pid="8" name="Created using">
    <vt:lpwstr>LW 7.0, Build 20190717</vt:lpwstr>
  </property>
</Properties>
</file>