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charts/colors4.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FB90B5BA-3740-4EDF-B3EA-A65E606D67AB" style="width:455.3pt;height:351.7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26"/>
        </w:sectPr>
      </w:pPr>
    </w:p>
    <w:p>
      <w:pPr>
        <w:pStyle w:val="TOCHeading"/>
        <w:jc w:val="left"/>
        <w:rPr>
          <w:noProof/>
        </w:rPr>
      </w:pPr>
      <w:bookmarkStart w:id="1" w:name="_GoBack"/>
      <w:bookmarkEnd w:id="1"/>
      <w:r>
        <w:rPr>
          <w:noProof/>
        </w:rPr>
        <w:lastRenderedPageBreak/>
        <w:t>Πίνακας περιεχομένων</w:t>
      </w:r>
    </w:p>
    <w:p>
      <w:pPr>
        <w:pStyle w:val="TOC1"/>
        <w:rPr>
          <w:rFonts w:asciiTheme="minorHAnsi" w:eastAsiaTheme="minorEastAsia" w:hAnsiTheme="minorHAnsi" w:cstheme="minorBidi"/>
          <w:caps w:val="0"/>
          <w:noProof/>
          <w:sz w:val="22"/>
          <w:szCs w:val="22"/>
          <w:lang w:val="en-US"/>
        </w:rPr>
      </w:pPr>
      <w:r>
        <w:rPr>
          <w:noProof/>
        </w:rPr>
        <w:fldChar w:fldCharType="begin"/>
      </w:r>
      <w:r>
        <w:rPr>
          <w:noProof/>
        </w:rPr>
        <w:instrText xml:space="preserve"> TOC \o "1-3" \h \z \u </w:instrText>
      </w:r>
      <w:r>
        <w:rPr>
          <w:noProof/>
        </w:rPr>
        <w:fldChar w:fldCharType="separate"/>
      </w:r>
      <w:hyperlink w:anchor="_Toc82425976" w:history="1">
        <w:r>
          <w:rPr>
            <w:rStyle w:val="Hyperlink"/>
            <w:noProof/>
          </w:rPr>
          <w:t>Εισαγωγή</w:t>
        </w:r>
        <w:r>
          <w:rPr>
            <w:noProof/>
            <w:webHidden/>
          </w:rPr>
          <w:tab/>
        </w:r>
        <w:r>
          <w:rPr>
            <w:noProof/>
            <w:webHidden/>
          </w:rPr>
          <w:fldChar w:fldCharType="begin"/>
        </w:r>
        <w:r>
          <w:rPr>
            <w:noProof/>
            <w:webHidden/>
          </w:rPr>
          <w:instrText xml:space="preserve"> PAGEREF _Toc82425976 \h </w:instrText>
        </w:r>
        <w:r>
          <w:rPr>
            <w:noProof/>
            <w:webHidden/>
          </w:rPr>
        </w:r>
        <w:r>
          <w:rPr>
            <w:noProof/>
            <w:webHidden/>
          </w:rPr>
          <w:fldChar w:fldCharType="separate"/>
        </w:r>
        <w:r>
          <w:rPr>
            <w:noProof/>
            <w:webHidden/>
          </w:rPr>
          <w:t>2</w:t>
        </w:r>
        <w:r>
          <w:rPr>
            <w:noProof/>
            <w:webHidden/>
          </w:rPr>
          <w:fldChar w:fldCharType="end"/>
        </w:r>
      </w:hyperlink>
    </w:p>
    <w:p>
      <w:pPr>
        <w:pStyle w:val="TOC1"/>
        <w:rPr>
          <w:rFonts w:asciiTheme="minorHAnsi" w:eastAsiaTheme="minorEastAsia" w:hAnsiTheme="minorHAnsi" w:cstheme="minorBidi"/>
          <w:caps w:val="0"/>
          <w:noProof/>
          <w:sz w:val="22"/>
          <w:szCs w:val="22"/>
          <w:lang w:val="en-US"/>
        </w:rPr>
      </w:pPr>
      <w:hyperlink w:anchor="_Toc82425977" w:history="1">
        <w:r>
          <w:rPr>
            <w:rStyle w:val="Hyperlink"/>
            <w:noProof/>
          </w:rPr>
          <w:t>1.</w:t>
        </w:r>
        <w:r>
          <w:rPr>
            <w:rFonts w:asciiTheme="minorHAnsi" w:eastAsiaTheme="minorEastAsia" w:hAnsiTheme="minorHAnsi" w:cstheme="minorBidi"/>
            <w:caps w:val="0"/>
            <w:noProof/>
            <w:sz w:val="22"/>
            <w:szCs w:val="22"/>
            <w:lang w:val="en-US"/>
          </w:rPr>
          <w:tab/>
        </w:r>
        <w:r>
          <w:rPr>
            <w:rStyle w:val="Hyperlink"/>
            <w:noProof/>
          </w:rPr>
          <w:t>Συνοπτική παρουσίαση των εκθέσεων των κρατών μελών</w:t>
        </w:r>
        <w:r>
          <w:rPr>
            <w:noProof/>
            <w:webHidden/>
          </w:rPr>
          <w:tab/>
        </w:r>
        <w:r>
          <w:rPr>
            <w:noProof/>
            <w:webHidden/>
          </w:rPr>
          <w:fldChar w:fldCharType="begin"/>
        </w:r>
        <w:r>
          <w:rPr>
            <w:noProof/>
            <w:webHidden/>
          </w:rPr>
          <w:instrText xml:space="preserve"> PAGEREF _Toc82425977 \h </w:instrText>
        </w:r>
        <w:r>
          <w:rPr>
            <w:noProof/>
            <w:webHidden/>
          </w:rPr>
        </w:r>
        <w:r>
          <w:rPr>
            <w:noProof/>
            <w:webHidden/>
          </w:rPr>
          <w:fldChar w:fldCharType="separate"/>
        </w:r>
        <w:r>
          <w:rPr>
            <w:noProof/>
            <w:webHidden/>
          </w:rPr>
          <w:t>3</w:t>
        </w:r>
        <w:r>
          <w:rPr>
            <w:noProof/>
            <w:webHidden/>
          </w:rPr>
          <w:fldChar w:fldCharType="end"/>
        </w:r>
      </w:hyperlink>
    </w:p>
    <w:p>
      <w:pPr>
        <w:pStyle w:val="TOC2"/>
        <w:tabs>
          <w:tab w:val="left" w:pos="1077"/>
        </w:tabs>
        <w:rPr>
          <w:rFonts w:asciiTheme="minorHAnsi" w:eastAsiaTheme="minorEastAsia" w:hAnsiTheme="minorHAnsi" w:cstheme="minorBidi"/>
          <w:sz w:val="22"/>
          <w:szCs w:val="22"/>
          <w:lang w:val="en-US"/>
        </w:rPr>
      </w:pPr>
      <w:hyperlink w:anchor="_Toc82425978" w:history="1">
        <w:r>
          <w:rPr>
            <w:rStyle w:val="Hyperlink"/>
          </w:rPr>
          <w:t>1.1.</w:t>
        </w:r>
        <w:r>
          <w:rPr>
            <w:rFonts w:asciiTheme="minorHAnsi" w:eastAsiaTheme="minorEastAsia" w:hAnsiTheme="minorHAnsi" w:cstheme="minorBidi"/>
            <w:sz w:val="22"/>
            <w:szCs w:val="22"/>
            <w:lang w:val="en-US"/>
          </w:rPr>
          <w:tab/>
        </w:r>
        <w:r>
          <w:rPr>
            <w:rStyle w:val="Hyperlink"/>
          </w:rPr>
          <w:t>Στατιστικά στοιχεία σχετικά με τις μονάδες</w:t>
        </w:r>
        <w:r>
          <w:rPr>
            <w:webHidden/>
          </w:rPr>
          <w:tab/>
        </w:r>
        <w:r>
          <w:rPr>
            <w:webHidden/>
          </w:rPr>
          <w:fldChar w:fldCharType="begin"/>
        </w:r>
        <w:r>
          <w:rPr>
            <w:webHidden/>
          </w:rPr>
          <w:instrText xml:space="preserve"> PAGEREF _Toc82425978 \h </w:instrText>
        </w:r>
        <w:r>
          <w:rPr>
            <w:webHidden/>
          </w:rPr>
        </w:r>
        <w:r>
          <w:rPr>
            <w:webHidden/>
          </w:rPr>
          <w:fldChar w:fldCharType="separate"/>
        </w:r>
        <w:r>
          <w:rPr>
            <w:webHidden/>
          </w:rPr>
          <w:t>3</w:t>
        </w:r>
        <w:r>
          <w:rPr>
            <w:webHidden/>
          </w:rPr>
          <w:fldChar w:fldCharType="end"/>
        </w:r>
      </w:hyperlink>
    </w:p>
    <w:p>
      <w:pPr>
        <w:pStyle w:val="TOC3"/>
        <w:tabs>
          <w:tab w:val="left" w:pos="1916"/>
        </w:tabs>
        <w:rPr>
          <w:rFonts w:asciiTheme="minorHAnsi" w:eastAsiaTheme="minorEastAsia" w:hAnsiTheme="minorHAnsi" w:cstheme="minorBidi"/>
          <w:noProof/>
          <w:sz w:val="22"/>
          <w:szCs w:val="22"/>
          <w:lang w:val="en-US"/>
        </w:rPr>
      </w:pPr>
      <w:hyperlink w:anchor="_Toc82425979" w:history="1">
        <w:r>
          <w:rPr>
            <w:rStyle w:val="Hyperlink"/>
            <w:noProof/>
          </w:rPr>
          <w:t>1.1.1.</w:t>
        </w:r>
        <w:r>
          <w:rPr>
            <w:rFonts w:asciiTheme="minorHAnsi" w:eastAsiaTheme="minorEastAsia" w:hAnsiTheme="minorHAnsi" w:cstheme="minorBidi"/>
            <w:noProof/>
            <w:sz w:val="22"/>
            <w:szCs w:val="22"/>
            <w:lang w:val="en-US"/>
          </w:rPr>
          <w:tab/>
        </w:r>
        <w:r>
          <w:rPr>
            <w:rStyle w:val="Hyperlink"/>
            <w:noProof/>
          </w:rPr>
          <w:t>Αριθμός μονάδων</w:t>
        </w:r>
        <w:r>
          <w:rPr>
            <w:noProof/>
            <w:webHidden/>
          </w:rPr>
          <w:tab/>
        </w:r>
        <w:r>
          <w:rPr>
            <w:noProof/>
            <w:webHidden/>
          </w:rPr>
          <w:fldChar w:fldCharType="begin"/>
        </w:r>
        <w:r>
          <w:rPr>
            <w:noProof/>
            <w:webHidden/>
          </w:rPr>
          <w:instrText xml:space="preserve"> PAGEREF _Toc82425979 \h </w:instrText>
        </w:r>
        <w:r>
          <w:rPr>
            <w:noProof/>
            <w:webHidden/>
          </w:rPr>
        </w:r>
        <w:r>
          <w:rPr>
            <w:noProof/>
            <w:webHidden/>
          </w:rPr>
          <w:fldChar w:fldCharType="separate"/>
        </w:r>
        <w:r>
          <w:rPr>
            <w:noProof/>
            <w:webHidden/>
          </w:rPr>
          <w:t>3</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val="en-US"/>
        </w:rPr>
      </w:pPr>
      <w:hyperlink w:anchor="_Toc82425980" w:history="1">
        <w:r>
          <w:rPr>
            <w:rStyle w:val="Hyperlink"/>
            <w:noProof/>
          </w:rPr>
          <w:t>1.1.2.</w:t>
        </w:r>
        <w:r>
          <w:rPr>
            <w:rFonts w:asciiTheme="minorHAnsi" w:eastAsiaTheme="minorEastAsia" w:hAnsiTheme="minorHAnsi" w:cstheme="minorBidi"/>
            <w:noProof/>
            <w:sz w:val="22"/>
            <w:szCs w:val="22"/>
            <w:lang w:val="en-US"/>
          </w:rPr>
          <w:tab/>
        </w:r>
        <w:r>
          <w:rPr>
            <w:rStyle w:val="Hyperlink"/>
            <w:noProof/>
          </w:rPr>
          <w:t>Εξωτερικά σχέδια έκτακτης ανάγκης</w:t>
        </w:r>
        <w:r>
          <w:rPr>
            <w:noProof/>
            <w:webHidden/>
          </w:rPr>
          <w:tab/>
        </w:r>
        <w:r>
          <w:rPr>
            <w:noProof/>
            <w:webHidden/>
          </w:rPr>
          <w:fldChar w:fldCharType="begin"/>
        </w:r>
        <w:r>
          <w:rPr>
            <w:noProof/>
            <w:webHidden/>
          </w:rPr>
          <w:instrText xml:space="preserve"> PAGEREF _Toc82425980 \h </w:instrText>
        </w:r>
        <w:r>
          <w:rPr>
            <w:noProof/>
            <w:webHidden/>
          </w:rPr>
        </w:r>
        <w:r>
          <w:rPr>
            <w:noProof/>
            <w:webHidden/>
          </w:rPr>
          <w:fldChar w:fldCharType="separate"/>
        </w:r>
        <w:r>
          <w:rPr>
            <w:noProof/>
            <w:webHidden/>
          </w:rPr>
          <w:t>5</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val="en-US"/>
        </w:rPr>
      </w:pPr>
      <w:hyperlink w:anchor="_Toc82425981" w:history="1">
        <w:r>
          <w:rPr>
            <w:rStyle w:val="Hyperlink"/>
            <w:noProof/>
          </w:rPr>
          <w:t>1.1.3.</w:t>
        </w:r>
        <w:r>
          <w:rPr>
            <w:rFonts w:asciiTheme="minorHAnsi" w:eastAsiaTheme="minorEastAsia" w:hAnsiTheme="minorHAnsi" w:cstheme="minorBidi"/>
            <w:noProof/>
            <w:sz w:val="22"/>
            <w:szCs w:val="22"/>
            <w:lang w:val="en-US"/>
          </w:rPr>
          <w:tab/>
        </w:r>
        <w:r>
          <w:rPr>
            <w:rStyle w:val="Hyperlink"/>
            <w:noProof/>
          </w:rPr>
          <w:t>Ενημέρωση του κοινού</w:t>
        </w:r>
        <w:r>
          <w:rPr>
            <w:noProof/>
            <w:webHidden/>
          </w:rPr>
          <w:tab/>
        </w:r>
        <w:r>
          <w:rPr>
            <w:noProof/>
            <w:webHidden/>
          </w:rPr>
          <w:fldChar w:fldCharType="begin"/>
        </w:r>
        <w:r>
          <w:rPr>
            <w:noProof/>
            <w:webHidden/>
          </w:rPr>
          <w:instrText xml:space="preserve"> PAGEREF _Toc82425981 \h </w:instrText>
        </w:r>
        <w:r>
          <w:rPr>
            <w:noProof/>
            <w:webHidden/>
          </w:rPr>
        </w:r>
        <w:r>
          <w:rPr>
            <w:noProof/>
            <w:webHidden/>
          </w:rPr>
          <w:fldChar w:fldCharType="separate"/>
        </w:r>
        <w:r>
          <w:rPr>
            <w:noProof/>
            <w:webHidden/>
          </w:rPr>
          <w:t>7</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val="en-US"/>
        </w:rPr>
      </w:pPr>
      <w:hyperlink w:anchor="_Toc82425982" w:history="1">
        <w:r>
          <w:rPr>
            <w:rStyle w:val="Hyperlink"/>
            <w:noProof/>
          </w:rPr>
          <w:t>1.1.4.</w:t>
        </w:r>
        <w:r>
          <w:rPr>
            <w:rFonts w:asciiTheme="minorHAnsi" w:eastAsiaTheme="minorEastAsia" w:hAnsiTheme="minorHAnsi" w:cstheme="minorBidi"/>
            <w:noProof/>
            <w:sz w:val="22"/>
            <w:szCs w:val="22"/>
            <w:lang w:val="en-US"/>
          </w:rPr>
          <w:tab/>
        </w:r>
        <w:r>
          <w:rPr>
            <w:rStyle w:val="Hyperlink"/>
            <w:noProof/>
          </w:rPr>
          <w:t>Επιθεωρήσεις</w:t>
        </w:r>
        <w:r>
          <w:rPr>
            <w:noProof/>
            <w:webHidden/>
          </w:rPr>
          <w:tab/>
        </w:r>
        <w:r>
          <w:rPr>
            <w:noProof/>
            <w:webHidden/>
          </w:rPr>
          <w:fldChar w:fldCharType="begin"/>
        </w:r>
        <w:r>
          <w:rPr>
            <w:noProof/>
            <w:webHidden/>
          </w:rPr>
          <w:instrText xml:space="preserve"> PAGEREF _Toc82425982 \h </w:instrText>
        </w:r>
        <w:r>
          <w:rPr>
            <w:noProof/>
            <w:webHidden/>
          </w:rPr>
        </w:r>
        <w:r>
          <w:rPr>
            <w:noProof/>
            <w:webHidden/>
          </w:rPr>
          <w:fldChar w:fldCharType="separate"/>
        </w:r>
        <w:r>
          <w:rPr>
            <w:noProof/>
            <w:webHidden/>
          </w:rPr>
          <w:t>8</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val="en-US"/>
        </w:rPr>
      </w:pPr>
      <w:hyperlink w:anchor="_Toc82425983" w:history="1">
        <w:r>
          <w:rPr>
            <w:rStyle w:val="Hyperlink"/>
            <w:noProof/>
          </w:rPr>
          <w:t>1.1.5.</w:t>
        </w:r>
        <w:r>
          <w:rPr>
            <w:rFonts w:asciiTheme="minorHAnsi" w:eastAsiaTheme="minorEastAsia" w:hAnsiTheme="minorHAnsi" w:cstheme="minorBidi"/>
            <w:noProof/>
            <w:sz w:val="22"/>
            <w:szCs w:val="22"/>
            <w:lang w:val="en-US"/>
          </w:rPr>
          <w:tab/>
        </w:r>
        <w:r>
          <w:rPr>
            <w:rStyle w:val="Hyperlink"/>
            <w:noProof/>
          </w:rPr>
          <w:t>Απαγόρευση λειτουργίας, κυρώσεις και άλλα μέσα καταναγκασμού</w:t>
        </w:r>
        <w:r>
          <w:rPr>
            <w:noProof/>
            <w:webHidden/>
          </w:rPr>
          <w:tab/>
        </w:r>
        <w:r>
          <w:rPr>
            <w:noProof/>
            <w:webHidden/>
          </w:rPr>
          <w:fldChar w:fldCharType="begin"/>
        </w:r>
        <w:r>
          <w:rPr>
            <w:noProof/>
            <w:webHidden/>
          </w:rPr>
          <w:instrText xml:space="preserve"> PAGEREF _Toc82425983 \h </w:instrText>
        </w:r>
        <w:r>
          <w:rPr>
            <w:noProof/>
            <w:webHidden/>
          </w:rPr>
        </w:r>
        <w:r>
          <w:rPr>
            <w:noProof/>
            <w:webHidden/>
          </w:rPr>
          <w:fldChar w:fldCharType="separate"/>
        </w:r>
        <w:r>
          <w:rPr>
            <w:noProof/>
            <w:webHidden/>
          </w:rPr>
          <w:t>9</w:t>
        </w:r>
        <w:r>
          <w:rPr>
            <w:noProof/>
            <w:webHidden/>
          </w:rPr>
          <w:fldChar w:fldCharType="end"/>
        </w:r>
      </w:hyperlink>
    </w:p>
    <w:p>
      <w:pPr>
        <w:pStyle w:val="TOC2"/>
        <w:tabs>
          <w:tab w:val="left" w:pos="1077"/>
        </w:tabs>
        <w:rPr>
          <w:rFonts w:asciiTheme="minorHAnsi" w:eastAsiaTheme="minorEastAsia" w:hAnsiTheme="minorHAnsi" w:cstheme="minorBidi"/>
          <w:sz w:val="22"/>
          <w:szCs w:val="22"/>
          <w:lang w:val="en-US"/>
        </w:rPr>
      </w:pPr>
      <w:hyperlink w:anchor="_Toc82425984" w:history="1">
        <w:r>
          <w:rPr>
            <w:rStyle w:val="Hyperlink"/>
          </w:rPr>
          <w:t>1.2.</w:t>
        </w:r>
        <w:r>
          <w:rPr>
            <w:rFonts w:asciiTheme="minorHAnsi" w:eastAsiaTheme="minorEastAsia" w:hAnsiTheme="minorHAnsi" w:cstheme="minorBidi"/>
            <w:sz w:val="22"/>
            <w:szCs w:val="22"/>
            <w:lang w:val="en-US"/>
          </w:rPr>
          <w:tab/>
        </w:r>
        <w:r>
          <w:rPr>
            <w:rStyle w:val="Hyperlink"/>
          </w:rPr>
          <w:t>Στατιστικά στοιχεία για τα μεγάλα ατυχήματα</w:t>
        </w:r>
        <w:r>
          <w:rPr>
            <w:webHidden/>
          </w:rPr>
          <w:tab/>
        </w:r>
        <w:r>
          <w:rPr>
            <w:webHidden/>
          </w:rPr>
          <w:fldChar w:fldCharType="begin"/>
        </w:r>
        <w:r>
          <w:rPr>
            <w:webHidden/>
          </w:rPr>
          <w:instrText xml:space="preserve"> PAGEREF _Toc82425984 \h </w:instrText>
        </w:r>
        <w:r>
          <w:rPr>
            <w:webHidden/>
          </w:rPr>
        </w:r>
        <w:r>
          <w:rPr>
            <w:webHidden/>
          </w:rPr>
          <w:fldChar w:fldCharType="separate"/>
        </w:r>
        <w:r>
          <w:rPr>
            <w:webHidden/>
          </w:rPr>
          <w:t>11</w:t>
        </w:r>
        <w:r>
          <w:rPr>
            <w:webHidden/>
          </w:rPr>
          <w:fldChar w:fldCharType="end"/>
        </w:r>
      </w:hyperlink>
    </w:p>
    <w:p>
      <w:pPr>
        <w:pStyle w:val="TOC1"/>
        <w:rPr>
          <w:rFonts w:asciiTheme="minorHAnsi" w:eastAsiaTheme="minorEastAsia" w:hAnsiTheme="minorHAnsi" w:cstheme="minorBidi"/>
          <w:caps w:val="0"/>
          <w:noProof/>
          <w:sz w:val="22"/>
          <w:szCs w:val="22"/>
          <w:lang w:val="en-US"/>
        </w:rPr>
      </w:pPr>
      <w:hyperlink w:anchor="_Toc82425985" w:history="1">
        <w:r>
          <w:rPr>
            <w:rStyle w:val="Hyperlink"/>
            <w:noProof/>
          </w:rPr>
          <w:t>2</w:t>
        </w:r>
        <w:r>
          <w:rPr>
            <w:rFonts w:asciiTheme="minorHAnsi" w:eastAsiaTheme="minorEastAsia" w:hAnsiTheme="minorHAnsi" w:cstheme="minorBidi"/>
            <w:caps w:val="0"/>
            <w:noProof/>
            <w:sz w:val="22"/>
            <w:szCs w:val="22"/>
            <w:lang w:val="en-US"/>
          </w:rPr>
          <w:tab/>
        </w:r>
        <w:r>
          <w:rPr>
            <w:rStyle w:val="Hyperlink"/>
            <w:noProof/>
          </w:rPr>
          <w:t>Μελλοντική πορεία για τη βελτίωση της πρόληψης των βιομηχανικών ατυχημάτων</w:t>
        </w:r>
        <w:r>
          <w:rPr>
            <w:noProof/>
            <w:webHidden/>
          </w:rPr>
          <w:tab/>
        </w:r>
        <w:r>
          <w:rPr>
            <w:noProof/>
            <w:webHidden/>
          </w:rPr>
          <w:fldChar w:fldCharType="begin"/>
        </w:r>
        <w:r>
          <w:rPr>
            <w:noProof/>
            <w:webHidden/>
          </w:rPr>
          <w:instrText xml:space="preserve"> PAGEREF _Toc82425985 \h </w:instrText>
        </w:r>
        <w:r>
          <w:rPr>
            <w:noProof/>
            <w:webHidden/>
          </w:rPr>
        </w:r>
        <w:r>
          <w:rPr>
            <w:noProof/>
            <w:webHidden/>
          </w:rPr>
          <w:fldChar w:fldCharType="separate"/>
        </w:r>
        <w:r>
          <w:rPr>
            <w:noProof/>
            <w:webHidden/>
          </w:rPr>
          <w:t>14</w:t>
        </w:r>
        <w:r>
          <w:rPr>
            <w:noProof/>
            <w:webHidden/>
          </w:rPr>
          <w:fldChar w:fldCharType="end"/>
        </w:r>
      </w:hyperlink>
    </w:p>
    <w:p>
      <w:pPr>
        <w:pStyle w:val="TOC1"/>
        <w:rPr>
          <w:rFonts w:asciiTheme="minorHAnsi" w:eastAsiaTheme="minorEastAsia" w:hAnsiTheme="minorHAnsi" w:cstheme="minorBidi"/>
          <w:caps w:val="0"/>
          <w:noProof/>
          <w:sz w:val="22"/>
          <w:szCs w:val="22"/>
          <w:lang w:val="en-US"/>
        </w:rPr>
      </w:pPr>
      <w:hyperlink w:anchor="_Toc82425986" w:history="1">
        <w:r>
          <w:rPr>
            <w:rStyle w:val="Hyperlink"/>
            <w:noProof/>
          </w:rPr>
          <w:t>3</w:t>
        </w:r>
        <w:r>
          <w:rPr>
            <w:rFonts w:asciiTheme="minorHAnsi" w:eastAsiaTheme="minorEastAsia" w:hAnsiTheme="minorHAnsi" w:cstheme="minorBidi"/>
            <w:caps w:val="0"/>
            <w:noProof/>
            <w:sz w:val="22"/>
            <w:szCs w:val="22"/>
            <w:lang w:val="en-US"/>
          </w:rPr>
          <w:tab/>
        </w:r>
        <w:r>
          <w:rPr>
            <w:rStyle w:val="Hyperlink"/>
            <w:noProof/>
          </w:rPr>
          <w:t>Συμπεράσματα</w:t>
        </w:r>
        <w:r>
          <w:rPr>
            <w:noProof/>
            <w:webHidden/>
          </w:rPr>
          <w:tab/>
        </w:r>
        <w:r>
          <w:rPr>
            <w:noProof/>
            <w:webHidden/>
          </w:rPr>
          <w:fldChar w:fldCharType="begin"/>
        </w:r>
        <w:r>
          <w:rPr>
            <w:noProof/>
            <w:webHidden/>
          </w:rPr>
          <w:instrText xml:space="preserve"> PAGEREF _Toc82425986 \h </w:instrText>
        </w:r>
        <w:r>
          <w:rPr>
            <w:noProof/>
            <w:webHidden/>
          </w:rPr>
        </w:r>
        <w:r>
          <w:rPr>
            <w:noProof/>
            <w:webHidden/>
          </w:rPr>
          <w:fldChar w:fldCharType="separate"/>
        </w:r>
        <w:r>
          <w:rPr>
            <w:noProof/>
            <w:webHidden/>
          </w:rPr>
          <w:t>16</w:t>
        </w:r>
        <w:r>
          <w:rPr>
            <w:noProof/>
            <w:webHidden/>
          </w:rPr>
          <w:fldChar w:fldCharType="end"/>
        </w:r>
      </w:hyperlink>
    </w:p>
    <w:p>
      <w:pPr>
        <w:rPr>
          <w:noProof/>
        </w:rPr>
      </w:pPr>
      <w:r>
        <w:rPr>
          <w:b/>
          <w:bCs/>
          <w:noProof/>
        </w:rPr>
        <w:fldChar w:fldCharType="end"/>
      </w:r>
    </w:p>
    <w:p>
      <w:pPr>
        <w:pStyle w:val="Heading1"/>
        <w:numPr>
          <w:ilvl w:val="0"/>
          <w:numId w:val="0"/>
        </w:numPr>
        <w:ind w:left="482" w:hanging="482"/>
        <w:rPr>
          <w:noProof/>
        </w:rPr>
      </w:pPr>
      <w:r>
        <w:rPr>
          <w:noProof/>
        </w:rPr>
        <w:br w:type="page"/>
      </w:r>
    </w:p>
    <w:p>
      <w:pPr>
        <w:pStyle w:val="Heading1"/>
        <w:numPr>
          <w:ilvl w:val="0"/>
          <w:numId w:val="0"/>
        </w:numPr>
        <w:ind w:left="482" w:hanging="482"/>
        <w:rPr>
          <w:noProof/>
        </w:rPr>
      </w:pPr>
      <w:bookmarkStart w:id="2" w:name="_Toc82425976"/>
      <w:r>
        <w:rPr>
          <w:noProof/>
        </w:rPr>
        <w:t>Εισαγωγή</w:t>
      </w:r>
      <w:bookmarkEnd w:id="2"/>
    </w:p>
    <w:p>
      <w:pPr>
        <w:rPr>
          <w:iCs/>
          <w:noProof/>
        </w:rPr>
      </w:pPr>
      <w:r>
        <w:rPr>
          <w:noProof/>
        </w:rPr>
        <w:t>Τα μεγάλα ατυχήματα που σχετίζονται με επικίνδυνες ουσίες αποτελούν σοβαρή απειλή για τον άνθρωπο και το περιβάλλον. Επιπλέον, τέτοιου είδους ατυχήματα προκαλούν συχνά σημαντικές οικονομικές απώλειες και διαταράσσουν τη βιώσιμη ανάπτυξη. Παράλληλα, τα χημικά προϊόντα διαδραματίζουν θεμελιώδη ρόλο στις περισσότερες από τις καθημερινές μας δραστηριότητες, καθώς αποτελούν μέρος σχεδόν κάθε συσκευής που χρησιμοποιούμε, συμβάλλοντας στην ευημερία μας και στην προστασία της υγείας και της ασφάλειάς μας ή παρέχοντας λύσεις σε νέες προκλήσεις μέσω καινοτομιών. Για την ελαχιστοποίηση των σχετικών κινδύνων είναι αναγκαία η λήψη μέτρων για την πρόληψη μεγάλων ατυχημάτων σχετιζόμενων με επικίνδυνες ουσίες, καθώς και για την εξασφάλιση κατάλληλης ετοιμότητας και αντιμετώπισης των ατυχημάτων αυτών, αν παρ’ ελπίδα συμβούν.</w:t>
      </w:r>
    </w:p>
    <w:p>
      <w:pPr>
        <w:rPr>
          <w:iCs/>
          <w:noProof/>
        </w:rPr>
      </w:pPr>
      <w:r>
        <w:rPr>
          <w:noProof/>
        </w:rPr>
        <w:t>Η ανακοίνωση για την Ευρωπαϊκή Πράσινη Συμφωνία απαιτεί από την Επιτροπή να εντείνει τη συνεργασία της με τα κράτη μέλη με στόχο τη βελτίωση της πρόληψης των βιομηχανικών ατυχημάτων</w:t>
      </w:r>
      <w:r>
        <w:rPr>
          <w:rStyle w:val="FootnoteReference"/>
          <w:iCs/>
          <w:noProof/>
        </w:rPr>
        <w:footnoteReference w:id="1"/>
      </w:r>
      <w:r>
        <w:rPr>
          <w:noProof/>
        </w:rPr>
        <w:t>. Επιπλέον, στο σχέδιο δράσης για μηδενική ρύπανση</w:t>
      </w:r>
      <w:r>
        <w:rPr>
          <w:rStyle w:val="FootnoteReference"/>
          <w:iCs/>
          <w:noProof/>
        </w:rPr>
        <w:footnoteReference w:id="2"/>
      </w:r>
      <w:r>
        <w:rPr>
          <w:noProof/>
        </w:rPr>
        <w:t>, η Επιτροπή ανακοίνωσε ότι θα ενοποιήσει περαιτέρω τη στήριξή της προς τα κράτη μέλη, για παράδειγμα όσον αφορά την αξιολόγηση των κινδύνων των μονάδων, ώστε να εντείνει την εφαρμογή μέτρων πρόληψης, και των επιπτώσεων πιθανών ατυχημάτων.</w:t>
      </w:r>
    </w:p>
    <w:p>
      <w:pPr>
        <w:rPr>
          <w:noProof/>
        </w:rPr>
      </w:pPr>
      <w:r>
        <w:rPr>
          <w:noProof/>
        </w:rPr>
        <w:t>Η οδηγία 2012/18/ΕΚ</w:t>
      </w:r>
      <w:r>
        <w:rPr>
          <w:rStyle w:val="FootnoteReference"/>
          <w:noProof/>
        </w:rPr>
        <w:footnoteReference w:id="3"/>
      </w:r>
      <w:r>
        <w:rPr>
          <w:noProof/>
        </w:rPr>
        <w:t xml:space="preserve"> για την αντιμετώπιση των κινδύνων μεγάλων ατυχημάτων σχετιζόμενων με επικίνδυνες ουσίες (στο εξής: οδηγία Seveso ΙΙ) παρέχει το σχετικό πλαίσιο για τα μέτρα διαχείρισης κινδύνων για την πρόληψη σοβαρών ατυχημάτων και τον περιορισμό των συνεπειών τους. Πρόκειται για την τελευταία γενιά «νομοθεσίας Seveso» και άρχισε να ισχύει την 1η Ιουνίου 2015. Σε σύγκριση με τις προγενέστερες οδηγίες, καθιστά πιο αυστηρές τις διατάξεις σχετικά με τη συμμετοχή και την ενημέρωση του κοινού, τον σχεδιασμό χρήσεων γης και την πρόσβαση του κοινού στη δικαιοσύνη και θεσπίζει αυστηρότερα πρότυπα επιθεώρησης για τη διασφάλιση της αποτελεσματικής εφαρμογής των κανόνων ασφάλειας.</w:t>
      </w:r>
    </w:p>
    <w:p>
      <w:pPr>
        <w:rPr>
          <w:noProof/>
        </w:rPr>
      </w:pPr>
      <w:r>
        <w:rPr>
          <w:noProof/>
        </w:rPr>
        <w:t xml:space="preserve">Τα κράτη μέλη υποβάλλουν στην Επιτροπή έκθεση ανά τετραετία σχετικά με την εφαρμογή σύμφωνα με το άρθρο 21 παράγραφος 2. Στην παρούσα έκθεση συνοψίζονται οι παρατηρήσεις που υπέβαλαν τα κράτη μέλη για την περίοδο 2015-2018, σύμφωνα με το άρθρο 29 (κατά την περίοδο αυτή το Ηνωμένο Βασίλειο ήταν ακόμη μέλος της Ευρωπαϊκής Ένωσης). </w:t>
      </w:r>
    </w:p>
    <w:p>
      <w:pPr>
        <w:rPr>
          <w:noProof/>
        </w:rPr>
      </w:pPr>
      <w:r>
        <w:rPr>
          <w:noProof/>
        </w:rPr>
        <w:t>Η παρούσα έκθεση περιλαμβάνει δύο μέρη:</w:t>
      </w:r>
    </w:p>
    <w:p>
      <w:pPr>
        <w:pStyle w:val="ListParagraph"/>
        <w:numPr>
          <w:ilvl w:val="0"/>
          <w:numId w:val="22"/>
        </w:numPr>
        <w:ind w:left="360"/>
        <w:rPr>
          <w:noProof/>
        </w:rPr>
      </w:pPr>
      <w:r>
        <w:rPr>
          <w:noProof/>
        </w:rPr>
        <w:t>Στο μέρος I συνοψίζονται οι πληροφορίες που παρασχέθηκαν από τα κράτη μέλη σχετικά με την εφαρμογή της οδηγίας Seveso. Η ενότητα 1.1 καλύπτει τις πληροφορίες που συλλέχθηκαν μέσω ερωτηματολογίου</w:t>
      </w:r>
      <w:r>
        <w:rPr>
          <w:rStyle w:val="FootnoteReference"/>
          <w:noProof/>
        </w:rPr>
        <w:footnoteReference w:id="4"/>
      </w:r>
      <w:r>
        <w:rPr>
          <w:noProof/>
        </w:rPr>
        <w:t>, το οποίο επικεντρωνόταν σε προβληματικούς τομείς που είχαν εντοπιστεί νωρίτερα. Σκοπός της σύνοψης αυτής είναι να αξιολογηθεί το επίπεδο της εφαρμογής και να εντοπισθούν τυχόν ελλείψεις που χρειάζεται να αντιμετωπιστούν. Η ενότητα 1.2 συμπληρώνει τα παραπάνω με στοιχεία σχετικά με ατυχήματα τα οποία προέκυψαν από ανάλυση της βάσης δεδομένων μεγάλων ατυχημάτων (eMARS</w:t>
      </w:r>
      <w:r>
        <w:rPr>
          <w:rStyle w:val="FootnoteReference"/>
          <w:noProof/>
        </w:rPr>
        <w:footnoteReference w:id="5"/>
      </w:r>
      <w:r>
        <w:rPr>
          <w:noProof/>
        </w:rPr>
        <w:t>), την οποία χειρίζεται το Γραφείο Κινδύνων Μεγάλων Ατυχημάτων του Κοινού Κέντρου Ερευνών της Ευρωπαϊκής Επιτροπής.</w:t>
      </w:r>
    </w:p>
    <w:p>
      <w:pPr>
        <w:pStyle w:val="ListParagraph"/>
        <w:ind w:left="360"/>
        <w:rPr>
          <w:noProof/>
        </w:rPr>
      </w:pPr>
    </w:p>
    <w:p>
      <w:pPr>
        <w:pStyle w:val="ListParagraph"/>
        <w:numPr>
          <w:ilvl w:val="0"/>
          <w:numId w:val="22"/>
        </w:numPr>
        <w:ind w:left="360"/>
        <w:rPr>
          <w:noProof/>
        </w:rPr>
      </w:pPr>
      <w:r>
        <w:rPr>
          <w:noProof/>
        </w:rPr>
        <w:t>Στο μέρος ΙΙ περιγράφονται οι προβλεπόμενες δράσεις που θα προωθήσει η Επιτροπή προκειμένου να συνεργαστεί με τα κράτη μέλη με στόχο την περαιτέρω βελτίωση της πρόληψης των βιομηχανικών ατυχημάτων, μεταξύ άλλων μέσω της αντιμετώπισης ελλείψεων στην εφαρμογή.</w:t>
      </w:r>
    </w:p>
    <w:p>
      <w:pPr>
        <w:rPr>
          <w:noProof/>
        </w:rPr>
      </w:pPr>
      <w:r>
        <w:rPr>
          <w:noProof/>
        </w:rPr>
        <w:t>Όπως και κατά τις προηγούμενες αξιολογήσεις, η Επιτροπή ανέθεσε σε εξωτερικό πάροχο υπηρεσιών να αναλύσει τις εκθέσεις που υποβλήθηκαν από τα κράτη μέλη, καθώς και άλλα σχετικά στοιχεία. Η έκθεση που κατάρτισε ο ανάδοχος</w:t>
      </w:r>
      <w:r>
        <w:rPr>
          <w:rStyle w:val="FootnoteReference"/>
          <w:noProof/>
        </w:rPr>
        <w:footnoteReference w:id="6"/>
      </w:r>
      <w:r>
        <w:rPr>
          <w:noProof/>
        </w:rPr>
        <w:t xml:space="preserve"> παρέχει λεπτομερή ανάλυση των πληροφοριών που υποβλήθηκαν, συμπεριλαμβανομένης ανάλυσης για κάθε κράτος μέλος, και άλλες διαθέσιμες πληροφορίες.</w:t>
      </w:r>
    </w:p>
    <w:p>
      <w:pPr>
        <w:rPr>
          <w:noProof/>
        </w:rPr>
      </w:pPr>
      <w:r>
        <w:rPr>
          <w:noProof/>
        </w:rPr>
        <w:t>Οι πλήρεις παρατηρήσεις των 28 κρατών μελών, καθώς και το ερωτηματολόγιο, και οι εκθέσεις σχετικά με τις προηγούμενες περιόδους αναφοράς είναι επίσης δημόσια διαθέσιμες</w:t>
      </w:r>
      <w:r>
        <w:rPr>
          <w:rStyle w:val="FootnoteReference"/>
          <w:noProof/>
        </w:rPr>
        <w:footnoteReference w:id="7"/>
      </w:r>
      <w:r>
        <w:rPr>
          <w:noProof/>
        </w:rPr>
        <w:t>.</w:t>
      </w:r>
    </w:p>
    <w:p>
      <w:pPr>
        <w:pStyle w:val="Heading1"/>
        <w:rPr>
          <w:noProof/>
        </w:rPr>
      </w:pPr>
      <w:bookmarkStart w:id="3" w:name="_Toc82425977"/>
      <w:r>
        <w:rPr>
          <w:noProof/>
        </w:rPr>
        <w:t>Συνοπτική παρουσίαση των εκθέσεων των κρατών μελών</w:t>
      </w:r>
      <w:bookmarkEnd w:id="3"/>
    </w:p>
    <w:p>
      <w:pPr>
        <w:rPr>
          <w:noProof/>
        </w:rPr>
      </w:pPr>
      <w:r>
        <w:rPr>
          <w:noProof/>
        </w:rPr>
        <w:t>Τα 28 κράτη μέλη</w:t>
      </w:r>
      <w:r>
        <w:rPr>
          <w:rStyle w:val="FootnoteReference"/>
          <w:noProof/>
        </w:rPr>
        <w:footnoteReference w:id="8"/>
      </w:r>
      <w:r>
        <w:rPr>
          <w:noProof/>
        </w:rPr>
        <w:t xml:space="preserve"> υπέβαλαν τις τετραετείς εκθέσεις τους στην Επιτροπή για την περίοδο 2015-2018. </w:t>
      </w:r>
    </w:p>
    <w:p>
      <w:pPr>
        <w:pStyle w:val="Heading2"/>
        <w:rPr>
          <w:noProof/>
        </w:rPr>
      </w:pPr>
      <w:bookmarkStart w:id="4" w:name="_Toc82425978"/>
      <w:r>
        <w:rPr>
          <w:noProof/>
        </w:rPr>
        <w:t>Στατιστικά στοιχεία σχετικά με τις μονάδες</w:t>
      </w:r>
      <w:bookmarkEnd w:id="4"/>
    </w:p>
    <w:p>
      <w:pPr>
        <w:pStyle w:val="Heading3"/>
        <w:rPr>
          <w:noProof/>
        </w:rPr>
      </w:pPr>
      <w:bookmarkStart w:id="5" w:name="_Toc82425979"/>
      <w:r>
        <w:rPr>
          <w:noProof/>
        </w:rPr>
        <w:t>Αριθμός μονάδων</w:t>
      </w:r>
      <w:bookmarkEnd w:id="5"/>
    </w:p>
    <w:p>
      <w:pPr>
        <w:rPr>
          <w:noProof/>
        </w:rPr>
      </w:pPr>
      <w:r>
        <w:rPr>
          <w:noProof/>
        </w:rPr>
        <w:t xml:space="preserve">Τα κράτη μέλη ανέφεραν συνολικά 11 776 μονάδες ως εμπίπτουσες στο πεδίο εφαρμογής της οδηγίας Seveso III το 2018 (πρβλ. </w:t>
      </w:r>
      <w:r>
        <w:rPr>
          <w:i/>
          <w:noProof/>
        </w:rPr>
        <w:t>διάγραμμα 1</w:t>
      </w:r>
      <w:r>
        <w:rPr>
          <w:noProof/>
        </w:rPr>
        <w:t xml:space="preserve">). Ο αριθμός αυτός αντιπροσωπεύει αύξηση (479) από την προηγούμενη περίοδο αναφοράς (2012-2014), μέχρι το τέλος της οποίας αναφέρθηκαν 11 297 μονάδες. Οι χώρες με το μεγαλύτερο ποσοστό αυτών των μονάδων ήταν η Γερμανία (31 %), η Γαλλία (11 %), η Ιταλία (8 %), το Ηνωμένο Βασίλειο (8 %) —το οποίο ήταν ακόμη κράτος μέλος της ΕΕ κατά τη σχετική περίοδο αναφοράς— και η Ισπανία (7 %). </w:t>
      </w:r>
    </w:p>
    <w:p>
      <w:pPr>
        <w:rPr>
          <w:noProof/>
        </w:rPr>
      </w:pPr>
      <w:r>
        <w:rPr>
          <w:noProof/>
        </w:rPr>
        <w:t>Τα ποσοστά των μονάδων ανώτερης βαθμίδας (ΜΑΒ)</w:t>
      </w:r>
      <w:r>
        <w:rPr>
          <w:rStyle w:val="FootnoteReference"/>
          <w:noProof/>
        </w:rPr>
        <w:t xml:space="preserve"> </w:t>
      </w:r>
      <w:r>
        <w:rPr>
          <w:noProof/>
        </w:rPr>
        <w:t>και των μονάδων κατώτερης βαθμίδας (ΜΚΒ)</w:t>
      </w:r>
      <w:r>
        <w:rPr>
          <w:rStyle w:val="FootnoteReference"/>
          <w:noProof/>
        </w:rPr>
        <w:footnoteReference w:id="9"/>
      </w:r>
      <w:r>
        <w:rPr>
          <w:noProof/>
        </w:rPr>
        <w:t xml:space="preserve"> παρέμειναν σχεδόν σταθερά κατά την περίοδο αναφοράς, με το 43 % (5 090 μονάδες) κατά μέσο όρο να είναι ΜΑΒ και με το 57 % (6 686 μονάδες) κατά μέσο όρο να είναι ΜΚΒ.</w:t>
      </w:r>
    </w:p>
    <w:p>
      <w:pPr>
        <w:rPr>
          <w:noProof/>
        </w:rPr>
      </w:pPr>
    </w:p>
    <w:p>
      <w:pPr>
        <w:pStyle w:val="Caption"/>
        <w:keepNext/>
        <w:rPr>
          <w:noProof/>
        </w:rPr>
      </w:pPr>
      <w:r>
        <w:rPr>
          <w:noProof/>
        </w:rPr>
        <w:t xml:space="preserve">Διάγραμμα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rPr>
          <w:noProof/>
        </w:rPr>
        <w:t>: Αριθμός μονάδων που εμπίπτουν στην οδηγία Seveso το 2018</w:t>
      </w:r>
    </w:p>
    <w:p>
      <w:pPr>
        <w:rPr>
          <w:noProof/>
        </w:rPr>
      </w:pPr>
      <w:r>
        <w:rPr>
          <w:noProof/>
          <w:lang w:val="en-GB" w:eastAsia="en-GB"/>
        </w:rPr>
        <w:drawing>
          <wp:inline distT="0" distB="0" distL="0" distR="0">
            <wp:extent cx="5472430" cy="2968625"/>
            <wp:effectExtent l="0" t="0" r="0" b="3175"/>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2430" cy="2968625"/>
                    </a:xfrm>
                    <a:prstGeom prst="rect">
                      <a:avLst/>
                    </a:prstGeom>
                    <a:noFill/>
                    <a:ln>
                      <a:noFill/>
                    </a:ln>
                  </pic:spPr>
                </pic:pic>
              </a:graphicData>
            </a:graphic>
          </wp:inline>
        </w:drawing>
      </w:r>
      <w:r>
        <w:rPr>
          <w:noProof/>
        </w:rPr>
        <w:t xml:space="preserve"> </w:t>
      </w:r>
      <w:r>
        <w:rPr>
          <w:noProof/>
        </w:rPr>
        <w:br/>
        <w:t xml:space="preserve">Όπως φαίνεται στο </w:t>
      </w:r>
      <w:r>
        <w:rPr>
          <w:i/>
          <w:noProof/>
        </w:rPr>
        <w:fldChar w:fldCharType="begin"/>
      </w:r>
      <w:r>
        <w:rPr>
          <w:i/>
          <w:noProof/>
        </w:rPr>
        <w:instrText xml:space="preserve"> REF _Ref484010592 \h  \* MERGEFORMAT </w:instrText>
      </w:r>
      <w:r>
        <w:rPr>
          <w:i/>
          <w:noProof/>
        </w:rPr>
      </w:r>
      <w:r>
        <w:rPr>
          <w:i/>
          <w:noProof/>
        </w:rPr>
        <w:fldChar w:fldCharType="separate"/>
      </w:r>
      <w:r>
        <w:rPr>
          <w:i/>
          <w:noProof/>
        </w:rPr>
        <w:t>διάγραμμα</w:t>
      </w:r>
      <w:r>
        <w:rPr>
          <w:noProof/>
        </w:rPr>
        <w:t xml:space="preserve"> 2</w:t>
      </w:r>
      <w:r>
        <w:rPr>
          <w:i/>
          <w:noProof/>
        </w:rPr>
        <w:fldChar w:fldCharType="end"/>
      </w:r>
      <w:r>
        <w:rPr>
          <w:noProof/>
        </w:rPr>
        <w:t>, παρατηρήθηκε μια αργή αλλά σταθερή αύξηση στον αριθμό των μονάδων που καλύπτονται από την οδηγία. Η αύξηση αυτή πρέπει να ενταχθεί στο γενικότερο πλαίσιο το οποίο περιλαμβάνει τρεις γύρους διεύρυνσης της ΕΕ κατά τη διάρκεια της περιόδου (2004, 2007 και 2013), καθώς και την αύξηση των επικίνδυνων ουσιών που εμπίπτουν στο πεδίο εφαρμογής της οδηγίας Seveso III σε συνέχεια της αναθεώρησης της οδηγίας Seveso II το 2012. Τα στοιχεία για τις μονάδες κατώτερης βαθμίδας ξεκίνησαν να κοινοποιούνται από την περίοδο αναφοράς 2009-2011.</w:t>
      </w:r>
    </w:p>
    <w:p>
      <w:pPr>
        <w:pStyle w:val="Caption"/>
        <w:keepNext/>
        <w:rPr>
          <w:noProof/>
        </w:rPr>
      </w:pPr>
      <w:bookmarkStart w:id="6" w:name="_Ref484010592"/>
      <w:r>
        <w:rPr>
          <w:noProof/>
        </w:rPr>
        <w:t xml:space="preserve">Διάγραμμα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6"/>
      <w:r>
        <w:rPr>
          <w:noProof/>
        </w:rPr>
        <w:t>: Εξέλιξη του αριθμού των μονάδων για τις οποίες έχει υποβληθεί έκθεση</w:t>
      </w:r>
      <w:r>
        <w:rPr>
          <w:rStyle w:val="FootnoteReference"/>
          <w:noProof/>
        </w:rPr>
        <w:footnoteReference w:id="10"/>
      </w:r>
    </w:p>
    <w:p>
      <w:pPr>
        <w:rPr>
          <w:noProof/>
        </w:rPr>
      </w:pPr>
      <w:r>
        <w:rPr>
          <w:noProof/>
          <w:lang w:val="en-GB" w:eastAsia="en-GB"/>
        </w:rPr>
        <w:drawing>
          <wp:inline distT="0" distB="0" distL="0" distR="0">
            <wp:extent cx="5472430" cy="255333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72430" cy="2553335"/>
                    </a:xfrm>
                    <a:prstGeom prst="rect">
                      <a:avLst/>
                    </a:prstGeom>
                    <a:noFill/>
                    <a:ln>
                      <a:noFill/>
                    </a:ln>
                  </pic:spPr>
                </pic:pic>
              </a:graphicData>
            </a:graphic>
          </wp:inline>
        </w:drawing>
      </w:r>
    </w:p>
    <w:p>
      <w:pPr>
        <w:rPr>
          <w:noProof/>
        </w:rPr>
      </w:pPr>
      <w:r>
        <w:rPr>
          <w:noProof/>
        </w:rPr>
        <w:t>Μεταξύ των δραστηριοτήτων που χρησιμοποιούνται για την κατηγοριοποίηση των μονάδων Seveso, τέσσερις δραστηριότητες καλύπτουν περίπου το 45 % των μονάδων:</w:t>
      </w:r>
    </w:p>
    <w:p>
      <w:pPr>
        <w:pStyle w:val="ListNumber"/>
        <w:rPr>
          <w:noProof/>
        </w:rPr>
      </w:pPr>
      <w:r>
        <w:rPr>
          <w:noProof/>
        </w:rPr>
        <w:t>Παραγωγή και διανομή γενικών χημικών προϊόντων (1 850 μονάδες = 15,1 %)</w:t>
      </w:r>
    </w:p>
    <w:p>
      <w:pPr>
        <w:pStyle w:val="ListNumber"/>
        <w:spacing w:after="0"/>
        <w:rPr>
          <w:noProof/>
        </w:rPr>
      </w:pPr>
      <w:r>
        <w:rPr>
          <w:noProof/>
        </w:rPr>
        <w:t>Παραγωγή, προμήθεια και διανομή ηλεκτρικής ενέργειας (1 606 μονάδες = 13,2 %)</w:t>
      </w:r>
    </w:p>
    <w:p>
      <w:pPr>
        <w:pStyle w:val="ListNumber"/>
        <w:spacing w:after="0"/>
        <w:rPr>
          <w:noProof/>
        </w:rPr>
      </w:pPr>
      <w:r>
        <w:rPr>
          <w:noProof/>
        </w:rPr>
        <w:t>Αποθήκευση καυσίμων (1 190 μονάδες = 9,8 %)</w:t>
      </w:r>
    </w:p>
    <w:p>
      <w:pPr>
        <w:pStyle w:val="ListNumber"/>
        <w:spacing w:after="0"/>
        <w:rPr>
          <w:noProof/>
        </w:rPr>
      </w:pPr>
      <w:r>
        <w:rPr>
          <w:noProof/>
        </w:rPr>
        <w:t>Χονδρικό και λιανικό εμπόριο (930 μονάδες = 7,6 %)</w:t>
      </w:r>
    </w:p>
    <w:p>
      <w:pPr>
        <w:rPr>
          <w:noProof/>
        </w:rPr>
      </w:pPr>
    </w:p>
    <w:p>
      <w:pPr>
        <w:pStyle w:val="Heading3"/>
        <w:rPr>
          <w:noProof/>
        </w:rPr>
      </w:pPr>
      <w:bookmarkStart w:id="7" w:name="_Toc82425980"/>
      <w:r>
        <w:rPr>
          <w:noProof/>
        </w:rPr>
        <w:t>Εξωτερικά σχέδια έκτακτης ανάγκης</w:t>
      </w:r>
      <w:bookmarkEnd w:id="7"/>
      <w:r>
        <w:rPr>
          <w:noProof/>
        </w:rPr>
        <w:t xml:space="preserve"> </w:t>
      </w:r>
    </w:p>
    <w:p>
      <w:pPr>
        <w:rPr>
          <w:noProof/>
        </w:rPr>
      </w:pPr>
      <w:r>
        <w:rPr>
          <w:noProof/>
        </w:rPr>
        <w:t xml:space="preserve">Το άρθρο 12 της οδηγίας Seveso III απαιτεί από τους φορείς εκμετάλλευσης να παρέχουν στις αρμόδιες αρχές τις πληροφορίες που είναι απαραίτητες για την κατάρτιση, για τις μονάδες της ανώτερης βαθμίδας, των εξωτερικών σχεδίων έκτακτης ανάγκης (ΕΣΕΑ). Τα σχέδια αυτά είναι σημαντικά για να υπάρχει δυνατότητα ταχείας και συντονισμένης αντίδρασης σε περίπτωση μεγάλων ατυχημάτων και διαδραματίζουν σημαντικό ρόλο στην ελαχιστοποίηση των επιπτώσεών τους. </w:t>
      </w:r>
    </w:p>
    <w:p>
      <w:pPr>
        <w:rPr>
          <w:noProof/>
        </w:rPr>
      </w:pPr>
      <w:r>
        <w:rPr>
          <w:noProof/>
        </w:rPr>
        <w:t xml:space="preserve">Τα σχέδια έκτακτης ανάγκης πρέπει επίσης να επανεξετάζονται και να υποβάλλονται σε δοκιμή ανά μέγιστα διαστήματα τριών ετών. </w:t>
      </w:r>
    </w:p>
    <w:p>
      <w:pPr>
        <w:pStyle w:val="Heading4"/>
        <w:rPr>
          <w:noProof/>
        </w:rPr>
      </w:pPr>
      <w:r>
        <w:rPr>
          <w:noProof/>
        </w:rPr>
        <w:t xml:space="preserve"> Κατάρτιση εξωτερικών σχεδίων έκτακτης ανάγκης </w:t>
      </w:r>
    </w:p>
    <w:p>
      <w:pPr>
        <w:rPr>
          <w:noProof/>
        </w:rPr>
      </w:pPr>
      <w:r>
        <w:rPr>
          <w:noProof/>
        </w:rPr>
        <w:t xml:space="preserve">Όπως φαίνεται στο </w:t>
      </w:r>
      <w:r>
        <w:rPr>
          <w:i/>
          <w:noProof/>
        </w:rPr>
        <w:fldChar w:fldCharType="begin"/>
      </w:r>
      <w:r>
        <w:rPr>
          <w:i/>
          <w:noProof/>
        </w:rPr>
        <w:instrText xml:space="preserve"> REF _Ref58941906 \h  \* MERGEFORMAT </w:instrText>
      </w:r>
      <w:r>
        <w:rPr>
          <w:i/>
          <w:noProof/>
        </w:rPr>
      </w:r>
      <w:r>
        <w:rPr>
          <w:i/>
          <w:noProof/>
        </w:rPr>
        <w:fldChar w:fldCharType="separate"/>
      </w:r>
      <w:r>
        <w:rPr>
          <w:i/>
          <w:noProof/>
        </w:rPr>
        <w:t>διάγραμμα</w:t>
      </w:r>
      <w:r>
        <w:rPr>
          <w:noProof/>
        </w:rPr>
        <w:t xml:space="preserve"> 3</w:t>
      </w:r>
      <w:r>
        <w:rPr>
          <w:i/>
          <w:noProof/>
        </w:rPr>
        <w:fldChar w:fldCharType="end"/>
      </w:r>
      <w:r>
        <w:rPr>
          <w:noProof/>
        </w:rPr>
        <w:t xml:space="preserve">, τα ΕΣΕΑ καταρτίστηκαν για τις περισσότερες μονάδες ανώτερης βαθμίδας στο τέλος της περιόδου αναφοράς. Κατά μέσο όρο, το 91 % των μονάδων ανώτερης βαθμίδας δεν διέθετε ΕΣΕΑ στο τέλος της περιόδου 2015-2018. Το 4 % των μονάδων δεν διέθετε ΕΣΕΑ, καθώς οι αρμόδιες αρχές αποφάσισαν, βάσει του άρθρου 12 παράγραφος 8 της </w:t>
      </w:r>
      <w:r>
        <w:rPr>
          <w:noProof/>
          <w:color w:val="000000"/>
          <w:shd w:val="clear" w:color="auto" w:fill="FFFFFF"/>
        </w:rPr>
        <w:t>οδηγίας Seveso III</w:t>
      </w:r>
      <w:r>
        <w:rPr>
          <w:noProof/>
        </w:rPr>
        <w:t xml:space="preserve"> ότι, με βάση τις πληροφορίες της έκθεσης ασφαλείας, η απαίτηση για την κατάρτιση ΕΣΕΑ δεν εφαρμόζεται. </w:t>
      </w:r>
    </w:p>
    <w:p>
      <w:pPr>
        <w:rPr>
          <w:noProof/>
        </w:rPr>
      </w:pPr>
      <w:r>
        <w:rPr>
          <w:noProof/>
        </w:rPr>
        <w:t xml:space="preserve">Ο συχνότερος λόγος που επικαλούνται οι αρμόδιες αρχές για να δικαιολογήσουν την απουσία ΕΣΕΑ είναι ότι, με βάση την εκτίμησή τους, οι συνέπειες των μεγάλων ατυχημάτων δεν θα επεκταθούν πέρα από τα όρια του χώρου της μονάδας και/ή δεν θα έχουν δυνητικό κίνδυνο για την ανθρώπινη υγεία και το περιβάλλον. Μια άλλη εξήγηση που δόθηκε ήταν ότι τα σενάρια ατυχημάτων σε ορισμένες περιπτώσεις καλύπτονταν από άλλα σχέδια αντιμετώπισης έκτακτης ανάγκης (π.χ. σχέδια για θαλάσσιες και παράκτιες καταστάσεις έκτακτης ανάγκης ή σχέδιο αντιμετώπισης της αρμόδιας πυροσβεστικής υπηρεσίας). </w:t>
      </w:r>
    </w:p>
    <w:p>
      <w:pPr>
        <w:rPr>
          <w:noProof/>
        </w:rPr>
      </w:pPr>
      <w:r>
        <w:rPr>
          <w:noProof/>
        </w:rPr>
        <w:t xml:space="preserve">Το υπόλοιπο 5 % των μονάδων ανώτερης βαθμίδας (δηλαδή περισσότερες από 200 μονάδες ανώτερης βαθμίδας της ΕΕ) δεν διέθεταν ΕΣΕΑ, γεγονός που υποδηλώνει μη συμμόρφωση με τις διατάξεις της οδηγίας Seveso III. Ωστόσο, έχει σημειωθεί βελτίωση από την προηγούμενη περίοδο αναφοράς, όπου το 12 % των μονάδων ανώτερης βαθμίδας δεν διέθεταν ΕΣΕΑ. </w:t>
      </w:r>
    </w:p>
    <w:p>
      <w:pPr>
        <w:pStyle w:val="Caption"/>
        <w:keepNext/>
        <w:rPr>
          <w:noProof/>
        </w:rPr>
      </w:pPr>
      <w:bookmarkStart w:id="8" w:name="_Ref58941906"/>
      <w:bookmarkStart w:id="9" w:name="_Ref58941899"/>
      <w:r>
        <w:rPr>
          <w:noProof/>
        </w:rPr>
        <w:t xml:space="preserve">Διάγραμμα </w:t>
      </w:r>
      <w:r>
        <w:rPr>
          <w:noProof/>
        </w:rPr>
        <w:fldChar w:fldCharType="begin"/>
      </w:r>
      <w:r>
        <w:rPr>
          <w:noProof/>
        </w:rPr>
        <w:instrText xml:space="preserve"> SEQ Figure \* ARABIC </w:instrText>
      </w:r>
      <w:r>
        <w:rPr>
          <w:noProof/>
        </w:rPr>
        <w:fldChar w:fldCharType="separate"/>
      </w:r>
      <w:r>
        <w:rPr>
          <w:noProof/>
        </w:rPr>
        <w:t>3</w:t>
      </w:r>
      <w:r>
        <w:rPr>
          <w:noProof/>
        </w:rPr>
        <w:fldChar w:fldCharType="end"/>
      </w:r>
      <w:bookmarkEnd w:id="8"/>
      <w:r>
        <w:rPr>
          <w:noProof/>
        </w:rPr>
        <w:t xml:space="preserve">: </w:t>
      </w:r>
      <w:bookmarkEnd w:id="9"/>
      <w:r>
        <w:rPr>
          <w:noProof/>
        </w:rPr>
        <w:t>Ποσοστό των μονάδων ανώτερης βαθμίδας για τις οποίες καταρτίστηκε ΕΣΕΑ ή δεν απαιτούνταν η κατάρτιση ΕΣΕΑ κατά την περίοδο αναφοράς</w:t>
      </w:r>
      <w:r>
        <w:rPr>
          <w:rStyle w:val="FootnoteReference"/>
          <w:noProof/>
        </w:rPr>
        <w:footnoteReference w:id="11"/>
      </w:r>
    </w:p>
    <w:p>
      <w:pPr>
        <w:rPr>
          <w:noProof/>
        </w:rPr>
      </w:pPr>
      <w:r>
        <w:rPr>
          <w:noProof/>
          <w:lang w:val="en-GB" w:eastAsia="en-GB"/>
        </w:rPr>
        <w:drawing>
          <wp:anchor distT="0" distB="0" distL="114300" distR="114300" simplePos="0" relativeHeight="251657728" behindDoc="0" locked="0" layoutInCell="1" allowOverlap="1">
            <wp:simplePos x="0" y="0"/>
            <wp:positionH relativeFrom="margin">
              <wp:posOffset>0</wp:posOffset>
            </wp:positionH>
            <wp:positionV relativeFrom="paragraph">
              <wp:posOffset>329565</wp:posOffset>
            </wp:positionV>
            <wp:extent cx="5472430" cy="2202180"/>
            <wp:effectExtent l="0" t="0" r="13970" b="7620"/>
            <wp:wrapTopAndBottom/>
            <wp:docPr id="8" name="Chart 8">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9F3B7C33-1FE1-4C9D-9179-D535DE0579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pPr>
        <w:pStyle w:val="Heading4"/>
        <w:rPr>
          <w:noProof/>
        </w:rPr>
      </w:pPr>
      <w:r>
        <w:rPr>
          <w:noProof/>
        </w:rPr>
        <w:t>Δοκιμή και επανεξέταση των εξωτερικών σχεδίων έκτακτης ανάγκης</w:t>
      </w:r>
    </w:p>
    <w:p>
      <w:pPr>
        <w:rPr>
          <w:noProof/>
        </w:rPr>
      </w:pPr>
      <w:r>
        <w:rPr>
          <w:noProof/>
        </w:rPr>
        <w:t xml:space="preserve">Όσον αφορά το άρθρο 12 παράγραφος 6 της οδηγίας Seveso III και την υποχρέωση των κρατών μελών να μεριμνούν ώστε </w:t>
      </w:r>
      <w:r>
        <w:rPr>
          <w:noProof/>
          <w:color w:val="000000"/>
          <w:shd w:val="clear" w:color="auto" w:fill="FFFFFF"/>
        </w:rPr>
        <w:t>τα εξωτερικά σχέδια έκτακτης ανάγκης να επανεξετάζονται, να δοκιμάζονται και, όταν χρειάζεται, να επικαιροποιούνται ανά ενδεδειγμένα χρονικά διαστήματα όχι μεγαλύτερα των τριών ετών,</w:t>
      </w:r>
      <w:r>
        <w:rPr>
          <w:noProof/>
        </w:rPr>
        <w:t xml:space="preserve"> η περίοδος αναφοράς 2015-2018 δείχνει ελαφρά βελτίωση σε σχέση με τις προηγούμενες περιόδους. Πράγματι, κατά την περίοδο αναφοράς 2006-2008 επανεξετάστηκε και δοκιμάστηκε το 60 % των ΕΣΕΑ· κατά την περίοδο 2009-2011, το ποσοστό αυτό αυξήθηκε σε 73 % και έφτασε 75 % μέχρι το τέλος του 2014. Κατά την περίοδο αναφοράς 2015-2018, από τις 5 090 μονάδες ανώτερης βαθμίδας συνολικά, δοκιμάστηκε το 77 % των ΕΣΕΑ. </w:t>
      </w:r>
    </w:p>
    <w:p>
      <w:pPr>
        <w:rPr>
          <w:noProof/>
          <w:color w:val="000000"/>
        </w:rPr>
      </w:pPr>
      <w:r>
        <w:rPr>
          <w:noProof/>
        </w:rPr>
        <w:t xml:space="preserve">Η Επιτροπή σημειώνει ότι η κατάσταση διαφοροποιείται μεταξύ των κρατών μελών: τα περισσότερα κράτη μέλη συμμορφώνονται πλήρως με τις διατάξεις της οδηγίας Seveso III σχετικά με τη δοκιμή και την επανεξέταση των ΕΣΕΑ, ενώ ορισμένα άλλα παρουσιάζουν πολύ υψηλό ποσοστό μη συμμόρφωσης. Οι πληροφορίες που </w:t>
      </w:r>
      <w:r>
        <w:rPr>
          <w:noProof/>
          <w:color w:val="000000"/>
        </w:rPr>
        <w:t xml:space="preserve">αναφέρθηκαν παρουσιάζονται στο </w:t>
      </w:r>
      <w:r>
        <w:rPr>
          <w:i/>
          <w:noProof/>
          <w:color w:val="000000"/>
        </w:rPr>
        <w:fldChar w:fldCharType="begin"/>
      </w:r>
      <w:r>
        <w:rPr>
          <w:i/>
          <w:noProof/>
          <w:color w:val="000000"/>
        </w:rPr>
        <w:instrText xml:space="preserve"> REF _Ref58944288 \h  \* MERGEFORMAT </w:instrText>
      </w:r>
      <w:r>
        <w:rPr>
          <w:i/>
          <w:noProof/>
          <w:color w:val="000000"/>
        </w:rPr>
      </w:r>
      <w:r>
        <w:rPr>
          <w:i/>
          <w:noProof/>
          <w:color w:val="000000"/>
        </w:rPr>
        <w:fldChar w:fldCharType="separate"/>
      </w:r>
      <w:r>
        <w:rPr>
          <w:i/>
          <w:noProof/>
        </w:rPr>
        <w:t>διάγραμμα 4</w:t>
      </w:r>
      <w:r>
        <w:rPr>
          <w:i/>
          <w:noProof/>
          <w:color w:val="000000"/>
        </w:rPr>
        <w:fldChar w:fldCharType="end"/>
      </w:r>
      <w:r>
        <w:rPr>
          <w:noProof/>
          <w:color w:val="000000"/>
        </w:rPr>
        <w:t>.</w:t>
      </w:r>
    </w:p>
    <w:p>
      <w:pPr>
        <w:pStyle w:val="Caption"/>
        <w:keepNext/>
        <w:rPr>
          <w:noProof/>
        </w:rPr>
      </w:pPr>
      <w:bookmarkStart w:id="10" w:name="_Ref58944288"/>
      <w:r>
        <w:rPr>
          <w:noProof/>
          <w:lang w:val="en-GB"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521970</wp:posOffset>
            </wp:positionV>
            <wp:extent cx="4933950" cy="1809750"/>
            <wp:effectExtent l="0" t="0" r="0" b="0"/>
            <wp:wrapTopAndBottom/>
            <wp:docPr id="14" name="Chart 14">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46226BD0-321D-4F26-898F-F54AE21AFD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Pr>
          <w:noProof/>
        </w:rPr>
        <w:t xml:space="preserve">Διάγραμμα </w:t>
      </w:r>
      <w:r>
        <w:rPr>
          <w:noProof/>
        </w:rPr>
        <w:fldChar w:fldCharType="begin"/>
      </w:r>
      <w:r>
        <w:rPr>
          <w:noProof/>
        </w:rPr>
        <w:instrText xml:space="preserve"> SEQ Figure \* ARABIC </w:instrText>
      </w:r>
      <w:r>
        <w:rPr>
          <w:noProof/>
        </w:rPr>
        <w:fldChar w:fldCharType="separate"/>
      </w:r>
      <w:r>
        <w:rPr>
          <w:noProof/>
        </w:rPr>
        <w:t>4</w:t>
      </w:r>
      <w:r>
        <w:rPr>
          <w:noProof/>
        </w:rPr>
        <w:fldChar w:fldCharType="end"/>
      </w:r>
      <w:bookmarkEnd w:id="10"/>
      <w:r>
        <w:rPr>
          <w:noProof/>
        </w:rPr>
        <w:t>: Εξωτερικά σχέδια έκτακτης ανάγκης που δεν υποβλήθηκαν σε δοκιμή κατά την περίοδο 2015-2018</w:t>
      </w:r>
      <w:r>
        <w:rPr>
          <w:rStyle w:val="FootnoteReference"/>
          <w:noProof/>
        </w:rPr>
        <w:footnoteReference w:id="12"/>
      </w:r>
    </w:p>
    <w:p>
      <w:pPr>
        <w:rPr>
          <w:noProof/>
        </w:rPr>
      </w:pPr>
    </w:p>
    <w:p>
      <w:pPr>
        <w:pStyle w:val="Heading3"/>
        <w:rPr>
          <w:noProof/>
        </w:rPr>
      </w:pPr>
      <w:bookmarkStart w:id="11" w:name="_Toc82425981"/>
      <w:r>
        <w:rPr>
          <w:noProof/>
        </w:rPr>
        <w:t>Ενημέρωση του κοινού</w:t>
      </w:r>
      <w:bookmarkEnd w:id="11"/>
    </w:p>
    <w:p>
      <w:pPr>
        <w:rPr>
          <w:noProof/>
        </w:rPr>
      </w:pPr>
      <w:r>
        <w:rPr>
          <w:noProof/>
        </w:rPr>
        <w:t xml:space="preserve">Σύμφωνα με το άρθρο 14 παράγραφος 1, τα κράτη μέλη πρέπει να μεριμνούν ώστε οι πληροφορίες που αναφέρονται στο παράρτημα V να είναι μονίμως διαθέσιμες στο κοινό, ακόμη και σε ηλεκτρονική μορφή. </w:t>
      </w:r>
    </w:p>
    <w:p>
      <w:pPr>
        <w:rPr>
          <w:noProof/>
        </w:rPr>
      </w:pPr>
      <w:r>
        <w:rPr>
          <w:noProof/>
        </w:rPr>
        <w:t>Οι πληροφορίες για όλες τις μονάδες διατηρούνται μονίμως διαθέσιμες, ακόμη και σε ηλεκτρονική μορφή, και επικαιροποιούνται, αν χρειαστεί, από 17 κράτη μέλη. Τα υπόλοιπα 11 κράτη μέλη δεν συμμορφώθηκαν πλήρως με το άρθρο 14 παράγραφος 1</w:t>
      </w:r>
      <w:r>
        <w:rPr>
          <w:rStyle w:val="FootnoteReference"/>
          <w:noProof/>
        </w:rPr>
        <w:footnoteReference w:id="13"/>
      </w:r>
      <w:r>
        <w:rPr>
          <w:noProof/>
        </w:rPr>
        <w:t>, ακόμη και αν αυτές οι πληροφορίες τίθενται στη διάθεση του κοινού κατόπιν αιτήματος.</w:t>
      </w:r>
    </w:p>
    <w:p>
      <w:pPr>
        <w:rPr>
          <w:noProof/>
        </w:rPr>
      </w:pPr>
      <w:r>
        <w:rPr>
          <w:noProof/>
        </w:rPr>
        <w:t xml:space="preserve">Ζητήθηκε από τα κράτη μέλη να αναφέρουν το ποσοστό των μονάδων για τις οποίες οι πληροφορίες που παρατίθενται στο παράρτημα V της οδηγίας δεν διατηρούνταν διαθέσιμες. Οι πληροφορίες αυτές παρουσιάζονται στο </w:t>
      </w:r>
      <w:r>
        <w:rPr>
          <w:noProof/>
        </w:rPr>
        <w:fldChar w:fldCharType="begin"/>
      </w:r>
      <w:r>
        <w:rPr>
          <w:noProof/>
        </w:rPr>
        <w:instrText xml:space="preserve"> REF _Ref65768704 \h  \* MERGEFORMAT </w:instrText>
      </w:r>
      <w:r>
        <w:rPr>
          <w:noProof/>
        </w:rPr>
      </w:r>
      <w:r>
        <w:rPr>
          <w:noProof/>
        </w:rPr>
        <w:fldChar w:fldCharType="separate"/>
      </w:r>
      <w:r>
        <w:rPr>
          <w:i/>
          <w:noProof/>
          <w:sz w:val="22"/>
        </w:rPr>
        <w:t>διάγραμμα 5</w:t>
      </w:r>
      <w:r>
        <w:rPr>
          <w:noProof/>
        </w:rPr>
        <w:fldChar w:fldCharType="end"/>
      </w:r>
      <w:r>
        <w:rPr>
          <w:i/>
          <w:noProof/>
        </w:rPr>
        <w:t>.</w:t>
      </w:r>
    </w:p>
    <w:p>
      <w:pPr>
        <w:rPr>
          <w:i/>
          <w:noProof/>
        </w:rPr>
      </w:pPr>
      <w:bookmarkStart w:id="12" w:name="_Ref65768704"/>
      <w:r>
        <w:rPr>
          <w:i/>
          <w:noProof/>
          <w:sz w:val="22"/>
        </w:rPr>
        <w:t xml:space="preserve">Διάγραμμα </w:t>
      </w:r>
      <w:r>
        <w:rPr>
          <w:i/>
          <w:noProof/>
          <w:sz w:val="22"/>
        </w:rPr>
        <w:fldChar w:fldCharType="begin"/>
      </w:r>
      <w:r>
        <w:rPr>
          <w:i/>
          <w:noProof/>
          <w:sz w:val="22"/>
        </w:rPr>
        <w:instrText xml:space="preserve"> SEQ Figure \* ARABIC </w:instrText>
      </w:r>
      <w:r>
        <w:rPr>
          <w:i/>
          <w:noProof/>
          <w:sz w:val="22"/>
        </w:rPr>
        <w:fldChar w:fldCharType="separate"/>
      </w:r>
      <w:r>
        <w:rPr>
          <w:i/>
          <w:noProof/>
          <w:sz w:val="22"/>
        </w:rPr>
        <w:t>5</w:t>
      </w:r>
      <w:r>
        <w:rPr>
          <w:i/>
          <w:noProof/>
          <w:sz w:val="22"/>
        </w:rPr>
        <w:fldChar w:fldCharType="end"/>
      </w:r>
      <w:bookmarkEnd w:id="12"/>
      <w:r>
        <w:rPr>
          <w:i/>
          <w:noProof/>
          <w:sz w:val="22"/>
        </w:rPr>
        <w:t xml:space="preserve">: Ποσοστό των μονάδων για τις οποίες οι πληροφορίες στο παράρτημα V </w:t>
      </w:r>
      <w:r>
        <w:rPr>
          <w:b/>
          <w:i/>
          <w:noProof/>
          <w:sz w:val="22"/>
        </w:rPr>
        <w:t>δεν</w:t>
      </w:r>
      <w:r>
        <w:rPr>
          <w:i/>
          <w:noProof/>
          <w:sz w:val="22"/>
        </w:rPr>
        <w:t xml:space="preserve"> διατηρούνται μονίμως διαθέσιμες</w:t>
      </w:r>
      <w:r>
        <w:rPr>
          <w:rStyle w:val="FootnoteReference"/>
          <w:i/>
          <w:noProof/>
          <w:sz w:val="22"/>
        </w:rPr>
        <w:footnoteReference w:id="14"/>
      </w:r>
      <w:r>
        <w:rPr>
          <w:i/>
          <w:noProof/>
        </w:rPr>
        <w:t xml:space="preserve"> </w:t>
      </w:r>
    </w:p>
    <w:p>
      <w:pPr>
        <w:rPr>
          <w:noProof/>
        </w:rPr>
      </w:pPr>
      <w:r>
        <w:rPr>
          <w:noProof/>
          <w:lang w:val="en-GB" w:eastAsia="en-GB"/>
        </w:rPr>
        <w:drawing>
          <wp:inline distT="0" distB="0" distL="0" distR="0">
            <wp:extent cx="4580255" cy="2192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80255" cy="2192655"/>
                    </a:xfrm>
                    <a:prstGeom prst="rect">
                      <a:avLst/>
                    </a:prstGeom>
                    <a:noFill/>
                    <a:ln>
                      <a:noFill/>
                    </a:ln>
                  </pic:spPr>
                </pic:pic>
              </a:graphicData>
            </a:graphic>
          </wp:inline>
        </w:drawing>
      </w:r>
    </w:p>
    <w:p>
      <w:pPr>
        <w:rPr>
          <w:noProof/>
        </w:rPr>
      </w:pPr>
      <w:r>
        <w:rPr>
          <w:noProof/>
        </w:rPr>
        <w:t xml:space="preserve">Επιπλέον, το άρθρο 14 παράγραφος 2 απαιτεί, μόνο για τις μονάδες ανώτερης βαθμίδας, τα κράτη μέλη να διασφαλίζουν ότι όλα τα πρόσωπα που ενδέχεται να πληγούν από μεγάλο ατύχημα λαμβάνουν τακτικά και με την πλέον ενδεδειγμένη μορφή, χωρίς να χρειάζεται να τις ζητήσουν, σαφείς και εύληπτες πληροφορίες σχετικά με τα μέτρα ασφαλείας και την απαιτούμενη συμπεριφορά σε περίπτωση μεγάλου ατυχήματος. </w:t>
      </w:r>
    </w:p>
    <w:p>
      <w:pPr>
        <w:rPr>
          <w:noProof/>
        </w:rPr>
      </w:pPr>
      <w:r>
        <w:rPr>
          <w:noProof/>
        </w:rPr>
        <w:t xml:space="preserve">Συνολικά, το 92 % των μονάδων ανώτερης βαθμίδας έχουν δημοσιοποιήσει αυτές τις πληροφορίες. Πρόκειται για αύξηση 11 % σε σύγκριση με 81 % των μονάδων ανώτερης βαθμίδας που είχαν καταστήσει διαθέσιμες αυτές τις πληροφορίες κατά την περίοδο αναφοράς 2012-2014. Οι πληροφορίες που αναφέρθηκαν σχετικά με αυτήν την πτυχή της εφαρμογής παρουσιάζονται στο </w:t>
      </w:r>
      <w:r>
        <w:rPr>
          <w:i/>
          <w:noProof/>
        </w:rPr>
        <w:fldChar w:fldCharType="begin"/>
      </w:r>
      <w:r>
        <w:rPr>
          <w:i/>
          <w:noProof/>
        </w:rPr>
        <w:instrText xml:space="preserve"> REF _Ref60840118 \h  \* MERGEFORMAT </w:instrText>
      </w:r>
      <w:r>
        <w:rPr>
          <w:i/>
          <w:noProof/>
        </w:rPr>
      </w:r>
      <w:r>
        <w:rPr>
          <w:i/>
          <w:noProof/>
        </w:rPr>
        <w:fldChar w:fldCharType="separate"/>
      </w:r>
      <w:r>
        <w:rPr>
          <w:i/>
          <w:noProof/>
        </w:rPr>
        <w:t>διάγραμμα 6</w:t>
      </w:r>
      <w:r>
        <w:rPr>
          <w:i/>
          <w:noProof/>
        </w:rPr>
        <w:fldChar w:fldCharType="end"/>
      </w:r>
      <w:r>
        <w:rPr>
          <w:i/>
          <w:noProof/>
        </w:rPr>
        <w:t>.</w:t>
      </w:r>
      <w:r>
        <w:rPr>
          <w:noProof/>
        </w:rPr>
        <w:t xml:space="preserve"> </w:t>
      </w:r>
    </w:p>
    <w:p>
      <w:pPr>
        <w:pStyle w:val="Caption"/>
        <w:keepNext/>
        <w:spacing w:after="0"/>
        <w:rPr>
          <w:noProof/>
        </w:rPr>
      </w:pPr>
      <w:bookmarkStart w:id="13" w:name="_Ref60840118"/>
      <w:bookmarkStart w:id="14" w:name="_Ref60840108"/>
      <w:r>
        <w:rPr>
          <w:noProof/>
        </w:rPr>
        <w:t xml:space="preserve">Διάγραμμα </w:t>
      </w:r>
      <w:r>
        <w:rPr>
          <w:noProof/>
        </w:rPr>
        <w:fldChar w:fldCharType="begin"/>
      </w:r>
      <w:r>
        <w:rPr>
          <w:noProof/>
        </w:rPr>
        <w:instrText xml:space="preserve"> SEQ Figure \* ARABIC </w:instrText>
      </w:r>
      <w:r>
        <w:rPr>
          <w:noProof/>
        </w:rPr>
        <w:fldChar w:fldCharType="separate"/>
      </w:r>
      <w:r>
        <w:rPr>
          <w:noProof/>
        </w:rPr>
        <w:t>6</w:t>
      </w:r>
      <w:r>
        <w:rPr>
          <w:noProof/>
        </w:rPr>
        <w:fldChar w:fldCharType="end"/>
      </w:r>
      <w:bookmarkEnd w:id="13"/>
      <w:r>
        <w:rPr>
          <w:noProof/>
        </w:rPr>
        <w:t xml:space="preserve">: Σύνολο και ποσοστό (%) των μονάδων ανώτερης βαθμίδας για τις οποίες οι πληροφορίες σχετικά με τα μέτρα ασφαλείας και τις απαιτούμενες συμπεριφορές </w:t>
      </w:r>
      <w:r>
        <w:rPr>
          <w:b/>
          <w:bCs/>
          <w:noProof/>
        </w:rPr>
        <w:t>δεν</w:t>
      </w:r>
      <w:r>
        <w:rPr>
          <w:noProof/>
        </w:rPr>
        <w:t xml:space="preserve"> τίθεντο στη διάθεση του κοινού με ενεργό τρόπο</w:t>
      </w:r>
      <w:bookmarkEnd w:id="14"/>
      <w:r>
        <w:rPr>
          <w:rStyle w:val="FootnoteReference"/>
          <w:noProof/>
        </w:rPr>
        <w:footnoteReference w:id="15"/>
      </w:r>
    </w:p>
    <w:p>
      <w:pPr>
        <w:pStyle w:val="Caption"/>
        <w:keepNext/>
        <w:spacing w:before="0"/>
        <w:rPr>
          <w:noProof/>
          <w:highlight w:val="yellow"/>
        </w:rPr>
      </w:pPr>
      <w:r>
        <w:rPr>
          <w:noProof/>
          <w:lang w:val="en-GB" w:eastAsia="en-GB"/>
        </w:rPr>
        <w:drawing>
          <wp:anchor distT="0" distB="0" distL="114300" distR="114300" simplePos="0" relativeHeight="251658752" behindDoc="0" locked="0" layoutInCell="1" allowOverlap="1">
            <wp:simplePos x="0" y="0"/>
            <wp:positionH relativeFrom="margin">
              <wp:posOffset>0</wp:posOffset>
            </wp:positionH>
            <wp:positionV relativeFrom="paragraph">
              <wp:posOffset>310515</wp:posOffset>
            </wp:positionV>
            <wp:extent cx="3988435" cy="1558290"/>
            <wp:effectExtent l="0" t="0" r="12065" b="3810"/>
            <wp:wrapTopAndBottom/>
            <wp:docPr id="10" name="Chart 10">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B82DFB52-95BF-4B88-B756-60D8AE67D3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pPr>
        <w:pStyle w:val="Heading3"/>
        <w:rPr>
          <w:noProof/>
        </w:rPr>
      </w:pPr>
      <w:bookmarkStart w:id="15" w:name="_Toc82425982"/>
      <w:r>
        <w:rPr>
          <w:noProof/>
        </w:rPr>
        <w:t>Επιθεωρήσεις</w:t>
      </w:r>
      <w:bookmarkEnd w:id="15"/>
    </w:p>
    <w:p>
      <w:pPr>
        <w:rPr>
          <w:noProof/>
        </w:rPr>
      </w:pPr>
      <w:r>
        <w:rPr>
          <w:noProof/>
        </w:rPr>
        <w:t xml:space="preserve">Το άρθρο 20 της οδηγίας Seveso III απαιτεί από τα κράτη μέλη να θεσπίσουν σύστημα επιθεώρησης καθώς και πρόγραμμα επιθεωρήσεων για όλες τις μονάδες. Οι μονάδες ανώτερης βαθμίδας πρέπει να επιθεωρούνται κάθε δώδεκα μήνες και οι </w:t>
      </w:r>
      <w:r>
        <w:rPr>
          <w:noProof/>
          <w:color w:val="000000"/>
          <w:shd w:val="clear" w:color="auto" w:fill="FFFFFF"/>
        </w:rPr>
        <w:t>μονάδες κατώτερης βαθμίδας</w:t>
      </w:r>
      <w:r>
        <w:rPr>
          <w:noProof/>
        </w:rPr>
        <w:t xml:space="preserve"> κάθε τριάντα έξι μήνες, εκτός αν έχει καταρτιστεί πρόγραμμα επιθεωρήσεων με βάση συστηματική εκτίμηση.</w:t>
      </w:r>
    </w:p>
    <w:p>
      <w:pPr>
        <w:rPr>
          <w:noProof/>
        </w:rPr>
      </w:pPr>
      <w:r>
        <w:rPr>
          <w:noProof/>
        </w:rPr>
        <w:t xml:space="preserve">Σύμφωνα με το άρθρο 20 παράγραφος 5, η συστηματική εκτίμηση των κινδύνων των αντίστοιχων μονάδων βασίζεται, τουλάχιστον, στις πιθανές επιπτώσεις των συγκεκριμένων μονάδων στην ανθρώπινη υγεία και στο περιβάλλον, καθώς και στο ιστορικό της συμμόρφωσης με τις απαιτήσεις της οδηγίας Seveso III. Τα κριτήρια αυτά εξασφαλίζουν τουλάχιστον το ίδιο επίπεδο αποτελεσματικότητας με τις επιθεωρήσεις που διενεργούνται σε ετήσια ή τριετή βάση. Η εν λόγω διάταξη καλύπτει τόσο τις μονάδες ανώτερης βαθμίδας όσο και τις μονάδες κατώτερης βαθμίδας. </w:t>
      </w:r>
    </w:p>
    <w:p>
      <w:pPr>
        <w:rPr>
          <w:noProof/>
          <w:vanish/>
        </w:rPr>
      </w:pPr>
    </w:p>
    <w:p>
      <w:pPr>
        <w:pStyle w:val="Normal2"/>
        <w:shd w:val="clear" w:color="auto" w:fill="FFFFFF"/>
        <w:spacing w:before="120" w:beforeAutospacing="0" w:after="0" w:afterAutospacing="0"/>
        <w:jc w:val="both"/>
        <w:rPr>
          <w:noProof/>
          <w:color w:val="000000"/>
        </w:rPr>
      </w:pPr>
      <w:r>
        <w:rPr>
          <w:noProof/>
          <w:color w:val="000000"/>
        </w:rPr>
        <w:t>Ανάλογα με την περίπτωση, λαμβάνονται επίσης υπόψη τα σχετικά ευρήματα των επιθεωρήσεων στο πλαίσιο άλλης νομοθεσίας της Ένωσης.</w:t>
      </w:r>
    </w:p>
    <w:p>
      <w:pPr>
        <w:rPr>
          <w:noProof/>
        </w:rPr>
      </w:pPr>
      <w:r>
        <w:rPr>
          <w:noProof/>
        </w:rPr>
        <w:t xml:space="preserve"> Με βάση τα στοιχεία που ανέφεραν οι αρμόδιες αρχές αυτήν την τελευταία περίοδο αναφοράς, μέχρι στιγμής οι περισσότερες μονάδες ανώτερης βαθμίδας (3 556 από 5 090 μονάδες ανώτερης βαθμίδας συνολικά) επιθεωρούνται σε ετήσια βάση (πρβλ. </w:t>
      </w:r>
      <w:r>
        <w:rPr>
          <w:noProof/>
        </w:rPr>
        <w:fldChar w:fldCharType="begin"/>
      </w:r>
      <w:r>
        <w:rPr>
          <w:noProof/>
        </w:rPr>
        <w:instrText xml:space="preserve"> REF _Ref62585945 \h </w:instrText>
      </w:r>
      <w:r>
        <w:rPr>
          <w:noProof/>
        </w:rPr>
      </w:r>
      <w:r>
        <w:rPr>
          <w:noProof/>
        </w:rPr>
        <w:fldChar w:fldCharType="separate"/>
      </w:r>
      <w:r>
        <w:rPr>
          <w:i/>
          <w:noProof/>
          <w:sz w:val="22"/>
        </w:rPr>
        <w:t>διάγραμμα 7</w:t>
      </w:r>
      <w:r>
        <w:rPr>
          <w:noProof/>
        </w:rPr>
        <w:fldChar w:fldCharType="end"/>
      </w:r>
      <w:r>
        <w:rPr>
          <w:noProof/>
        </w:rPr>
        <w:t>). Για τις υπόλοιπες μονάδες, το πρόγραμμα επιθεωρήσεων, συμπεριλαμβανομένης της συχνότητας των επιτόπιων επισκέψεων, βασίζεται σε συστηματική εκτίμηση του κινδύνου μεγάλων ατυχημάτων στην αντίστοιχη μονάδα.</w:t>
      </w:r>
    </w:p>
    <w:p>
      <w:pPr>
        <w:rPr>
          <w:i/>
          <w:noProof/>
          <w:sz w:val="22"/>
        </w:rPr>
      </w:pPr>
      <w:bookmarkStart w:id="16" w:name="_Ref62585945"/>
      <w:r>
        <w:rPr>
          <w:i/>
          <w:noProof/>
          <w:sz w:val="22"/>
        </w:rPr>
        <w:t xml:space="preserve">Διάγραμμα </w:t>
      </w:r>
      <w:r>
        <w:rPr>
          <w:i/>
          <w:noProof/>
          <w:sz w:val="22"/>
        </w:rPr>
        <w:fldChar w:fldCharType="begin"/>
      </w:r>
      <w:r>
        <w:rPr>
          <w:i/>
          <w:noProof/>
          <w:sz w:val="22"/>
        </w:rPr>
        <w:instrText xml:space="preserve"> SEQ Figure \* ARABIC </w:instrText>
      </w:r>
      <w:r>
        <w:rPr>
          <w:i/>
          <w:noProof/>
          <w:sz w:val="22"/>
        </w:rPr>
        <w:fldChar w:fldCharType="separate"/>
      </w:r>
      <w:r>
        <w:rPr>
          <w:i/>
          <w:noProof/>
          <w:sz w:val="22"/>
        </w:rPr>
        <w:t>7</w:t>
      </w:r>
      <w:r>
        <w:rPr>
          <w:i/>
          <w:noProof/>
          <w:sz w:val="22"/>
        </w:rPr>
        <w:fldChar w:fldCharType="end"/>
      </w:r>
      <w:bookmarkEnd w:id="16"/>
      <w:r>
        <w:rPr>
          <w:i/>
          <w:noProof/>
          <w:sz w:val="22"/>
        </w:rPr>
        <w:t>: Ποσοστό των μονάδων ανώτερης βαθμίδας που επιθεωρούνται ανά κράτος μέλος</w:t>
      </w:r>
    </w:p>
    <w:p>
      <w:pPr>
        <w:rPr>
          <w:noProof/>
        </w:rPr>
      </w:pPr>
      <w:r>
        <w:rPr>
          <w:noProof/>
          <w:lang w:val="en-GB" w:eastAsia="en-GB"/>
        </w:rPr>
        <w:drawing>
          <wp:inline distT="0" distB="0" distL="0" distR="0">
            <wp:extent cx="4927600" cy="3105150"/>
            <wp:effectExtent l="0" t="0" r="635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27600" cy="3105150"/>
                    </a:xfrm>
                    <a:prstGeom prst="rect">
                      <a:avLst/>
                    </a:prstGeom>
                    <a:noFill/>
                    <a:ln>
                      <a:noFill/>
                    </a:ln>
                  </pic:spPr>
                </pic:pic>
              </a:graphicData>
            </a:graphic>
          </wp:inline>
        </w:drawing>
      </w:r>
    </w:p>
    <w:p>
      <w:pPr>
        <w:rPr>
          <w:noProof/>
        </w:rPr>
      </w:pPr>
      <w:r>
        <w:rPr>
          <w:noProof/>
        </w:rPr>
        <w:t xml:space="preserve">Όσον αφορά τις μονάδες κατώτερης βαθμίδας, σχεδόν όλες (6 140 από τις 6 686 μονάδες κατώτερης βαθμίδας) επιθεωρούνται κάθε τρία έτη (πρβλ. </w:t>
      </w:r>
      <w:r>
        <w:rPr>
          <w:noProof/>
        </w:rPr>
        <w:fldChar w:fldCharType="begin"/>
      </w:r>
      <w:r>
        <w:rPr>
          <w:noProof/>
        </w:rPr>
        <w:instrText xml:space="preserve"> REF _Ref62585970 \h  \* MERGEFORMAT </w:instrText>
      </w:r>
      <w:r>
        <w:rPr>
          <w:noProof/>
        </w:rPr>
      </w:r>
      <w:r>
        <w:rPr>
          <w:noProof/>
        </w:rPr>
        <w:fldChar w:fldCharType="separate"/>
      </w:r>
      <w:r>
        <w:rPr>
          <w:i/>
          <w:noProof/>
        </w:rPr>
        <w:t>διάγραμμα 8</w:t>
      </w:r>
      <w:r>
        <w:rPr>
          <w:noProof/>
        </w:rPr>
        <w:fldChar w:fldCharType="end"/>
      </w:r>
      <w:r>
        <w:rPr>
          <w:noProof/>
        </w:rPr>
        <w:t>). Για τις υπόλοιπες μονάδες, το πρόγραμμα επιθεωρήσεων, συμπεριλαμβανομένης της συχνότητας των επιτόπιων επισκέψεων, βασίζεται σε συστηματική εκτίμηση του κινδύνου μεγάλων ατυχημάτων στην αντίστοιχη μονάδα.</w:t>
      </w:r>
    </w:p>
    <w:p>
      <w:pPr>
        <w:rPr>
          <w:i/>
          <w:noProof/>
          <w:sz w:val="22"/>
        </w:rPr>
      </w:pPr>
      <w:bookmarkStart w:id="17" w:name="_Ref62585970"/>
      <w:r>
        <w:rPr>
          <w:i/>
          <w:noProof/>
          <w:sz w:val="22"/>
        </w:rPr>
        <w:t xml:space="preserve">Διάγραμμα </w:t>
      </w:r>
      <w:r>
        <w:rPr>
          <w:i/>
          <w:noProof/>
          <w:sz w:val="22"/>
        </w:rPr>
        <w:fldChar w:fldCharType="begin"/>
      </w:r>
      <w:r>
        <w:rPr>
          <w:i/>
          <w:noProof/>
          <w:sz w:val="22"/>
        </w:rPr>
        <w:instrText xml:space="preserve"> SEQ Figure \* ARABIC </w:instrText>
      </w:r>
      <w:r>
        <w:rPr>
          <w:i/>
          <w:noProof/>
          <w:sz w:val="22"/>
        </w:rPr>
        <w:fldChar w:fldCharType="separate"/>
      </w:r>
      <w:r>
        <w:rPr>
          <w:i/>
          <w:noProof/>
          <w:sz w:val="22"/>
        </w:rPr>
        <w:t>8</w:t>
      </w:r>
      <w:r>
        <w:rPr>
          <w:i/>
          <w:noProof/>
          <w:sz w:val="22"/>
        </w:rPr>
        <w:fldChar w:fldCharType="end"/>
      </w:r>
      <w:bookmarkEnd w:id="17"/>
      <w:r>
        <w:rPr>
          <w:i/>
          <w:noProof/>
          <w:sz w:val="22"/>
        </w:rPr>
        <w:t>: Ποσοστό των μονάδων κατώτερης βαθμίδας που επιθεωρούνται ανά κράτος μέλος</w:t>
      </w:r>
    </w:p>
    <w:p>
      <w:pPr>
        <w:rPr>
          <w:noProof/>
        </w:rPr>
      </w:pPr>
      <w:r>
        <w:rPr>
          <w:noProof/>
          <w:lang w:val="en-GB" w:eastAsia="en-GB"/>
        </w:rPr>
        <w:drawing>
          <wp:inline distT="0" distB="0" distL="0" distR="0">
            <wp:extent cx="5208270" cy="3162300"/>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208270" cy="3162300"/>
                    </a:xfrm>
                    <a:prstGeom prst="rect">
                      <a:avLst/>
                    </a:prstGeom>
                    <a:noFill/>
                    <a:ln>
                      <a:noFill/>
                    </a:ln>
                  </pic:spPr>
                </pic:pic>
              </a:graphicData>
            </a:graphic>
          </wp:inline>
        </w:drawing>
      </w:r>
      <w:r>
        <w:rPr>
          <w:noProof/>
        </w:rPr>
        <w:t xml:space="preserve"> </w:t>
      </w:r>
      <w:r>
        <w:rPr>
          <w:noProof/>
        </w:rPr>
        <w:br/>
      </w:r>
    </w:p>
    <w:p>
      <w:pPr>
        <w:pStyle w:val="Heading3"/>
        <w:rPr>
          <w:noProof/>
        </w:rPr>
      </w:pPr>
      <w:bookmarkStart w:id="18" w:name="_Toc82425983"/>
      <w:r>
        <w:rPr>
          <w:noProof/>
        </w:rPr>
        <w:t>Απαγόρευση λειτουργίας, κυρώσεις και άλλα μέσα καταναγκασμού</w:t>
      </w:r>
      <w:bookmarkEnd w:id="18"/>
    </w:p>
    <w:p>
      <w:pPr>
        <w:pStyle w:val="Normal2"/>
        <w:shd w:val="clear" w:color="auto" w:fill="FFFFFF"/>
        <w:spacing w:before="120" w:beforeAutospacing="0" w:after="0" w:afterAutospacing="0"/>
        <w:jc w:val="both"/>
        <w:rPr>
          <w:noProof/>
          <w:color w:val="000000"/>
          <w:shd w:val="clear" w:color="auto" w:fill="FFFFFF"/>
        </w:rPr>
      </w:pPr>
      <w:r>
        <w:rPr>
          <w:noProof/>
        </w:rPr>
        <w:t xml:space="preserve">Σύμφωνα με το άρθρο 19 της οδηγίας Seveso III, τα κράτη μέλη </w:t>
      </w:r>
      <w:r>
        <w:rPr>
          <w:noProof/>
          <w:color w:val="000000"/>
          <w:shd w:val="clear" w:color="auto" w:fill="FFFFFF"/>
        </w:rPr>
        <w:t>απαγορεύουν τη λειτουργία μονάδας εάν τα μέτρα που έλαβε ο φορέας εκμετάλλευσης με σκοπό την πρόληψη ή τον μετριασμό των κινδύνων μεγάλου ατυχήματος είναι σαφώς ανεπαρκή, συμπεριλαμβανομένων, μεταξύ άλλων, σοβαρών παραλείψεων όσον αφορά τη λήψη των αναγκαίων μέτρων που προσδιορίζονται στην έκθεση της επιθεώρησης. Επιπλέον, το άρθρο 28 προβλέπει ότι τα κράτη μέλη καθορίζουν τις κυρώσεις που επιβάλλονται σε περίπτωση παράβασης των εθνικών διατάξεων που θεσπίζονται σύμφωνα με την οδηγία Seveso III. Οι κυρώσεις είναι αποτελεσματικές, αναλογικές και αποτρεπτικές.</w:t>
      </w:r>
    </w:p>
    <w:p>
      <w:pPr>
        <w:pStyle w:val="Normal2"/>
        <w:shd w:val="clear" w:color="auto" w:fill="FFFFFF"/>
        <w:spacing w:before="120" w:beforeAutospacing="0" w:after="0" w:afterAutospacing="0"/>
        <w:jc w:val="both"/>
        <w:rPr>
          <w:noProof/>
        </w:rPr>
      </w:pPr>
    </w:p>
    <w:p>
      <w:pPr>
        <w:pStyle w:val="Text2"/>
        <w:ind w:left="0"/>
        <w:rPr>
          <w:noProof/>
        </w:rPr>
      </w:pPr>
      <w:r>
        <w:rPr>
          <w:noProof/>
        </w:rPr>
        <w:t>Τα περισσότερα κράτη μέλη δεν ανέφεραν καμία απαγόρευση λειτουργίας εγκατάστασης με την αιτιολογία ότι τα μέτρα που έλαβε ο φορέας εκμετάλλευσης με σκοπό την πρόληψη και τον μετριασμό μεγάλου ατυχήματος ήταν σαφώς ανεπαρκή κατά την περίοδο αναφοράς (πρβλ. </w:t>
      </w:r>
      <w:r>
        <w:rPr>
          <w:i/>
          <w:noProof/>
        </w:rPr>
        <w:fldChar w:fldCharType="begin"/>
      </w:r>
      <w:r>
        <w:rPr>
          <w:i/>
          <w:noProof/>
        </w:rPr>
        <w:instrText xml:space="preserve"> REF _Ref60856578 \h  \* MERGEFORMAT </w:instrText>
      </w:r>
      <w:r>
        <w:rPr>
          <w:i/>
          <w:noProof/>
        </w:rPr>
      </w:r>
      <w:r>
        <w:rPr>
          <w:i/>
          <w:noProof/>
        </w:rPr>
        <w:fldChar w:fldCharType="separate"/>
      </w:r>
      <w:r>
        <w:rPr>
          <w:i/>
          <w:noProof/>
        </w:rPr>
        <w:t>διάγραμμα 9 και 10</w:t>
      </w:r>
      <w:r>
        <w:rPr>
          <w:i/>
          <w:noProof/>
        </w:rPr>
        <w:fldChar w:fldCharType="end"/>
      </w:r>
      <w:r>
        <w:rPr>
          <w:noProof/>
        </w:rPr>
        <w:t xml:space="preserve">). Συνολικά, καταγράφηκαν 8 207 μέτρα καταναγκασμού κατά την περίοδο αναφοράς. Οι Κάτω Χώρες (4 023) και η Ρουμανία (3 586) έχουν αναφέρει τις περισσότερες περιπτώσεις μέχρι στιγμής. </w:t>
      </w:r>
    </w:p>
    <w:p>
      <w:pPr>
        <w:pStyle w:val="Text2"/>
        <w:spacing w:after="0"/>
        <w:ind w:left="0"/>
        <w:rPr>
          <w:noProof/>
        </w:rPr>
      </w:pPr>
      <w:r>
        <w:rPr>
          <w:noProof/>
        </w:rPr>
        <w:t>Ορισμένα κράτη μέλη παρείχαν λεπτομέρειες για το συνολικό ποσό των κυρώσεων που επιβλήθηκαν (π.χ. η Σλοβακία ανέφερε ποσό ύψους 25 250 EUR και η Λετονία ποσό ύψους 6 335 EUR).</w:t>
      </w:r>
    </w:p>
    <w:p>
      <w:pPr>
        <w:pStyle w:val="Text2"/>
        <w:spacing w:after="0"/>
        <w:ind w:left="0"/>
        <w:rPr>
          <w:noProof/>
        </w:rPr>
      </w:pPr>
    </w:p>
    <w:p>
      <w:pPr>
        <w:pStyle w:val="Text2"/>
        <w:spacing w:after="0"/>
        <w:ind w:left="0"/>
        <w:rPr>
          <w:noProof/>
        </w:rPr>
      </w:pPr>
      <w:r>
        <w:rPr>
          <w:noProof/>
        </w:rPr>
        <w:t>Κατά γενικό κανόνα, δίδεται προτεραιότητα στην εφαρμογή διορθωτικών μέτρων, όπως η έκδοση προειδοποιήσεων, έναντι της επιβολής. Η στενότερη συνεργασία με τους φορείς εκμετάλλευσης είναι γενικά αποτελεσματική, συνεπώς η εφαρμογή μέτρων καταναγκασμού και η επιβολή κυρώσεων αποτελούν συνήθως εξαίρεση.</w:t>
      </w:r>
    </w:p>
    <w:p>
      <w:pPr>
        <w:pStyle w:val="Text2"/>
        <w:spacing w:after="0"/>
        <w:ind w:left="0"/>
        <w:rPr>
          <w:noProof/>
        </w:rPr>
      </w:pPr>
    </w:p>
    <w:p>
      <w:pPr>
        <w:pStyle w:val="Caption"/>
        <w:keepNext/>
        <w:rPr>
          <w:noProof/>
          <w:highlight w:val="yellow"/>
        </w:rPr>
      </w:pPr>
      <w:bookmarkStart w:id="19" w:name="_Ref60856578"/>
      <w:r>
        <w:rPr>
          <w:noProof/>
          <w:lang w:val="en-GB" w:eastAsia="en-GB"/>
        </w:rPr>
        <w:drawing>
          <wp:anchor distT="0" distB="0" distL="114300" distR="114300" simplePos="0" relativeHeight="251669504" behindDoc="0" locked="0" layoutInCell="1" allowOverlap="1">
            <wp:simplePos x="0" y="0"/>
            <wp:positionH relativeFrom="column">
              <wp:posOffset>620395</wp:posOffset>
            </wp:positionH>
            <wp:positionV relativeFrom="paragraph">
              <wp:posOffset>510359</wp:posOffset>
            </wp:positionV>
            <wp:extent cx="4592320" cy="1750060"/>
            <wp:effectExtent l="0" t="0" r="17780" b="2540"/>
            <wp:wrapTopAndBottom/>
            <wp:docPr id="5" name="Chart 5">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7E310227-6E5B-4246-9867-C818909114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Pr>
          <w:noProof/>
        </w:rPr>
        <w:t xml:space="preserve">Διάγραμμα </w:t>
      </w:r>
      <w:r>
        <w:rPr>
          <w:noProof/>
        </w:rPr>
        <w:fldChar w:fldCharType="begin"/>
      </w:r>
      <w:r>
        <w:rPr>
          <w:noProof/>
        </w:rPr>
        <w:instrText xml:space="preserve"> SEQ Figure \* ARABIC </w:instrText>
      </w:r>
      <w:r>
        <w:rPr>
          <w:noProof/>
        </w:rPr>
        <w:fldChar w:fldCharType="separate"/>
      </w:r>
      <w:r>
        <w:rPr>
          <w:noProof/>
        </w:rPr>
        <w:t>9</w:t>
      </w:r>
      <w:r>
        <w:rPr>
          <w:noProof/>
        </w:rPr>
        <w:fldChar w:fldCharType="end"/>
      </w:r>
      <w:r>
        <w:rPr>
          <w:noProof/>
        </w:rPr>
        <w:t>: Συνολικός αριθμός μονάδων για τις οποίες απαγορεύτηκε η λειτουργία κατά την περίοδο αναφοράς</w:t>
      </w:r>
    </w:p>
    <w:p>
      <w:pPr>
        <w:pStyle w:val="Caption"/>
        <w:keepNext/>
        <w:rPr>
          <w:noProof/>
        </w:rPr>
      </w:pPr>
    </w:p>
    <w:p>
      <w:pPr>
        <w:pStyle w:val="Caption"/>
        <w:keepNext/>
        <w:rPr>
          <w:noProof/>
          <w:highlight w:val="yellow"/>
        </w:rPr>
      </w:pPr>
      <w:r>
        <w:rPr>
          <w:noProof/>
        </w:rPr>
        <w:t xml:space="preserve">Διάγραμμα </w:t>
      </w:r>
      <w:r>
        <w:rPr>
          <w:noProof/>
        </w:rPr>
        <w:fldChar w:fldCharType="begin"/>
      </w:r>
      <w:r>
        <w:rPr>
          <w:noProof/>
        </w:rPr>
        <w:instrText xml:space="preserve"> SEQ Figure \* ARABIC </w:instrText>
      </w:r>
      <w:r>
        <w:rPr>
          <w:noProof/>
        </w:rPr>
        <w:fldChar w:fldCharType="separate"/>
      </w:r>
      <w:r>
        <w:rPr>
          <w:noProof/>
        </w:rPr>
        <w:t>10</w:t>
      </w:r>
      <w:r>
        <w:rPr>
          <w:noProof/>
        </w:rPr>
        <w:fldChar w:fldCharType="end"/>
      </w:r>
      <w:bookmarkEnd w:id="19"/>
      <w:r>
        <w:rPr>
          <w:noProof/>
        </w:rPr>
        <w:t>: Συνολικός αριθμός μέτρων καταναγκασμού που αναφέρθηκαν ανά τύπο μέτρου</w:t>
      </w:r>
    </w:p>
    <w:p>
      <w:pPr>
        <w:pStyle w:val="Text2"/>
        <w:ind w:left="0"/>
        <w:jc w:val="center"/>
        <w:rPr>
          <w:noProof/>
          <w:highlight w:val="yellow"/>
        </w:rPr>
      </w:pPr>
      <w:r>
        <w:rPr>
          <w:noProof/>
          <w:lang w:val="en-GB" w:eastAsia="en-GB"/>
        </w:rPr>
        <w:drawing>
          <wp:inline distT="0" distB="0" distL="0" distR="0">
            <wp:extent cx="5088255" cy="2413000"/>
            <wp:effectExtent l="0" t="0" r="0" b="635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88255" cy="2413000"/>
                    </a:xfrm>
                    <a:prstGeom prst="rect">
                      <a:avLst/>
                    </a:prstGeom>
                    <a:noFill/>
                    <a:ln>
                      <a:noFill/>
                    </a:ln>
                  </pic:spPr>
                </pic:pic>
              </a:graphicData>
            </a:graphic>
          </wp:inline>
        </w:drawing>
      </w:r>
    </w:p>
    <w:p>
      <w:pPr>
        <w:pStyle w:val="Heading2"/>
        <w:rPr>
          <w:noProof/>
        </w:rPr>
      </w:pPr>
      <w:bookmarkStart w:id="20" w:name="_Toc82425984"/>
      <w:r>
        <w:rPr>
          <w:noProof/>
        </w:rPr>
        <w:t>Στατιστικά στοιχεία για τα μεγάλα ατυχήματα</w:t>
      </w:r>
      <w:bookmarkEnd w:id="20"/>
    </w:p>
    <w:p>
      <w:pPr>
        <w:rPr>
          <w:noProof/>
        </w:rPr>
      </w:pPr>
      <w:r>
        <w:rPr>
          <w:noProof/>
        </w:rPr>
        <w:t xml:space="preserve">Ο αριθμός μεγάλων ατυχημάτων είναι ένας από τους κύριους δείκτες μέτρησης της συνολικής αποτελεσματικότητας της οδηγίας Seveso III όσον αφορά την ελαχιστοποίησή τους και την ελαχιστοποίηση των επιβλαβών επιπτώσεών τους. Σύμφωνα με το άρθρο 18, τα κράτη μέλη ενημερώνουν την Επιτροπή σχετικά με τα μεγάλα ατυχήματα που πληρούν τα κριτήρια του παραρτήματος VI </w:t>
      </w:r>
      <w:r>
        <w:rPr>
          <w:noProof/>
          <w:color w:val="000000"/>
          <w:shd w:val="clear" w:color="auto" w:fill="FFFFFF"/>
        </w:rPr>
        <w:t>και συνέβησαν στο έδαφός τους</w:t>
      </w:r>
      <w:r>
        <w:rPr>
          <w:noProof/>
        </w:rPr>
        <w:t>.</w:t>
      </w:r>
    </w:p>
    <w:p>
      <w:pPr>
        <w:rPr>
          <w:noProof/>
        </w:rPr>
      </w:pPr>
      <w:r>
        <w:rPr>
          <w:noProof/>
        </w:rPr>
        <w:t xml:space="preserve">Μεταξύ 2000 και 2018, στη βάση δεδομένων eMARS καταχωρίστηκαν συνολικά 518 ατυχήματα. Από αυτά τα 518 ατυχήματα, 442 (85 %) προσδιορίστηκαν ως μεγάλα ατυχήματα που πληρούν τα κριτήρια του παραρτήματος VI της οδηγίας Seveso III. Όπως φαίνεται στο </w:t>
      </w:r>
      <w:r>
        <w:rPr>
          <w:i/>
          <w:noProof/>
        </w:rPr>
        <w:fldChar w:fldCharType="begin"/>
      </w:r>
      <w:r>
        <w:rPr>
          <w:i/>
          <w:noProof/>
        </w:rPr>
        <w:instrText xml:space="preserve"> REF _Ref484001832 \h  \* MERGEFORMAT </w:instrText>
      </w:r>
      <w:r>
        <w:rPr>
          <w:i/>
          <w:noProof/>
        </w:rPr>
      </w:r>
      <w:r>
        <w:rPr>
          <w:i/>
          <w:noProof/>
        </w:rPr>
        <w:fldChar w:fldCharType="separate"/>
      </w:r>
      <w:r>
        <w:rPr>
          <w:i/>
          <w:noProof/>
        </w:rPr>
        <w:t>διάγραμμα 11</w:t>
      </w:r>
      <w:r>
        <w:rPr>
          <w:i/>
          <w:noProof/>
        </w:rPr>
        <w:fldChar w:fldCharType="end"/>
      </w:r>
      <w:r>
        <w:rPr>
          <w:noProof/>
        </w:rPr>
        <w:t>, ο συνολικός αριθμός μεγάλων ατυχημάτων παρουσιάζει σταθερή τάση τα τελευταία έτη παρά την αύξηση του αριθμού των μονάδων που καλύπτονται από την οδηγία Seveso III. Κατά την περίοδο 2005-2015, ο αριθμός των ατυχημάτων, με βάση επαληθευμένα στοιχεία, είναι μικρότερος από 25 ετησίως, για το σύνολο των 11 776 μονάδων που υπόκεινται στις απαιτήσεις της οδηγίας</w:t>
      </w:r>
      <w:r>
        <w:rPr>
          <w:rStyle w:val="FootnoteReference"/>
          <w:noProof/>
        </w:rPr>
        <w:footnoteReference w:id="16"/>
      </w:r>
      <w:r>
        <w:rPr>
          <w:noProof/>
        </w:rPr>
        <w:t xml:space="preserve">. </w:t>
      </w:r>
    </w:p>
    <w:p>
      <w:pPr>
        <w:rPr>
          <w:noProof/>
        </w:rPr>
      </w:pPr>
      <w:r>
        <w:rPr>
          <w:noProof/>
        </w:rPr>
        <w:t>Λαμβανομένου υπόψη του πολύ υψηλού ποσοστού βιομηχανοποίησης στην ΕΕ, τα ακόλουθα στοιχεία δείχνουν ότι η οδηγία Seveso ΙΙI συμβάλλει σημαντικά στην επίτευξη χαμηλής συχνότητας μεγάλων ατυχημάτων. Θεωρείται ευρέως ως σημείο αναφοράς για την πολιτική για τα βιομηχανικά ατυχήματα και αποτελεί πρότυπο νομοθεσίας σε πολλές χώρες παγκοσμίως.</w:t>
      </w:r>
    </w:p>
    <w:p>
      <w:pPr>
        <w:pStyle w:val="Caption"/>
        <w:keepNext/>
        <w:rPr>
          <w:noProof/>
        </w:rPr>
      </w:pPr>
      <w:bookmarkStart w:id="21" w:name="_Ref484001832"/>
      <w:r>
        <w:rPr>
          <w:noProof/>
        </w:rPr>
        <w:t>Διάγραμμα </w:t>
      </w:r>
      <w:r>
        <w:rPr>
          <w:noProof/>
        </w:rPr>
        <w:fldChar w:fldCharType="begin"/>
      </w:r>
      <w:r>
        <w:rPr>
          <w:noProof/>
        </w:rPr>
        <w:instrText xml:space="preserve"> SEQ Figure \* ARABIC </w:instrText>
      </w:r>
      <w:r>
        <w:rPr>
          <w:noProof/>
        </w:rPr>
        <w:fldChar w:fldCharType="separate"/>
      </w:r>
      <w:r>
        <w:rPr>
          <w:noProof/>
        </w:rPr>
        <w:t>11</w:t>
      </w:r>
      <w:r>
        <w:rPr>
          <w:noProof/>
        </w:rPr>
        <w:fldChar w:fldCharType="end"/>
      </w:r>
      <w:bookmarkEnd w:id="21"/>
      <w:r>
        <w:rPr>
          <w:noProof/>
        </w:rPr>
        <w:t>: Αριθμός μεγάλων ατυχημάτων που πληρούν τουλάχιστον ένα από τα κριτήρια του παραρτήματος VI την περίοδο 2000-2018</w:t>
      </w:r>
    </w:p>
    <w:p>
      <w:pPr>
        <w:rPr>
          <w:noProof/>
        </w:rPr>
      </w:pPr>
      <w:bookmarkStart w:id="22" w:name="_Ref484002748"/>
      <w:r>
        <w:rPr>
          <w:noProof/>
          <w:lang w:val="en-GB" w:eastAsia="en-GB"/>
        </w:rPr>
        <w:drawing>
          <wp:inline distT="0" distB="0" distL="0" distR="0">
            <wp:extent cx="5472430" cy="2525395"/>
            <wp:effectExtent l="0" t="0" r="0" b="8255"/>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72430" cy="2525395"/>
                    </a:xfrm>
                    <a:prstGeom prst="rect">
                      <a:avLst/>
                    </a:prstGeom>
                    <a:noFill/>
                    <a:ln>
                      <a:noFill/>
                    </a:ln>
                  </pic:spPr>
                </pic:pic>
              </a:graphicData>
            </a:graphic>
          </wp:inline>
        </w:drawing>
      </w:r>
      <w:r>
        <w:rPr>
          <w:noProof/>
        </w:rPr>
        <w:t xml:space="preserve"> </w:t>
      </w:r>
      <w:r>
        <w:rPr>
          <w:noProof/>
        </w:rPr>
        <w:br/>
        <w:t xml:space="preserve">Παρότι τα τελευταία έτη ο αριθμός των θανάτων λόγω μεγάλων χημικών ατυχημάτων είναι αρκετά χαμηλός, το 2014 και το 2015 ο αριθμός των θανάτων ήταν πολύ υψηλότερος, γεγονός που καταδεικνύει τη σημασία της διατήρησης της επαγρύπνησης έναντι των κινδύνων χημικών ατυχημάτων (πρβλ. </w:t>
      </w:r>
      <w:r>
        <w:rPr>
          <w:i/>
          <w:noProof/>
        </w:rPr>
        <w:fldChar w:fldCharType="begin"/>
      </w:r>
      <w:r>
        <w:rPr>
          <w:i/>
          <w:noProof/>
        </w:rPr>
        <w:instrText xml:space="preserve"> REF _Ref62585246 \h  \* MERGEFORMAT </w:instrText>
      </w:r>
      <w:r>
        <w:rPr>
          <w:i/>
          <w:noProof/>
        </w:rPr>
      </w:r>
      <w:r>
        <w:rPr>
          <w:i/>
          <w:noProof/>
        </w:rPr>
        <w:fldChar w:fldCharType="separate"/>
      </w:r>
      <w:r>
        <w:rPr>
          <w:i/>
          <w:noProof/>
        </w:rPr>
        <w:t>διάγραμμα 12</w:t>
      </w:r>
      <w:r>
        <w:rPr>
          <w:i/>
          <w:noProof/>
        </w:rPr>
        <w:fldChar w:fldCharType="end"/>
      </w:r>
      <w:r>
        <w:rPr>
          <w:noProof/>
        </w:rPr>
        <w:t xml:space="preserve"> και </w:t>
      </w:r>
      <w:r>
        <w:rPr>
          <w:i/>
          <w:noProof/>
        </w:rPr>
        <w:fldChar w:fldCharType="begin"/>
      </w:r>
      <w:r>
        <w:rPr>
          <w:i/>
          <w:noProof/>
        </w:rPr>
        <w:instrText xml:space="preserve"> REF _Ref60860256 \h  \* MERGEFORMAT </w:instrText>
      </w:r>
      <w:r>
        <w:rPr>
          <w:i/>
          <w:noProof/>
        </w:rPr>
      </w:r>
      <w:r>
        <w:rPr>
          <w:i/>
          <w:noProof/>
        </w:rPr>
        <w:fldChar w:fldCharType="separate"/>
      </w:r>
      <w:r>
        <w:rPr>
          <w:i/>
          <w:noProof/>
        </w:rPr>
        <w:t>διάγραμμα13</w:t>
      </w:r>
      <w:r>
        <w:rPr>
          <w:i/>
          <w:noProof/>
        </w:rPr>
        <w:fldChar w:fldCharType="end"/>
      </w:r>
      <w:r>
        <w:rPr>
          <w:noProof/>
        </w:rPr>
        <w:t>).</w:t>
      </w:r>
    </w:p>
    <w:p>
      <w:pPr>
        <w:pStyle w:val="Caption"/>
        <w:keepNext/>
        <w:rPr>
          <w:noProof/>
        </w:rPr>
      </w:pPr>
      <w:bookmarkStart w:id="23" w:name="_Ref62585246"/>
      <w:bookmarkStart w:id="24" w:name="_Ref62585225"/>
      <w:r>
        <w:rPr>
          <w:noProof/>
        </w:rPr>
        <w:t xml:space="preserve">Διάγραμμα </w:t>
      </w:r>
      <w:r>
        <w:rPr>
          <w:noProof/>
        </w:rPr>
        <w:fldChar w:fldCharType="begin"/>
      </w:r>
      <w:r>
        <w:rPr>
          <w:noProof/>
        </w:rPr>
        <w:instrText xml:space="preserve"> SEQ Figure \* ARABIC </w:instrText>
      </w:r>
      <w:r>
        <w:rPr>
          <w:noProof/>
        </w:rPr>
        <w:fldChar w:fldCharType="separate"/>
      </w:r>
      <w:r>
        <w:rPr>
          <w:noProof/>
        </w:rPr>
        <w:t>12</w:t>
      </w:r>
      <w:r>
        <w:rPr>
          <w:noProof/>
        </w:rPr>
        <w:fldChar w:fldCharType="end"/>
      </w:r>
      <w:bookmarkEnd w:id="22"/>
      <w:bookmarkEnd w:id="23"/>
      <w:r>
        <w:rPr>
          <w:noProof/>
        </w:rPr>
        <w:t>: Αριθμός θανάτων εντός και εκτός του χώρου της μονάδας κατά την περίοδο 2000-2018</w:t>
      </w:r>
      <w:bookmarkEnd w:id="24"/>
    </w:p>
    <w:p>
      <w:pPr>
        <w:rPr>
          <w:noProof/>
          <w:highlight w:val="yellow"/>
        </w:rPr>
      </w:pPr>
      <w:r>
        <w:rPr>
          <w:noProof/>
          <w:lang w:val="en-GB" w:eastAsia="en-GB"/>
        </w:rPr>
        <w:drawing>
          <wp:inline distT="0" distB="0" distL="0" distR="0">
            <wp:extent cx="5472430" cy="2452370"/>
            <wp:effectExtent l="0" t="0" r="0" b="508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72430" cy="2452370"/>
                    </a:xfrm>
                    <a:prstGeom prst="rect">
                      <a:avLst/>
                    </a:prstGeom>
                    <a:noFill/>
                    <a:ln>
                      <a:noFill/>
                    </a:ln>
                  </pic:spPr>
                </pic:pic>
              </a:graphicData>
            </a:graphic>
          </wp:inline>
        </w:drawing>
      </w:r>
    </w:p>
    <w:p>
      <w:pPr>
        <w:rPr>
          <w:i/>
          <w:noProof/>
          <w:sz w:val="22"/>
          <w:highlight w:val="yellow"/>
        </w:rPr>
      </w:pPr>
      <w:bookmarkStart w:id="25" w:name="_Ref60860256"/>
      <w:r>
        <w:rPr>
          <w:i/>
          <w:noProof/>
          <w:sz w:val="22"/>
        </w:rPr>
        <w:t>Διάγραμμα</w:t>
      </w:r>
      <w:r>
        <w:rPr>
          <w:i/>
          <w:noProof/>
          <w:sz w:val="22"/>
        </w:rPr>
        <w:fldChar w:fldCharType="begin"/>
      </w:r>
      <w:r>
        <w:rPr>
          <w:i/>
          <w:noProof/>
          <w:sz w:val="22"/>
        </w:rPr>
        <w:instrText xml:space="preserve"> SEQ Figure \* ARABIC </w:instrText>
      </w:r>
      <w:r>
        <w:rPr>
          <w:i/>
          <w:noProof/>
          <w:sz w:val="22"/>
        </w:rPr>
        <w:fldChar w:fldCharType="separate"/>
      </w:r>
      <w:r>
        <w:rPr>
          <w:i/>
          <w:noProof/>
          <w:sz w:val="22"/>
        </w:rPr>
        <w:t>13</w:t>
      </w:r>
      <w:r>
        <w:rPr>
          <w:i/>
          <w:noProof/>
          <w:sz w:val="22"/>
        </w:rPr>
        <w:fldChar w:fldCharType="end"/>
      </w:r>
      <w:bookmarkEnd w:id="25"/>
      <w:r>
        <w:rPr>
          <w:i/>
          <w:noProof/>
          <w:sz w:val="22"/>
        </w:rPr>
        <w:t xml:space="preserve">: </w:t>
      </w:r>
      <w:r>
        <w:rPr>
          <w:i/>
          <w:noProof/>
          <w:sz w:val="20"/>
          <w:szCs w:val="20"/>
        </w:rPr>
        <w:t xml:space="preserve">Αριθμός τραυματισμών εντός και εκτός του χώρου της μονάδας κατά την περίοδο 2000-2018 </w:t>
      </w:r>
    </w:p>
    <w:p>
      <w:pPr>
        <w:spacing w:after="0"/>
        <w:rPr>
          <w:noProof/>
        </w:rPr>
      </w:pPr>
      <w:r>
        <w:rPr>
          <w:noProof/>
          <w:lang w:val="en-GB" w:eastAsia="en-GB"/>
        </w:rPr>
        <w:drawing>
          <wp:inline distT="0" distB="0" distL="0" distR="0">
            <wp:extent cx="5472430" cy="2479040"/>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72430" cy="2479040"/>
                    </a:xfrm>
                    <a:prstGeom prst="rect">
                      <a:avLst/>
                    </a:prstGeom>
                    <a:noFill/>
                    <a:ln>
                      <a:noFill/>
                    </a:ln>
                  </pic:spPr>
                </pic:pic>
              </a:graphicData>
            </a:graphic>
          </wp:inline>
        </w:drawing>
      </w:r>
    </w:p>
    <w:p>
      <w:pPr>
        <w:spacing w:after="0"/>
        <w:rPr>
          <w:noProof/>
        </w:rPr>
      </w:pPr>
      <w:r>
        <w:rPr>
          <w:noProof/>
        </w:rPr>
        <w:t>Καθ’ όλη τη διάρκεια της περιόδου 2000-2018, τα συνηθέστερα κριτήρια που αναφέρονται, από τα 6 που προβλέπονται στο παράρτημα VI, για την κοινοποίηση μεγάλου ατυχήματος στην Επιτροπή, δεν έχουν αλλάξει και είναι τα ακόλουθα:</w:t>
      </w:r>
    </w:p>
    <w:p>
      <w:pPr>
        <w:pStyle w:val="ListParagraph"/>
        <w:numPr>
          <w:ilvl w:val="0"/>
          <w:numId w:val="21"/>
        </w:numPr>
        <w:spacing w:after="0"/>
        <w:rPr>
          <w:noProof/>
        </w:rPr>
      </w:pPr>
      <w:r>
        <w:rPr>
          <w:noProof/>
        </w:rPr>
        <w:t>ποσότητα εμπλεκόμενων ουσιών·</w:t>
      </w:r>
    </w:p>
    <w:p>
      <w:pPr>
        <w:pStyle w:val="ListParagraph"/>
        <w:numPr>
          <w:ilvl w:val="0"/>
          <w:numId w:val="21"/>
        </w:numPr>
        <w:rPr>
          <w:noProof/>
        </w:rPr>
      </w:pPr>
      <w:r>
        <w:rPr>
          <w:noProof/>
        </w:rPr>
        <w:t>τραυματισμός προσώπων·</w:t>
      </w:r>
    </w:p>
    <w:p>
      <w:pPr>
        <w:pStyle w:val="ListParagraph"/>
        <w:numPr>
          <w:ilvl w:val="0"/>
          <w:numId w:val="21"/>
        </w:numPr>
        <w:rPr>
          <w:noProof/>
        </w:rPr>
      </w:pPr>
      <w:r>
        <w:rPr>
          <w:noProof/>
        </w:rPr>
        <w:t>υλικές ζημίες.</w:t>
      </w:r>
    </w:p>
    <w:p>
      <w:pPr>
        <w:pStyle w:val="Caption"/>
        <w:keepNext/>
        <w:rPr>
          <w:noProof/>
        </w:rPr>
      </w:pPr>
      <w:bookmarkStart w:id="26" w:name="_Ref60858199"/>
      <w:r>
        <w:rPr>
          <w:noProof/>
        </w:rPr>
        <w:t>Διάγραμμα</w:t>
      </w:r>
      <w:r>
        <w:rPr>
          <w:noProof/>
        </w:rPr>
        <w:fldChar w:fldCharType="begin"/>
      </w:r>
      <w:r>
        <w:rPr>
          <w:noProof/>
        </w:rPr>
        <w:instrText xml:space="preserve"> SEQ Figure \* ARABIC </w:instrText>
      </w:r>
      <w:r>
        <w:rPr>
          <w:noProof/>
        </w:rPr>
        <w:fldChar w:fldCharType="separate"/>
      </w:r>
      <w:r>
        <w:rPr>
          <w:noProof/>
        </w:rPr>
        <w:t>14</w:t>
      </w:r>
      <w:r>
        <w:rPr>
          <w:noProof/>
        </w:rPr>
        <w:fldChar w:fldCharType="end"/>
      </w:r>
      <w:bookmarkEnd w:id="26"/>
      <w:r>
        <w:rPr>
          <w:noProof/>
        </w:rPr>
        <w:t>: Κριτήρια για την αναφορά μεγάλων ατυχημάτων στο eMARS την περίοδο 2000-2018</w:t>
      </w:r>
      <w:r>
        <w:rPr>
          <w:rStyle w:val="FootnoteReference"/>
          <w:noProof/>
        </w:rPr>
        <w:footnoteReference w:id="17"/>
      </w:r>
      <w:r>
        <w:rPr>
          <w:noProof/>
          <w:vertAlign w:val="superscript"/>
        </w:rPr>
        <w:t>,</w:t>
      </w:r>
      <w:r>
        <w:rPr>
          <w:noProof/>
        </w:rPr>
        <w:t xml:space="preserve"> </w:t>
      </w:r>
      <w:r>
        <w:rPr>
          <w:rStyle w:val="FootnoteReference"/>
          <w:noProof/>
        </w:rPr>
        <w:footnoteReference w:id="18"/>
      </w:r>
    </w:p>
    <w:p>
      <w:pPr>
        <w:rPr>
          <w:noProof/>
        </w:rPr>
      </w:pPr>
      <w:r>
        <w:rPr>
          <w:noProof/>
          <w:lang w:val="en-GB" w:eastAsia="en-GB"/>
        </w:rPr>
        <w:drawing>
          <wp:inline distT="0" distB="0" distL="0" distR="0">
            <wp:extent cx="5472430" cy="2438400"/>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72430" cy="2438400"/>
                    </a:xfrm>
                    <a:prstGeom prst="rect">
                      <a:avLst/>
                    </a:prstGeom>
                    <a:noFill/>
                    <a:ln>
                      <a:noFill/>
                    </a:ln>
                  </pic:spPr>
                </pic:pic>
              </a:graphicData>
            </a:graphic>
          </wp:inline>
        </w:drawing>
      </w:r>
    </w:p>
    <w:p>
      <w:pPr>
        <w:rPr>
          <w:noProof/>
        </w:rPr>
      </w:pPr>
      <w:r>
        <w:rPr>
          <w:noProof/>
        </w:rPr>
        <w:t>Όσον αφορά τη σχετική βιομηχανική δραστηριότητα, τα στοιχεία που συλλέχθηκαν δείχνουν ότι η παραγωγή χημικών προϊόντων (114 μεγάλα ατυχήματα) και οι τομείς της πετροχημικής βιομηχανίας και των διυλιστηρίων πετρελαίου (105 μεγάλα ατυχήματα) είναι οι πιο επιρρεπείς σε μεγάλα ατυχήματα (πρβλ. </w:t>
      </w:r>
      <w:r>
        <w:rPr>
          <w:i/>
          <w:noProof/>
        </w:rPr>
        <w:fldChar w:fldCharType="begin"/>
      </w:r>
      <w:r>
        <w:rPr>
          <w:i/>
          <w:noProof/>
        </w:rPr>
        <w:instrText xml:space="preserve"> REF _Ref60860774 \h  \* MERGEFORMAT </w:instrText>
      </w:r>
      <w:r>
        <w:rPr>
          <w:i/>
          <w:noProof/>
        </w:rPr>
      </w:r>
      <w:r>
        <w:rPr>
          <w:i/>
          <w:noProof/>
        </w:rPr>
        <w:fldChar w:fldCharType="separate"/>
      </w:r>
      <w:r>
        <w:rPr>
          <w:i/>
          <w:noProof/>
        </w:rPr>
        <w:t>διάγραμμα 15</w:t>
      </w:r>
      <w:r>
        <w:rPr>
          <w:i/>
          <w:noProof/>
        </w:rPr>
        <w:fldChar w:fldCharType="end"/>
      </w:r>
      <w:r>
        <w:rPr>
          <w:noProof/>
        </w:rPr>
        <w:t xml:space="preserve">). </w:t>
      </w:r>
    </w:p>
    <w:p>
      <w:pPr>
        <w:pStyle w:val="Caption"/>
        <w:keepNext/>
        <w:rPr>
          <w:noProof/>
        </w:rPr>
      </w:pPr>
      <w:bookmarkStart w:id="27" w:name="_Ref60860774"/>
      <w:r>
        <w:rPr>
          <w:noProof/>
        </w:rPr>
        <w:t xml:space="preserve">Διάγραμμα </w:t>
      </w:r>
      <w:r>
        <w:rPr>
          <w:noProof/>
        </w:rPr>
        <w:fldChar w:fldCharType="begin"/>
      </w:r>
      <w:r>
        <w:rPr>
          <w:noProof/>
        </w:rPr>
        <w:instrText xml:space="preserve"> SEQ Figure \* ARABIC </w:instrText>
      </w:r>
      <w:r>
        <w:rPr>
          <w:noProof/>
        </w:rPr>
        <w:fldChar w:fldCharType="separate"/>
      </w:r>
      <w:r>
        <w:rPr>
          <w:noProof/>
        </w:rPr>
        <w:t>15</w:t>
      </w:r>
      <w:r>
        <w:rPr>
          <w:noProof/>
        </w:rPr>
        <w:fldChar w:fldCharType="end"/>
      </w:r>
      <w:bookmarkEnd w:id="27"/>
      <w:r>
        <w:rPr>
          <w:noProof/>
        </w:rPr>
        <w:t xml:space="preserve">: Αριθμός ατυχημάτων και περιστατικών ανά τύπο δραστηριότητας τα έτη 2000-2018 </w:t>
      </w:r>
    </w:p>
    <w:p>
      <w:pPr>
        <w:rPr>
          <w:noProof/>
        </w:rPr>
      </w:pPr>
      <w:r>
        <w:rPr>
          <w:noProof/>
          <w:lang w:val="en-GB" w:eastAsia="en-GB"/>
        </w:rPr>
        <w:drawing>
          <wp:inline distT="0" distB="0" distL="0" distR="0">
            <wp:extent cx="5472430" cy="1955800"/>
            <wp:effectExtent l="0" t="0" r="0" b="6350"/>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72430" cy="1955800"/>
                    </a:xfrm>
                    <a:prstGeom prst="rect">
                      <a:avLst/>
                    </a:prstGeom>
                    <a:noFill/>
                    <a:ln>
                      <a:noFill/>
                    </a:ln>
                  </pic:spPr>
                </pic:pic>
              </a:graphicData>
            </a:graphic>
          </wp:inline>
        </w:drawing>
      </w:r>
    </w:p>
    <w:p>
      <w:pPr>
        <w:rPr>
          <w:noProof/>
        </w:rPr>
      </w:pPr>
    </w:p>
    <w:p>
      <w:pPr>
        <w:pStyle w:val="Heading1"/>
        <w:numPr>
          <w:ilvl w:val="0"/>
          <w:numId w:val="37"/>
        </w:numPr>
        <w:rPr>
          <w:noProof/>
        </w:rPr>
      </w:pPr>
      <w:bookmarkStart w:id="28" w:name="_Toc82425985"/>
      <w:r>
        <w:rPr>
          <w:noProof/>
        </w:rPr>
        <w:t>Μελλοντική πορεία για τη βελτίωση της πρόληψης των βιομηχανικών ατυχημάτων</w:t>
      </w:r>
      <w:bookmarkEnd w:id="28"/>
    </w:p>
    <w:p>
      <w:pPr>
        <w:rPr>
          <w:noProof/>
        </w:rPr>
      </w:pPr>
      <w:r>
        <w:rPr>
          <w:noProof/>
        </w:rPr>
        <w:t>Τα στοιχεία που ανέφεραν τα κράτη μέλη σχετικά με την εφαρμογή της οδηγίας Seveso III παρέχουν χρήσιμες πληροφορίες για τον προσδιορισμό των μέτρων που απαιτούνται για την περαιτέρω βελτίωση της πρόληψης των βιομηχανικών ατυχημάτων. Για τον σκοπό αυτό, προσδιορίστηκαν τρεις κύριοι μοχλοί, οι οποίοι καθιστούν δυνατή την ουσιαστική αξιολόγηση του πεδίου εφαρμογής της εν λόγω οδηγίας:</w:t>
      </w:r>
    </w:p>
    <w:p>
      <w:pPr>
        <w:pStyle w:val="ListParagraph"/>
        <w:numPr>
          <w:ilvl w:val="0"/>
          <w:numId w:val="25"/>
        </w:numPr>
        <w:spacing w:after="120"/>
        <w:ind w:left="714" w:hanging="357"/>
        <w:contextualSpacing w:val="0"/>
        <w:rPr>
          <w:noProof/>
        </w:rPr>
      </w:pPr>
      <w:r>
        <w:rPr>
          <w:noProof/>
        </w:rPr>
        <w:t>Βελτίωση της εφαρμογής και της συμμόρφωσης</w:t>
      </w:r>
    </w:p>
    <w:p>
      <w:pPr>
        <w:pStyle w:val="ListParagraph"/>
        <w:numPr>
          <w:ilvl w:val="0"/>
          <w:numId w:val="25"/>
        </w:numPr>
        <w:spacing w:after="120"/>
        <w:ind w:left="714" w:hanging="357"/>
        <w:contextualSpacing w:val="0"/>
        <w:rPr>
          <w:noProof/>
        </w:rPr>
      </w:pPr>
      <w:r>
        <w:rPr>
          <w:noProof/>
        </w:rPr>
        <w:t>Βελτίωση και εξορθολογισμός της διαδικασίας υποβολής εκθέσεων</w:t>
      </w:r>
    </w:p>
    <w:p>
      <w:pPr>
        <w:pStyle w:val="ListParagraph"/>
        <w:numPr>
          <w:ilvl w:val="0"/>
          <w:numId w:val="25"/>
        </w:numPr>
        <w:spacing w:after="120"/>
        <w:ind w:left="714" w:hanging="357"/>
        <w:contextualSpacing w:val="0"/>
        <w:rPr>
          <w:noProof/>
        </w:rPr>
      </w:pPr>
      <w:r>
        <w:rPr>
          <w:noProof/>
        </w:rPr>
        <w:t>Ενίσχυση των ανταλλαγών μεταξύ των κρατών μελών και της Επιτροπής σχετικά με διδάγματα που αντλούνται και ορθές πρακτικές</w:t>
      </w:r>
    </w:p>
    <w:p>
      <w:pPr>
        <w:rPr>
          <w:noProof/>
        </w:rPr>
      </w:pPr>
      <w:r>
        <w:rPr>
          <w:rStyle w:val="InstructionBlue"/>
          <w:noProof/>
        </w:rPr>
        <w:t xml:space="preserve">Βελτίωση της εφαρμογής της οδηγίας Seveso III και της συμμόρφωσης με αυτήν </w:t>
      </w:r>
    </w:p>
    <w:p>
      <w:pPr>
        <w:rPr>
          <w:noProof/>
        </w:rPr>
      </w:pPr>
      <w:r>
        <w:rPr>
          <w:noProof/>
        </w:rPr>
        <w:t>Η οδηγία Seveso III έπρεπε να μεταφερθεί στο εθνικό δίκαιο των κρατών μελών έως την 1η Ιουνίου 2015. Λόγω μη έγκαιρης μεταφοράς στο εθνικό δίκαιο από 16 κράτη μέλη, η Επιτροπή κίνησε διαδικασίες επί παραβάσει για μη κοινοποίηση κατά την περίοδο 2015-2017. Όλες οι υποθέσεις περατώθηκαν στη συνέχεια μετά την κοινοποίηση των μέτρων μεταφοράς στο εθνικό δίκαιο.</w:t>
      </w:r>
    </w:p>
    <w:p>
      <w:pPr>
        <w:rPr>
          <w:noProof/>
        </w:rPr>
      </w:pPr>
      <w:r>
        <w:rPr>
          <w:noProof/>
        </w:rPr>
        <w:t xml:space="preserve">Η Επιτροπή παρακολουθεί επίσης στενά την ορθή μεταφορά της οδηγίας στο εσωτερικό δίκαιο. Προβλήματα μεταφοράς στο εθνικό δίκαιο εντοπίστηκαν σε 16 κράτη μέλη και έχουν κινηθεί ή κινούνται διαδικασίες επί παραβάσει για την αντιμετώπισή τους. </w:t>
      </w:r>
    </w:p>
    <w:p>
      <w:pPr>
        <w:rPr>
          <w:noProof/>
        </w:rPr>
      </w:pPr>
      <w:r>
        <w:rPr>
          <w:noProof/>
        </w:rPr>
        <w:t xml:space="preserve">Παρότι η κατάσταση βελτιώνεται συνολικά με την πάροδο των ετών, όπως υποδεικνύεται από την ανάλυση των εκθέσεων των κρατών μελών, η Επιτροπή εντόπισε ορισμένες ελλείψεις και θα διερευνήσει τους λόγους στους οποίους οφείλεται η μη συμμόρφωση (π.χ. σχετικά με τα ΕΣΕΑ και την ενημέρωση του κοινού). </w:t>
      </w:r>
    </w:p>
    <w:p>
      <w:pPr>
        <w:rPr>
          <w:noProof/>
        </w:rPr>
      </w:pPr>
      <w:r>
        <w:rPr>
          <w:noProof/>
        </w:rPr>
        <w:t>Σε περίπτωση που αυτές οι ελλείψεις, οι οποίες οδηγούν σε αυξημένους κινδύνους ατυχημάτων, υπονομεύοντας κατά αυτόν τον τρόπο τους στόχους της οδηγίας, είναι αποτέλεσμα διαρθρωτικών και όχι μεμονωμένων ζητημάτων, η Επιτροπή θα εξετάσει το ενδεχόμενο κίνησης διαδικασιών επί παραβάσει, ανάλογα με την περίπτωση</w:t>
      </w:r>
      <w:r>
        <w:rPr>
          <w:rStyle w:val="FootnoteReference"/>
          <w:noProof/>
        </w:rPr>
        <w:footnoteReference w:id="19"/>
      </w:r>
      <w:r>
        <w:rPr>
          <w:noProof/>
        </w:rPr>
        <w:t>.</w:t>
      </w:r>
    </w:p>
    <w:p>
      <w:pPr>
        <w:pStyle w:val="Text1"/>
        <w:ind w:left="0"/>
        <w:rPr>
          <w:rStyle w:val="InstructionBlue"/>
          <w:noProof/>
        </w:rPr>
      </w:pPr>
      <w:r>
        <w:rPr>
          <w:rStyle w:val="InstructionBlue"/>
          <w:noProof/>
        </w:rPr>
        <w:t>Βελτίωση και εξορθολογισμός της διαδικασίας υποβολής εκθέσεων</w:t>
      </w:r>
    </w:p>
    <w:p>
      <w:pPr>
        <w:rPr>
          <w:noProof/>
        </w:rPr>
      </w:pPr>
      <w:r>
        <w:rPr>
          <w:noProof/>
        </w:rPr>
        <w:t xml:space="preserve">Η Επιτροπή θα συνεχίσει να εργάζεται για τη βελτίωση και τον εξορθολογισμό της διαδικασίας υποβολής εκθέσεων, καθώς και για τη μεγιστοποίηση των συνεργειών μέσω της σύνδεσης των διαφόρων βάσεων δεδομένων που περιέχουν δεδομένα για βιομηχανικές μονάδες. Αυτό αποσκοπεί στη βελτίωση της συνάφειας και της ποιότητας των στοιχείων που παρέχονται από τα κράτη μέλη, καθώς και στη μείωση του διοικητικού φόρτου. </w:t>
      </w:r>
    </w:p>
    <w:p>
      <w:pPr>
        <w:rPr>
          <w:noProof/>
        </w:rPr>
      </w:pPr>
      <w:r>
        <w:rPr>
          <w:noProof/>
        </w:rPr>
        <w:t>Πρώτον, η Επιτροπή επιθυμεί να βελτιώσει τη βάση δεδομένων μεγάλων βιομηχανικών ατυχημάτων (eMARS</w:t>
      </w:r>
      <w:r>
        <w:rPr>
          <w:noProof/>
          <w:vertAlign w:val="superscript"/>
        </w:rPr>
        <w:footnoteReference w:id="20"/>
      </w:r>
      <w:r>
        <w:rPr>
          <w:noProof/>
        </w:rPr>
        <w:t xml:space="preserve">), η οποία περιλαμβάνει επί του παρόντος περιορισμένες πληροφορίες σχετικά με τις ευρύτερες, πιο μακροπρόθεσμες κοινωνικοοικονομικές συνέπειες (π.χ. απώλεια περιουσιακών στοιχείων ή υλικές ζημίες, μακροπρόθεσμη βλάβη στο περιβάλλον, απώλεια θέσεων εργασίας, απώλεια κύρους, μακροπρόθεσμος αντίκτυπος στη γειτονική περιοχή), δεδομένου ότι οι αναφερόμενες πληροφορίες αφορούν συνήθως τις άμεσες επιπτώσεις (π.χ. τραυματισμοί και θάνατοι). Μια πιο λεπτομερής εκτίμηση των κοινωνικοοικονομικών και περιβαλλοντικών επιπτώσεων των ατυχημάτων είναι σημαντική για τον καλύτερο μετριασμό των μακροπρόθεσμων συνεπειών των μεγάλων βιομηχανικών ατυχημάτων. </w:t>
      </w:r>
    </w:p>
    <w:p>
      <w:pPr>
        <w:rPr>
          <w:noProof/>
        </w:rPr>
      </w:pPr>
      <w:r>
        <w:rPr>
          <w:noProof/>
        </w:rPr>
        <w:t xml:space="preserve">Δεύτερον, η Επιτροπή επιθυμεί να βελτιώσει την υποβολή εκθέσεων για «παρ’ ολίγον ατυχήματα». Πρόκειται για περιστατικά κατά τα οποία δεν προκλήθηκαν υλικές ζημίες ούτε τραυματισμός προσώπου, αλλά θα μπορούσαν εύκολα να είχαν προκληθεί ζημίες ή τραυματισμοί. Κατά συνέχεια, αποτελούν πολύτιμη πηγή πληροφοριών για την ανταλλαγή διδαγμάτων που έχουν αντληθεί σε ολόκληρη την ΕΕ. </w:t>
      </w:r>
    </w:p>
    <w:p>
      <w:pPr>
        <w:rPr>
          <w:i/>
          <w:noProof/>
        </w:rPr>
      </w:pPr>
      <w:r>
        <w:rPr>
          <w:noProof/>
        </w:rPr>
        <w:t xml:space="preserve">Τρίτον, η αναφορά μεγάλων βιομηχανικών ατυχημάτων που σημειώθηκαν τα τελευταία έτη είναι πιθανόν να είναι ελλιπής λόγω του χρόνου που απαιτείται για τη διενέργεια πλήρων δικαστικών ερευνών και της δυσκολίας υποβολής εκθέσεων σε δύο στάδια στο πλαίσιο του τρέχοντος συστήματος υποβολής εκθέσεων. Το σύστημα υποβολής εκθέσεων θα πρέπει να βελτιωθεί στο μέλλον ώστε να διευκολυνθεί η υποβολή εκθέσεων σε δύο στάδια με (1) μια σύντομη προκαταρκτική έκθεση που υποβάλλεται αμέσως μετά το ατύχημα και (2) μια πλήρη έκθεση που υποβάλλεται μόλις διενεργηθούν όλες οι σχετικές έρευνες. </w:t>
      </w:r>
    </w:p>
    <w:p>
      <w:pPr>
        <w:rPr>
          <w:noProof/>
        </w:rPr>
      </w:pPr>
      <w:r>
        <w:rPr>
          <w:noProof/>
        </w:rPr>
        <w:t>Τέλος, η θέσπιση περισσότερων στατιστικών δεικτών στα κράτη μέλη που υποβάλλουν εκθέσεις (π.χ. για τον αριθμό των επιθεωρητών και των επιθεωρήσεων) θα επέτρεπε την καλύτερη παρακολούθηση της εκπλήρωσης των απαιτήσεων που ορίζει η οδηγία. Αυτό θα ήταν ακόμη μία σημαντική πληροφορία, ιδίως για τα διδάγματα που αντλούνται με στόχο τη βελτίωση της πρόληψης των βιομηχανικών ατυχημάτων, και θα μπορούσε να τροφοδοτήσει με χρήσιμο τρόπο το ολοκληρωμένο πλαίσιο παρακολούθησης και προοπτικών για μηδενική ρύπανση.</w:t>
      </w:r>
    </w:p>
    <w:p>
      <w:pPr>
        <w:rPr>
          <w:rStyle w:val="InstructionBlue"/>
          <w:noProof/>
        </w:rPr>
      </w:pPr>
      <w:r>
        <w:rPr>
          <w:rStyle w:val="InstructionBlue"/>
          <w:noProof/>
        </w:rPr>
        <w:t xml:space="preserve">Ενίσχυση των ανταλλαγών μεταξύ των κρατών μελών και της Επιτροπής </w:t>
      </w:r>
    </w:p>
    <w:p>
      <w:pPr>
        <w:rPr>
          <w:noProof/>
          <w:bdr w:val="none" w:sz="0" w:space="0" w:color="auto" w:frame="1"/>
        </w:rPr>
      </w:pPr>
      <w:r>
        <w:rPr>
          <w:noProof/>
          <w:bdr w:val="none" w:sz="0" w:space="0" w:color="auto" w:frame="1"/>
        </w:rPr>
        <w:t xml:space="preserve">Οι εργασίες σχετικά με τα διδάγματα που αντλούνται από μεγάλα βιομηχανικά ατυχήματα και επιθεωρήσεις αποτελούν βασικά στοιχεία για τη διατήρηση της κουλτούρας της βιομηχανικής ασφάλειας σε ολόκληρη την Ευρωπαϊκή Ένωση και τη βελτίωση της πρόληψης και του μετριασμού των ατυχημάτων. </w:t>
      </w:r>
    </w:p>
    <w:p>
      <w:pPr>
        <w:rPr>
          <w:noProof/>
          <w:bdr w:val="none" w:sz="0" w:space="0" w:color="auto" w:frame="1"/>
        </w:rPr>
      </w:pPr>
      <w:r>
        <w:rPr>
          <w:noProof/>
          <w:bdr w:val="none" w:sz="0" w:space="0" w:color="auto" w:frame="1"/>
        </w:rPr>
        <w:t>Η Επιτροπή πραγματοποιεί σημαντικές αποστολές που σχετίζονται με την πρόληψη των βιομηχανικών ατυχημάτων. Αυτό ισχύει ιδίως για την ανάλυση των βιομηχανικών ατυχημάτων, την παροχή υποστήριξης στα κράτη μέλη σχετικά με την ανάλυση κινδύνων και συνεπειών, την καθοδήγηση της τεχνικής ομάδας εργασίας για την επιθεώρηση και την παροχή εργαλείων επιθεώρησης. Οι εργασίες αυτές πρέπει να συνεχιστούν και να ενισχυθούν προκειμένου να επιτευχθούν οι στόχοι που καθορίζονται στην Ευρωπαϊκή Πράσινη Συμφωνία.</w:t>
      </w:r>
    </w:p>
    <w:p>
      <w:pPr>
        <w:rPr>
          <w:noProof/>
          <w:bdr w:val="none" w:sz="0" w:space="0" w:color="auto" w:frame="1"/>
        </w:rPr>
      </w:pPr>
      <w:r>
        <w:rPr>
          <w:noProof/>
          <w:bdr w:val="none" w:sz="0" w:space="0" w:color="auto" w:frame="1"/>
        </w:rPr>
        <w:t xml:space="preserve">Κατά την περίοδο που καλύπτει η παρούσα έκθεση, η Επιτροπή συνεργάστηκε στενά με τα κράτη μέλη για τη βελτίωση, όπου χρειαζόταν, της ανάπτυξης ικανοτήτων τους και για τον καθορισμό ενός πλαισίου για μέτρα που θα εφαρμοστούν για τη βελτίωση της πρόληψης των βιομηχανικών ατυχημάτων. Κατά τα επόμενα έτη, η συνεργασία αυτή θα μπορούσε να περιλαμβάνει την παροχή περαιτέρω στήριξης για την αναφορά παρ’ ολίγον ατυχημάτων, την ενσωμάτωση των μακροπρόθεσμων επιπτώσεων στις εκθέσεις και τη βελτίωση της κατανόησης των κοινωνικοοικονομικών και περιβαλλοντικών επιπτώσεων των ατυχημάτων. </w:t>
      </w:r>
    </w:p>
    <w:p>
      <w:pPr>
        <w:rPr>
          <w:noProof/>
        </w:rPr>
      </w:pPr>
      <w:r>
        <w:rPr>
          <w:noProof/>
          <w:bdr w:val="none" w:sz="0" w:space="0" w:color="auto" w:frame="1"/>
        </w:rPr>
        <w:t>Η σταδιακή πρόοδος στον τομέα της διαχείρισης των κινδύνων των χημικών προϊόντων (π.χ. προσδιορισμός ουσιών που προκαλούν πολύ μεγάλη ανησυχία, ορισμός κριτηρίων για βασικές χρήσεις</w:t>
      </w:r>
      <w:r>
        <w:rPr>
          <w:noProof/>
          <w:bdr w:val="none" w:sz="0" w:space="0" w:color="auto" w:frame="1"/>
          <w:vertAlign w:val="superscript"/>
        </w:rPr>
        <w:footnoteReference w:id="21"/>
      </w:r>
      <w:r>
        <w:rPr>
          <w:noProof/>
          <w:bdr w:val="none" w:sz="0" w:space="0" w:color="auto" w:frame="1"/>
        </w:rPr>
        <w:t>, πρόταση ανάθεσης στην Επιτροπή του καθήκοντος διενέργειας ελέγχων στα κράτη μέλη) που αναμένεται να προκύψει χάρη στην εφαρμογή της Ευρωπαϊκής Πράσινης Συμφωνίας, και κυρίως του σχεδίου δράσης για μηδενική ρύπανση και της σχετικής στρατηγικής για τη βιωσιμότητα των χημικών προϊόντων</w:t>
      </w:r>
      <w:r>
        <w:rPr>
          <w:noProof/>
          <w:bdr w:val="none" w:sz="0" w:space="0" w:color="auto" w:frame="1"/>
          <w:vertAlign w:val="superscript"/>
        </w:rPr>
        <w:footnoteReference w:id="22"/>
      </w:r>
      <w:r>
        <w:rPr>
          <w:noProof/>
          <w:bdr w:val="none" w:sz="0" w:space="0" w:color="auto" w:frame="1"/>
        </w:rPr>
        <w:t xml:space="preserve">, θα βελτιώσει περαιτέρω τις γνώσεις που απαιτούνται για την καλύτερη πρόληψη των βιομηχανικών ατυχημάτων. </w:t>
      </w:r>
    </w:p>
    <w:p>
      <w:pPr>
        <w:pStyle w:val="Heading1"/>
        <w:numPr>
          <w:ilvl w:val="0"/>
          <w:numId w:val="36"/>
        </w:numPr>
        <w:rPr>
          <w:noProof/>
        </w:rPr>
      </w:pPr>
      <w:bookmarkStart w:id="29" w:name="_Toc82425986"/>
      <w:r>
        <w:rPr>
          <w:noProof/>
        </w:rPr>
        <w:t>Συμπεράσματα</w:t>
      </w:r>
      <w:bookmarkEnd w:id="29"/>
    </w:p>
    <w:p>
      <w:pPr>
        <w:rPr>
          <w:noProof/>
        </w:rPr>
      </w:pPr>
      <w:r>
        <w:rPr>
          <w:noProof/>
        </w:rPr>
        <w:t>Η οδηγία Seveso III, η οποία καλύπτει περίπου 12 000 μονάδες όπου ενδέχεται να υπάρχουν επικίνδυνες ουσίες, διαδραματίζει σημαντικό ρόλο στην καθοδήγηση της εξαιρετικά βιομηχανοποιημένης ΕΕ προς την επίτευξη του στόχου μηδενικής ρύπανσης</w:t>
      </w:r>
      <w:r>
        <w:rPr>
          <w:noProof/>
          <w:color w:val="000000"/>
          <w:bdr w:val="none" w:sz="0" w:space="0" w:color="auto" w:frame="1"/>
          <w:shd w:val="clear" w:color="auto" w:fill="FFFFFF"/>
        </w:rPr>
        <w:t xml:space="preserve"> μέσω της πρόληψης των βιομηχανικών ατυχημάτων.</w:t>
      </w:r>
      <w:r>
        <w:rPr>
          <w:noProof/>
        </w:rPr>
        <w:t xml:space="preserve"> Κατά την περίοδο 2005-2015 σημειώθηκαν κατά μέσο όρο λιγότερα από 25 μεγάλα ατυχήματα ετησίως στην ΕΕ, με ολοένα και μικρότερες επιπτώσεις. Η εν λόγω οδηγία θεωρείται ευρέως ως σημείο αναφοράς για την πολιτική για τα βιομηχανικά ατυχήματα και αποτελεί πρότυπο νομοθεσίας σε πολλές χώρες παγκοσμίως.</w:t>
      </w:r>
    </w:p>
    <w:p>
      <w:pPr>
        <w:rPr>
          <w:noProof/>
        </w:rPr>
      </w:pPr>
      <w:r>
        <w:rPr>
          <w:noProof/>
        </w:rPr>
        <w:t xml:space="preserve">Η ανάλυση των εκθέσεων των κρατών μελών δείχνει ότι σχεδόν σε όλους τους τομείς (ενημέρωση του κοινού, κατάρτιση ΕΣΕΑ, αριθμός τραυματισμών κ.λπ.) σημειώθηκε βελτίωση στην εφαρμογή των διατάξεων της οδηγίας Seveso III σε σύγκριση με τα στοιχεία που είχαν αναφερθεί σε προηγούμενες περιόδους. </w:t>
      </w:r>
    </w:p>
    <w:p>
      <w:pPr>
        <w:pStyle w:val="Normal3"/>
        <w:shd w:val="clear" w:color="auto" w:fill="FFFFFF"/>
        <w:spacing w:before="0" w:beforeAutospacing="0" w:after="0" w:afterAutospacing="0"/>
        <w:jc w:val="both"/>
        <w:textAlignment w:val="baseline"/>
        <w:rPr>
          <w:noProof/>
          <w:bdr w:val="none" w:sz="0" w:space="0" w:color="auto" w:frame="1"/>
        </w:rPr>
      </w:pPr>
      <w:r>
        <w:rPr>
          <w:noProof/>
        </w:rPr>
        <w:t xml:space="preserve">Ωστόσο, κάθε ατύχημα δεν παύει να είναι ένα ατύχημα και απαιτούνται περαιτέρω προσπάθειες για τη βελτίωση της πρόληψής τους, όπως απαιτείται από την Ευρωπαϊκή Πράσινη Συμφωνία και το σχέδιο δράσης για μηδενική ρύπανση. Συνεπώς, </w:t>
      </w:r>
      <w:r>
        <w:rPr>
          <w:noProof/>
          <w:color w:val="000000"/>
          <w:bdr w:val="none" w:sz="0" w:space="0" w:color="auto" w:frame="1"/>
        </w:rPr>
        <w:t xml:space="preserve">η Επιτροπή θα εντείνει τις προσπάθειές της για τη στήριξη της ορθής εφαρμογής των διατάξεων της οδηγίας Seveso III και θα λαμβάνει μέτρα επιβολής, όποτε είναι απαραίτητο, ώστε να διασφαλίζει ότι η συμμόρφωση με τις εν λόγω διατάξεις είναι αποτελεσματική και ότι οι εν λόγω διατάξεις αποφέρουν τα προβλεπόμενα οφέλη για το περιβάλλον και την υγεία. Θα </w:t>
      </w:r>
      <w:r>
        <w:rPr>
          <w:noProof/>
          <w:bdr w:val="none" w:sz="0" w:space="0" w:color="auto" w:frame="1"/>
        </w:rPr>
        <w:t>ενισχύσει επίσης τη συνεργασία της με τα κράτη μέλη για τη βελτίωση της πρόληψης των βιομηχανικών ατυχημάτων.</w:t>
      </w:r>
    </w:p>
    <w:p>
      <w:pPr>
        <w:pStyle w:val="Normal3"/>
        <w:shd w:val="clear" w:color="auto" w:fill="FFFFFF"/>
        <w:spacing w:before="0" w:beforeAutospacing="0" w:after="0" w:afterAutospacing="0"/>
        <w:jc w:val="both"/>
        <w:textAlignment w:val="baseline"/>
        <w:rPr>
          <w:noProof/>
          <w:bdr w:val="none" w:sz="0" w:space="0" w:color="auto" w:frame="1"/>
        </w:rPr>
      </w:pPr>
    </w:p>
    <w:p>
      <w:pPr>
        <w:rPr>
          <w:noProof/>
          <w:bdr w:val="none" w:sz="0" w:space="0" w:color="auto" w:frame="1"/>
        </w:rPr>
      </w:pPr>
      <w:r>
        <w:rPr>
          <w:noProof/>
          <w:bdr w:val="none" w:sz="0" w:space="0" w:color="auto" w:frame="1"/>
        </w:rPr>
        <w:t>Στο πλαίσιο αυτό, η ΓΔ ENV και η ΓΔ ECHO θα αναπτύξουν συνέργειες μεταξύ της οδηγίας Seveso III και του μηχανισμού πολιτικής προστασίας της Ένωσης, προκειμένου να βελτιωθούν η πρόληψη, η ετοιμότητα και η ανταπόκριση σε περίπτωση μεγάλου βιομηχανικού ατυχήματος. Σε αυτές τις προσπάθειες περιλαμβάνονται οι επικείμενες εργασίες για την ενσωμάτωση του ηλεκτρονικού συστήματος ανάκτησης εργοστασίων Seveso (eSPIRS) στο παγκόσμιο σύστημα συναγερμού και συντονισμού σε περίπτωση καταστροφών</w:t>
      </w:r>
      <w:r>
        <w:rPr>
          <w:rStyle w:val="FootnoteReference"/>
          <w:noProof/>
          <w:bdr w:val="none" w:sz="0" w:space="0" w:color="auto" w:frame="1"/>
        </w:rPr>
        <w:footnoteReference w:id="23"/>
      </w:r>
      <w:r>
        <w:rPr>
          <w:noProof/>
          <w:bdr w:val="none" w:sz="0" w:space="0" w:color="auto" w:frame="1"/>
        </w:rPr>
        <w:t>, ώστε να είναι δυνατή η ειδοποίηση των φορέων εκμετάλλευσης και των αρμόδιων αρχών των κρατών μελών σε περίπτωση συμβάντος που θα μπορούσε να προκαλέσει μεγάλο βιομηχανικό ατύχημα. Η Επιτροπή (ΓΔ Περιβάλλοντος και το Κοινό Κέντρο Ερευνών) και ο Ευρωπαϊκός Οργανισμός Περιβάλλοντος θα ξεκινήσουν επίσης εργασίες για τη βελτίωση και τον εξορθολογισμό των υποχρεώσεων υποβολής εκθέσεων για μονάδες και μεγάλα ατυχήματα. Επιπλέον, το Γραφείο Κινδύνων Μεγάλων Ατυχημάτων του Κοινού Κέντρου Ερευνών θα συνεχίσει να</w:t>
      </w:r>
      <w:r>
        <w:rPr>
          <w:noProof/>
        </w:rPr>
        <w:t xml:space="preserve"> παρέχει επιστημονική και τεχνική υποστήριξη στα κράτη μέλη, ιδίως στο πλαίσιο της τεχνικής ομάδας εργασίας για τις επιθεωρήσεις και του προγράμματος αμοιβαίων επισκέψεών της. </w:t>
      </w:r>
    </w:p>
    <w:p>
      <w:pPr>
        <w:rPr>
          <w:noProof/>
        </w:rPr>
      </w:pPr>
      <w:r>
        <w:rPr>
          <w:noProof/>
        </w:rPr>
        <w:t>Η παρούσα έκθεση παρουσιάζει τα πιο πρόσφατα συλλεχθέντα στοιχεία και αποσκοπεί στην αντικειμενική ενημέρωση σχετικά με την πραγματική κατάσταση της εφαρμογής της οδηγίας Seveso III και την πρόοδο που έχει συντελεστεί υπό το πρίσμα αυτών των στόχων. Μαζί με τις πληροφορίες που θα παρασχεθούν στη μελλοντική έκθεση που θα καλύπτει την περίοδο 2019-2022, θα παράσχει στην Επιτροπή τη δυνατότητα να αξιολογήσει την ανάγκη επανεξέτασης του πεδίου εφαρμογής της οδηγίας το 2023, όπως απαιτείται από το άρθρο 29 παράγραφος 1.</w:t>
      </w:r>
    </w:p>
    <w:sectPr>
      <w:headerReference w:type="even" r:id="rId34"/>
      <w:headerReference w:type="default" r:id="rId35"/>
      <w:footerReference w:type="even" r:id="rId36"/>
      <w:footerReference w:type="default" r:id="rId37"/>
      <w:headerReference w:type="first" r:id="rId38"/>
      <w:footerReference w:type="first" r:id="rId39"/>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t>15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rPr>
        <w:noProof/>
      </w:rPr>
      <w:t>9</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EC Footer - Standard "/>
      <w:tag w:val="SVoGAZ38gakDmzcHmLly90-Uz5BECj2qQF70SGAMzDdI0"/>
      <w:id w:val="287640659"/>
    </w:sdtPr>
    <w:sdtContent>
      <w:p>
        <w:pPr>
          <w:pStyle w:val="Footer"/>
          <w:rPr>
            <w:sz w:val="24"/>
          </w:rPr>
        </w:pPr>
      </w:p>
      <w:p>
        <w:pPr>
          <w:pStyle w:val="Footer"/>
        </w:pPr>
        <w:sdt>
          <w:sdtPr>
            <w:rPr>
              <w:lang w:val="fr-BE"/>
            </w:rPr>
            <w:id w:val="-295298540"/>
            <w:dataBinding w:xpath="/Author/Addresses/Address[Id = 'f03b5801-04c9-4931-aa17-c6d6c70bc579']/Footer" w:storeItemID="{72A8C318-4735-47E7-B4E8-78E5258EE8E7}"/>
            <w:text w:multiLine="1"/>
          </w:sdtPr>
          <w:sdtContent>
            <w:r>
              <w:rPr>
                <w:lang w:val="fr-BE"/>
              </w:rPr>
              <w:t>Commission européenne/Europese Commissie, 1049 Bruxelles/Brussel, BELGIQUE/BELGIË – Tηλ. +32 22991111</w:t>
            </w:r>
          </w:sdtContent>
        </w:sdt>
      </w:p>
      <w:p>
        <w:pPr>
          <w:pStyle w:val="Footer"/>
        </w:pPr>
        <w:sdt>
          <w:sdtPr>
            <w:id w:val="-1134953504"/>
            <w:dataBinding w:xpath="/Texts/FooterOffice" w:storeItemID="{4EF90DE6-88B6-4264-9629-4D8DFDFE87D2}"/>
            <w:text w:multiLine="1"/>
          </w:sdtPr>
          <w:sdtContent>
            <w:r>
              <w:t>Γραφείο:</w:t>
            </w:r>
          </w:sdtContent>
        </w:sdt>
        <w:r>
          <w:t xml:space="preserve"> </w:t>
        </w:r>
        <w:sdt>
          <w:sdtPr>
            <w:id w:val="683481777"/>
            <w:dataBinding w:xpath="/Author/Workplaces/Workplace[AddressId = 'f03b5801-04c9-4931-aa17-c6d6c70bc579']/Office" w:storeItemID="{72A8C318-4735-47E7-B4E8-78E5258EE8E7}"/>
            <w:text w:multiLine="1"/>
          </w:sdtPr>
          <w:sdtContent>
            <w:r>
              <w:t>BU-9 04/036</w:t>
            </w:r>
          </w:sdtContent>
        </w:sdt>
        <w:r>
          <w:t xml:space="preserve"> - </w:t>
        </w:r>
        <w:sdt>
          <w:sdtPr>
            <w:id w:val="1356306665"/>
            <w:dataBinding w:xpath="/Texts/FooterOffice" w:storeItemID="{4EF90DE6-88B6-4264-9629-4D8DFDFE87D2}"/>
            <w:text w:multiLine="1"/>
          </w:sdtPr>
          <w:sdtContent>
            <w:r>
              <w:t>Γραφείο:</w:t>
            </w:r>
          </w:sdtContent>
        </w:sdt>
        <w:r>
          <w:t xml:space="preserve"> </w:t>
        </w:r>
        <w:sdt>
          <w:sdtPr>
            <w:id w:val="-1905366315"/>
            <w:dataBinding w:xpath="/Author/Workplaces/Workplace[AddressId = 'f03b5801-04c9-4931-aa17-c6d6c70bc579']/Office" w:storeItemID="{72A8C318-4735-47E7-B4E8-78E5258EE8E7}"/>
            <w:text w:multiLine="1"/>
          </w:sdtPr>
          <w:sdtContent>
            <w:r>
              <w:t>BU-9 04/036</w:t>
            </w:r>
          </w:sdtContent>
        </w:sdt>
        <w:sdt>
          <w:sdtPr>
            <w:id w:val="-1193297533"/>
            <w:dataBinding w:xpath="/Texts/FooterPhone" w:storeItemID="{4EF90DE6-88B6-4264-9629-4D8DFDFE87D2}"/>
            <w:text w:multiLine="1"/>
          </w:sdtPr>
          <w:sdtContent>
            <w:r>
              <w:t>Απευθείας τηλεφωνική γραμμή</w:t>
            </w:r>
          </w:sdtContent>
        </w:sdt>
        <w:r>
          <w:t xml:space="preserve"> </w:t>
        </w:r>
        <w:sdt>
          <w:sdtPr>
            <w:id w:val="1196272361"/>
            <w:dataBinding w:xpath="/Author/Workplaces/Workplace[AddressId = 'f03b5801-04c9-4931-aa17-c6d6c70bc579']/Phone" w:storeItemID="{72A8C318-4735-47E7-B4E8-78E5258EE8E7}"/>
            <w:text w:multiLine="1"/>
          </w:sdtPr>
          <w:sdtContent>
            <w:r>
              <w:t>+32 22956872</w:t>
            </w:r>
          </w:sdtContent>
        </w:sdt>
      </w:p>
      <w:p>
        <w:pPr>
          <w:pStyle w:val="Footer"/>
        </w:pPr>
      </w:p>
    </w:sdtContent>
  </w:sdt>
  <w:p>
    <w:pPr>
      <w:pStyle w:val="Footer"/>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spacing w:after="0"/>
      </w:pPr>
      <w:r>
        <w:rPr>
          <w:rStyle w:val="FootnoteReference"/>
        </w:rPr>
        <w:footnoteRef/>
      </w:r>
      <w:r>
        <w:t xml:space="preserve"> Ανακοίνωση της Επιτροπής προς το Ευρωπαϊκό Κοινοβούλιο, το Ευρωπαϊκό Συμβούλιο, το Συμβούλιο, την Ευρωπαϊκή Οικονομική και Κοινωνική Επιτροπή και την Επιτροπή των Περιφερειών — Η Ευρωπαϊκή Πράσινη Συμφωνία [</w:t>
      </w:r>
      <w:hyperlink r:id="rId1" w:history="1">
        <w:r>
          <w:rPr>
            <w:rStyle w:val="Hyperlink"/>
          </w:rPr>
          <w:t>COM(2019) 640 final</w:t>
        </w:r>
      </w:hyperlink>
      <w:r>
        <w:t>].</w:t>
      </w:r>
    </w:p>
  </w:footnote>
  <w:footnote w:id="2">
    <w:p>
      <w:pPr>
        <w:pStyle w:val="FootnoteText"/>
        <w:spacing w:after="0"/>
      </w:pPr>
      <w:r>
        <w:rPr>
          <w:rStyle w:val="FootnoteReference"/>
        </w:rPr>
        <w:footnoteRef/>
      </w:r>
      <w:r>
        <w:t xml:space="preserve"> Ανακοίνωση της Επιτροπής στο Ευρωπαϊκό Κοινοβούλιο, το Συμβούλιο, την Ευρωπαϊκή Οικονομική και Κοινωνική Επιτροπή και την Επιτροπή των Περιφερειών — Πορεία προς έναν υγιή πλανήτη για όλους: Σχέδιο δράσης της ΕΕ για μηδενική ρύπανση των υδάτων, του αέρα, και του εδάφους [</w:t>
      </w:r>
      <w:hyperlink r:id="rId2" w:history="1">
        <w:r>
          <w:rPr>
            <w:rStyle w:val="Hyperlink"/>
          </w:rPr>
          <w:t>COM(2021) 400 final</w:t>
        </w:r>
      </w:hyperlink>
      <w:r>
        <w:t>].</w:t>
      </w:r>
    </w:p>
  </w:footnote>
  <w:footnote w:id="3">
    <w:p>
      <w:pPr>
        <w:pStyle w:val="FootnoteText"/>
        <w:spacing w:after="0"/>
      </w:pPr>
      <w:r>
        <w:rPr>
          <w:rStyle w:val="FootnoteReference"/>
          <w:vertAlign w:val="baseline"/>
        </w:rPr>
        <w:footnoteRef/>
      </w:r>
      <w:r>
        <w:t xml:space="preserve"> Οδηγία 2012/18/EE του Ευρωπαϊκού Κοινοβουλίου και του Συμβουλίου, της 4ης Ιουλίου 2012, για την αντιμετώπιση των κινδύνων μεγάλων ατυχημάτων σχετιζόμενων με επικίνδυνες ουσίες και για την τροποποίηση και στη συνέχεια την κατάργηση της οδηγίας 96/82/ΕΚ του Συμβουλίου (ΕΕ L 197 της 24.7.2012, σ. 1). </w:t>
      </w:r>
    </w:p>
  </w:footnote>
  <w:footnote w:id="4">
    <w:p>
      <w:pPr>
        <w:pStyle w:val="FootnoteText"/>
        <w:spacing w:after="0"/>
      </w:pPr>
      <w:r>
        <w:rPr>
          <w:rStyle w:val="FootnoteReference"/>
        </w:rPr>
        <w:footnoteRef/>
      </w:r>
      <w:r>
        <w:t xml:space="preserve"> 2014/896/ΕΕ: Εκτελεστική απόφαση της Επιτροπής, της 10ης Δεκεμβρίου 2014, για τον καθορισμό του υποδείγματος για την κοινοποίηση πληροφοριών από τα κράτη μέλη σχετικά με την εφαρμογή της οδηγίας 2012/18/ΕΕ του Ευρωπαϊκού Κοινοβουλίου και του Συμβουλίου για την αντιμετώπιση των κινδύνων μεγάλων ατυχημάτων σχετιζόμενων με επικίνδυνες ουσίες [κοινοποιηθείσα υπό τον αριθμό C(2014) 9335].</w:t>
      </w:r>
    </w:p>
  </w:footnote>
  <w:footnote w:id="5">
    <w:p>
      <w:pPr>
        <w:pStyle w:val="FootnoteText"/>
      </w:pPr>
      <w:r>
        <w:rPr>
          <w:rStyle w:val="FootnoteReference"/>
        </w:rPr>
        <w:footnoteRef/>
      </w:r>
      <w:r>
        <w:t xml:space="preserve"> Σύστημα αναφοράς μεγάλων ατυχημάτων (</w:t>
      </w:r>
      <w:hyperlink r:id="rId3" w:history="1">
        <w:r>
          <w:rPr>
            <w:rStyle w:val="Hyperlink"/>
          </w:rPr>
          <w:t>https://emars.jrc.ec.europa.eu</w:t>
        </w:r>
      </w:hyperlink>
      <w:r>
        <w:t xml:space="preserve">) </w:t>
      </w:r>
    </w:p>
  </w:footnote>
  <w:footnote w:id="6">
    <w:p>
      <w:pPr>
        <w:pStyle w:val="FootnoteText"/>
        <w:spacing w:after="0"/>
      </w:pPr>
      <w:r>
        <w:rPr>
          <w:rStyle w:val="FootnoteReference"/>
        </w:rPr>
        <w:footnoteRef/>
      </w:r>
      <w:r>
        <w:t xml:space="preserve"> </w:t>
      </w:r>
      <w:hyperlink r:id="rId4" w:history="1">
        <w:r>
          <w:rPr>
            <w:rStyle w:val="Hyperlink"/>
          </w:rPr>
          <w:t>https://circabc.europa.eu/w/browse/df2c6a1c-99bb-4b13-b68c-b8a1e33c95c5</w:t>
        </w:r>
      </w:hyperlink>
      <w:r>
        <w:t xml:space="preserve"> </w:t>
      </w:r>
    </w:p>
  </w:footnote>
  <w:footnote w:id="7">
    <w:p>
      <w:pPr>
        <w:pStyle w:val="FootnoteText"/>
        <w:spacing w:after="0"/>
      </w:pPr>
      <w:r>
        <w:rPr>
          <w:rStyle w:val="FootnoteReference"/>
        </w:rPr>
        <w:footnoteRef/>
      </w:r>
      <w:r>
        <w:t xml:space="preserve"> </w:t>
      </w:r>
      <w:hyperlink r:id="rId5" w:history="1">
        <w:r>
          <w:rPr>
            <w:rStyle w:val="Hyperlink"/>
          </w:rPr>
          <w:t>https://circabc.europa.eu/w/browse/4cc9ca17-0920-4d8a-8796-6ffa170612b7</w:t>
        </w:r>
      </w:hyperlink>
      <w:r>
        <w:t xml:space="preserve"> </w:t>
      </w:r>
    </w:p>
  </w:footnote>
  <w:footnote w:id="8">
    <w:p>
      <w:pPr>
        <w:pStyle w:val="FootnoteText"/>
        <w:spacing w:after="0"/>
      </w:pPr>
      <w:r>
        <w:rPr>
          <w:rStyle w:val="FootnoteReference"/>
        </w:rPr>
        <w:footnoteRef/>
      </w:r>
      <w:r>
        <w:t xml:space="preserve"> Για την περίοδο 2015-2018, το Ηνωμένο Βασίλειο ήταν κράτος μέλος της ΕΕ</w:t>
      </w:r>
    </w:p>
  </w:footnote>
  <w:footnote w:id="9">
    <w:p>
      <w:pPr>
        <w:pStyle w:val="FootnoteText"/>
        <w:spacing w:after="0"/>
      </w:pPr>
      <w:r>
        <w:rPr>
          <w:rStyle w:val="FootnoteReference"/>
        </w:rPr>
        <w:footnoteRef/>
      </w:r>
      <w:r>
        <w:t xml:space="preserve"> Η οδηγία καλύπτει μονάδες στις οποίες ενδέχεται να υπάρχουν επικίνδυνες ουσίες (π.χ. κατά την επεξεργασία ή την αποθήκευση) σε ποσότητες που υπερβαίνουν ορισμένα κατώτατα όρια. Ανάλογα με την ποσότητα των επικίνδυνων ουσιών που υπάρχουν, οι μονάδες κατηγοριοποιούνται σε κατώτερη ή ανώτερη βαθμίδα, με την πρόβλεψη αυστηρότερων απαιτήσεων για την ανώτερη βαθμίδα</w:t>
      </w:r>
      <w:r>
        <w:rPr>
          <w:i/>
        </w:rPr>
        <w:t>.</w:t>
      </w:r>
    </w:p>
  </w:footnote>
  <w:footnote w:id="10">
    <w:p>
      <w:pPr>
        <w:pStyle w:val="FootnoteText"/>
      </w:pPr>
      <w:r>
        <w:rPr>
          <w:rStyle w:val="FootnoteReference"/>
        </w:rPr>
        <w:footnoteRef/>
      </w:r>
      <w:r>
        <w:t xml:space="preserve"> Τα στοιχεία για το 1996 και το 1999 δεν είναι απολύτως συγκρίσιμα λόγω των διαφορετικών ορισμών των μονάδων και των εγκαταστάσεων. Για διαφορετικές εγκαταστάσεις στην ίδια μονάδα ενδέχεται να έχουν υποβληθεί χωριστές εκθέσεις, γεγονός που εξηγεί τη εμφανή μείωση το 2002. Πέραν της ταξινόμησης των επικίνδυνων ουσιών, η ταξινόμηση άλλαξε με την οδηγία Seveso III.</w:t>
      </w:r>
    </w:p>
  </w:footnote>
  <w:footnote w:id="11">
    <w:p>
      <w:pPr>
        <w:pStyle w:val="FootnoteText"/>
        <w:spacing w:after="0"/>
      </w:pPr>
      <w:r>
        <w:rPr>
          <w:rStyle w:val="FootnoteReference"/>
        </w:rPr>
        <w:footnoteRef/>
      </w:r>
      <w:r>
        <w:t xml:space="preserve"> Σημείωση: Τα κράτη μέλη που δεν αναφέρονται στο διάγραμμα ανέφεραν ότι συμμορφώνονται με την υποχρέωση κατάρτισης ΕΣΕΑ για τις μονάδες ανώτερης βαθμίδας.</w:t>
      </w:r>
    </w:p>
  </w:footnote>
  <w:footnote w:id="12">
    <w:p>
      <w:pPr>
        <w:pStyle w:val="FootnoteText"/>
        <w:spacing w:after="0"/>
      </w:pPr>
      <w:r>
        <w:rPr>
          <w:rStyle w:val="FootnoteReference"/>
        </w:rPr>
        <w:footnoteRef/>
      </w:r>
      <w:r>
        <w:t xml:space="preserve"> Σημείωση: Τα κράτη μέλη που δεν αναφέρονται στο διάγραμμα ανέφεραν ότι υπέβαλαν σε δοκιμή όλα τα ΕΣΕΑ κατά την περίοδο 2015-2018. Η Ελλάδα και η Τσεχική Δημοκρατία ανέφεραν ότι υπέβαλαν σε δοκιμή μόνο ένα μέρος του συνόλου των ΕΣΕΑ, χωρίς ωστόσο να αναφέρουν τον αριθμό των ΕΣΕΑ που δεν υποβλήθηκαν σε δοκιμή. Συνεπώς, εμφανίζονται με γκρι χρώμα στο διάγραμμα.</w:t>
      </w:r>
    </w:p>
  </w:footnote>
  <w:footnote w:id="13">
    <w:p>
      <w:pPr>
        <w:pStyle w:val="FootnoteText"/>
        <w:spacing w:after="0"/>
      </w:pPr>
      <w:r>
        <w:rPr>
          <w:rStyle w:val="FootnoteReference"/>
        </w:rPr>
        <w:footnoteRef/>
      </w:r>
      <w:r>
        <w:t xml:space="preserve"> Έχουν κινηθεί ή κινούνται διαδικασίες επί παραβάσει κατά των κρατών μελών όπου η μη συμμόρφωση με το άρθρο 14 παράγραφος 1 οφείλεται σε μη ορθή μεταφορά στο εθνικό δίκαιο. Για άλλα θέματα μη συμμόρφωσης, η Επιτροπή θα διερευνήσει περαιτέρω τους λόγους στους οποίους οφείλεται η μη συμμόρφωση. Σε περίπτωση που αυτές οι ελλείψεις, οι οποίες οδηγούν σε αυξημένους κινδύνους ατυχημάτων, υπονομεύοντας κατά αυτόν τον τρόπο τους στόχους της οδηγίας, είναι αποτέλεσμα διαρθρωτικών και όχι μεμονωμένων ζητημάτων, η Επιτροπή θα εξετάσει το ενδεχόμενο κίνησης διαδικασιών επί παραβάσει, ανάλογα με την περίπτωση.</w:t>
      </w:r>
    </w:p>
  </w:footnote>
  <w:footnote w:id="14">
    <w:p>
      <w:pPr>
        <w:pStyle w:val="FootnoteText"/>
        <w:spacing w:after="0"/>
      </w:pPr>
      <w:r>
        <w:rPr>
          <w:rStyle w:val="FootnoteReference"/>
        </w:rPr>
        <w:footnoteRef/>
      </w:r>
      <w:r>
        <w:t xml:space="preserve"> Σημείωση: Τα κράτη μέλη που δεν αναφέρονται στο διάγραμμα ανέφεραν ότι διατηρούσαν τις πληροφορίες στο παράρτημα V μονίμως διαθέσιμες για όλες τις μονάδες στο έδαφός τους.</w:t>
      </w:r>
    </w:p>
  </w:footnote>
  <w:footnote w:id="15">
    <w:p>
      <w:pPr>
        <w:pStyle w:val="FootnoteText"/>
      </w:pPr>
      <w:r>
        <w:rPr>
          <w:rStyle w:val="FootnoteReference"/>
        </w:rPr>
        <w:footnoteRef/>
      </w:r>
      <w:r>
        <w:t xml:space="preserve"> Σημείωση: Τα κράτη μέλη που δεν αναφέρονται στο διάγραμμα ανέφεραν ότι όλες οι μονάδες στο έδαφός τους έχουν παράσχει αυτές τις πληροφορίες στο κοινό.</w:t>
      </w:r>
    </w:p>
  </w:footnote>
  <w:footnote w:id="16">
    <w:p>
      <w:pPr>
        <w:ind w:left="142" w:hanging="142"/>
        <w:rPr>
          <w:noProof/>
        </w:rPr>
      </w:pPr>
      <w:r>
        <w:rPr>
          <w:rStyle w:val="FootnoteReference"/>
        </w:rPr>
        <w:footnoteRef/>
      </w:r>
      <w:r>
        <w:t xml:space="preserve"> </w:t>
      </w:r>
      <w:r>
        <w:rPr>
          <w:sz w:val="20"/>
          <w:szCs w:val="20"/>
        </w:rPr>
        <w:t>Η παρούσα έκθεση καλύπτει την περίοδο 2015-2018, ωστόσο οι πληροφορίες που παρασχέθηκαν από τα κράτη μέλη για τα έτη 2016-2018 θα πρέπει να αναγνωστούν πολύ προσεκτικά, καθώς είναι πιθανόν να μην είναι πλήρεις στη βάση δεδομένων του eMARS λόγω καθυστερήσεων στην έρευνα, εσωτερικών ανασκοπήσεων και μετάφρασης.</w:t>
      </w:r>
    </w:p>
    <w:p>
      <w:pPr>
        <w:pStyle w:val="FootnoteText"/>
      </w:pPr>
    </w:p>
  </w:footnote>
  <w:footnote w:id="17">
    <w:p>
      <w:pPr>
        <w:pStyle w:val="FootnoteText"/>
        <w:spacing w:after="0"/>
      </w:pPr>
      <w:r>
        <w:rPr>
          <w:rStyle w:val="FootnoteReference"/>
        </w:rPr>
        <w:footnoteRef/>
      </w:r>
      <w:r>
        <w:t xml:space="preserve"> Το άθροισμα των κριτηρίων για την αναφορά είναι υψηλότερο από τον συνολικό αριθμό των αναφερόμενων ατυχημάτων, δεδομένου ότι ένα ατύχημα μπορεί να πληροί διάφορα κριτήρια.</w:t>
      </w:r>
    </w:p>
  </w:footnote>
  <w:footnote w:id="18">
    <w:p>
      <w:pPr>
        <w:pStyle w:val="FootnoteText"/>
        <w:spacing w:after="0"/>
      </w:pPr>
      <w:r>
        <w:rPr>
          <w:rStyle w:val="FootnoteReference"/>
        </w:rPr>
        <w:footnoteRef/>
      </w:r>
      <w:r>
        <w:t xml:space="preserve"> Κριτήρια που προβλέπονται στο παράρτημα VI για την κοινοποίηση μεγάλου ατυχήματος στην Επιτροπή. </w:t>
      </w:r>
    </w:p>
  </w:footnote>
  <w:footnote w:id="19">
    <w:p>
      <w:pPr>
        <w:pStyle w:val="FootnoteText"/>
        <w:spacing w:after="0"/>
      </w:pPr>
      <w:r>
        <w:rPr>
          <w:rStyle w:val="FootnoteReference"/>
        </w:rPr>
        <w:footnoteRef/>
      </w:r>
      <w:r>
        <w:t xml:space="preserve"> Σύμφωνα με τις προτεραιότητες επιβολής, όπως ορίζονται στην ανακοίνωση «Δίκαιο της ΕΕ: Καλύτερη εφαρμογή για καλύτερα αποτελέσματα»· C(2016)8600 final.</w:t>
      </w:r>
    </w:p>
  </w:footnote>
  <w:footnote w:id="20">
    <w:p>
      <w:pPr>
        <w:pStyle w:val="FootnoteText"/>
        <w:spacing w:after="0"/>
      </w:pPr>
      <w:r>
        <w:rPr>
          <w:rStyle w:val="FootnoteReference"/>
        </w:rPr>
        <w:footnoteRef/>
      </w:r>
      <w:r>
        <w:t xml:space="preserve"> Διαδικτυακή πύλη Minerva του Γραφείου Κινδύνων Μεγάλων Ατυχημάτων, Συλλογή τεχνικών πληροφοριών και εργαλείων για την υποστήριξη της πολιτικής της ΕΕ για τον έλεγχο σημαντικών χημικών κινδύνων, </w:t>
      </w:r>
      <w:hyperlink r:id="rId6" w:history="1">
        <w:r>
          <w:rPr>
            <w:rStyle w:val="Hyperlink"/>
          </w:rPr>
          <w:t>https://emars.jrc.ec.europa.eu/en/emars/accident/search</w:t>
        </w:r>
      </w:hyperlink>
      <w:r>
        <w:t xml:space="preserve"> </w:t>
      </w:r>
    </w:p>
  </w:footnote>
  <w:footnote w:id="21">
    <w:p>
      <w:pPr>
        <w:pStyle w:val="FootnoteText"/>
      </w:pPr>
      <w:r>
        <w:rPr>
          <w:rStyle w:val="FootnoteReference"/>
        </w:rPr>
        <w:footnoteRef/>
      </w:r>
      <w:r>
        <w:t xml:space="preserve"> Λαμβανομένου υπόψη του ορισμού των βασικών χρήσεων που προβλέπεται στο</w:t>
      </w:r>
      <w:hyperlink r:id="rId7" w:history="1">
        <w:r>
          <w:rPr>
            <w:rStyle w:val="Hyperlink"/>
          </w:rPr>
          <w:t xml:space="preserve"> πρωτόκολλο του Μόντρεαλ σχετικά με τις ουσίες που καταστρέφουν τη στιβάδα του όζοντος</w:t>
        </w:r>
      </w:hyperlink>
      <w:r>
        <w:t>, ο οποίος θεσπίστηκε για την αξιολόγηση του κατά πόσον η χρήση ορισμένων χημικών προϊόντων είναι πράγματι απαραίτητη, ενώ παράλληλα αναγνωρίζεται ότι το πεδίο εφαρμογής χημικών προϊόντων που καλύπτει το κανονιστικό πλαίσιο της ΕΕ για τα χημικά προϊόντα είναι πολύ ευρύτερο από το ειδικό πεδίο εφαρμογής χημικών προϊόντων που καλύπτει το πρωτόκολλο του Μόντρεαλ.</w:t>
      </w:r>
    </w:p>
  </w:footnote>
  <w:footnote w:id="22">
    <w:p>
      <w:pPr>
        <w:pStyle w:val="FootnoteText"/>
        <w:spacing w:after="0"/>
      </w:pPr>
      <w:r>
        <w:rPr>
          <w:rStyle w:val="FootnoteReference"/>
        </w:rPr>
        <w:footnoteRef/>
      </w:r>
      <w:r>
        <w:t xml:space="preserve"> Ανακοίνωση της Επιτροπής προς το Ευρωπαϊκό Κοινοβούλιο, το Συμβούλιο, την Ευρωπαϊκή Οικονομική και Κοινωνική Επιτροπή και την Επιτροπή των Περιφερειών — Στρατηγική για τη βιωσιμότητα των χημικών προϊόντων για ένα περιβάλλον χωρίς τοξικές ουσίες, </w:t>
      </w:r>
      <w:hyperlink r:id="rId8" w:history="1">
        <w:r>
          <w:rPr>
            <w:rStyle w:val="Hyperlink"/>
          </w:rPr>
          <w:t>COM(2020) 667</w:t>
        </w:r>
      </w:hyperlink>
      <w:r>
        <w:t>.</w:t>
      </w:r>
    </w:p>
  </w:footnote>
  <w:footnote w:id="23">
    <w:p>
      <w:pPr>
        <w:pStyle w:val="FootnoteText"/>
        <w:spacing w:after="0"/>
      </w:pPr>
      <w:r>
        <w:rPr>
          <w:rStyle w:val="FootnoteReference"/>
        </w:rPr>
        <w:footnoteRef/>
      </w:r>
      <w:r>
        <w:t xml:space="preserve"> </w:t>
      </w:r>
      <w:hyperlink r:id="rId9" w:history="1">
        <w:r>
          <w:rPr>
            <w:rStyle w:val="Hyperlink"/>
          </w:rPr>
          <w:t>https://www.gdacs.org/</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4400"/>
    <w:multiLevelType w:val="hybridMultilevel"/>
    <w:tmpl w:val="65B2FAE8"/>
    <w:lvl w:ilvl="0" w:tplc="7D687784">
      <w:start w:val="1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059BA"/>
    <w:multiLevelType w:val="hybridMultilevel"/>
    <w:tmpl w:val="5CCC7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900F7"/>
    <w:multiLevelType w:val="multilevel"/>
    <w:tmpl w:val="23D296FA"/>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nsid w:val="0EFB7115"/>
    <w:multiLevelType w:val="multilevel"/>
    <w:tmpl w:val="1CC2C31C"/>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nsid w:val="120A46A6"/>
    <w:multiLevelType w:val="hybridMultilevel"/>
    <w:tmpl w:val="6070137C"/>
    <w:lvl w:ilvl="0" w:tplc="7CD2190C">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0B7201"/>
    <w:multiLevelType w:val="multilevel"/>
    <w:tmpl w:val="D2ACC242"/>
    <w:name w:val="ListNumberNumbering"/>
    <w:lvl w:ilvl="0">
      <w:start w:val="1"/>
      <w:numFmt w:val="decimal"/>
      <w:pStyle w:val="ListNumber"/>
      <w:lvlText w:val="%1)"/>
      <w:lvlJc w:val="left"/>
      <w:pPr>
        <w:tabs>
          <w:tab w:val="num" w:pos="709"/>
        </w:tabs>
        <w:ind w:left="709" w:hanging="709"/>
      </w:pPr>
      <w:rPr>
        <w:rFonts w:hint="default"/>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nsid w:val="1262685D"/>
    <w:multiLevelType w:val="multilevel"/>
    <w:tmpl w:val="D8AA7940"/>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nsid w:val="143D0A16"/>
    <w:multiLevelType w:val="multilevel"/>
    <w:tmpl w:val="1A8A9652"/>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nsid w:val="172F0AC5"/>
    <w:multiLevelType w:val="multilevel"/>
    <w:tmpl w:val="C5889C8C"/>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1C4962CE"/>
    <w:multiLevelType w:val="hybridMultilevel"/>
    <w:tmpl w:val="57B29FA6"/>
    <w:lvl w:ilvl="0" w:tplc="B51EDD16">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1C7B624F"/>
    <w:multiLevelType w:val="multilevel"/>
    <w:tmpl w:val="A35210F8"/>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nsid w:val="1F734306"/>
    <w:multiLevelType w:val="multilevel"/>
    <w:tmpl w:val="A546EEC6"/>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2DD3599"/>
    <w:multiLevelType w:val="multilevel"/>
    <w:tmpl w:val="4EAA5BA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3BA6264"/>
    <w:multiLevelType w:val="hybridMultilevel"/>
    <w:tmpl w:val="2F8671B4"/>
    <w:lvl w:ilvl="0" w:tplc="4046188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25031327"/>
    <w:multiLevelType w:val="hybridMultilevel"/>
    <w:tmpl w:val="EB3E6E00"/>
    <w:lvl w:ilvl="0" w:tplc="8FFE6726">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75631B"/>
    <w:multiLevelType w:val="singleLevel"/>
    <w:tmpl w:val="A4DC141A"/>
    <w:lvl w:ilvl="0">
      <w:start w:val="1"/>
      <w:numFmt w:val="bullet"/>
      <w:lvlText w:val=""/>
      <w:lvlJc w:val="left"/>
      <w:pPr>
        <w:tabs>
          <w:tab w:val="num" w:pos="765"/>
        </w:tabs>
        <w:ind w:left="765" w:hanging="283"/>
      </w:pPr>
      <w:rPr>
        <w:rFonts w:ascii="Symbol" w:hAnsi="Symbol"/>
      </w:rPr>
    </w:lvl>
  </w:abstractNum>
  <w:abstractNum w:abstractNumId="16">
    <w:nsid w:val="2C8DFDF8"/>
    <w:multiLevelType w:val="multilevel"/>
    <w:tmpl w:val="2EB06318"/>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nsid w:val="2D293CE3"/>
    <w:multiLevelType w:val="multilevel"/>
    <w:tmpl w:val="FF7E2B74"/>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nsid w:val="2D293CF4"/>
    <w:multiLevelType w:val="multilevel"/>
    <w:tmpl w:val="86805E5E"/>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nsid w:val="2EA51CB5"/>
    <w:multiLevelType w:val="hybridMultilevel"/>
    <w:tmpl w:val="77C2C4F6"/>
    <w:lvl w:ilvl="0" w:tplc="30FCBC1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1F076D8"/>
    <w:multiLevelType w:val="hybridMultilevel"/>
    <w:tmpl w:val="98A0ACB8"/>
    <w:lvl w:ilvl="0" w:tplc="53FEA9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6324F1E"/>
    <w:multiLevelType w:val="multilevel"/>
    <w:tmpl w:val="956E4244"/>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nsid w:val="37CB1E1C"/>
    <w:multiLevelType w:val="multilevel"/>
    <w:tmpl w:val="53AA0DA2"/>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nsid w:val="39441DA7"/>
    <w:multiLevelType w:val="hybridMultilevel"/>
    <w:tmpl w:val="AB74075A"/>
    <w:lvl w:ilvl="0" w:tplc="8618AD4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A7730C4"/>
    <w:multiLevelType w:val="multilevel"/>
    <w:tmpl w:val="01767A46"/>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nsid w:val="429E662A"/>
    <w:multiLevelType w:val="multilevel"/>
    <w:tmpl w:val="51CA40CE"/>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nsid w:val="45D12766"/>
    <w:multiLevelType w:val="hybridMultilevel"/>
    <w:tmpl w:val="D90ACC3A"/>
    <w:lvl w:ilvl="0" w:tplc="4CDCEF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E62FA4"/>
    <w:multiLevelType w:val="hybridMultilevel"/>
    <w:tmpl w:val="A9907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1A982C"/>
    <w:multiLevelType w:val="multilevel"/>
    <w:tmpl w:val="59C2F19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9">
    <w:nsid w:val="5072619B"/>
    <w:multiLevelType w:val="multilevel"/>
    <w:tmpl w:val="3E8AAACA"/>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0">
    <w:nsid w:val="5E0D6286"/>
    <w:multiLevelType w:val="singleLevel"/>
    <w:tmpl w:val="B0567122"/>
    <w:lvl w:ilvl="0">
      <w:start w:val="1"/>
      <w:numFmt w:val="bullet"/>
      <w:lvlText w:val="–"/>
      <w:lvlJc w:val="left"/>
      <w:pPr>
        <w:tabs>
          <w:tab w:val="num" w:pos="1485"/>
        </w:tabs>
        <w:ind w:left="1485" w:hanging="283"/>
      </w:pPr>
      <w:rPr>
        <w:rFonts w:ascii="Times New Roman" w:hAnsi="Times New Roman"/>
      </w:rPr>
    </w:lvl>
  </w:abstractNum>
  <w:abstractNum w:abstractNumId="31">
    <w:nsid w:val="621C068A"/>
    <w:multiLevelType w:val="hybridMultilevel"/>
    <w:tmpl w:val="0A3E55C4"/>
    <w:lvl w:ilvl="0" w:tplc="ADDAFD42">
      <w:start w:val="1"/>
      <w:numFmt w:val="bullet"/>
      <w:lvlText w:val="-"/>
      <w:lvlJc w:val="left"/>
      <w:pPr>
        <w:ind w:left="720" w:hanging="360"/>
      </w:pPr>
      <w:rPr>
        <w:rFonts w:ascii="Calibri" w:eastAsiaTheme="minorHAnsi" w:hAnsi="Calibri" w:cs="Calibri"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77472E"/>
    <w:multiLevelType w:val="multilevel"/>
    <w:tmpl w:val="7A385D64"/>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3">
    <w:nsid w:val="7C65145E"/>
    <w:multiLevelType w:val="multilevel"/>
    <w:tmpl w:val="CF4C5060"/>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4">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35">
    <w:nsid w:val="7E59785C"/>
    <w:multiLevelType w:val="hybridMultilevel"/>
    <w:tmpl w:val="4CE67BD2"/>
    <w:lvl w:ilvl="0" w:tplc="189C72E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21"/>
  </w:num>
  <w:num w:numId="4">
    <w:abstractNumId w:val="10"/>
  </w:num>
  <w:num w:numId="5">
    <w:abstractNumId w:val="22"/>
  </w:num>
  <w:num w:numId="6">
    <w:abstractNumId w:val="29"/>
  </w:num>
  <w:num w:numId="7">
    <w:abstractNumId w:val="32"/>
  </w:num>
  <w:num w:numId="8">
    <w:abstractNumId w:val="3"/>
  </w:num>
  <w:num w:numId="9">
    <w:abstractNumId w:val="8"/>
  </w:num>
  <w:num w:numId="10">
    <w:abstractNumId w:val="25"/>
  </w:num>
  <w:num w:numId="11">
    <w:abstractNumId w:val="5"/>
  </w:num>
  <w:num w:numId="12">
    <w:abstractNumId w:val="6"/>
  </w:num>
  <w:num w:numId="13">
    <w:abstractNumId w:val="7"/>
  </w:num>
  <w:num w:numId="14">
    <w:abstractNumId w:val="16"/>
  </w:num>
  <w:num w:numId="15">
    <w:abstractNumId w:val="24"/>
  </w:num>
  <w:num w:numId="16">
    <w:abstractNumId w:val="28"/>
  </w:num>
  <w:num w:numId="17">
    <w:abstractNumId w:val="33"/>
  </w:num>
  <w:num w:numId="18">
    <w:abstractNumId w:val="17"/>
  </w:num>
  <w:num w:numId="19">
    <w:abstractNumId w:val="18"/>
  </w:num>
  <w:num w:numId="20">
    <w:abstractNumId w:val="34"/>
  </w:num>
  <w:num w:numId="21">
    <w:abstractNumId w:val="31"/>
  </w:num>
  <w:num w:numId="22">
    <w:abstractNumId w:val="13"/>
  </w:num>
  <w:num w:numId="23">
    <w:abstractNumId w:val="0"/>
  </w:num>
  <w:num w:numId="24">
    <w:abstractNumId w:val="4"/>
  </w:num>
  <w:num w:numId="25">
    <w:abstractNumId w:val="27"/>
  </w:num>
  <w:num w:numId="26">
    <w:abstractNumId w:val="14"/>
  </w:num>
  <w:num w:numId="27">
    <w:abstractNumId w:val="11"/>
  </w:num>
  <w:num w:numId="28">
    <w:abstractNumId w:val="15"/>
  </w:num>
  <w:num w:numId="29">
    <w:abstractNumId w:val="30"/>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33"/>
    <w:lvlOverride w:ilvl="0">
      <w:startOverride w:val="2"/>
    </w:lvlOverride>
  </w:num>
  <w:num w:numId="35">
    <w:abstractNumId w:val="23"/>
  </w:num>
  <w:num w:numId="36">
    <w:abstractNumId w:val="20"/>
  </w:num>
  <w:num w:numId="37">
    <w:abstractNumId w:val="19"/>
  </w:num>
  <w:num w:numId="38">
    <w:abstractNumId w:val="26"/>
  </w:num>
  <w:num w:numId="39">
    <w:abstractNumId w:val="1"/>
  </w:num>
  <w:num w:numId="40">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FB90B5BA-3740-4EDF-B3EA-A65E606D67AB"/>
    <w:docVar w:name="LW_COVERPAGE_TYPE" w:val="1"/>
    <w:docVar w:name="LW_CROSSREFERENCE" w:val="&lt;UNUSED&gt;"/>
    <w:docVar w:name="LW_DocType" w:val="EUROLOOK"/>
    <w:docVar w:name="LW_EMISSION" w:val="29.9.2021"/>
    <w:docVar w:name="LW_EMISSION_ISODATE" w:val="2021-09-29"/>
    <w:docVar w:name="LW_EMISSION_LOCATION" w:val="BRX"/>
    <w:docVar w:name="LW_EMISSION_PREFIX" w:val="Βρυξέλλες, "/>
    <w:docVar w:name="LW_EMISSION_SUFFIX" w:val=" "/>
    <w:docVar w:name="LW_ID_DOCTYPE_NONLW" w:val="CP-006"/>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21) 59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931?\u935?\u917?\u932?\u921?\u922?\u913? \u924?\u917? \u932?\u919?\u925? \u917?\u934?\u913?\u929?\u924?\u927?\u915?\u919? \u922?\u913?\u921? \u932?\u919?\u925? \u913?\u928?\u927?\u932?\u917?\u923?\u917?\u931?\u924?\u913?\u932?\u921?\u922?\u919? \u923?\u917?\u921?\u932?\u927?\u933?\u929?\u915?\u921?\u913? \u932?\u919?\u931? \u927?\u916?\u919?\u915?\u921?\u913?\u931? 2012/18/\u917?\u917? \u915?\u921?\u913? \u932?\u919?\u925? \u913?\u925?\u932?\u921?\u924?\u917?\u932?\u937?\u928?\u921?\u931?\u919? \u932?\u937?\u925? \u922?\u921?\u925?\u916?\u933?\u925?\u937?\u925? \u924?\u917?\u915?\u913?\u923?\u937?\u925? \u913?\u932?\u933?\u935?\u919?\u924?\u913?\u932?\u937?\u925? \u931?\u935?\u917?\u932?\u921?\u918?\u927?\u924?\u917?\u925?\u937?\u925? \u924?\u917? \u917?\u928?\u921?\u922?\u921?\u925?\u916?\u933?\u925?\u917?\u931? \u927?\u933?\u931?\u921?\u917?\u931? \u915?\u921?\u913? \u932?\u919?\u925? \u928?\u917?\u929?\u921?\u927?\u916?\u927? 2015-2018"/>
    <w:docVar w:name="LW_TYPE.DOC.CP" w:val="\u917?\u922?\u920?\u917?\u931?\u919? \u932?\u919?\u931? \u917?\u928?\u921?\u932?\u929?\u927?\u928?\u919?\u931? \u928?\u929?\u927?\u931? \u932?\u927? \u917?\u933?\u929?\u937?\u928?\u913?\u938?\u922?\u927? \u922?\u927?\u921?\u925?\u927?\u914?\u927?\u933?\u923?\u921?\u927? \u922?\u913?\u921? \u932?\u927? \u931?\u933?\u924?\u914?\u927?\u933?\u923?\u921?\u927?"/>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l-GR" w:eastAsia="en-US" w:bidi="ar-SA"/>
      </w:rPr>
    </w:rPrDefault>
    <w:pPrDefault/>
  </w:docDefaults>
  <w:latentStyles w:defLockedState="1" w:defUIPriority="0" w:defSemiHidden="1" w:defUnhideWhenUsed="0" w:defQFormat="0" w:count="267">
    <w:lsdException w:name="Normal" w:semiHidden="0" w:uiPriority="1" w:qFormat="1"/>
    <w:lsdException w:name="heading 1" w:semiHidden="0" w:qFormat="1"/>
    <w:lsdException w:name="heading 2" w:semiHidden="0" w:qFormat="1"/>
    <w:lsdException w:name="heading 3" w:semiHidden="0" w:qFormat="1"/>
    <w:lsdException w:name="heading 4" w:semiHidden="0" w:qFormat="1"/>
    <w:lsdException w:name="toc 1" w:uiPriority="39"/>
    <w:lsdException w:name="toc 2" w:uiPriority="39"/>
    <w:lsdException w:name="toc 3" w:uiPriority="39"/>
    <w:lsdException w:name="footnote text" w:semiHidden="0" w:uiPriority="99" w:unhideWhenUsed="1" w:qFormat="1"/>
    <w:lsdException w:name="header" w:semiHidden="0"/>
    <w:lsdException w:name="footer" w:semiHidden="0" w:uiPriority="2"/>
    <w:lsdException w:name="caption" w:qFormat="1"/>
    <w:lsdException w:name="footnote reference" w:qFormat="1"/>
    <w:lsdException w:name="endnote text" w:semiHidden="0" w:unhideWhenUsed="1"/>
    <w:lsdException w:name="List Bullet" w:semiHidden="0"/>
    <w:lsdException w:name="List Number" w:semiHidden="0"/>
    <w:lsdException w:name="List Bullet 2" w:semiHidden="0"/>
    <w:lsdException w:name="List Bullet 3" w:semiHidden="0" w:uiPriority="1"/>
    <w:lsdException w:name="List Bullet 4" w:semiHidden="0" w:uiPriority="1"/>
    <w:lsdException w:name="List Number 2" w:semiHidden="0"/>
    <w:lsdException w:name="List Number 3" w:semiHidden="0" w:uiPriority="1"/>
    <w:lsdException w:name="List Number 4" w:semiHidden="0" w:uiPriority="1"/>
    <w:lsdException w:name="Title" w:semiHidden="0" w:uiPriority="1" w:qFormat="1"/>
    <w:lsdException w:name="Signature" w:semiHidden="0" w:uiPriority="2"/>
    <w:lsdException w:name="Date" w:semiHidden="0" w:uiPriority="1"/>
    <w:lsdException w:name="Hyperlink" w:uiPriority="99"/>
    <w:lsdException w:name="Normal (Web)" w:uiPriority="99"/>
    <w:lsdException w:name="Normal Table"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TOC Heading" w:qFormat="1"/>
  </w:latentStyles>
  <w:style w:type="paragraph" w:default="1" w:styleId="Normal">
    <w:name w:val="Normal"/>
    <w:uiPriority w:val="1"/>
    <w:qFormat/>
    <w:pPr>
      <w:spacing w:after="240"/>
      <w:jc w:val="both"/>
    </w:pPr>
  </w:style>
  <w:style w:type="paragraph" w:styleId="Heading1">
    <w:name w:val="heading 1"/>
    <w:basedOn w:val="Normal"/>
    <w:next w:val="Text1"/>
    <w:qFormat/>
    <w:pPr>
      <w:keepNext/>
      <w:numPr>
        <w:numId w:val="17"/>
      </w:numPr>
      <w:spacing w:before="240"/>
      <w:outlineLvl w:val="0"/>
    </w:pPr>
    <w:rPr>
      <w:b/>
      <w:smallCaps/>
    </w:rPr>
  </w:style>
  <w:style w:type="paragraph" w:styleId="Heading2">
    <w:name w:val="heading 2"/>
    <w:basedOn w:val="Normal"/>
    <w:next w:val="Text2"/>
    <w:qFormat/>
    <w:pPr>
      <w:keepNext/>
      <w:numPr>
        <w:ilvl w:val="1"/>
        <w:numId w:val="17"/>
      </w:numPr>
      <w:outlineLvl w:val="1"/>
    </w:pPr>
    <w:rPr>
      <w:b/>
    </w:rPr>
  </w:style>
  <w:style w:type="paragraph" w:styleId="Heading3">
    <w:name w:val="heading 3"/>
    <w:basedOn w:val="Normal"/>
    <w:next w:val="Text3"/>
    <w:qFormat/>
    <w:pPr>
      <w:keepNext/>
      <w:numPr>
        <w:ilvl w:val="2"/>
        <w:numId w:val="17"/>
      </w:numPr>
      <w:outlineLvl w:val="2"/>
    </w:pPr>
    <w:rPr>
      <w:i/>
    </w:rPr>
  </w:style>
  <w:style w:type="paragraph" w:styleId="Heading4">
    <w:name w:val="heading 4"/>
    <w:basedOn w:val="Normal"/>
    <w:next w:val="Text4"/>
    <w:qFormat/>
    <w:pPr>
      <w:keepNext/>
      <w:numPr>
        <w:ilvl w:val="3"/>
        <w:numId w:val="17"/>
      </w:numPr>
      <w:outlineLvl w:val="3"/>
    </w:pPr>
  </w:style>
  <w:style w:type="paragraph" w:styleId="Heading5">
    <w:name w:val="heading 5"/>
    <w:basedOn w:val="Normal"/>
    <w:next w:val="Normal"/>
    <w:semiHidden/>
    <w:pPr>
      <w:keepNext/>
      <w:numPr>
        <w:ilvl w:val="4"/>
        <w:numId w:val="17"/>
      </w:numPr>
      <w:outlineLvl w:val="4"/>
    </w:pPr>
  </w:style>
  <w:style w:type="paragraph" w:styleId="Heading6">
    <w:name w:val="heading 6"/>
    <w:basedOn w:val="Normal"/>
    <w:next w:val="Normal"/>
    <w:semiHidden/>
    <w:pPr>
      <w:keepNext/>
      <w:numPr>
        <w:ilvl w:val="5"/>
        <w:numId w:val="17"/>
      </w:numPr>
      <w:outlineLvl w:val="5"/>
    </w:pPr>
  </w:style>
  <w:style w:type="paragraph" w:styleId="Heading7">
    <w:name w:val="heading 7"/>
    <w:basedOn w:val="Normal"/>
    <w:next w:val="Normal"/>
    <w:semiHidden/>
    <w:pPr>
      <w:keepNext/>
      <w:numPr>
        <w:ilvl w:val="6"/>
        <w:numId w:val="17"/>
      </w:numPr>
      <w:outlineLvl w:val="6"/>
    </w:pPr>
  </w:style>
  <w:style w:type="paragraph" w:styleId="Heading8">
    <w:name w:val="heading 8"/>
    <w:basedOn w:val="Normal"/>
    <w:next w:val="Normal"/>
    <w:semiHidden/>
    <w:pPr>
      <w:keepNext/>
      <w:numPr>
        <w:ilvl w:val="7"/>
        <w:numId w:val="17"/>
      </w:numPr>
      <w:outlineLvl w:val="7"/>
    </w:pPr>
  </w:style>
  <w:style w:type="paragraph" w:styleId="Heading9">
    <w:name w:val="heading 9"/>
    <w:basedOn w:val="Normal"/>
    <w:next w:val="Normal"/>
    <w:semiHidden/>
    <w:pPr>
      <w:keepNext/>
      <w:numPr>
        <w:ilvl w:val="8"/>
        <w:numId w:val="17"/>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locked/>
    <w:rPr>
      <w:sz w:val="20"/>
    </w:rPr>
  </w:style>
  <w:style w:type="character" w:customStyle="1" w:styleId="CommentTextChar">
    <w:name w:val="Comment Text Char"/>
    <w:basedOn w:val="DefaultParagraphFont"/>
    <w:link w:val="CommentText"/>
    <w:rPr>
      <w:sz w:val="20"/>
    </w:r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character" w:customStyle="1" w:styleId="FooterChar">
    <w:name w:val="Footer Char"/>
    <w:rPr>
      <w:sz w:val="16"/>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cal"/>
    <w:link w:val="SUPERSCharCharCharCharCharCharCharChar"/>
    <w:qFormat/>
    <w:locked/>
    <w:rPr>
      <w:shd w:val="clear" w:color="auto" w:fill="auto"/>
      <w:vertAlign w:val="superscript"/>
    </w:rPr>
  </w:style>
  <w:style w:type="character" w:styleId="Hyperlink">
    <w:name w:val="Hyperlink"/>
    <w:uiPriority w:val="99"/>
    <w:locked/>
    <w:rPr>
      <w:color w:val="0000FF"/>
      <w:u w:val="single"/>
    </w:rPr>
  </w:style>
  <w:style w:type="character" w:customStyle="1" w:styleId="FootnoteTextChar">
    <w:name w:val="Footnote Text Char"/>
    <w:aliases w:val="Footnote Text Char Char Char,RSK-FT Char,RSK-FT1 Char,RSK-FT2 Char,Fußnotentextf Char,fn Char,footnotes Char,Footnote Text Char2 Char Char,Footnote Text Char Char1 Char Char,Footnote Text Char2 Char Char Char Char,Footnote Char,f Char"/>
    <w:uiPriority w:val="99"/>
    <w:rPr>
      <w:sz w:val="20"/>
    </w:rPr>
  </w:style>
  <w:style w:type="paragraph" w:customStyle="1" w:styleId="Pagedecouverture">
    <w:name w:val="Page de couverture"/>
    <w:basedOn w:val="Normal"/>
    <w:next w:val="Normal"/>
    <w:pPr>
      <w:spacing w:after="0"/>
    </w:pPr>
    <w:rPr>
      <w:rFonts w:eastAsia="Calibr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rPr>
      <w:rFonts w:ascii="Times New Roman Bold" w:hAnsi="Times New Roman Bold"/>
      <w:b/>
      <w:caps/>
    </w:rPr>
  </w:style>
  <w:style w:type="character" w:customStyle="1" w:styleId="FooterCoverPageChar">
    <w:name w:val="Footer Cover Page Char"/>
    <w:link w:val="FooterCoverPage"/>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link w:val="HeaderCoverPage"/>
  </w:style>
  <w:style w:type="character" w:styleId="PlaceholderText">
    <w:name w:val="Placeholder Text"/>
    <w:basedOn w:val="DefaultParagraphFont"/>
    <w:semiHidden/>
    <w:rPr>
      <w:color w:val="288061"/>
    </w:rPr>
  </w:style>
  <w:style w:type="character" w:customStyle="1" w:styleId="BodyPlaceholderText">
    <w:name w:val="BodyPlaceholderText"/>
    <w:basedOn w:val="PlaceholderText"/>
    <w:semiHidden/>
    <w:rPr>
      <w:color w:val="3366CC"/>
    </w:rPr>
  </w:style>
  <w:style w:type="character" w:customStyle="1" w:styleId="InstructionRed">
    <w:name w:val="InstructionRed"/>
    <w:uiPriority w:val="1"/>
    <w:rPr>
      <w:i/>
      <w:color w:val="CB3535"/>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2"/>
    <w:rPr>
      <w:i/>
    </w:rPr>
  </w:style>
  <w:style w:type="paragraph" w:customStyle="1" w:styleId="FigureSource">
    <w:name w:val="Figure Source"/>
    <w:basedOn w:val="Normal"/>
    <w:next w:val="Normal"/>
    <w:uiPriority w:val="2"/>
    <w:rPr>
      <w:sz w:val="20"/>
    </w:rPr>
  </w:style>
  <w:style w:type="paragraph" w:customStyle="1" w:styleId="FigureNote">
    <w:name w:val="Figure Note"/>
    <w:basedOn w:val="FigureSource"/>
    <w:next w:val="FigureSource"/>
    <w:uiPriority w:val="2"/>
    <w:rPr>
      <w:b/>
    </w:rPr>
  </w:style>
  <w:style w:type="paragraph" w:customStyle="1" w:styleId="FigureBody">
    <w:name w:val="Figure Body"/>
    <w:basedOn w:val="Normal"/>
    <w:next w:val="FigureNote"/>
    <w:uiPriority w:val="2"/>
    <w:pPr>
      <w:keepNext/>
      <w:spacing w:after="40"/>
    </w:pPr>
  </w:style>
  <w:style w:type="paragraph" w:customStyle="1" w:styleId="FigureTitle">
    <w:name w:val="Figure Title"/>
    <w:basedOn w:val="Normal"/>
    <w:next w:val="FigureBody"/>
    <w:uiPriority w:val="2"/>
    <w:pPr>
      <w:keepNext/>
      <w:spacing w:after="180"/>
    </w:pPr>
    <w:rPr>
      <w:b/>
    </w:rPr>
  </w:style>
  <w:style w:type="paragraph" w:customStyle="1" w:styleId="HistTableHeading">
    <w:name w:val="HistTableHeading"/>
    <w:basedOn w:val="Normal"/>
    <w:next w:val="HistoryTable"/>
    <w:uiPriority w:val="2"/>
    <w:pPr>
      <w:spacing w:before="240"/>
      <w:jc w:val="center"/>
    </w:pPr>
    <w:rPr>
      <w:rFonts w:ascii="Times New Roman Bold" w:hAnsi="Times New Roman Bold"/>
      <w:b/>
      <w:caps/>
    </w:rPr>
  </w:style>
  <w:style w:type="paragraph" w:customStyle="1" w:styleId="HistoryTable">
    <w:name w:val="HistoryTable"/>
    <w:basedOn w:val="Normal"/>
    <w:uiPriority w:val="2"/>
    <w:pPr>
      <w:spacing w:before="60" w:after="60"/>
      <w:jc w:val="left"/>
    </w:pPr>
    <w:rPr>
      <w:sz w:val="20"/>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customStyle="1" w:styleId="SubTitle2">
    <w:name w:val="SubTitle 2"/>
    <w:basedOn w:val="Normal"/>
    <w:uiPriority w:val="1"/>
    <w:qFormat/>
    <w:pPr>
      <w:jc w:val="center"/>
    </w:pPr>
    <w:rPr>
      <w:b/>
      <w:sz w:val="32"/>
    </w:rPr>
  </w:style>
  <w:style w:type="paragraph" w:customStyle="1" w:styleId="SubTitle1">
    <w:name w:val="SubTitle 1"/>
    <w:basedOn w:val="Normal"/>
    <w:next w:val="SubTitle2"/>
    <w:uiPriority w:val="1"/>
    <w:qFormat/>
    <w:pPr>
      <w:jc w:val="center"/>
    </w:pPr>
    <w:rPr>
      <w:b/>
      <w:sz w:val="40"/>
    </w:rPr>
  </w:style>
  <w:style w:type="paragraph" w:styleId="Title">
    <w:name w:val="Title"/>
    <w:basedOn w:val="Normal"/>
    <w:next w:val="SubTitle1"/>
    <w:uiPriority w:val="1"/>
    <w:qFormat/>
    <w:pPr>
      <w:spacing w:after="480"/>
      <w:jc w:val="center"/>
    </w:pPr>
    <w:rPr>
      <w:b/>
      <w:kern w:val="28"/>
      <w:sz w:val="48"/>
    </w:rPr>
  </w:style>
  <w:style w:type="paragraph" w:customStyle="1" w:styleId="DoubSign">
    <w:name w:val="DoubSign"/>
    <w:basedOn w:val="Normal"/>
    <w:uiPriority w:val="2"/>
    <w:pPr>
      <w:tabs>
        <w:tab w:val="left" w:pos="5102"/>
      </w:tabs>
      <w:spacing w:before="1200" w:after="0"/>
      <w:jc w:val="left"/>
    </w:pPr>
  </w:style>
  <w:style w:type="paragraph" w:customStyle="1" w:styleId="SignatureL">
    <w:name w:val="SignatureL"/>
    <w:basedOn w:val="Normal"/>
    <w:uiPriority w:val="2"/>
    <w:pPr>
      <w:tabs>
        <w:tab w:val="left" w:pos="5102"/>
      </w:tabs>
      <w:spacing w:before="1200" w:after="0"/>
      <w:jc w:val="left"/>
    </w:pPr>
  </w:style>
  <w:style w:type="paragraph" w:styleId="Signature">
    <w:name w:val="Signature"/>
    <w:basedOn w:val="Normal"/>
    <w:uiPriority w:val="2"/>
    <w:pPr>
      <w:tabs>
        <w:tab w:val="left" w:pos="5102"/>
      </w:tabs>
      <w:spacing w:before="1200" w:after="0"/>
      <w:ind w:left="5102"/>
      <w:jc w:val="center"/>
    </w:p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Text4">
    <w:name w:val="Text 4"/>
    <w:basedOn w:val="Normal"/>
    <w:uiPriority w:val="1"/>
    <w:qFormat/>
    <w:pPr>
      <w:ind w:left="1202"/>
    </w:pPr>
  </w:style>
  <w:style w:type="paragraph" w:customStyle="1" w:styleId="Text3">
    <w:name w:val="Text 3"/>
    <w:basedOn w:val="Normal"/>
    <w:uiPriority w:val="1"/>
    <w:qFormat/>
    <w:pPr>
      <w:ind w:left="1202"/>
    </w:pPr>
  </w:style>
  <w:style w:type="paragraph" w:customStyle="1" w:styleId="Text2">
    <w:name w:val="Text 2"/>
    <w:basedOn w:val="Normal"/>
    <w:uiPriority w:val="1"/>
    <w:qFormat/>
    <w:pPr>
      <w:ind w:left="1202"/>
    </w:pPr>
  </w:style>
  <w:style w:type="paragraph" w:customStyle="1" w:styleId="Text1">
    <w:name w:val="Text 1"/>
    <w:basedOn w:val="Normal"/>
    <w:uiPriority w:val="1"/>
    <w:qFormat/>
    <w:pPr>
      <w:ind w:left="482"/>
    </w:pPr>
  </w:style>
  <w:style w:type="paragraph" w:customStyle="1" w:styleId="ZFlag">
    <w:name w:val="Z_Flag"/>
    <w:basedOn w:val="Normal"/>
    <w:next w:val="Normal"/>
    <w:uiPriority w:val="2"/>
    <w:pPr>
      <w:widowControl w:val="0"/>
      <w:spacing w:after="0"/>
      <w:ind w:right="85"/>
    </w:pPr>
  </w:style>
  <w:style w:type="paragraph" w:customStyle="1" w:styleId="ZCom">
    <w:name w:val="Z_Com"/>
    <w:basedOn w:val="Normal"/>
    <w:next w:val="Normal"/>
    <w:uiPriority w:val="2"/>
    <w:pPr>
      <w:widowControl w:val="0"/>
      <w:spacing w:before="90" w:after="0"/>
      <w:ind w:right="85"/>
    </w:pPr>
  </w:style>
  <w:style w:type="paragraph" w:customStyle="1" w:styleId="ZDGName">
    <w:name w:val="Z_DGName"/>
    <w:basedOn w:val="Normal"/>
    <w:uiPriority w:val="2"/>
    <w:pPr>
      <w:widowControl w:val="0"/>
      <w:spacing w:after="0"/>
      <w:ind w:right="85"/>
      <w:jc w:val="left"/>
    </w:pPr>
    <w:rPr>
      <w:sz w:val="16"/>
    </w:rPr>
  </w:style>
  <w:style w:type="paragraph" w:styleId="Caption">
    <w:name w:val="caption"/>
    <w:basedOn w:val="Normal"/>
    <w:next w:val="Normal"/>
    <w:semiHidden/>
    <w:pPr>
      <w:spacing w:before="160"/>
    </w:pPr>
    <w:rPr>
      <w:i/>
      <w:sz w:val="22"/>
    </w:rPr>
  </w:style>
  <w:style w:type="paragraph" w:customStyle="1" w:styleId="Contact">
    <w:name w:val="Contact"/>
    <w:basedOn w:val="Normal"/>
    <w:uiPriority w:val="1"/>
    <w:pPr>
      <w:spacing w:before="480" w:after="0"/>
      <w:ind w:left="567" w:hanging="567"/>
      <w:contextualSpacing/>
      <w:jc w:val="left"/>
    </w:pPr>
  </w:style>
  <w:style w:type="paragraph" w:styleId="Date">
    <w:name w:val="Date"/>
    <w:basedOn w:val="Normal"/>
    <w:next w:val="References"/>
    <w:link w:val="DateChar"/>
    <w:uiPriority w:val="1"/>
    <w:pPr>
      <w:spacing w:after="0"/>
      <w:ind w:left="5102" w:right="-567"/>
      <w:jc w:val="left"/>
    </w:pPr>
  </w:style>
  <w:style w:type="paragraph" w:customStyle="1" w:styleId="References">
    <w:name w:val="References"/>
    <w:basedOn w:val="Normal"/>
    <w:uiPriority w:val="1"/>
    <w:pPr>
      <w:ind w:left="5102" w:right="-567"/>
      <w:contextualSpacing/>
      <w:jc w:val="left"/>
    </w:pPr>
    <w:rPr>
      <w:sz w:val="20"/>
    </w:rPr>
  </w:style>
  <w:style w:type="paragraph" w:customStyle="1" w:styleId="Designator">
    <w:name w:val="Designator"/>
    <w:basedOn w:val="Normal"/>
    <w:semiHidden/>
    <w:pPr>
      <w:spacing w:after="0"/>
      <w:jc w:val="center"/>
    </w:pPr>
    <w:rPr>
      <w:b/>
      <w:caps/>
      <w:sz w:val="32"/>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styleId="EndnoteText">
    <w:name w:val="endnote text"/>
    <w:basedOn w:val="Normal"/>
    <w:semiHidden/>
    <w:unhideWhenUsed/>
    <w:rPr>
      <w:sz w:val="20"/>
    </w:rPr>
  </w:style>
  <w:style w:type="paragraph" w:styleId="Footer">
    <w:name w:val="footer"/>
    <w:basedOn w:val="Normal"/>
    <w:uiPriority w:val="2"/>
    <w:pPr>
      <w:spacing w:after="0"/>
      <w:ind w:right="-567"/>
      <w:jc w:val="left"/>
    </w:pPr>
    <w:rPr>
      <w:sz w:val="16"/>
    </w:rPr>
  </w:style>
  <w:style w:type="paragraph" w:styleId="FootnoteText">
    <w:name w:val="footnote text"/>
    <w:aliases w:val="Footnote Text Char Char,RSK-FT,RSK-FT1,RSK-FT2,Fußnotentextf,fn,footnotes,Footnote Text Char2 Char,Footnote Text Char Char1 Char,Footnote Text Char2 Char Char Char,Footnote Text Char1 Char Char Char Char,Footnote,RSK-F,f,-E Fußnotentext"/>
    <w:basedOn w:val="Normal"/>
    <w:uiPriority w:val="99"/>
    <w:unhideWhenUsed/>
    <w:qFormat/>
    <w:pPr>
      <w:spacing w:after="120"/>
      <w:ind w:left="142" w:hanging="142"/>
    </w:pPr>
    <w:rPr>
      <w:sz w:val="2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AnnexTitle">
    <w:name w:val="AnnexTitle"/>
    <w:basedOn w:val="Normal"/>
    <w:next w:val="Normal"/>
    <w:uiPriority w:val="1"/>
    <w:qFormat/>
    <w:pPr>
      <w:pageBreakBefore/>
      <w:numPr>
        <w:numId w:val="20"/>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rPr>
      <w:noProof/>
    </w:r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uiPriority w:val="1"/>
    <w:pPr>
      <w:numPr>
        <w:numId w:val="16"/>
      </w:numPr>
    </w:pPr>
  </w:style>
  <w:style w:type="paragraph" w:customStyle="1" w:styleId="ListBulletLevel2">
    <w:name w:val="List Bullet (Level 2)"/>
    <w:basedOn w:val="Text1"/>
    <w:uiPriority w:val="1"/>
    <w:pPr>
      <w:numPr>
        <w:ilvl w:val="1"/>
        <w:numId w:val="16"/>
      </w:numPr>
    </w:pPr>
  </w:style>
  <w:style w:type="paragraph" w:customStyle="1" w:styleId="ListBulletLevel3">
    <w:name w:val="List Bullet (Level 3)"/>
    <w:basedOn w:val="Text1"/>
    <w:uiPriority w:val="1"/>
    <w:semiHidden/>
    <w:unhideWhenUsed/>
    <w:pPr>
      <w:numPr>
        <w:ilvl w:val="2"/>
        <w:numId w:val="16"/>
      </w:numPr>
    </w:pPr>
  </w:style>
  <w:style w:type="paragraph" w:customStyle="1" w:styleId="ListBulletLevel4">
    <w:name w:val="List Bullet (Level 4)"/>
    <w:basedOn w:val="Text1"/>
    <w:uiPriority w:val="1"/>
    <w:semiHidden/>
    <w:unhideWhenUsed/>
    <w:pPr>
      <w:numPr>
        <w:ilvl w:val="3"/>
        <w:numId w:val="16"/>
      </w:numPr>
    </w:pPr>
  </w:style>
  <w:style w:type="paragraph" w:customStyle="1" w:styleId="ListBullet1">
    <w:name w:val="List Bullet 1"/>
    <w:basedOn w:val="Text1"/>
    <w:pPr>
      <w:numPr>
        <w:numId w:val="15"/>
      </w:numPr>
    </w:pPr>
  </w:style>
  <w:style w:type="paragraph" w:customStyle="1" w:styleId="ListBullet1Level2">
    <w:name w:val="List Bullet 1 (Level 2)"/>
    <w:basedOn w:val="Text1"/>
    <w:uiPriority w:val="1"/>
    <w:pPr>
      <w:numPr>
        <w:ilvl w:val="1"/>
        <w:numId w:val="15"/>
      </w:numPr>
    </w:pPr>
  </w:style>
  <w:style w:type="paragraph" w:customStyle="1" w:styleId="ListBullet1Level3">
    <w:name w:val="List Bullet 1 (Level 3)"/>
    <w:basedOn w:val="Text1"/>
    <w:uiPriority w:val="1"/>
    <w:semiHidden/>
    <w:unhideWhenUsed/>
    <w:pPr>
      <w:numPr>
        <w:ilvl w:val="2"/>
        <w:numId w:val="15"/>
      </w:numPr>
    </w:pPr>
  </w:style>
  <w:style w:type="paragraph" w:customStyle="1" w:styleId="ListBullet1Level4">
    <w:name w:val="List Bullet 1 (Level 4)"/>
    <w:basedOn w:val="Text1"/>
    <w:uiPriority w:val="1"/>
    <w:semiHidden/>
    <w:unhideWhenUsed/>
    <w:pPr>
      <w:numPr>
        <w:ilvl w:val="3"/>
        <w:numId w:val="15"/>
      </w:numPr>
    </w:pPr>
  </w:style>
  <w:style w:type="paragraph" w:styleId="ListBullet2">
    <w:name w:val="List Bullet 2"/>
    <w:basedOn w:val="Text2"/>
    <w:uiPriority w:val="1"/>
    <w:pPr>
      <w:numPr>
        <w:numId w:val="14"/>
      </w:numPr>
    </w:pPr>
  </w:style>
  <w:style w:type="paragraph" w:customStyle="1" w:styleId="ListBullet2Level2">
    <w:name w:val="List Bullet 2 (Level 2)"/>
    <w:basedOn w:val="Text2"/>
    <w:uiPriority w:val="1"/>
    <w:pPr>
      <w:numPr>
        <w:ilvl w:val="1"/>
        <w:numId w:val="14"/>
      </w:numPr>
    </w:pPr>
  </w:style>
  <w:style w:type="paragraph" w:customStyle="1" w:styleId="ListBullet2Level3">
    <w:name w:val="List Bullet 2 (Level 3)"/>
    <w:basedOn w:val="Text2"/>
    <w:uiPriority w:val="1"/>
    <w:semiHidden/>
    <w:unhideWhenUsed/>
    <w:pPr>
      <w:numPr>
        <w:ilvl w:val="2"/>
        <w:numId w:val="14"/>
      </w:numPr>
    </w:pPr>
  </w:style>
  <w:style w:type="paragraph" w:customStyle="1" w:styleId="ListBullet2Level4">
    <w:name w:val="List Bullet 2 (Level 4)"/>
    <w:basedOn w:val="Text2"/>
    <w:uiPriority w:val="1"/>
    <w:semiHidden/>
    <w:unhideWhenUsed/>
    <w:pPr>
      <w:numPr>
        <w:ilvl w:val="3"/>
        <w:numId w:val="14"/>
      </w:numPr>
    </w:pPr>
  </w:style>
  <w:style w:type="paragraph" w:styleId="ListBullet3">
    <w:name w:val="List Bullet 3"/>
    <w:basedOn w:val="Text3"/>
    <w:uiPriority w:val="1"/>
    <w:pPr>
      <w:numPr>
        <w:numId w:val="13"/>
      </w:numPr>
    </w:pPr>
  </w:style>
  <w:style w:type="paragraph" w:customStyle="1" w:styleId="ListBullet3Level2">
    <w:name w:val="List Bullet 3 (Level 2)"/>
    <w:basedOn w:val="Text3"/>
    <w:uiPriority w:val="1"/>
    <w:pPr>
      <w:numPr>
        <w:ilvl w:val="1"/>
        <w:numId w:val="13"/>
      </w:numPr>
    </w:pPr>
  </w:style>
  <w:style w:type="paragraph" w:customStyle="1" w:styleId="ListBullet3Level3">
    <w:name w:val="List Bullet 3 (Level 3)"/>
    <w:basedOn w:val="Text3"/>
    <w:uiPriority w:val="1"/>
    <w:semiHidden/>
    <w:unhideWhenUsed/>
    <w:pPr>
      <w:numPr>
        <w:ilvl w:val="2"/>
        <w:numId w:val="13"/>
      </w:numPr>
    </w:pPr>
  </w:style>
  <w:style w:type="paragraph" w:customStyle="1" w:styleId="ListBullet3Level4">
    <w:name w:val="List Bullet 3 (Level 4)"/>
    <w:basedOn w:val="Text3"/>
    <w:uiPriority w:val="1"/>
    <w:semiHidden/>
    <w:unhideWhenUsed/>
    <w:pPr>
      <w:numPr>
        <w:ilvl w:val="3"/>
        <w:numId w:val="13"/>
      </w:numPr>
    </w:pPr>
  </w:style>
  <w:style w:type="paragraph" w:styleId="ListBullet4">
    <w:name w:val="List Bullet 4"/>
    <w:basedOn w:val="Text4"/>
    <w:uiPriority w:val="1"/>
    <w:pPr>
      <w:numPr>
        <w:numId w:val="12"/>
      </w:numPr>
    </w:pPr>
  </w:style>
  <w:style w:type="paragraph" w:customStyle="1" w:styleId="ListBullet4Level2">
    <w:name w:val="List Bullet 4 (Level 2)"/>
    <w:basedOn w:val="Text4"/>
    <w:uiPriority w:val="1"/>
    <w:pPr>
      <w:numPr>
        <w:ilvl w:val="1"/>
        <w:numId w:val="12"/>
      </w:numPr>
    </w:pPr>
  </w:style>
  <w:style w:type="paragraph" w:customStyle="1" w:styleId="ListBullet4Level3">
    <w:name w:val="List Bullet 4 (Level 3)"/>
    <w:basedOn w:val="Text4"/>
    <w:uiPriority w:val="1"/>
    <w:semiHidden/>
    <w:unhideWhenUsed/>
    <w:pPr>
      <w:numPr>
        <w:ilvl w:val="2"/>
        <w:numId w:val="12"/>
      </w:numPr>
    </w:pPr>
  </w:style>
  <w:style w:type="paragraph" w:customStyle="1" w:styleId="ListBullet4Level4">
    <w:name w:val="List Bullet 4 (Level 4)"/>
    <w:basedOn w:val="Text4"/>
    <w:uiPriority w:val="1"/>
    <w:semiHidden/>
    <w:unhideWhenUsed/>
    <w:pPr>
      <w:numPr>
        <w:ilvl w:val="3"/>
        <w:numId w:val="12"/>
      </w:numPr>
    </w:pPr>
  </w:style>
  <w:style w:type="paragraph" w:customStyle="1" w:styleId="ListDash">
    <w:name w:val="List Dash"/>
    <w:basedOn w:val="Normal"/>
    <w:uiPriority w:val="1"/>
    <w:pPr>
      <w:numPr>
        <w:numId w:val="6"/>
      </w:numPr>
    </w:pPr>
  </w:style>
  <w:style w:type="paragraph" w:customStyle="1" w:styleId="ListDashLevel2">
    <w:name w:val="List Dash (Level 2)"/>
    <w:basedOn w:val="Normal"/>
    <w:uiPriority w:val="1"/>
    <w:pPr>
      <w:numPr>
        <w:ilvl w:val="1"/>
        <w:numId w:val="6"/>
      </w:numPr>
    </w:pPr>
  </w:style>
  <w:style w:type="paragraph" w:customStyle="1" w:styleId="ListDashLevel3">
    <w:name w:val="List Dash (Level 3)"/>
    <w:basedOn w:val="Normal"/>
    <w:uiPriority w:val="1"/>
    <w:semiHidden/>
    <w:unhideWhenUsed/>
    <w:pPr>
      <w:numPr>
        <w:ilvl w:val="2"/>
        <w:numId w:val="6"/>
      </w:numPr>
    </w:pPr>
  </w:style>
  <w:style w:type="paragraph" w:customStyle="1" w:styleId="ListDashLevel4">
    <w:name w:val="List Dash (Level 4)"/>
    <w:basedOn w:val="Normal"/>
    <w:uiPriority w:val="1"/>
    <w:semiHidden/>
    <w:unhideWhenUsed/>
    <w:pPr>
      <w:numPr>
        <w:ilvl w:val="3"/>
        <w:numId w:val="6"/>
      </w:numPr>
    </w:pPr>
  </w:style>
  <w:style w:type="paragraph" w:customStyle="1" w:styleId="ListDash1">
    <w:name w:val="List Dash 1"/>
    <w:basedOn w:val="Text1"/>
    <w:uiPriority w:val="1"/>
    <w:pPr>
      <w:numPr>
        <w:numId w:val="5"/>
      </w:numPr>
    </w:pPr>
  </w:style>
  <w:style w:type="paragraph" w:customStyle="1" w:styleId="ListDash1Level2">
    <w:name w:val="List Dash 1 (Level 2)"/>
    <w:basedOn w:val="Text1"/>
    <w:uiPriority w:val="1"/>
    <w:pPr>
      <w:numPr>
        <w:ilvl w:val="1"/>
        <w:numId w:val="5"/>
      </w:numPr>
    </w:pPr>
  </w:style>
  <w:style w:type="paragraph" w:customStyle="1" w:styleId="ListDash1Level3">
    <w:name w:val="List Dash 1 (Level 3)"/>
    <w:basedOn w:val="Text1"/>
    <w:uiPriority w:val="1"/>
    <w:semiHidden/>
    <w:unhideWhenUsed/>
    <w:pPr>
      <w:numPr>
        <w:ilvl w:val="2"/>
        <w:numId w:val="5"/>
      </w:numPr>
    </w:pPr>
  </w:style>
  <w:style w:type="paragraph" w:customStyle="1" w:styleId="ListDash1Level4">
    <w:name w:val="List Dash 1 (Level 4)"/>
    <w:basedOn w:val="Text1"/>
    <w:uiPriority w:val="1"/>
    <w:semiHidden/>
    <w:unhideWhenUsed/>
    <w:pPr>
      <w:numPr>
        <w:ilvl w:val="3"/>
        <w:numId w:val="5"/>
      </w:numPr>
    </w:pPr>
  </w:style>
  <w:style w:type="paragraph" w:customStyle="1" w:styleId="ListDash2">
    <w:name w:val="List Dash 2"/>
    <w:basedOn w:val="Text2"/>
    <w:pPr>
      <w:numPr>
        <w:numId w:val="4"/>
      </w:numPr>
    </w:pPr>
  </w:style>
  <w:style w:type="paragraph" w:customStyle="1" w:styleId="ListDash2Level2">
    <w:name w:val="List Dash 2 (Level 2)"/>
    <w:basedOn w:val="Text2"/>
    <w:uiPriority w:val="1"/>
    <w:pPr>
      <w:numPr>
        <w:ilvl w:val="1"/>
        <w:numId w:val="4"/>
      </w:numPr>
    </w:pPr>
  </w:style>
  <w:style w:type="paragraph" w:customStyle="1" w:styleId="ListDash2Level3">
    <w:name w:val="List Dash 2 (Level 3)"/>
    <w:basedOn w:val="Text2"/>
    <w:uiPriority w:val="1"/>
    <w:semiHidden/>
    <w:unhideWhenUsed/>
    <w:pPr>
      <w:numPr>
        <w:ilvl w:val="2"/>
        <w:numId w:val="4"/>
      </w:numPr>
    </w:pPr>
  </w:style>
  <w:style w:type="paragraph" w:customStyle="1" w:styleId="ListDash2Level4">
    <w:name w:val="List Dash 2 (Level 4)"/>
    <w:basedOn w:val="Text2"/>
    <w:uiPriority w:val="1"/>
    <w:semiHidden/>
    <w:unhideWhenUsed/>
    <w:pPr>
      <w:numPr>
        <w:ilvl w:val="3"/>
        <w:numId w:val="4"/>
      </w:numPr>
    </w:pPr>
  </w:style>
  <w:style w:type="paragraph" w:customStyle="1" w:styleId="ListDash3">
    <w:name w:val="List Dash 3"/>
    <w:basedOn w:val="Text3"/>
    <w:uiPriority w:val="1"/>
    <w:pPr>
      <w:numPr>
        <w:numId w:val="3"/>
      </w:numPr>
    </w:pPr>
  </w:style>
  <w:style w:type="paragraph" w:customStyle="1" w:styleId="ListDash3Level2">
    <w:name w:val="List Dash 3 (Level 2)"/>
    <w:basedOn w:val="Text3"/>
    <w:uiPriority w:val="1"/>
    <w:pPr>
      <w:numPr>
        <w:ilvl w:val="1"/>
        <w:numId w:val="3"/>
      </w:numPr>
    </w:pPr>
  </w:style>
  <w:style w:type="paragraph" w:customStyle="1" w:styleId="ListDash3Level3">
    <w:name w:val="List Dash 3 (Level 3)"/>
    <w:basedOn w:val="Text3"/>
    <w:uiPriority w:val="1"/>
    <w:semiHidden/>
    <w:unhideWhenUsed/>
    <w:pPr>
      <w:numPr>
        <w:ilvl w:val="2"/>
        <w:numId w:val="3"/>
      </w:numPr>
    </w:pPr>
  </w:style>
  <w:style w:type="paragraph" w:customStyle="1" w:styleId="ListDash3Level4">
    <w:name w:val="List Dash 3 (Level 4)"/>
    <w:basedOn w:val="Text3"/>
    <w:uiPriority w:val="1"/>
    <w:semiHidden/>
    <w:unhideWhenUsed/>
    <w:pPr>
      <w:numPr>
        <w:ilvl w:val="3"/>
        <w:numId w:val="3"/>
      </w:numPr>
    </w:pPr>
  </w:style>
  <w:style w:type="paragraph" w:customStyle="1" w:styleId="ListDash4">
    <w:name w:val="List Dash 4"/>
    <w:basedOn w:val="Text4"/>
    <w:uiPriority w:val="1"/>
    <w:pPr>
      <w:numPr>
        <w:numId w:val="2"/>
      </w:numPr>
    </w:pPr>
  </w:style>
  <w:style w:type="paragraph" w:customStyle="1" w:styleId="ListDash4Level2">
    <w:name w:val="List Dash 4 (Level 2)"/>
    <w:basedOn w:val="Text4"/>
    <w:uiPriority w:val="1"/>
    <w:pPr>
      <w:numPr>
        <w:ilvl w:val="1"/>
        <w:numId w:val="2"/>
      </w:numPr>
    </w:pPr>
  </w:style>
  <w:style w:type="paragraph" w:customStyle="1" w:styleId="ListDash4Level3">
    <w:name w:val="List Dash 4 (Level 3)"/>
    <w:basedOn w:val="Text4"/>
    <w:uiPriority w:val="1"/>
    <w:semiHidden/>
    <w:unhideWhenUsed/>
    <w:pPr>
      <w:numPr>
        <w:ilvl w:val="2"/>
        <w:numId w:val="2"/>
      </w:numPr>
    </w:pPr>
  </w:style>
  <w:style w:type="paragraph" w:customStyle="1" w:styleId="ListDash4Level4">
    <w:name w:val="List Dash 4 (Level 4)"/>
    <w:basedOn w:val="Text4"/>
    <w:uiPriority w:val="1"/>
    <w:semiHidden/>
    <w:unhideWhenUsed/>
    <w:pPr>
      <w:numPr>
        <w:ilvl w:val="3"/>
        <w:numId w:val="2"/>
      </w:numPr>
    </w:pPr>
  </w:style>
  <w:style w:type="paragraph" w:styleId="ListNumber">
    <w:name w:val="List Number"/>
    <w:basedOn w:val="Normal"/>
    <w:pPr>
      <w:numPr>
        <w:numId w:val="1"/>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unhideWhenUsed/>
    <w:pPr>
      <w:numPr>
        <w:ilvl w:val="2"/>
        <w:numId w:val="11"/>
      </w:numPr>
    </w:pPr>
  </w:style>
  <w:style w:type="paragraph" w:customStyle="1" w:styleId="ListNumberLevel4">
    <w:name w:val="List Number (Level 4)"/>
    <w:basedOn w:val="Normal"/>
    <w:unhideWhenUsed/>
    <w:pPr>
      <w:numPr>
        <w:ilvl w:val="3"/>
        <w:numId w:val="11"/>
      </w:numPr>
    </w:pPr>
  </w:style>
  <w:style w:type="paragraph" w:customStyle="1" w:styleId="ListNumber1">
    <w:name w:val="List Number 1"/>
    <w:basedOn w:val="Text1"/>
    <w:pPr>
      <w:numPr>
        <w:numId w:val="10"/>
      </w:numPr>
    </w:pPr>
  </w:style>
  <w:style w:type="paragraph" w:customStyle="1" w:styleId="ListNumber1Level2">
    <w:name w:val="List Number 1 (Level 2)"/>
    <w:basedOn w:val="Text1"/>
    <w:pPr>
      <w:numPr>
        <w:ilvl w:val="1"/>
        <w:numId w:val="10"/>
      </w:numPr>
    </w:pPr>
  </w:style>
  <w:style w:type="paragraph" w:customStyle="1" w:styleId="ListNumber1Level3">
    <w:name w:val="List Number 1 (Level 3)"/>
    <w:basedOn w:val="Text1"/>
    <w:unhideWhenUsed/>
    <w:pPr>
      <w:numPr>
        <w:ilvl w:val="2"/>
        <w:numId w:val="10"/>
      </w:numPr>
    </w:pPr>
  </w:style>
  <w:style w:type="paragraph" w:customStyle="1" w:styleId="ListNumber1Level4">
    <w:name w:val="List Number 1 (Level 4)"/>
    <w:basedOn w:val="Text1"/>
    <w:unhideWhenUsed/>
    <w:pPr>
      <w:numPr>
        <w:ilvl w:val="3"/>
        <w:numId w:val="10"/>
      </w:numPr>
    </w:pPr>
  </w:style>
  <w:style w:type="paragraph" w:styleId="ListNumber2">
    <w:name w:val="List Number 2"/>
    <w:basedOn w:val="Text2"/>
    <w:uiPriority w:val="1"/>
    <w:pPr>
      <w:numPr>
        <w:numId w:val="9"/>
      </w:numPr>
    </w:pPr>
  </w:style>
  <w:style w:type="paragraph" w:customStyle="1" w:styleId="ListNumber2Level2">
    <w:name w:val="List Number 2 (Level 2)"/>
    <w:basedOn w:val="Text2"/>
    <w:uiPriority w:val="1"/>
    <w:pPr>
      <w:numPr>
        <w:ilvl w:val="1"/>
        <w:numId w:val="9"/>
      </w:numPr>
    </w:pPr>
  </w:style>
  <w:style w:type="paragraph" w:customStyle="1" w:styleId="ListNumber2Level3">
    <w:name w:val="List Number 2 (Level 3)"/>
    <w:basedOn w:val="Text2"/>
    <w:uiPriority w:val="1"/>
    <w:semiHidden/>
    <w:unhideWhenUsed/>
    <w:pPr>
      <w:numPr>
        <w:ilvl w:val="2"/>
        <w:numId w:val="9"/>
      </w:numPr>
    </w:pPr>
  </w:style>
  <w:style w:type="paragraph" w:customStyle="1" w:styleId="ListNumber2Level4">
    <w:name w:val="List Number 2 (Level 4)"/>
    <w:basedOn w:val="Text2"/>
    <w:uiPriority w:val="1"/>
    <w:semiHidden/>
    <w:unhideWhenUsed/>
    <w:pPr>
      <w:numPr>
        <w:ilvl w:val="3"/>
        <w:numId w:val="9"/>
      </w:numPr>
    </w:pPr>
  </w:style>
  <w:style w:type="paragraph" w:styleId="ListNumber3">
    <w:name w:val="List Number 3"/>
    <w:basedOn w:val="Text3"/>
    <w:uiPriority w:val="1"/>
    <w:pPr>
      <w:numPr>
        <w:numId w:val="8"/>
      </w:numPr>
    </w:pPr>
  </w:style>
  <w:style w:type="paragraph" w:customStyle="1" w:styleId="ListNumber3Level2">
    <w:name w:val="List Number 3 (Level 2)"/>
    <w:basedOn w:val="Text3"/>
    <w:uiPriority w:val="1"/>
    <w:pPr>
      <w:numPr>
        <w:ilvl w:val="1"/>
        <w:numId w:val="8"/>
      </w:numPr>
    </w:pPr>
  </w:style>
  <w:style w:type="paragraph" w:customStyle="1" w:styleId="ListNumber3Level3">
    <w:name w:val="List Number 3 (Level 3)"/>
    <w:basedOn w:val="Text3"/>
    <w:uiPriority w:val="1"/>
    <w:semiHidden/>
    <w:unhideWhenUsed/>
    <w:pPr>
      <w:numPr>
        <w:ilvl w:val="2"/>
        <w:numId w:val="8"/>
      </w:numPr>
    </w:pPr>
  </w:style>
  <w:style w:type="paragraph" w:customStyle="1" w:styleId="ListNumber3Level4">
    <w:name w:val="List Number 3 (Level 4)"/>
    <w:basedOn w:val="Text3"/>
    <w:uiPriority w:val="1"/>
    <w:semiHidden/>
    <w:unhideWhenUsed/>
    <w:pPr>
      <w:numPr>
        <w:ilvl w:val="3"/>
        <w:numId w:val="8"/>
      </w:numPr>
    </w:pPr>
  </w:style>
  <w:style w:type="paragraph" w:styleId="ListNumber4">
    <w:name w:val="List Number 4"/>
    <w:basedOn w:val="Text4"/>
    <w:uiPriority w:val="1"/>
    <w:pPr>
      <w:numPr>
        <w:numId w:val="7"/>
      </w:numPr>
    </w:pPr>
  </w:style>
  <w:style w:type="paragraph" w:customStyle="1" w:styleId="ListNumber4Level2">
    <w:name w:val="List Number 4 (Level 2)"/>
    <w:basedOn w:val="Text4"/>
    <w:uiPriority w:val="1"/>
    <w:pPr>
      <w:numPr>
        <w:ilvl w:val="1"/>
        <w:numId w:val="7"/>
      </w:numPr>
    </w:pPr>
  </w:style>
  <w:style w:type="paragraph" w:customStyle="1" w:styleId="ListNumber4Level3">
    <w:name w:val="List Number 4 (Level 3)"/>
    <w:basedOn w:val="Text4"/>
    <w:uiPriority w:val="1"/>
    <w:semiHidden/>
    <w:unhideWhenUsed/>
    <w:pPr>
      <w:numPr>
        <w:ilvl w:val="2"/>
        <w:numId w:val="7"/>
      </w:numPr>
    </w:pPr>
  </w:style>
  <w:style w:type="paragraph" w:customStyle="1" w:styleId="ListNumber4Level4">
    <w:name w:val="List Number 4 (Level 4)"/>
    <w:basedOn w:val="Text4"/>
    <w:uiPriority w:val="1"/>
    <w:semiHidden/>
    <w:unhideWhenUsed/>
    <w:pPr>
      <w:numPr>
        <w:ilvl w:val="3"/>
        <w:numId w:val="7"/>
      </w:numPr>
    </w:pPr>
  </w:style>
  <w:style w:type="paragraph" w:customStyle="1" w:styleId="Marking">
    <w:name w:val="Marking"/>
    <w:basedOn w:val="Normal"/>
    <w:semiHidden/>
    <w:pPr>
      <w:ind w:left="5102" w:right="-567"/>
      <w:contextualSpacing/>
      <w:jc w:val="left"/>
    </w:pPr>
    <w:rPr>
      <w:sz w:val="28"/>
    </w:rPr>
  </w:style>
  <w:style w:type="paragraph" w:customStyle="1" w:styleId="LegalNumPar">
    <w:name w:val="LegalNumPar"/>
    <w:basedOn w:val="Normal"/>
    <w:uiPriority w:val="1"/>
    <w:qFormat/>
    <w:pPr>
      <w:numPr>
        <w:numId w:val="18"/>
      </w:numPr>
      <w:spacing w:line="360" w:lineRule="auto"/>
    </w:pPr>
  </w:style>
  <w:style w:type="paragraph" w:customStyle="1" w:styleId="LegalNumPar2">
    <w:name w:val="LegalNumPar2"/>
    <w:basedOn w:val="Normal"/>
    <w:uiPriority w:val="1"/>
    <w:pPr>
      <w:numPr>
        <w:ilvl w:val="1"/>
        <w:numId w:val="18"/>
      </w:numPr>
      <w:spacing w:line="360" w:lineRule="auto"/>
    </w:pPr>
  </w:style>
  <w:style w:type="paragraph" w:customStyle="1" w:styleId="LegalNumPar3">
    <w:name w:val="LegalNumPar3"/>
    <w:basedOn w:val="Normal"/>
    <w:uiPriority w:val="1"/>
    <w:pPr>
      <w:numPr>
        <w:ilvl w:val="2"/>
        <w:numId w:val="18"/>
      </w:numPr>
      <w:spacing w:line="360" w:lineRule="auto"/>
    </w:pPr>
  </w:style>
  <w:style w:type="paragraph" w:customStyle="1" w:styleId="ContNum">
    <w:name w:val="ContNum"/>
    <w:basedOn w:val="Normal"/>
    <w:uiPriority w:val="1"/>
    <w:qFormat/>
    <w:pPr>
      <w:numPr>
        <w:numId w:val="19"/>
      </w:numPr>
    </w:pPr>
  </w:style>
  <w:style w:type="paragraph" w:customStyle="1" w:styleId="ContNumLevel2">
    <w:name w:val="ContNum (Level 2)"/>
    <w:basedOn w:val="Normal"/>
    <w:uiPriority w:val="1"/>
    <w:pPr>
      <w:numPr>
        <w:ilvl w:val="1"/>
        <w:numId w:val="19"/>
      </w:numPr>
    </w:pPr>
  </w:style>
  <w:style w:type="paragraph" w:customStyle="1" w:styleId="ContNumLevel3">
    <w:name w:val="ContNum (Level 3)"/>
    <w:basedOn w:val="Normal"/>
    <w:uiPriority w:val="1"/>
    <w:pPr>
      <w:numPr>
        <w:ilvl w:val="2"/>
        <w:numId w:val="19"/>
      </w:numPr>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TableHistory">
    <w:name w:val="Table History"/>
    <w:basedOn w:val="TableNormal"/>
    <w:semiHidden/>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character" w:styleId="CommentReference">
    <w:name w:val="annotation reference"/>
    <w:basedOn w:val="DefaultParagraphFont"/>
    <w:semiHidden/>
    <w:locked/>
    <w:rPr>
      <w:sz w:val="16"/>
      <w:szCs w:val="16"/>
    </w:rPr>
  </w:style>
  <w:style w:type="paragraph" w:styleId="CommentSubject">
    <w:name w:val="annotation subject"/>
    <w:basedOn w:val="CommentText"/>
    <w:next w:val="CommentText"/>
    <w:link w:val="CommentSubjectChar"/>
    <w:semiHidden/>
    <w:locked/>
    <w:rPr>
      <w:b/>
      <w:bCs/>
    </w:rPr>
  </w:style>
  <w:style w:type="character" w:customStyle="1" w:styleId="CommentSubjectChar">
    <w:name w:val="Comment Subject Char"/>
    <w:basedOn w:val="CommentTextChar"/>
    <w:link w:val="CommentSubject"/>
    <w:semiHidden/>
    <w:rPr>
      <w:b/>
      <w:bCs/>
      <w:sz w:val="20"/>
    </w:rPr>
  </w:style>
  <w:style w:type="paragraph" w:styleId="BalloonText">
    <w:name w:val="Balloon Text"/>
    <w:basedOn w:val="Normal"/>
    <w:link w:val="BalloonTextChar"/>
    <w:semiHidden/>
    <w:locked/>
    <w:pPr>
      <w:spacing w:after="0"/>
    </w:pPr>
    <w:rPr>
      <w:rFonts w:ascii="Segoe UI" w:hAnsi="Segoe UI" w:cs="Segoe UI"/>
      <w:sz w:val="20"/>
      <w:szCs w:val="18"/>
    </w:rPr>
  </w:style>
  <w:style w:type="character" w:customStyle="1" w:styleId="BalloonTextChar">
    <w:name w:val="Balloon Text Char"/>
    <w:basedOn w:val="DefaultParagraphFont"/>
    <w:link w:val="BalloonText"/>
    <w:semiHidden/>
    <w:rPr>
      <w:rFonts w:ascii="Segoe UI" w:hAnsi="Segoe UI" w:cs="Segoe UI"/>
      <w:sz w:val="20"/>
      <w:szCs w:val="18"/>
    </w:rPr>
  </w:style>
  <w:style w:type="paragraph" w:styleId="ListParagraph">
    <w:name w:val="List Paragraph"/>
    <w:basedOn w:val="Normal"/>
    <w:uiPriority w:val="34"/>
    <w:qFormat/>
    <w:locked/>
    <w:pPr>
      <w:ind w:left="720"/>
      <w:contextualSpacing/>
    </w:pPr>
  </w:style>
  <w:style w:type="paragraph" w:styleId="Revision">
    <w:name w:val="Revision"/>
    <w:hidden/>
    <w:semiHidden/>
    <w:locked/>
  </w:style>
  <w:style w:type="paragraph" w:customStyle="1" w:styleId="Normal1">
    <w:name w:val="Normal1"/>
    <w:basedOn w:val="Normal"/>
    <w:pPr>
      <w:spacing w:before="100" w:beforeAutospacing="1" w:after="100" w:afterAutospacing="1"/>
      <w:jc w:val="left"/>
    </w:pPr>
  </w:style>
  <w:style w:type="character" w:customStyle="1" w:styleId="AFWBodyChar">
    <w:name w:val="AFW Body Char"/>
    <w:aliases w:val="Body Char"/>
    <w:link w:val="WDBody"/>
    <w:locked/>
    <w:rPr>
      <w:rFonts w:ascii="Segoe UI" w:hAnsi="Segoe UI" w:cs="Segoe UI"/>
      <w:color w:val="000000"/>
      <w:sz w:val="20"/>
    </w:rPr>
  </w:style>
  <w:style w:type="paragraph" w:customStyle="1" w:styleId="WDBody">
    <w:name w:val="WD Body"/>
    <w:aliases w:val="Body,AFW Body,Normal Arial,AFW Memo Body,AFW Mins,NuGen Body Numbered,AMEC Body,Body (IACC),NG Body Numbered,Infin Body Numbered,Vat Body Numbered,Body (DIO PSP),38058 11pt Body,AFW Capability Body 9pt,AFW Profile Body 9pt,36380  Body,WD Mins"/>
    <w:link w:val="AFWBodyChar"/>
    <w:qFormat/>
    <w:pPr>
      <w:spacing w:after="160" w:line="240" w:lineRule="atLeast"/>
    </w:pPr>
    <w:rPr>
      <w:rFonts w:ascii="Segoe UI" w:hAnsi="Segoe UI" w:cs="Segoe UI"/>
      <w:color w:val="000000"/>
      <w:sz w:val="2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pPr>
      <w:spacing w:after="160" w:line="240" w:lineRule="exact"/>
      <w:jc w:val="left"/>
    </w:pPr>
    <w:rPr>
      <w:vertAlign w:val="superscript"/>
    </w:rPr>
  </w:style>
  <w:style w:type="character" w:styleId="FollowedHyperlink">
    <w:name w:val="FollowedHyperlink"/>
    <w:basedOn w:val="DefaultParagraphFont"/>
    <w:semiHidden/>
    <w:locked/>
    <w:rPr>
      <w:color w:val="954F72" w:themeColor="followedHyperlink"/>
      <w:u w:val="single"/>
    </w:rPr>
  </w:style>
  <w:style w:type="paragraph" w:styleId="NormalWeb">
    <w:name w:val="Normal (Web)"/>
    <w:basedOn w:val="Normal"/>
    <w:uiPriority w:val="99"/>
    <w:semiHidden/>
    <w:unhideWhenUsed/>
    <w:locked/>
    <w:pPr>
      <w:spacing w:after="0"/>
      <w:jc w:val="left"/>
    </w:pPr>
    <w:rPr>
      <w:rFonts w:eastAsiaTheme="minorHAnsi"/>
    </w:rPr>
  </w:style>
  <w:style w:type="character" w:customStyle="1" w:styleId="Marker">
    <w:name w:val="Marker"/>
    <w:basedOn w:val="DefaultParagraphFont"/>
    <w:rPr>
      <w:color w:val="0000FF"/>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DateChar">
    <w:name w:val="Date Char"/>
    <w:basedOn w:val="DefaultParagraphFont"/>
    <w:link w:val="Date"/>
    <w:uiPriority w:val="1"/>
  </w:style>
  <w:style w:type="character" w:customStyle="1" w:styleId="FooterSensitivityChar">
    <w:name w:val="Footer Sensitivity Char"/>
    <w:basedOn w:val="DateChar"/>
    <w:link w:val="FooterSensitivity"/>
    <w:rPr>
      <w:b/>
      <w:sz w:val="3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ateChar"/>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ateChar"/>
    <w:link w:val="HeaderSensitivityRight"/>
    <w:rPr>
      <w:sz w:val="28"/>
    </w:rPr>
  </w:style>
  <w:style w:type="paragraph" w:customStyle="1" w:styleId="Normal2">
    <w:name w:val="Normal2"/>
    <w:basedOn w:val="Normal"/>
    <w:pPr>
      <w:spacing w:before="100" w:beforeAutospacing="1" w:after="100" w:afterAutospacing="1"/>
      <w:jc w:val="left"/>
    </w:pPr>
  </w:style>
  <w:style w:type="paragraph" w:customStyle="1" w:styleId="Normal3">
    <w:name w:val="Normal3"/>
    <w:basedOn w:val="Normal"/>
    <w:pPr>
      <w:spacing w:before="100" w:beforeAutospacing="1" w:after="100" w:afterAutospacing="1"/>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l-GR" w:eastAsia="en-US" w:bidi="ar-SA"/>
      </w:rPr>
    </w:rPrDefault>
    <w:pPrDefault/>
  </w:docDefaults>
  <w:latentStyles w:defLockedState="1" w:defUIPriority="0" w:defSemiHidden="1" w:defUnhideWhenUsed="0" w:defQFormat="0" w:count="267">
    <w:lsdException w:name="Normal" w:semiHidden="0" w:uiPriority="1" w:qFormat="1"/>
    <w:lsdException w:name="heading 1" w:semiHidden="0" w:qFormat="1"/>
    <w:lsdException w:name="heading 2" w:semiHidden="0" w:qFormat="1"/>
    <w:lsdException w:name="heading 3" w:semiHidden="0" w:qFormat="1"/>
    <w:lsdException w:name="heading 4" w:semiHidden="0" w:qFormat="1"/>
    <w:lsdException w:name="toc 1" w:uiPriority="39"/>
    <w:lsdException w:name="toc 2" w:uiPriority="39"/>
    <w:lsdException w:name="toc 3" w:uiPriority="39"/>
    <w:lsdException w:name="footnote text" w:semiHidden="0" w:uiPriority="99" w:unhideWhenUsed="1" w:qFormat="1"/>
    <w:lsdException w:name="header" w:semiHidden="0"/>
    <w:lsdException w:name="footer" w:semiHidden="0" w:uiPriority="2"/>
    <w:lsdException w:name="caption" w:qFormat="1"/>
    <w:lsdException w:name="footnote reference" w:qFormat="1"/>
    <w:lsdException w:name="endnote text" w:semiHidden="0" w:unhideWhenUsed="1"/>
    <w:lsdException w:name="List Bullet" w:semiHidden="0"/>
    <w:lsdException w:name="List Number" w:semiHidden="0"/>
    <w:lsdException w:name="List Bullet 2" w:semiHidden="0"/>
    <w:lsdException w:name="List Bullet 3" w:semiHidden="0" w:uiPriority="1"/>
    <w:lsdException w:name="List Bullet 4" w:semiHidden="0" w:uiPriority="1"/>
    <w:lsdException w:name="List Number 2" w:semiHidden="0"/>
    <w:lsdException w:name="List Number 3" w:semiHidden="0" w:uiPriority="1"/>
    <w:lsdException w:name="List Number 4" w:semiHidden="0" w:uiPriority="1"/>
    <w:lsdException w:name="Title" w:semiHidden="0" w:uiPriority="1" w:qFormat="1"/>
    <w:lsdException w:name="Signature" w:semiHidden="0" w:uiPriority="2"/>
    <w:lsdException w:name="Date" w:semiHidden="0" w:uiPriority="1"/>
    <w:lsdException w:name="Hyperlink" w:uiPriority="99"/>
    <w:lsdException w:name="Normal (Web)" w:uiPriority="99"/>
    <w:lsdException w:name="Normal Table"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TOC Heading" w:qFormat="1"/>
  </w:latentStyles>
  <w:style w:type="paragraph" w:default="1" w:styleId="Normal">
    <w:name w:val="Normal"/>
    <w:uiPriority w:val="1"/>
    <w:qFormat/>
    <w:pPr>
      <w:spacing w:after="240"/>
      <w:jc w:val="both"/>
    </w:pPr>
  </w:style>
  <w:style w:type="paragraph" w:styleId="Heading1">
    <w:name w:val="heading 1"/>
    <w:basedOn w:val="Normal"/>
    <w:next w:val="Text1"/>
    <w:qFormat/>
    <w:pPr>
      <w:keepNext/>
      <w:numPr>
        <w:numId w:val="17"/>
      </w:numPr>
      <w:spacing w:before="240"/>
      <w:outlineLvl w:val="0"/>
    </w:pPr>
    <w:rPr>
      <w:b/>
      <w:smallCaps/>
    </w:rPr>
  </w:style>
  <w:style w:type="paragraph" w:styleId="Heading2">
    <w:name w:val="heading 2"/>
    <w:basedOn w:val="Normal"/>
    <w:next w:val="Text2"/>
    <w:qFormat/>
    <w:pPr>
      <w:keepNext/>
      <w:numPr>
        <w:ilvl w:val="1"/>
        <w:numId w:val="17"/>
      </w:numPr>
      <w:outlineLvl w:val="1"/>
    </w:pPr>
    <w:rPr>
      <w:b/>
    </w:rPr>
  </w:style>
  <w:style w:type="paragraph" w:styleId="Heading3">
    <w:name w:val="heading 3"/>
    <w:basedOn w:val="Normal"/>
    <w:next w:val="Text3"/>
    <w:qFormat/>
    <w:pPr>
      <w:keepNext/>
      <w:numPr>
        <w:ilvl w:val="2"/>
        <w:numId w:val="17"/>
      </w:numPr>
      <w:outlineLvl w:val="2"/>
    </w:pPr>
    <w:rPr>
      <w:i/>
    </w:rPr>
  </w:style>
  <w:style w:type="paragraph" w:styleId="Heading4">
    <w:name w:val="heading 4"/>
    <w:basedOn w:val="Normal"/>
    <w:next w:val="Text4"/>
    <w:qFormat/>
    <w:pPr>
      <w:keepNext/>
      <w:numPr>
        <w:ilvl w:val="3"/>
        <w:numId w:val="17"/>
      </w:numPr>
      <w:outlineLvl w:val="3"/>
    </w:pPr>
  </w:style>
  <w:style w:type="paragraph" w:styleId="Heading5">
    <w:name w:val="heading 5"/>
    <w:basedOn w:val="Normal"/>
    <w:next w:val="Normal"/>
    <w:semiHidden/>
    <w:pPr>
      <w:keepNext/>
      <w:numPr>
        <w:ilvl w:val="4"/>
        <w:numId w:val="17"/>
      </w:numPr>
      <w:outlineLvl w:val="4"/>
    </w:pPr>
  </w:style>
  <w:style w:type="paragraph" w:styleId="Heading6">
    <w:name w:val="heading 6"/>
    <w:basedOn w:val="Normal"/>
    <w:next w:val="Normal"/>
    <w:semiHidden/>
    <w:pPr>
      <w:keepNext/>
      <w:numPr>
        <w:ilvl w:val="5"/>
        <w:numId w:val="17"/>
      </w:numPr>
      <w:outlineLvl w:val="5"/>
    </w:pPr>
  </w:style>
  <w:style w:type="paragraph" w:styleId="Heading7">
    <w:name w:val="heading 7"/>
    <w:basedOn w:val="Normal"/>
    <w:next w:val="Normal"/>
    <w:semiHidden/>
    <w:pPr>
      <w:keepNext/>
      <w:numPr>
        <w:ilvl w:val="6"/>
        <w:numId w:val="17"/>
      </w:numPr>
      <w:outlineLvl w:val="6"/>
    </w:pPr>
  </w:style>
  <w:style w:type="paragraph" w:styleId="Heading8">
    <w:name w:val="heading 8"/>
    <w:basedOn w:val="Normal"/>
    <w:next w:val="Normal"/>
    <w:semiHidden/>
    <w:pPr>
      <w:keepNext/>
      <w:numPr>
        <w:ilvl w:val="7"/>
        <w:numId w:val="17"/>
      </w:numPr>
      <w:outlineLvl w:val="7"/>
    </w:pPr>
  </w:style>
  <w:style w:type="paragraph" w:styleId="Heading9">
    <w:name w:val="heading 9"/>
    <w:basedOn w:val="Normal"/>
    <w:next w:val="Normal"/>
    <w:semiHidden/>
    <w:pPr>
      <w:keepNext/>
      <w:numPr>
        <w:ilvl w:val="8"/>
        <w:numId w:val="17"/>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locked/>
    <w:rPr>
      <w:sz w:val="20"/>
    </w:rPr>
  </w:style>
  <w:style w:type="character" w:customStyle="1" w:styleId="CommentTextChar">
    <w:name w:val="Comment Text Char"/>
    <w:basedOn w:val="DefaultParagraphFont"/>
    <w:link w:val="CommentText"/>
    <w:rPr>
      <w:sz w:val="20"/>
    </w:r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character" w:customStyle="1" w:styleId="FooterChar">
    <w:name w:val="Footer Char"/>
    <w:rPr>
      <w:sz w:val="16"/>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cal"/>
    <w:link w:val="SUPERSCharCharCharCharCharCharCharChar"/>
    <w:qFormat/>
    <w:locked/>
    <w:rPr>
      <w:shd w:val="clear" w:color="auto" w:fill="auto"/>
      <w:vertAlign w:val="superscript"/>
    </w:rPr>
  </w:style>
  <w:style w:type="character" w:styleId="Hyperlink">
    <w:name w:val="Hyperlink"/>
    <w:uiPriority w:val="99"/>
    <w:locked/>
    <w:rPr>
      <w:color w:val="0000FF"/>
      <w:u w:val="single"/>
    </w:rPr>
  </w:style>
  <w:style w:type="character" w:customStyle="1" w:styleId="FootnoteTextChar">
    <w:name w:val="Footnote Text Char"/>
    <w:aliases w:val="Footnote Text Char Char Char,RSK-FT Char,RSK-FT1 Char,RSK-FT2 Char,Fußnotentextf Char,fn Char,footnotes Char,Footnote Text Char2 Char Char,Footnote Text Char Char1 Char Char,Footnote Text Char2 Char Char Char Char,Footnote Char,f Char"/>
    <w:uiPriority w:val="99"/>
    <w:rPr>
      <w:sz w:val="20"/>
    </w:rPr>
  </w:style>
  <w:style w:type="paragraph" w:customStyle="1" w:styleId="Pagedecouverture">
    <w:name w:val="Page de couverture"/>
    <w:basedOn w:val="Normal"/>
    <w:next w:val="Normal"/>
    <w:pPr>
      <w:spacing w:after="0"/>
    </w:pPr>
    <w:rPr>
      <w:rFonts w:eastAsia="Calibr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rPr>
      <w:rFonts w:ascii="Times New Roman Bold" w:hAnsi="Times New Roman Bold"/>
      <w:b/>
      <w:caps/>
    </w:rPr>
  </w:style>
  <w:style w:type="character" w:customStyle="1" w:styleId="FooterCoverPageChar">
    <w:name w:val="Footer Cover Page Char"/>
    <w:link w:val="FooterCoverPage"/>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link w:val="HeaderCoverPage"/>
  </w:style>
  <w:style w:type="character" w:styleId="PlaceholderText">
    <w:name w:val="Placeholder Text"/>
    <w:basedOn w:val="DefaultParagraphFont"/>
    <w:semiHidden/>
    <w:rPr>
      <w:color w:val="288061"/>
    </w:rPr>
  </w:style>
  <w:style w:type="character" w:customStyle="1" w:styleId="BodyPlaceholderText">
    <w:name w:val="BodyPlaceholderText"/>
    <w:basedOn w:val="PlaceholderText"/>
    <w:semiHidden/>
    <w:rPr>
      <w:color w:val="3366CC"/>
    </w:rPr>
  </w:style>
  <w:style w:type="character" w:customStyle="1" w:styleId="InstructionRed">
    <w:name w:val="InstructionRed"/>
    <w:uiPriority w:val="1"/>
    <w:rPr>
      <w:i/>
      <w:color w:val="CB3535"/>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2"/>
    <w:rPr>
      <w:i/>
    </w:rPr>
  </w:style>
  <w:style w:type="paragraph" w:customStyle="1" w:styleId="FigureSource">
    <w:name w:val="Figure Source"/>
    <w:basedOn w:val="Normal"/>
    <w:next w:val="Normal"/>
    <w:uiPriority w:val="2"/>
    <w:rPr>
      <w:sz w:val="20"/>
    </w:rPr>
  </w:style>
  <w:style w:type="paragraph" w:customStyle="1" w:styleId="FigureNote">
    <w:name w:val="Figure Note"/>
    <w:basedOn w:val="FigureSource"/>
    <w:next w:val="FigureSource"/>
    <w:uiPriority w:val="2"/>
    <w:rPr>
      <w:b/>
    </w:rPr>
  </w:style>
  <w:style w:type="paragraph" w:customStyle="1" w:styleId="FigureBody">
    <w:name w:val="Figure Body"/>
    <w:basedOn w:val="Normal"/>
    <w:next w:val="FigureNote"/>
    <w:uiPriority w:val="2"/>
    <w:pPr>
      <w:keepNext/>
      <w:spacing w:after="40"/>
    </w:pPr>
  </w:style>
  <w:style w:type="paragraph" w:customStyle="1" w:styleId="FigureTitle">
    <w:name w:val="Figure Title"/>
    <w:basedOn w:val="Normal"/>
    <w:next w:val="FigureBody"/>
    <w:uiPriority w:val="2"/>
    <w:pPr>
      <w:keepNext/>
      <w:spacing w:after="180"/>
    </w:pPr>
    <w:rPr>
      <w:b/>
    </w:rPr>
  </w:style>
  <w:style w:type="paragraph" w:customStyle="1" w:styleId="HistTableHeading">
    <w:name w:val="HistTableHeading"/>
    <w:basedOn w:val="Normal"/>
    <w:next w:val="HistoryTable"/>
    <w:uiPriority w:val="2"/>
    <w:pPr>
      <w:spacing w:before="240"/>
      <w:jc w:val="center"/>
    </w:pPr>
    <w:rPr>
      <w:rFonts w:ascii="Times New Roman Bold" w:hAnsi="Times New Roman Bold"/>
      <w:b/>
      <w:caps/>
    </w:rPr>
  </w:style>
  <w:style w:type="paragraph" w:customStyle="1" w:styleId="HistoryTable">
    <w:name w:val="HistoryTable"/>
    <w:basedOn w:val="Normal"/>
    <w:uiPriority w:val="2"/>
    <w:pPr>
      <w:spacing w:before="60" w:after="60"/>
      <w:jc w:val="left"/>
    </w:pPr>
    <w:rPr>
      <w:sz w:val="20"/>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customStyle="1" w:styleId="SubTitle2">
    <w:name w:val="SubTitle 2"/>
    <w:basedOn w:val="Normal"/>
    <w:uiPriority w:val="1"/>
    <w:qFormat/>
    <w:pPr>
      <w:jc w:val="center"/>
    </w:pPr>
    <w:rPr>
      <w:b/>
      <w:sz w:val="32"/>
    </w:rPr>
  </w:style>
  <w:style w:type="paragraph" w:customStyle="1" w:styleId="SubTitle1">
    <w:name w:val="SubTitle 1"/>
    <w:basedOn w:val="Normal"/>
    <w:next w:val="SubTitle2"/>
    <w:uiPriority w:val="1"/>
    <w:qFormat/>
    <w:pPr>
      <w:jc w:val="center"/>
    </w:pPr>
    <w:rPr>
      <w:b/>
      <w:sz w:val="40"/>
    </w:rPr>
  </w:style>
  <w:style w:type="paragraph" w:styleId="Title">
    <w:name w:val="Title"/>
    <w:basedOn w:val="Normal"/>
    <w:next w:val="SubTitle1"/>
    <w:uiPriority w:val="1"/>
    <w:qFormat/>
    <w:pPr>
      <w:spacing w:after="480"/>
      <w:jc w:val="center"/>
    </w:pPr>
    <w:rPr>
      <w:b/>
      <w:kern w:val="28"/>
      <w:sz w:val="48"/>
    </w:rPr>
  </w:style>
  <w:style w:type="paragraph" w:customStyle="1" w:styleId="DoubSign">
    <w:name w:val="DoubSign"/>
    <w:basedOn w:val="Normal"/>
    <w:uiPriority w:val="2"/>
    <w:pPr>
      <w:tabs>
        <w:tab w:val="left" w:pos="5102"/>
      </w:tabs>
      <w:spacing w:before="1200" w:after="0"/>
      <w:jc w:val="left"/>
    </w:pPr>
  </w:style>
  <w:style w:type="paragraph" w:customStyle="1" w:styleId="SignatureL">
    <w:name w:val="SignatureL"/>
    <w:basedOn w:val="Normal"/>
    <w:uiPriority w:val="2"/>
    <w:pPr>
      <w:tabs>
        <w:tab w:val="left" w:pos="5102"/>
      </w:tabs>
      <w:spacing w:before="1200" w:after="0"/>
      <w:jc w:val="left"/>
    </w:pPr>
  </w:style>
  <w:style w:type="paragraph" w:styleId="Signature">
    <w:name w:val="Signature"/>
    <w:basedOn w:val="Normal"/>
    <w:uiPriority w:val="2"/>
    <w:pPr>
      <w:tabs>
        <w:tab w:val="left" w:pos="5102"/>
      </w:tabs>
      <w:spacing w:before="1200" w:after="0"/>
      <w:ind w:left="5102"/>
      <w:jc w:val="center"/>
    </w:p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Text4">
    <w:name w:val="Text 4"/>
    <w:basedOn w:val="Normal"/>
    <w:uiPriority w:val="1"/>
    <w:qFormat/>
    <w:pPr>
      <w:ind w:left="1202"/>
    </w:pPr>
  </w:style>
  <w:style w:type="paragraph" w:customStyle="1" w:styleId="Text3">
    <w:name w:val="Text 3"/>
    <w:basedOn w:val="Normal"/>
    <w:uiPriority w:val="1"/>
    <w:qFormat/>
    <w:pPr>
      <w:ind w:left="1202"/>
    </w:pPr>
  </w:style>
  <w:style w:type="paragraph" w:customStyle="1" w:styleId="Text2">
    <w:name w:val="Text 2"/>
    <w:basedOn w:val="Normal"/>
    <w:uiPriority w:val="1"/>
    <w:qFormat/>
    <w:pPr>
      <w:ind w:left="1202"/>
    </w:pPr>
  </w:style>
  <w:style w:type="paragraph" w:customStyle="1" w:styleId="Text1">
    <w:name w:val="Text 1"/>
    <w:basedOn w:val="Normal"/>
    <w:uiPriority w:val="1"/>
    <w:qFormat/>
    <w:pPr>
      <w:ind w:left="482"/>
    </w:pPr>
  </w:style>
  <w:style w:type="paragraph" w:customStyle="1" w:styleId="ZFlag">
    <w:name w:val="Z_Flag"/>
    <w:basedOn w:val="Normal"/>
    <w:next w:val="Normal"/>
    <w:uiPriority w:val="2"/>
    <w:pPr>
      <w:widowControl w:val="0"/>
      <w:spacing w:after="0"/>
      <w:ind w:right="85"/>
    </w:pPr>
  </w:style>
  <w:style w:type="paragraph" w:customStyle="1" w:styleId="ZCom">
    <w:name w:val="Z_Com"/>
    <w:basedOn w:val="Normal"/>
    <w:next w:val="Normal"/>
    <w:uiPriority w:val="2"/>
    <w:pPr>
      <w:widowControl w:val="0"/>
      <w:spacing w:before="90" w:after="0"/>
      <w:ind w:right="85"/>
    </w:pPr>
  </w:style>
  <w:style w:type="paragraph" w:customStyle="1" w:styleId="ZDGName">
    <w:name w:val="Z_DGName"/>
    <w:basedOn w:val="Normal"/>
    <w:uiPriority w:val="2"/>
    <w:pPr>
      <w:widowControl w:val="0"/>
      <w:spacing w:after="0"/>
      <w:ind w:right="85"/>
      <w:jc w:val="left"/>
    </w:pPr>
    <w:rPr>
      <w:sz w:val="16"/>
    </w:rPr>
  </w:style>
  <w:style w:type="paragraph" w:styleId="Caption">
    <w:name w:val="caption"/>
    <w:basedOn w:val="Normal"/>
    <w:next w:val="Normal"/>
    <w:semiHidden/>
    <w:pPr>
      <w:spacing w:before="160"/>
    </w:pPr>
    <w:rPr>
      <w:i/>
      <w:sz w:val="22"/>
    </w:rPr>
  </w:style>
  <w:style w:type="paragraph" w:customStyle="1" w:styleId="Contact">
    <w:name w:val="Contact"/>
    <w:basedOn w:val="Normal"/>
    <w:uiPriority w:val="1"/>
    <w:pPr>
      <w:spacing w:before="480" w:after="0"/>
      <w:ind w:left="567" w:hanging="567"/>
      <w:contextualSpacing/>
      <w:jc w:val="left"/>
    </w:pPr>
  </w:style>
  <w:style w:type="paragraph" w:styleId="Date">
    <w:name w:val="Date"/>
    <w:basedOn w:val="Normal"/>
    <w:next w:val="References"/>
    <w:link w:val="DateChar"/>
    <w:uiPriority w:val="1"/>
    <w:pPr>
      <w:spacing w:after="0"/>
      <w:ind w:left="5102" w:right="-567"/>
      <w:jc w:val="left"/>
    </w:pPr>
  </w:style>
  <w:style w:type="paragraph" w:customStyle="1" w:styleId="References">
    <w:name w:val="References"/>
    <w:basedOn w:val="Normal"/>
    <w:uiPriority w:val="1"/>
    <w:pPr>
      <w:ind w:left="5102" w:right="-567"/>
      <w:contextualSpacing/>
      <w:jc w:val="left"/>
    </w:pPr>
    <w:rPr>
      <w:sz w:val="20"/>
    </w:rPr>
  </w:style>
  <w:style w:type="paragraph" w:customStyle="1" w:styleId="Designator">
    <w:name w:val="Designator"/>
    <w:basedOn w:val="Normal"/>
    <w:semiHidden/>
    <w:pPr>
      <w:spacing w:after="0"/>
      <w:jc w:val="center"/>
    </w:pPr>
    <w:rPr>
      <w:b/>
      <w:caps/>
      <w:sz w:val="32"/>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styleId="EndnoteText">
    <w:name w:val="endnote text"/>
    <w:basedOn w:val="Normal"/>
    <w:semiHidden/>
    <w:unhideWhenUsed/>
    <w:rPr>
      <w:sz w:val="20"/>
    </w:rPr>
  </w:style>
  <w:style w:type="paragraph" w:styleId="Footer">
    <w:name w:val="footer"/>
    <w:basedOn w:val="Normal"/>
    <w:uiPriority w:val="2"/>
    <w:pPr>
      <w:spacing w:after="0"/>
      <w:ind w:right="-567"/>
      <w:jc w:val="left"/>
    </w:pPr>
    <w:rPr>
      <w:sz w:val="16"/>
    </w:rPr>
  </w:style>
  <w:style w:type="paragraph" w:styleId="FootnoteText">
    <w:name w:val="footnote text"/>
    <w:aliases w:val="Footnote Text Char Char,RSK-FT,RSK-FT1,RSK-FT2,Fußnotentextf,fn,footnotes,Footnote Text Char2 Char,Footnote Text Char Char1 Char,Footnote Text Char2 Char Char Char,Footnote Text Char1 Char Char Char Char,Footnote,RSK-F,f,-E Fußnotentext"/>
    <w:basedOn w:val="Normal"/>
    <w:uiPriority w:val="99"/>
    <w:unhideWhenUsed/>
    <w:qFormat/>
    <w:pPr>
      <w:spacing w:after="120"/>
      <w:ind w:left="142" w:hanging="142"/>
    </w:pPr>
    <w:rPr>
      <w:sz w:val="2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AnnexTitle">
    <w:name w:val="AnnexTitle"/>
    <w:basedOn w:val="Normal"/>
    <w:next w:val="Normal"/>
    <w:uiPriority w:val="1"/>
    <w:qFormat/>
    <w:pPr>
      <w:pageBreakBefore/>
      <w:numPr>
        <w:numId w:val="20"/>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rPr>
      <w:noProof/>
    </w:r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uiPriority w:val="1"/>
    <w:pPr>
      <w:numPr>
        <w:numId w:val="16"/>
      </w:numPr>
    </w:pPr>
  </w:style>
  <w:style w:type="paragraph" w:customStyle="1" w:styleId="ListBulletLevel2">
    <w:name w:val="List Bullet (Level 2)"/>
    <w:basedOn w:val="Text1"/>
    <w:uiPriority w:val="1"/>
    <w:pPr>
      <w:numPr>
        <w:ilvl w:val="1"/>
        <w:numId w:val="16"/>
      </w:numPr>
    </w:pPr>
  </w:style>
  <w:style w:type="paragraph" w:customStyle="1" w:styleId="ListBulletLevel3">
    <w:name w:val="List Bullet (Level 3)"/>
    <w:basedOn w:val="Text1"/>
    <w:uiPriority w:val="1"/>
    <w:semiHidden/>
    <w:unhideWhenUsed/>
    <w:pPr>
      <w:numPr>
        <w:ilvl w:val="2"/>
        <w:numId w:val="16"/>
      </w:numPr>
    </w:pPr>
  </w:style>
  <w:style w:type="paragraph" w:customStyle="1" w:styleId="ListBulletLevel4">
    <w:name w:val="List Bullet (Level 4)"/>
    <w:basedOn w:val="Text1"/>
    <w:uiPriority w:val="1"/>
    <w:semiHidden/>
    <w:unhideWhenUsed/>
    <w:pPr>
      <w:numPr>
        <w:ilvl w:val="3"/>
        <w:numId w:val="16"/>
      </w:numPr>
    </w:pPr>
  </w:style>
  <w:style w:type="paragraph" w:customStyle="1" w:styleId="ListBullet1">
    <w:name w:val="List Bullet 1"/>
    <w:basedOn w:val="Text1"/>
    <w:pPr>
      <w:numPr>
        <w:numId w:val="15"/>
      </w:numPr>
    </w:pPr>
  </w:style>
  <w:style w:type="paragraph" w:customStyle="1" w:styleId="ListBullet1Level2">
    <w:name w:val="List Bullet 1 (Level 2)"/>
    <w:basedOn w:val="Text1"/>
    <w:uiPriority w:val="1"/>
    <w:pPr>
      <w:numPr>
        <w:ilvl w:val="1"/>
        <w:numId w:val="15"/>
      </w:numPr>
    </w:pPr>
  </w:style>
  <w:style w:type="paragraph" w:customStyle="1" w:styleId="ListBullet1Level3">
    <w:name w:val="List Bullet 1 (Level 3)"/>
    <w:basedOn w:val="Text1"/>
    <w:uiPriority w:val="1"/>
    <w:semiHidden/>
    <w:unhideWhenUsed/>
    <w:pPr>
      <w:numPr>
        <w:ilvl w:val="2"/>
        <w:numId w:val="15"/>
      </w:numPr>
    </w:pPr>
  </w:style>
  <w:style w:type="paragraph" w:customStyle="1" w:styleId="ListBullet1Level4">
    <w:name w:val="List Bullet 1 (Level 4)"/>
    <w:basedOn w:val="Text1"/>
    <w:uiPriority w:val="1"/>
    <w:semiHidden/>
    <w:unhideWhenUsed/>
    <w:pPr>
      <w:numPr>
        <w:ilvl w:val="3"/>
        <w:numId w:val="15"/>
      </w:numPr>
    </w:pPr>
  </w:style>
  <w:style w:type="paragraph" w:styleId="ListBullet2">
    <w:name w:val="List Bullet 2"/>
    <w:basedOn w:val="Text2"/>
    <w:uiPriority w:val="1"/>
    <w:pPr>
      <w:numPr>
        <w:numId w:val="14"/>
      </w:numPr>
    </w:pPr>
  </w:style>
  <w:style w:type="paragraph" w:customStyle="1" w:styleId="ListBullet2Level2">
    <w:name w:val="List Bullet 2 (Level 2)"/>
    <w:basedOn w:val="Text2"/>
    <w:uiPriority w:val="1"/>
    <w:pPr>
      <w:numPr>
        <w:ilvl w:val="1"/>
        <w:numId w:val="14"/>
      </w:numPr>
    </w:pPr>
  </w:style>
  <w:style w:type="paragraph" w:customStyle="1" w:styleId="ListBullet2Level3">
    <w:name w:val="List Bullet 2 (Level 3)"/>
    <w:basedOn w:val="Text2"/>
    <w:uiPriority w:val="1"/>
    <w:semiHidden/>
    <w:unhideWhenUsed/>
    <w:pPr>
      <w:numPr>
        <w:ilvl w:val="2"/>
        <w:numId w:val="14"/>
      </w:numPr>
    </w:pPr>
  </w:style>
  <w:style w:type="paragraph" w:customStyle="1" w:styleId="ListBullet2Level4">
    <w:name w:val="List Bullet 2 (Level 4)"/>
    <w:basedOn w:val="Text2"/>
    <w:uiPriority w:val="1"/>
    <w:semiHidden/>
    <w:unhideWhenUsed/>
    <w:pPr>
      <w:numPr>
        <w:ilvl w:val="3"/>
        <w:numId w:val="14"/>
      </w:numPr>
    </w:pPr>
  </w:style>
  <w:style w:type="paragraph" w:styleId="ListBullet3">
    <w:name w:val="List Bullet 3"/>
    <w:basedOn w:val="Text3"/>
    <w:uiPriority w:val="1"/>
    <w:pPr>
      <w:numPr>
        <w:numId w:val="13"/>
      </w:numPr>
    </w:pPr>
  </w:style>
  <w:style w:type="paragraph" w:customStyle="1" w:styleId="ListBullet3Level2">
    <w:name w:val="List Bullet 3 (Level 2)"/>
    <w:basedOn w:val="Text3"/>
    <w:uiPriority w:val="1"/>
    <w:pPr>
      <w:numPr>
        <w:ilvl w:val="1"/>
        <w:numId w:val="13"/>
      </w:numPr>
    </w:pPr>
  </w:style>
  <w:style w:type="paragraph" w:customStyle="1" w:styleId="ListBullet3Level3">
    <w:name w:val="List Bullet 3 (Level 3)"/>
    <w:basedOn w:val="Text3"/>
    <w:uiPriority w:val="1"/>
    <w:semiHidden/>
    <w:unhideWhenUsed/>
    <w:pPr>
      <w:numPr>
        <w:ilvl w:val="2"/>
        <w:numId w:val="13"/>
      </w:numPr>
    </w:pPr>
  </w:style>
  <w:style w:type="paragraph" w:customStyle="1" w:styleId="ListBullet3Level4">
    <w:name w:val="List Bullet 3 (Level 4)"/>
    <w:basedOn w:val="Text3"/>
    <w:uiPriority w:val="1"/>
    <w:semiHidden/>
    <w:unhideWhenUsed/>
    <w:pPr>
      <w:numPr>
        <w:ilvl w:val="3"/>
        <w:numId w:val="13"/>
      </w:numPr>
    </w:pPr>
  </w:style>
  <w:style w:type="paragraph" w:styleId="ListBullet4">
    <w:name w:val="List Bullet 4"/>
    <w:basedOn w:val="Text4"/>
    <w:uiPriority w:val="1"/>
    <w:pPr>
      <w:numPr>
        <w:numId w:val="12"/>
      </w:numPr>
    </w:pPr>
  </w:style>
  <w:style w:type="paragraph" w:customStyle="1" w:styleId="ListBullet4Level2">
    <w:name w:val="List Bullet 4 (Level 2)"/>
    <w:basedOn w:val="Text4"/>
    <w:uiPriority w:val="1"/>
    <w:pPr>
      <w:numPr>
        <w:ilvl w:val="1"/>
        <w:numId w:val="12"/>
      </w:numPr>
    </w:pPr>
  </w:style>
  <w:style w:type="paragraph" w:customStyle="1" w:styleId="ListBullet4Level3">
    <w:name w:val="List Bullet 4 (Level 3)"/>
    <w:basedOn w:val="Text4"/>
    <w:uiPriority w:val="1"/>
    <w:semiHidden/>
    <w:unhideWhenUsed/>
    <w:pPr>
      <w:numPr>
        <w:ilvl w:val="2"/>
        <w:numId w:val="12"/>
      </w:numPr>
    </w:pPr>
  </w:style>
  <w:style w:type="paragraph" w:customStyle="1" w:styleId="ListBullet4Level4">
    <w:name w:val="List Bullet 4 (Level 4)"/>
    <w:basedOn w:val="Text4"/>
    <w:uiPriority w:val="1"/>
    <w:semiHidden/>
    <w:unhideWhenUsed/>
    <w:pPr>
      <w:numPr>
        <w:ilvl w:val="3"/>
        <w:numId w:val="12"/>
      </w:numPr>
    </w:pPr>
  </w:style>
  <w:style w:type="paragraph" w:customStyle="1" w:styleId="ListDash">
    <w:name w:val="List Dash"/>
    <w:basedOn w:val="Normal"/>
    <w:uiPriority w:val="1"/>
    <w:pPr>
      <w:numPr>
        <w:numId w:val="6"/>
      </w:numPr>
    </w:pPr>
  </w:style>
  <w:style w:type="paragraph" w:customStyle="1" w:styleId="ListDashLevel2">
    <w:name w:val="List Dash (Level 2)"/>
    <w:basedOn w:val="Normal"/>
    <w:uiPriority w:val="1"/>
    <w:pPr>
      <w:numPr>
        <w:ilvl w:val="1"/>
        <w:numId w:val="6"/>
      </w:numPr>
    </w:pPr>
  </w:style>
  <w:style w:type="paragraph" w:customStyle="1" w:styleId="ListDashLevel3">
    <w:name w:val="List Dash (Level 3)"/>
    <w:basedOn w:val="Normal"/>
    <w:uiPriority w:val="1"/>
    <w:semiHidden/>
    <w:unhideWhenUsed/>
    <w:pPr>
      <w:numPr>
        <w:ilvl w:val="2"/>
        <w:numId w:val="6"/>
      </w:numPr>
    </w:pPr>
  </w:style>
  <w:style w:type="paragraph" w:customStyle="1" w:styleId="ListDashLevel4">
    <w:name w:val="List Dash (Level 4)"/>
    <w:basedOn w:val="Normal"/>
    <w:uiPriority w:val="1"/>
    <w:semiHidden/>
    <w:unhideWhenUsed/>
    <w:pPr>
      <w:numPr>
        <w:ilvl w:val="3"/>
        <w:numId w:val="6"/>
      </w:numPr>
    </w:pPr>
  </w:style>
  <w:style w:type="paragraph" w:customStyle="1" w:styleId="ListDash1">
    <w:name w:val="List Dash 1"/>
    <w:basedOn w:val="Text1"/>
    <w:uiPriority w:val="1"/>
    <w:pPr>
      <w:numPr>
        <w:numId w:val="5"/>
      </w:numPr>
    </w:pPr>
  </w:style>
  <w:style w:type="paragraph" w:customStyle="1" w:styleId="ListDash1Level2">
    <w:name w:val="List Dash 1 (Level 2)"/>
    <w:basedOn w:val="Text1"/>
    <w:uiPriority w:val="1"/>
    <w:pPr>
      <w:numPr>
        <w:ilvl w:val="1"/>
        <w:numId w:val="5"/>
      </w:numPr>
    </w:pPr>
  </w:style>
  <w:style w:type="paragraph" w:customStyle="1" w:styleId="ListDash1Level3">
    <w:name w:val="List Dash 1 (Level 3)"/>
    <w:basedOn w:val="Text1"/>
    <w:uiPriority w:val="1"/>
    <w:semiHidden/>
    <w:unhideWhenUsed/>
    <w:pPr>
      <w:numPr>
        <w:ilvl w:val="2"/>
        <w:numId w:val="5"/>
      </w:numPr>
    </w:pPr>
  </w:style>
  <w:style w:type="paragraph" w:customStyle="1" w:styleId="ListDash1Level4">
    <w:name w:val="List Dash 1 (Level 4)"/>
    <w:basedOn w:val="Text1"/>
    <w:uiPriority w:val="1"/>
    <w:semiHidden/>
    <w:unhideWhenUsed/>
    <w:pPr>
      <w:numPr>
        <w:ilvl w:val="3"/>
        <w:numId w:val="5"/>
      </w:numPr>
    </w:pPr>
  </w:style>
  <w:style w:type="paragraph" w:customStyle="1" w:styleId="ListDash2">
    <w:name w:val="List Dash 2"/>
    <w:basedOn w:val="Text2"/>
    <w:pPr>
      <w:numPr>
        <w:numId w:val="4"/>
      </w:numPr>
    </w:pPr>
  </w:style>
  <w:style w:type="paragraph" w:customStyle="1" w:styleId="ListDash2Level2">
    <w:name w:val="List Dash 2 (Level 2)"/>
    <w:basedOn w:val="Text2"/>
    <w:uiPriority w:val="1"/>
    <w:pPr>
      <w:numPr>
        <w:ilvl w:val="1"/>
        <w:numId w:val="4"/>
      </w:numPr>
    </w:pPr>
  </w:style>
  <w:style w:type="paragraph" w:customStyle="1" w:styleId="ListDash2Level3">
    <w:name w:val="List Dash 2 (Level 3)"/>
    <w:basedOn w:val="Text2"/>
    <w:uiPriority w:val="1"/>
    <w:semiHidden/>
    <w:unhideWhenUsed/>
    <w:pPr>
      <w:numPr>
        <w:ilvl w:val="2"/>
        <w:numId w:val="4"/>
      </w:numPr>
    </w:pPr>
  </w:style>
  <w:style w:type="paragraph" w:customStyle="1" w:styleId="ListDash2Level4">
    <w:name w:val="List Dash 2 (Level 4)"/>
    <w:basedOn w:val="Text2"/>
    <w:uiPriority w:val="1"/>
    <w:semiHidden/>
    <w:unhideWhenUsed/>
    <w:pPr>
      <w:numPr>
        <w:ilvl w:val="3"/>
        <w:numId w:val="4"/>
      </w:numPr>
    </w:pPr>
  </w:style>
  <w:style w:type="paragraph" w:customStyle="1" w:styleId="ListDash3">
    <w:name w:val="List Dash 3"/>
    <w:basedOn w:val="Text3"/>
    <w:uiPriority w:val="1"/>
    <w:pPr>
      <w:numPr>
        <w:numId w:val="3"/>
      </w:numPr>
    </w:pPr>
  </w:style>
  <w:style w:type="paragraph" w:customStyle="1" w:styleId="ListDash3Level2">
    <w:name w:val="List Dash 3 (Level 2)"/>
    <w:basedOn w:val="Text3"/>
    <w:uiPriority w:val="1"/>
    <w:pPr>
      <w:numPr>
        <w:ilvl w:val="1"/>
        <w:numId w:val="3"/>
      </w:numPr>
    </w:pPr>
  </w:style>
  <w:style w:type="paragraph" w:customStyle="1" w:styleId="ListDash3Level3">
    <w:name w:val="List Dash 3 (Level 3)"/>
    <w:basedOn w:val="Text3"/>
    <w:uiPriority w:val="1"/>
    <w:semiHidden/>
    <w:unhideWhenUsed/>
    <w:pPr>
      <w:numPr>
        <w:ilvl w:val="2"/>
        <w:numId w:val="3"/>
      </w:numPr>
    </w:pPr>
  </w:style>
  <w:style w:type="paragraph" w:customStyle="1" w:styleId="ListDash3Level4">
    <w:name w:val="List Dash 3 (Level 4)"/>
    <w:basedOn w:val="Text3"/>
    <w:uiPriority w:val="1"/>
    <w:semiHidden/>
    <w:unhideWhenUsed/>
    <w:pPr>
      <w:numPr>
        <w:ilvl w:val="3"/>
        <w:numId w:val="3"/>
      </w:numPr>
    </w:pPr>
  </w:style>
  <w:style w:type="paragraph" w:customStyle="1" w:styleId="ListDash4">
    <w:name w:val="List Dash 4"/>
    <w:basedOn w:val="Text4"/>
    <w:uiPriority w:val="1"/>
    <w:pPr>
      <w:numPr>
        <w:numId w:val="2"/>
      </w:numPr>
    </w:pPr>
  </w:style>
  <w:style w:type="paragraph" w:customStyle="1" w:styleId="ListDash4Level2">
    <w:name w:val="List Dash 4 (Level 2)"/>
    <w:basedOn w:val="Text4"/>
    <w:uiPriority w:val="1"/>
    <w:pPr>
      <w:numPr>
        <w:ilvl w:val="1"/>
        <w:numId w:val="2"/>
      </w:numPr>
    </w:pPr>
  </w:style>
  <w:style w:type="paragraph" w:customStyle="1" w:styleId="ListDash4Level3">
    <w:name w:val="List Dash 4 (Level 3)"/>
    <w:basedOn w:val="Text4"/>
    <w:uiPriority w:val="1"/>
    <w:semiHidden/>
    <w:unhideWhenUsed/>
    <w:pPr>
      <w:numPr>
        <w:ilvl w:val="2"/>
        <w:numId w:val="2"/>
      </w:numPr>
    </w:pPr>
  </w:style>
  <w:style w:type="paragraph" w:customStyle="1" w:styleId="ListDash4Level4">
    <w:name w:val="List Dash 4 (Level 4)"/>
    <w:basedOn w:val="Text4"/>
    <w:uiPriority w:val="1"/>
    <w:semiHidden/>
    <w:unhideWhenUsed/>
    <w:pPr>
      <w:numPr>
        <w:ilvl w:val="3"/>
        <w:numId w:val="2"/>
      </w:numPr>
    </w:pPr>
  </w:style>
  <w:style w:type="paragraph" w:styleId="ListNumber">
    <w:name w:val="List Number"/>
    <w:basedOn w:val="Normal"/>
    <w:pPr>
      <w:numPr>
        <w:numId w:val="1"/>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unhideWhenUsed/>
    <w:pPr>
      <w:numPr>
        <w:ilvl w:val="2"/>
        <w:numId w:val="11"/>
      </w:numPr>
    </w:pPr>
  </w:style>
  <w:style w:type="paragraph" w:customStyle="1" w:styleId="ListNumberLevel4">
    <w:name w:val="List Number (Level 4)"/>
    <w:basedOn w:val="Normal"/>
    <w:unhideWhenUsed/>
    <w:pPr>
      <w:numPr>
        <w:ilvl w:val="3"/>
        <w:numId w:val="11"/>
      </w:numPr>
    </w:pPr>
  </w:style>
  <w:style w:type="paragraph" w:customStyle="1" w:styleId="ListNumber1">
    <w:name w:val="List Number 1"/>
    <w:basedOn w:val="Text1"/>
    <w:pPr>
      <w:numPr>
        <w:numId w:val="10"/>
      </w:numPr>
    </w:pPr>
  </w:style>
  <w:style w:type="paragraph" w:customStyle="1" w:styleId="ListNumber1Level2">
    <w:name w:val="List Number 1 (Level 2)"/>
    <w:basedOn w:val="Text1"/>
    <w:pPr>
      <w:numPr>
        <w:ilvl w:val="1"/>
        <w:numId w:val="10"/>
      </w:numPr>
    </w:pPr>
  </w:style>
  <w:style w:type="paragraph" w:customStyle="1" w:styleId="ListNumber1Level3">
    <w:name w:val="List Number 1 (Level 3)"/>
    <w:basedOn w:val="Text1"/>
    <w:unhideWhenUsed/>
    <w:pPr>
      <w:numPr>
        <w:ilvl w:val="2"/>
        <w:numId w:val="10"/>
      </w:numPr>
    </w:pPr>
  </w:style>
  <w:style w:type="paragraph" w:customStyle="1" w:styleId="ListNumber1Level4">
    <w:name w:val="List Number 1 (Level 4)"/>
    <w:basedOn w:val="Text1"/>
    <w:unhideWhenUsed/>
    <w:pPr>
      <w:numPr>
        <w:ilvl w:val="3"/>
        <w:numId w:val="10"/>
      </w:numPr>
    </w:pPr>
  </w:style>
  <w:style w:type="paragraph" w:styleId="ListNumber2">
    <w:name w:val="List Number 2"/>
    <w:basedOn w:val="Text2"/>
    <w:uiPriority w:val="1"/>
    <w:pPr>
      <w:numPr>
        <w:numId w:val="9"/>
      </w:numPr>
    </w:pPr>
  </w:style>
  <w:style w:type="paragraph" w:customStyle="1" w:styleId="ListNumber2Level2">
    <w:name w:val="List Number 2 (Level 2)"/>
    <w:basedOn w:val="Text2"/>
    <w:uiPriority w:val="1"/>
    <w:pPr>
      <w:numPr>
        <w:ilvl w:val="1"/>
        <w:numId w:val="9"/>
      </w:numPr>
    </w:pPr>
  </w:style>
  <w:style w:type="paragraph" w:customStyle="1" w:styleId="ListNumber2Level3">
    <w:name w:val="List Number 2 (Level 3)"/>
    <w:basedOn w:val="Text2"/>
    <w:uiPriority w:val="1"/>
    <w:semiHidden/>
    <w:unhideWhenUsed/>
    <w:pPr>
      <w:numPr>
        <w:ilvl w:val="2"/>
        <w:numId w:val="9"/>
      </w:numPr>
    </w:pPr>
  </w:style>
  <w:style w:type="paragraph" w:customStyle="1" w:styleId="ListNumber2Level4">
    <w:name w:val="List Number 2 (Level 4)"/>
    <w:basedOn w:val="Text2"/>
    <w:uiPriority w:val="1"/>
    <w:semiHidden/>
    <w:unhideWhenUsed/>
    <w:pPr>
      <w:numPr>
        <w:ilvl w:val="3"/>
        <w:numId w:val="9"/>
      </w:numPr>
    </w:pPr>
  </w:style>
  <w:style w:type="paragraph" w:styleId="ListNumber3">
    <w:name w:val="List Number 3"/>
    <w:basedOn w:val="Text3"/>
    <w:uiPriority w:val="1"/>
    <w:pPr>
      <w:numPr>
        <w:numId w:val="8"/>
      </w:numPr>
    </w:pPr>
  </w:style>
  <w:style w:type="paragraph" w:customStyle="1" w:styleId="ListNumber3Level2">
    <w:name w:val="List Number 3 (Level 2)"/>
    <w:basedOn w:val="Text3"/>
    <w:uiPriority w:val="1"/>
    <w:pPr>
      <w:numPr>
        <w:ilvl w:val="1"/>
        <w:numId w:val="8"/>
      </w:numPr>
    </w:pPr>
  </w:style>
  <w:style w:type="paragraph" w:customStyle="1" w:styleId="ListNumber3Level3">
    <w:name w:val="List Number 3 (Level 3)"/>
    <w:basedOn w:val="Text3"/>
    <w:uiPriority w:val="1"/>
    <w:semiHidden/>
    <w:unhideWhenUsed/>
    <w:pPr>
      <w:numPr>
        <w:ilvl w:val="2"/>
        <w:numId w:val="8"/>
      </w:numPr>
    </w:pPr>
  </w:style>
  <w:style w:type="paragraph" w:customStyle="1" w:styleId="ListNumber3Level4">
    <w:name w:val="List Number 3 (Level 4)"/>
    <w:basedOn w:val="Text3"/>
    <w:uiPriority w:val="1"/>
    <w:semiHidden/>
    <w:unhideWhenUsed/>
    <w:pPr>
      <w:numPr>
        <w:ilvl w:val="3"/>
        <w:numId w:val="8"/>
      </w:numPr>
    </w:pPr>
  </w:style>
  <w:style w:type="paragraph" w:styleId="ListNumber4">
    <w:name w:val="List Number 4"/>
    <w:basedOn w:val="Text4"/>
    <w:uiPriority w:val="1"/>
    <w:pPr>
      <w:numPr>
        <w:numId w:val="7"/>
      </w:numPr>
    </w:pPr>
  </w:style>
  <w:style w:type="paragraph" w:customStyle="1" w:styleId="ListNumber4Level2">
    <w:name w:val="List Number 4 (Level 2)"/>
    <w:basedOn w:val="Text4"/>
    <w:uiPriority w:val="1"/>
    <w:pPr>
      <w:numPr>
        <w:ilvl w:val="1"/>
        <w:numId w:val="7"/>
      </w:numPr>
    </w:pPr>
  </w:style>
  <w:style w:type="paragraph" w:customStyle="1" w:styleId="ListNumber4Level3">
    <w:name w:val="List Number 4 (Level 3)"/>
    <w:basedOn w:val="Text4"/>
    <w:uiPriority w:val="1"/>
    <w:semiHidden/>
    <w:unhideWhenUsed/>
    <w:pPr>
      <w:numPr>
        <w:ilvl w:val="2"/>
        <w:numId w:val="7"/>
      </w:numPr>
    </w:pPr>
  </w:style>
  <w:style w:type="paragraph" w:customStyle="1" w:styleId="ListNumber4Level4">
    <w:name w:val="List Number 4 (Level 4)"/>
    <w:basedOn w:val="Text4"/>
    <w:uiPriority w:val="1"/>
    <w:semiHidden/>
    <w:unhideWhenUsed/>
    <w:pPr>
      <w:numPr>
        <w:ilvl w:val="3"/>
        <w:numId w:val="7"/>
      </w:numPr>
    </w:pPr>
  </w:style>
  <w:style w:type="paragraph" w:customStyle="1" w:styleId="Marking">
    <w:name w:val="Marking"/>
    <w:basedOn w:val="Normal"/>
    <w:semiHidden/>
    <w:pPr>
      <w:ind w:left="5102" w:right="-567"/>
      <w:contextualSpacing/>
      <w:jc w:val="left"/>
    </w:pPr>
    <w:rPr>
      <w:sz w:val="28"/>
    </w:rPr>
  </w:style>
  <w:style w:type="paragraph" w:customStyle="1" w:styleId="LegalNumPar">
    <w:name w:val="LegalNumPar"/>
    <w:basedOn w:val="Normal"/>
    <w:uiPriority w:val="1"/>
    <w:qFormat/>
    <w:pPr>
      <w:numPr>
        <w:numId w:val="18"/>
      </w:numPr>
      <w:spacing w:line="360" w:lineRule="auto"/>
    </w:pPr>
  </w:style>
  <w:style w:type="paragraph" w:customStyle="1" w:styleId="LegalNumPar2">
    <w:name w:val="LegalNumPar2"/>
    <w:basedOn w:val="Normal"/>
    <w:uiPriority w:val="1"/>
    <w:pPr>
      <w:numPr>
        <w:ilvl w:val="1"/>
        <w:numId w:val="18"/>
      </w:numPr>
      <w:spacing w:line="360" w:lineRule="auto"/>
    </w:pPr>
  </w:style>
  <w:style w:type="paragraph" w:customStyle="1" w:styleId="LegalNumPar3">
    <w:name w:val="LegalNumPar3"/>
    <w:basedOn w:val="Normal"/>
    <w:uiPriority w:val="1"/>
    <w:pPr>
      <w:numPr>
        <w:ilvl w:val="2"/>
        <w:numId w:val="18"/>
      </w:numPr>
      <w:spacing w:line="360" w:lineRule="auto"/>
    </w:pPr>
  </w:style>
  <w:style w:type="paragraph" w:customStyle="1" w:styleId="ContNum">
    <w:name w:val="ContNum"/>
    <w:basedOn w:val="Normal"/>
    <w:uiPriority w:val="1"/>
    <w:qFormat/>
    <w:pPr>
      <w:numPr>
        <w:numId w:val="19"/>
      </w:numPr>
    </w:pPr>
  </w:style>
  <w:style w:type="paragraph" w:customStyle="1" w:styleId="ContNumLevel2">
    <w:name w:val="ContNum (Level 2)"/>
    <w:basedOn w:val="Normal"/>
    <w:uiPriority w:val="1"/>
    <w:pPr>
      <w:numPr>
        <w:ilvl w:val="1"/>
        <w:numId w:val="19"/>
      </w:numPr>
    </w:pPr>
  </w:style>
  <w:style w:type="paragraph" w:customStyle="1" w:styleId="ContNumLevel3">
    <w:name w:val="ContNum (Level 3)"/>
    <w:basedOn w:val="Normal"/>
    <w:uiPriority w:val="1"/>
    <w:pPr>
      <w:numPr>
        <w:ilvl w:val="2"/>
        <w:numId w:val="19"/>
      </w:numPr>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TableHistory">
    <w:name w:val="Table History"/>
    <w:basedOn w:val="TableNormal"/>
    <w:semiHidden/>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character" w:styleId="CommentReference">
    <w:name w:val="annotation reference"/>
    <w:basedOn w:val="DefaultParagraphFont"/>
    <w:semiHidden/>
    <w:locked/>
    <w:rPr>
      <w:sz w:val="16"/>
      <w:szCs w:val="16"/>
    </w:rPr>
  </w:style>
  <w:style w:type="paragraph" w:styleId="CommentSubject">
    <w:name w:val="annotation subject"/>
    <w:basedOn w:val="CommentText"/>
    <w:next w:val="CommentText"/>
    <w:link w:val="CommentSubjectChar"/>
    <w:semiHidden/>
    <w:locked/>
    <w:rPr>
      <w:b/>
      <w:bCs/>
    </w:rPr>
  </w:style>
  <w:style w:type="character" w:customStyle="1" w:styleId="CommentSubjectChar">
    <w:name w:val="Comment Subject Char"/>
    <w:basedOn w:val="CommentTextChar"/>
    <w:link w:val="CommentSubject"/>
    <w:semiHidden/>
    <w:rPr>
      <w:b/>
      <w:bCs/>
      <w:sz w:val="20"/>
    </w:rPr>
  </w:style>
  <w:style w:type="paragraph" w:styleId="BalloonText">
    <w:name w:val="Balloon Text"/>
    <w:basedOn w:val="Normal"/>
    <w:link w:val="BalloonTextChar"/>
    <w:semiHidden/>
    <w:locked/>
    <w:pPr>
      <w:spacing w:after="0"/>
    </w:pPr>
    <w:rPr>
      <w:rFonts w:ascii="Segoe UI" w:hAnsi="Segoe UI" w:cs="Segoe UI"/>
      <w:sz w:val="20"/>
      <w:szCs w:val="18"/>
    </w:rPr>
  </w:style>
  <w:style w:type="character" w:customStyle="1" w:styleId="BalloonTextChar">
    <w:name w:val="Balloon Text Char"/>
    <w:basedOn w:val="DefaultParagraphFont"/>
    <w:link w:val="BalloonText"/>
    <w:semiHidden/>
    <w:rPr>
      <w:rFonts w:ascii="Segoe UI" w:hAnsi="Segoe UI" w:cs="Segoe UI"/>
      <w:sz w:val="20"/>
      <w:szCs w:val="18"/>
    </w:rPr>
  </w:style>
  <w:style w:type="paragraph" w:styleId="ListParagraph">
    <w:name w:val="List Paragraph"/>
    <w:basedOn w:val="Normal"/>
    <w:uiPriority w:val="34"/>
    <w:qFormat/>
    <w:locked/>
    <w:pPr>
      <w:ind w:left="720"/>
      <w:contextualSpacing/>
    </w:pPr>
  </w:style>
  <w:style w:type="paragraph" w:styleId="Revision">
    <w:name w:val="Revision"/>
    <w:hidden/>
    <w:semiHidden/>
    <w:locked/>
  </w:style>
  <w:style w:type="paragraph" w:customStyle="1" w:styleId="Normal1">
    <w:name w:val="Normal1"/>
    <w:basedOn w:val="Normal"/>
    <w:pPr>
      <w:spacing w:before="100" w:beforeAutospacing="1" w:after="100" w:afterAutospacing="1"/>
      <w:jc w:val="left"/>
    </w:pPr>
  </w:style>
  <w:style w:type="character" w:customStyle="1" w:styleId="AFWBodyChar">
    <w:name w:val="AFW Body Char"/>
    <w:aliases w:val="Body Char"/>
    <w:link w:val="WDBody"/>
    <w:locked/>
    <w:rPr>
      <w:rFonts w:ascii="Segoe UI" w:hAnsi="Segoe UI" w:cs="Segoe UI"/>
      <w:color w:val="000000"/>
      <w:sz w:val="20"/>
    </w:rPr>
  </w:style>
  <w:style w:type="paragraph" w:customStyle="1" w:styleId="WDBody">
    <w:name w:val="WD Body"/>
    <w:aliases w:val="Body,AFW Body,Normal Arial,AFW Memo Body,AFW Mins,NuGen Body Numbered,AMEC Body,Body (IACC),NG Body Numbered,Infin Body Numbered,Vat Body Numbered,Body (DIO PSP),38058 11pt Body,AFW Capability Body 9pt,AFW Profile Body 9pt,36380  Body,WD Mins"/>
    <w:link w:val="AFWBodyChar"/>
    <w:qFormat/>
    <w:pPr>
      <w:spacing w:after="160" w:line="240" w:lineRule="atLeast"/>
    </w:pPr>
    <w:rPr>
      <w:rFonts w:ascii="Segoe UI" w:hAnsi="Segoe UI" w:cs="Segoe UI"/>
      <w:color w:val="000000"/>
      <w:sz w:val="2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pPr>
      <w:spacing w:after="160" w:line="240" w:lineRule="exact"/>
      <w:jc w:val="left"/>
    </w:pPr>
    <w:rPr>
      <w:vertAlign w:val="superscript"/>
    </w:rPr>
  </w:style>
  <w:style w:type="character" w:styleId="FollowedHyperlink">
    <w:name w:val="FollowedHyperlink"/>
    <w:basedOn w:val="DefaultParagraphFont"/>
    <w:semiHidden/>
    <w:locked/>
    <w:rPr>
      <w:color w:val="954F72" w:themeColor="followedHyperlink"/>
      <w:u w:val="single"/>
    </w:rPr>
  </w:style>
  <w:style w:type="paragraph" w:styleId="NormalWeb">
    <w:name w:val="Normal (Web)"/>
    <w:basedOn w:val="Normal"/>
    <w:uiPriority w:val="99"/>
    <w:semiHidden/>
    <w:unhideWhenUsed/>
    <w:locked/>
    <w:pPr>
      <w:spacing w:after="0"/>
      <w:jc w:val="left"/>
    </w:pPr>
    <w:rPr>
      <w:rFonts w:eastAsiaTheme="minorHAnsi"/>
    </w:rPr>
  </w:style>
  <w:style w:type="character" w:customStyle="1" w:styleId="Marker">
    <w:name w:val="Marker"/>
    <w:basedOn w:val="DefaultParagraphFont"/>
    <w:rPr>
      <w:color w:val="0000FF"/>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DateChar">
    <w:name w:val="Date Char"/>
    <w:basedOn w:val="DefaultParagraphFont"/>
    <w:link w:val="Date"/>
    <w:uiPriority w:val="1"/>
  </w:style>
  <w:style w:type="character" w:customStyle="1" w:styleId="FooterSensitivityChar">
    <w:name w:val="Footer Sensitivity Char"/>
    <w:basedOn w:val="DateChar"/>
    <w:link w:val="FooterSensitivity"/>
    <w:rPr>
      <w:b/>
      <w:sz w:val="3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ateChar"/>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ateChar"/>
    <w:link w:val="HeaderSensitivityRight"/>
    <w:rPr>
      <w:sz w:val="28"/>
    </w:rPr>
  </w:style>
  <w:style w:type="paragraph" w:customStyle="1" w:styleId="Normal2">
    <w:name w:val="Normal2"/>
    <w:basedOn w:val="Normal"/>
    <w:pPr>
      <w:spacing w:before="100" w:beforeAutospacing="1" w:after="100" w:afterAutospacing="1"/>
      <w:jc w:val="left"/>
    </w:pPr>
  </w:style>
  <w:style w:type="paragraph" w:customStyle="1" w:styleId="Normal3">
    <w:name w:val="Normal3"/>
    <w:basedOn w:val="Normal"/>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2226">
      <w:bodyDiv w:val="1"/>
      <w:marLeft w:val="0"/>
      <w:marRight w:val="0"/>
      <w:marTop w:val="0"/>
      <w:marBottom w:val="0"/>
      <w:divBdr>
        <w:top w:val="none" w:sz="0" w:space="0" w:color="auto"/>
        <w:left w:val="none" w:sz="0" w:space="0" w:color="auto"/>
        <w:bottom w:val="none" w:sz="0" w:space="0" w:color="auto"/>
        <w:right w:val="none" w:sz="0" w:space="0" w:color="auto"/>
      </w:divBdr>
    </w:div>
    <w:div w:id="60755694">
      <w:bodyDiv w:val="1"/>
      <w:marLeft w:val="0"/>
      <w:marRight w:val="0"/>
      <w:marTop w:val="0"/>
      <w:marBottom w:val="0"/>
      <w:divBdr>
        <w:top w:val="none" w:sz="0" w:space="0" w:color="auto"/>
        <w:left w:val="none" w:sz="0" w:space="0" w:color="auto"/>
        <w:bottom w:val="none" w:sz="0" w:space="0" w:color="auto"/>
        <w:right w:val="none" w:sz="0" w:space="0" w:color="auto"/>
      </w:divBdr>
    </w:div>
    <w:div w:id="147477423">
      <w:bodyDiv w:val="1"/>
      <w:marLeft w:val="0"/>
      <w:marRight w:val="0"/>
      <w:marTop w:val="0"/>
      <w:marBottom w:val="0"/>
      <w:divBdr>
        <w:top w:val="none" w:sz="0" w:space="0" w:color="auto"/>
        <w:left w:val="none" w:sz="0" w:space="0" w:color="auto"/>
        <w:bottom w:val="none" w:sz="0" w:space="0" w:color="auto"/>
        <w:right w:val="none" w:sz="0" w:space="0" w:color="auto"/>
      </w:divBdr>
    </w:div>
    <w:div w:id="152064768">
      <w:bodyDiv w:val="1"/>
      <w:marLeft w:val="0"/>
      <w:marRight w:val="0"/>
      <w:marTop w:val="0"/>
      <w:marBottom w:val="0"/>
      <w:divBdr>
        <w:top w:val="none" w:sz="0" w:space="0" w:color="auto"/>
        <w:left w:val="none" w:sz="0" w:space="0" w:color="auto"/>
        <w:bottom w:val="none" w:sz="0" w:space="0" w:color="auto"/>
        <w:right w:val="none" w:sz="0" w:space="0" w:color="auto"/>
      </w:divBdr>
    </w:div>
    <w:div w:id="152961793">
      <w:bodyDiv w:val="1"/>
      <w:marLeft w:val="0"/>
      <w:marRight w:val="0"/>
      <w:marTop w:val="0"/>
      <w:marBottom w:val="0"/>
      <w:divBdr>
        <w:top w:val="none" w:sz="0" w:space="0" w:color="auto"/>
        <w:left w:val="none" w:sz="0" w:space="0" w:color="auto"/>
        <w:bottom w:val="none" w:sz="0" w:space="0" w:color="auto"/>
        <w:right w:val="none" w:sz="0" w:space="0" w:color="auto"/>
      </w:divBdr>
    </w:div>
    <w:div w:id="189690536">
      <w:bodyDiv w:val="1"/>
      <w:marLeft w:val="0"/>
      <w:marRight w:val="0"/>
      <w:marTop w:val="0"/>
      <w:marBottom w:val="0"/>
      <w:divBdr>
        <w:top w:val="none" w:sz="0" w:space="0" w:color="auto"/>
        <w:left w:val="none" w:sz="0" w:space="0" w:color="auto"/>
        <w:bottom w:val="none" w:sz="0" w:space="0" w:color="auto"/>
        <w:right w:val="none" w:sz="0" w:space="0" w:color="auto"/>
      </w:divBdr>
    </w:div>
    <w:div w:id="227689694">
      <w:bodyDiv w:val="1"/>
      <w:marLeft w:val="0"/>
      <w:marRight w:val="0"/>
      <w:marTop w:val="0"/>
      <w:marBottom w:val="0"/>
      <w:divBdr>
        <w:top w:val="none" w:sz="0" w:space="0" w:color="auto"/>
        <w:left w:val="none" w:sz="0" w:space="0" w:color="auto"/>
        <w:bottom w:val="none" w:sz="0" w:space="0" w:color="auto"/>
        <w:right w:val="none" w:sz="0" w:space="0" w:color="auto"/>
      </w:divBdr>
    </w:div>
    <w:div w:id="240221028">
      <w:bodyDiv w:val="1"/>
      <w:marLeft w:val="0"/>
      <w:marRight w:val="0"/>
      <w:marTop w:val="0"/>
      <w:marBottom w:val="0"/>
      <w:divBdr>
        <w:top w:val="none" w:sz="0" w:space="0" w:color="auto"/>
        <w:left w:val="none" w:sz="0" w:space="0" w:color="auto"/>
        <w:bottom w:val="none" w:sz="0" w:space="0" w:color="auto"/>
        <w:right w:val="none" w:sz="0" w:space="0" w:color="auto"/>
      </w:divBdr>
    </w:div>
    <w:div w:id="300813016">
      <w:bodyDiv w:val="1"/>
      <w:marLeft w:val="0"/>
      <w:marRight w:val="0"/>
      <w:marTop w:val="0"/>
      <w:marBottom w:val="0"/>
      <w:divBdr>
        <w:top w:val="none" w:sz="0" w:space="0" w:color="auto"/>
        <w:left w:val="none" w:sz="0" w:space="0" w:color="auto"/>
        <w:bottom w:val="none" w:sz="0" w:space="0" w:color="auto"/>
        <w:right w:val="none" w:sz="0" w:space="0" w:color="auto"/>
      </w:divBdr>
    </w:div>
    <w:div w:id="365983932">
      <w:bodyDiv w:val="1"/>
      <w:marLeft w:val="0"/>
      <w:marRight w:val="0"/>
      <w:marTop w:val="0"/>
      <w:marBottom w:val="0"/>
      <w:divBdr>
        <w:top w:val="none" w:sz="0" w:space="0" w:color="auto"/>
        <w:left w:val="none" w:sz="0" w:space="0" w:color="auto"/>
        <w:bottom w:val="none" w:sz="0" w:space="0" w:color="auto"/>
        <w:right w:val="none" w:sz="0" w:space="0" w:color="auto"/>
      </w:divBdr>
    </w:div>
    <w:div w:id="395053793">
      <w:bodyDiv w:val="1"/>
      <w:marLeft w:val="0"/>
      <w:marRight w:val="0"/>
      <w:marTop w:val="0"/>
      <w:marBottom w:val="0"/>
      <w:divBdr>
        <w:top w:val="none" w:sz="0" w:space="0" w:color="auto"/>
        <w:left w:val="none" w:sz="0" w:space="0" w:color="auto"/>
        <w:bottom w:val="none" w:sz="0" w:space="0" w:color="auto"/>
        <w:right w:val="none" w:sz="0" w:space="0" w:color="auto"/>
      </w:divBdr>
    </w:div>
    <w:div w:id="398866918">
      <w:bodyDiv w:val="1"/>
      <w:marLeft w:val="0"/>
      <w:marRight w:val="0"/>
      <w:marTop w:val="0"/>
      <w:marBottom w:val="0"/>
      <w:divBdr>
        <w:top w:val="none" w:sz="0" w:space="0" w:color="auto"/>
        <w:left w:val="none" w:sz="0" w:space="0" w:color="auto"/>
        <w:bottom w:val="none" w:sz="0" w:space="0" w:color="auto"/>
        <w:right w:val="none" w:sz="0" w:space="0" w:color="auto"/>
      </w:divBdr>
    </w:div>
    <w:div w:id="410002523">
      <w:bodyDiv w:val="1"/>
      <w:marLeft w:val="0"/>
      <w:marRight w:val="0"/>
      <w:marTop w:val="0"/>
      <w:marBottom w:val="0"/>
      <w:divBdr>
        <w:top w:val="none" w:sz="0" w:space="0" w:color="auto"/>
        <w:left w:val="none" w:sz="0" w:space="0" w:color="auto"/>
        <w:bottom w:val="none" w:sz="0" w:space="0" w:color="auto"/>
        <w:right w:val="none" w:sz="0" w:space="0" w:color="auto"/>
      </w:divBdr>
    </w:div>
    <w:div w:id="509686342">
      <w:bodyDiv w:val="1"/>
      <w:marLeft w:val="0"/>
      <w:marRight w:val="0"/>
      <w:marTop w:val="0"/>
      <w:marBottom w:val="0"/>
      <w:divBdr>
        <w:top w:val="none" w:sz="0" w:space="0" w:color="auto"/>
        <w:left w:val="none" w:sz="0" w:space="0" w:color="auto"/>
        <w:bottom w:val="none" w:sz="0" w:space="0" w:color="auto"/>
        <w:right w:val="none" w:sz="0" w:space="0" w:color="auto"/>
      </w:divBdr>
    </w:div>
    <w:div w:id="643316208">
      <w:bodyDiv w:val="1"/>
      <w:marLeft w:val="0"/>
      <w:marRight w:val="0"/>
      <w:marTop w:val="0"/>
      <w:marBottom w:val="0"/>
      <w:divBdr>
        <w:top w:val="none" w:sz="0" w:space="0" w:color="auto"/>
        <w:left w:val="none" w:sz="0" w:space="0" w:color="auto"/>
        <w:bottom w:val="none" w:sz="0" w:space="0" w:color="auto"/>
        <w:right w:val="none" w:sz="0" w:space="0" w:color="auto"/>
      </w:divBdr>
    </w:div>
    <w:div w:id="684400823">
      <w:bodyDiv w:val="1"/>
      <w:marLeft w:val="0"/>
      <w:marRight w:val="0"/>
      <w:marTop w:val="0"/>
      <w:marBottom w:val="0"/>
      <w:divBdr>
        <w:top w:val="none" w:sz="0" w:space="0" w:color="auto"/>
        <w:left w:val="none" w:sz="0" w:space="0" w:color="auto"/>
        <w:bottom w:val="none" w:sz="0" w:space="0" w:color="auto"/>
        <w:right w:val="none" w:sz="0" w:space="0" w:color="auto"/>
      </w:divBdr>
    </w:div>
    <w:div w:id="739140466">
      <w:bodyDiv w:val="1"/>
      <w:marLeft w:val="0"/>
      <w:marRight w:val="0"/>
      <w:marTop w:val="0"/>
      <w:marBottom w:val="0"/>
      <w:divBdr>
        <w:top w:val="none" w:sz="0" w:space="0" w:color="auto"/>
        <w:left w:val="none" w:sz="0" w:space="0" w:color="auto"/>
        <w:bottom w:val="none" w:sz="0" w:space="0" w:color="auto"/>
        <w:right w:val="none" w:sz="0" w:space="0" w:color="auto"/>
      </w:divBdr>
    </w:div>
    <w:div w:id="752360403">
      <w:bodyDiv w:val="1"/>
      <w:marLeft w:val="0"/>
      <w:marRight w:val="0"/>
      <w:marTop w:val="0"/>
      <w:marBottom w:val="0"/>
      <w:divBdr>
        <w:top w:val="none" w:sz="0" w:space="0" w:color="auto"/>
        <w:left w:val="none" w:sz="0" w:space="0" w:color="auto"/>
        <w:bottom w:val="none" w:sz="0" w:space="0" w:color="auto"/>
        <w:right w:val="none" w:sz="0" w:space="0" w:color="auto"/>
      </w:divBdr>
    </w:div>
    <w:div w:id="761679639">
      <w:bodyDiv w:val="1"/>
      <w:marLeft w:val="0"/>
      <w:marRight w:val="0"/>
      <w:marTop w:val="0"/>
      <w:marBottom w:val="0"/>
      <w:divBdr>
        <w:top w:val="none" w:sz="0" w:space="0" w:color="auto"/>
        <w:left w:val="none" w:sz="0" w:space="0" w:color="auto"/>
        <w:bottom w:val="none" w:sz="0" w:space="0" w:color="auto"/>
        <w:right w:val="none" w:sz="0" w:space="0" w:color="auto"/>
      </w:divBdr>
    </w:div>
    <w:div w:id="765460535">
      <w:bodyDiv w:val="1"/>
      <w:marLeft w:val="0"/>
      <w:marRight w:val="0"/>
      <w:marTop w:val="0"/>
      <w:marBottom w:val="0"/>
      <w:divBdr>
        <w:top w:val="none" w:sz="0" w:space="0" w:color="auto"/>
        <w:left w:val="none" w:sz="0" w:space="0" w:color="auto"/>
        <w:bottom w:val="none" w:sz="0" w:space="0" w:color="auto"/>
        <w:right w:val="none" w:sz="0" w:space="0" w:color="auto"/>
      </w:divBdr>
    </w:div>
    <w:div w:id="768042928">
      <w:bodyDiv w:val="1"/>
      <w:marLeft w:val="0"/>
      <w:marRight w:val="0"/>
      <w:marTop w:val="0"/>
      <w:marBottom w:val="0"/>
      <w:divBdr>
        <w:top w:val="none" w:sz="0" w:space="0" w:color="auto"/>
        <w:left w:val="none" w:sz="0" w:space="0" w:color="auto"/>
        <w:bottom w:val="none" w:sz="0" w:space="0" w:color="auto"/>
        <w:right w:val="none" w:sz="0" w:space="0" w:color="auto"/>
      </w:divBdr>
    </w:div>
    <w:div w:id="770710687">
      <w:bodyDiv w:val="1"/>
      <w:marLeft w:val="0"/>
      <w:marRight w:val="0"/>
      <w:marTop w:val="0"/>
      <w:marBottom w:val="0"/>
      <w:divBdr>
        <w:top w:val="none" w:sz="0" w:space="0" w:color="auto"/>
        <w:left w:val="none" w:sz="0" w:space="0" w:color="auto"/>
        <w:bottom w:val="none" w:sz="0" w:space="0" w:color="auto"/>
        <w:right w:val="none" w:sz="0" w:space="0" w:color="auto"/>
      </w:divBdr>
    </w:div>
    <w:div w:id="786434989">
      <w:bodyDiv w:val="1"/>
      <w:marLeft w:val="0"/>
      <w:marRight w:val="0"/>
      <w:marTop w:val="0"/>
      <w:marBottom w:val="0"/>
      <w:divBdr>
        <w:top w:val="none" w:sz="0" w:space="0" w:color="auto"/>
        <w:left w:val="none" w:sz="0" w:space="0" w:color="auto"/>
        <w:bottom w:val="none" w:sz="0" w:space="0" w:color="auto"/>
        <w:right w:val="none" w:sz="0" w:space="0" w:color="auto"/>
      </w:divBdr>
    </w:div>
    <w:div w:id="790392478">
      <w:bodyDiv w:val="1"/>
      <w:marLeft w:val="0"/>
      <w:marRight w:val="0"/>
      <w:marTop w:val="0"/>
      <w:marBottom w:val="0"/>
      <w:divBdr>
        <w:top w:val="none" w:sz="0" w:space="0" w:color="auto"/>
        <w:left w:val="none" w:sz="0" w:space="0" w:color="auto"/>
        <w:bottom w:val="none" w:sz="0" w:space="0" w:color="auto"/>
        <w:right w:val="none" w:sz="0" w:space="0" w:color="auto"/>
      </w:divBdr>
    </w:div>
    <w:div w:id="800802895">
      <w:bodyDiv w:val="1"/>
      <w:marLeft w:val="0"/>
      <w:marRight w:val="0"/>
      <w:marTop w:val="0"/>
      <w:marBottom w:val="0"/>
      <w:divBdr>
        <w:top w:val="none" w:sz="0" w:space="0" w:color="auto"/>
        <w:left w:val="none" w:sz="0" w:space="0" w:color="auto"/>
        <w:bottom w:val="none" w:sz="0" w:space="0" w:color="auto"/>
        <w:right w:val="none" w:sz="0" w:space="0" w:color="auto"/>
      </w:divBdr>
    </w:div>
    <w:div w:id="814567097">
      <w:bodyDiv w:val="1"/>
      <w:marLeft w:val="0"/>
      <w:marRight w:val="0"/>
      <w:marTop w:val="0"/>
      <w:marBottom w:val="0"/>
      <w:divBdr>
        <w:top w:val="none" w:sz="0" w:space="0" w:color="auto"/>
        <w:left w:val="none" w:sz="0" w:space="0" w:color="auto"/>
        <w:bottom w:val="none" w:sz="0" w:space="0" w:color="auto"/>
        <w:right w:val="none" w:sz="0" w:space="0" w:color="auto"/>
      </w:divBdr>
    </w:div>
    <w:div w:id="828328896">
      <w:bodyDiv w:val="1"/>
      <w:marLeft w:val="0"/>
      <w:marRight w:val="0"/>
      <w:marTop w:val="0"/>
      <w:marBottom w:val="0"/>
      <w:divBdr>
        <w:top w:val="none" w:sz="0" w:space="0" w:color="auto"/>
        <w:left w:val="none" w:sz="0" w:space="0" w:color="auto"/>
        <w:bottom w:val="none" w:sz="0" w:space="0" w:color="auto"/>
        <w:right w:val="none" w:sz="0" w:space="0" w:color="auto"/>
      </w:divBdr>
    </w:div>
    <w:div w:id="840892533">
      <w:bodyDiv w:val="1"/>
      <w:marLeft w:val="0"/>
      <w:marRight w:val="0"/>
      <w:marTop w:val="0"/>
      <w:marBottom w:val="0"/>
      <w:divBdr>
        <w:top w:val="none" w:sz="0" w:space="0" w:color="auto"/>
        <w:left w:val="none" w:sz="0" w:space="0" w:color="auto"/>
        <w:bottom w:val="none" w:sz="0" w:space="0" w:color="auto"/>
        <w:right w:val="none" w:sz="0" w:space="0" w:color="auto"/>
      </w:divBdr>
    </w:div>
    <w:div w:id="864556377">
      <w:bodyDiv w:val="1"/>
      <w:marLeft w:val="0"/>
      <w:marRight w:val="0"/>
      <w:marTop w:val="0"/>
      <w:marBottom w:val="0"/>
      <w:divBdr>
        <w:top w:val="none" w:sz="0" w:space="0" w:color="auto"/>
        <w:left w:val="none" w:sz="0" w:space="0" w:color="auto"/>
        <w:bottom w:val="none" w:sz="0" w:space="0" w:color="auto"/>
        <w:right w:val="none" w:sz="0" w:space="0" w:color="auto"/>
      </w:divBdr>
    </w:div>
    <w:div w:id="876746890">
      <w:bodyDiv w:val="1"/>
      <w:marLeft w:val="0"/>
      <w:marRight w:val="0"/>
      <w:marTop w:val="0"/>
      <w:marBottom w:val="0"/>
      <w:divBdr>
        <w:top w:val="none" w:sz="0" w:space="0" w:color="auto"/>
        <w:left w:val="none" w:sz="0" w:space="0" w:color="auto"/>
        <w:bottom w:val="none" w:sz="0" w:space="0" w:color="auto"/>
        <w:right w:val="none" w:sz="0" w:space="0" w:color="auto"/>
      </w:divBdr>
    </w:div>
    <w:div w:id="929587602">
      <w:bodyDiv w:val="1"/>
      <w:marLeft w:val="0"/>
      <w:marRight w:val="0"/>
      <w:marTop w:val="0"/>
      <w:marBottom w:val="0"/>
      <w:divBdr>
        <w:top w:val="none" w:sz="0" w:space="0" w:color="auto"/>
        <w:left w:val="none" w:sz="0" w:space="0" w:color="auto"/>
        <w:bottom w:val="none" w:sz="0" w:space="0" w:color="auto"/>
        <w:right w:val="none" w:sz="0" w:space="0" w:color="auto"/>
      </w:divBdr>
    </w:div>
    <w:div w:id="934361232">
      <w:bodyDiv w:val="1"/>
      <w:marLeft w:val="0"/>
      <w:marRight w:val="0"/>
      <w:marTop w:val="0"/>
      <w:marBottom w:val="0"/>
      <w:divBdr>
        <w:top w:val="none" w:sz="0" w:space="0" w:color="auto"/>
        <w:left w:val="none" w:sz="0" w:space="0" w:color="auto"/>
        <w:bottom w:val="none" w:sz="0" w:space="0" w:color="auto"/>
        <w:right w:val="none" w:sz="0" w:space="0" w:color="auto"/>
      </w:divBdr>
    </w:div>
    <w:div w:id="1011681693">
      <w:bodyDiv w:val="1"/>
      <w:marLeft w:val="0"/>
      <w:marRight w:val="0"/>
      <w:marTop w:val="0"/>
      <w:marBottom w:val="0"/>
      <w:divBdr>
        <w:top w:val="none" w:sz="0" w:space="0" w:color="auto"/>
        <w:left w:val="none" w:sz="0" w:space="0" w:color="auto"/>
        <w:bottom w:val="none" w:sz="0" w:space="0" w:color="auto"/>
        <w:right w:val="none" w:sz="0" w:space="0" w:color="auto"/>
      </w:divBdr>
    </w:div>
    <w:div w:id="1042558423">
      <w:bodyDiv w:val="1"/>
      <w:marLeft w:val="0"/>
      <w:marRight w:val="0"/>
      <w:marTop w:val="0"/>
      <w:marBottom w:val="0"/>
      <w:divBdr>
        <w:top w:val="none" w:sz="0" w:space="0" w:color="auto"/>
        <w:left w:val="none" w:sz="0" w:space="0" w:color="auto"/>
        <w:bottom w:val="none" w:sz="0" w:space="0" w:color="auto"/>
        <w:right w:val="none" w:sz="0" w:space="0" w:color="auto"/>
      </w:divBdr>
      <w:divsChild>
        <w:div w:id="1421177157">
          <w:marLeft w:val="0"/>
          <w:marRight w:val="0"/>
          <w:marTop w:val="0"/>
          <w:marBottom w:val="0"/>
          <w:divBdr>
            <w:top w:val="none" w:sz="0" w:space="0" w:color="auto"/>
            <w:left w:val="none" w:sz="0" w:space="0" w:color="auto"/>
            <w:bottom w:val="none" w:sz="0" w:space="0" w:color="auto"/>
            <w:right w:val="none" w:sz="0" w:space="0" w:color="auto"/>
          </w:divBdr>
        </w:div>
      </w:divsChild>
    </w:div>
    <w:div w:id="1080369246">
      <w:bodyDiv w:val="1"/>
      <w:marLeft w:val="0"/>
      <w:marRight w:val="0"/>
      <w:marTop w:val="0"/>
      <w:marBottom w:val="0"/>
      <w:divBdr>
        <w:top w:val="none" w:sz="0" w:space="0" w:color="auto"/>
        <w:left w:val="none" w:sz="0" w:space="0" w:color="auto"/>
        <w:bottom w:val="none" w:sz="0" w:space="0" w:color="auto"/>
        <w:right w:val="none" w:sz="0" w:space="0" w:color="auto"/>
      </w:divBdr>
    </w:div>
    <w:div w:id="1109665631">
      <w:bodyDiv w:val="1"/>
      <w:marLeft w:val="0"/>
      <w:marRight w:val="0"/>
      <w:marTop w:val="0"/>
      <w:marBottom w:val="0"/>
      <w:divBdr>
        <w:top w:val="none" w:sz="0" w:space="0" w:color="auto"/>
        <w:left w:val="none" w:sz="0" w:space="0" w:color="auto"/>
        <w:bottom w:val="none" w:sz="0" w:space="0" w:color="auto"/>
        <w:right w:val="none" w:sz="0" w:space="0" w:color="auto"/>
      </w:divBdr>
    </w:div>
    <w:div w:id="1251041951">
      <w:bodyDiv w:val="1"/>
      <w:marLeft w:val="0"/>
      <w:marRight w:val="0"/>
      <w:marTop w:val="0"/>
      <w:marBottom w:val="0"/>
      <w:divBdr>
        <w:top w:val="none" w:sz="0" w:space="0" w:color="auto"/>
        <w:left w:val="none" w:sz="0" w:space="0" w:color="auto"/>
        <w:bottom w:val="none" w:sz="0" w:space="0" w:color="auto"/>
        <w:right w:val="none" w:sz="0" w:space="0" w:color="auto"/>
      </w:divBdr>
    </w:div>
    <w:div w:id="1268268786">
      <w:bodyDiv w:val="1"/>
      <w:marLeft w:val="0"/>
      <w:marRight w:val="0"/>
      <w:marTop w:val="0"/>
      <w:marBottom w:val="0"/>
      <w:divBdr>
        <w:top w:val="none" w:sz="0" w:space="0" w:color="auto"/>
        <w:left w:val="none" w:sz="0" w:space="0" w:color="auto"/>
        <w:bottom w:val="none" w:sz="0" w:space="0" w:color="auto"/>
        <w:right w:val="none" w:sz="0" w:space="0" w:color="auto"/>
      </w:divBdr>
    </w:div>
    <w:div w:id="1283264516">
      <w:bodyDiv w:val="1"/>
      <w:marLeft w:val="0"/>
      <w:marRight w:val="0"/>
      <w:marTop w:val="0"/>
      <w:marBottom w:val="0"/>
      <w:divBdr>
        <w:top w:val="none" w:sz="0" w:space="0" w:color="auto"/>
        <w:left w:val="none" w:sz="0" w:space="0" w:color="auto"/>
        <w:bottom w:val="none" w:sz="0" w:space="0" w:color="auto"/>
        <w:right w:val="none" w:sz="0" w:space="0" w:color="auto"/>
      </w:divBdr>
    </w:div>
    <w:div w:id="1317799366">
      <w:bodyDiv w:val="1"/>
      <w:marLeft w:val="0"/>
      <w:marRight w:val="0"/>
      <w:marTop w:val="0"/>
      <w:marBottom w:val="0"/>
      <w:divBdr>
        <w:top w:val="none" w:sz="0" w:space="0" w:color="auto"/>
        <w:left w:val="none" w:sz="0" w:space="0" w:color="auto"/>
        <w:bottom w:val="none" w:sz="0" w:space="0" w:color="auto"/>
        <w:right w:val="none" w:sz="0" w:space="0" w:color="auto"/>
      </w:divBdr>
    </w:div>
    <w:div w:id="1320040647">
      <w:bodyDiv w:val="1"/>
      <w:marLeft w:val="0"/>
      <w:marRight w:val="0"/>
      <w:marTop w:val="0"/>
      <w:marBottom w:val="0"/>
      <w:divBdr>
        <w:top w:val="none" w:sz="0" w:space="0" w:color="auto"/>
        <w:left w:val="none" w:sz="0" w:space="0" w:color="auto"/>
        <w:bottom w:val="none" w:sz="0" w:space="0" w:color="auto"/>
        <w:right w:val="none" w:sz="0" w:space="0" w:color="auto"/>
      </w:divBdr>
    </w:div>
    <w:div w:id="1371615001">
      <w:bodyDiv w:val="1"/>
      <w:marLeft w:val="0"/>
      <w:marRight w:val="0"/>
      <w:marTop w:val="0"/>
      <w:marBottom w:val="0"/>
      <w:divBdr>
        <w:top w:val="none" w:sz="0" w:space="0" w:color="auto"/>
        <w:left w:val="none" w:sz="0" w:space="0" w:color="auto"/>
        <w:bottom w:val="none" w:sz="0" w:space="0" w:color="auto"/>
        <w:right w:val="none" w:sz="0" w:space="0" w:color="auto"/>
      </w:divBdr>
    </w:div>
    <w:div w:id="1534340248">
      <w:bodyDiv w:val="1"/>
      <w:marLeft w:val="0"/>
      <w:marRight w:val="0"/>
      <w:marTop w:val="0"/>
      <w:marBottom w:val="0"/>
      <w:divBdr>
        <w:top w:val="none" w:sz="0" w:space="0" w:color="auto"/>
        <w:left w:val="none" w:sz="0" w:space="0" w:color="auto"/>
        <w:bottom w:val="none" w:sz="0" w:space="0" w:color="auto"/>
        <w:right w:val="none" w:sz="0" w:space="0" w:color="auto"/>
      </w:divBdr>
    </w:div>
    <w:div w:id="1549803423">
      <w:bodyDiv w:val="1"/>
      <w:marLeft w:val="0"/>
      <w:marRight w:val="0"/>
      <w:marTop w:val="0"/>
      <w:marBottom w:val="0"/>
      <w:divBdr>
        <w:top w:val="none" w:sz="0" w:space="0" w:color="auto"/>
        <w:left w:val="none" w:sz="0" w:space="0" w:color="auto"/>
        <w:bottom w:val="none" w:sz="0" w:space="0" w:color="auto"/>
        <w:right w:val="none" w:sz="0" w:space="0" w:color="auto"/>
      </w:divBdr>
    </w:div>
    <w:div w:id="1560094259">
      <w:bodyDiv w:val="1"/>
      <w:marLeft w:val="0"/>
      <w:marRight w:val="0"/>
      <w:marTop w:val="0"/>
      <w:marBottom w:val="0"/>
      <w:divBdr>
        <w:top w:val="none" w:sz="0" w:space="0" w:color="auto"/>
        <w:left w:val="none" w:sz="0" w:space="0" w:color="auto"/>
        <w:bottom w:val="none" w:sz="0" w:space="0" w:color="auto"/>
        <w:right w:val="none" w:sz="0" w:space="0" w:color="auto"/>
      </w:divBdr>
    </w:div>
    <w:div w:id="1591742978">
      <w:bodyDiv w:val="1"/>
      <w:marLeft w:val="0"/>
      <w:marRight w:val="0"/>
      <w:marTop w:val="0"/>
      <w:marBottom w:val="0"/>
      <w:divBdr>
        <w:top w:val="none" w:sz="0" w:space="0" w:color="auto"/>
        <w:left w:val="none" w:sz="0" w:space="0" w:color="auto"/>
        <w:bottom w:val="none" w:sz="0" w:space="0" w:color="auto"/>
        <w:right w:val="none" w:sz="0" w:space="0" w:color="auto"/>
      </w:divBdr>
    </w:div>
    <w:div w:id="1659841946">
      <w:bodyDiv w:val="1"/>
      <w:marLeft w:val="0"/>
      <w:marRight w:val="0"/>
      <w:marTop w:val="0"/>
      <w:marBottom w:val="0"/>
      <w:divBdr>
        <w:top w:val="none" w:sz="0" w:space="0" w:color="auto"/>
        <w:left w:val="none" w:sz="0" w:space="0" w:color="auto"/>
        <w:bottom w:val="none" w:sz="0" w:space="0" w:color="auto"/>
        <w:right w:val="none" w:sz="0" w:space="0" w:color="auto"/>
      </w:divBdr>
    </w:div>
    <w:div w:id="1667127751">
      <w:bodyDiv w:val="1"/>
      <w:marLeft w:val="0"/>
      <w:marRight w:val="0"/>
      <w:marTop w:val="0"/>
      <w:marBottom w:val="0"/>
      <w:divBdr>
        <w:top w:val="none" w:sz="0" w:space="0" w:color="auto"/>
        <w:left w:val="none" w:sz="0" w:space="0" w:color="auto"/>
        <w:bottom w:val="none" w:sz="0" w:space="0" w:color="auto"/>
        <w:right w:val="none" w:sz="0" w:space="0" w:color="auto"/>
      </w:divBdr>
    </w:div>
    <w:div w:id="1791976085">
      <w:bodyDiv w:val="1"/>
      <w:marLeft w:val="0"/>
      <w:marRight w:val="0"/>
      <w:marTop w:val="0"/>
      <w:marBottom w:val="0"/>
      <w:divBdr>
        <w:top w:val="none" w:sz="0" w:space="0" w:color="auto"/>
        <w:left w:val="none" w:sz="0" w:space="0" w:color="auto"/>
        <w:bottom w:val="none" w:sz="0" w:space="0" w:color="auto"/>
        <w:right w:val="none" w:sz="0" w:space="0" w:color="auto"/>
      </w:divBdr>
    </w:div>
    <w:div w:id="1823891640">
      <w:bodyDiv w:val="1"/>
      <w:marLeft w:val="0"/>
      <w:marRight w:val="0"/>
      <w:marTop w:val="0"/>
      <w:marBottom w:val="0"/>
      <w:divBdr>
        <w:top w:val="none" w:sz="0" w:space="0" w:color="auto"/>
        <w:left w:val="none" w:sz="0" w:space="0" w:color="auto"/>
        <w:bottom w:val="none" w:sz="0" w:space="0" w:color="auto"/>
        <w:right w:val="none" w:sz="0" w:space="0" w:color="auto"/>
      </w:divBdr>
    </w:div>
    <w:div w:id="1967538598">
      <w:bodyDiv w:val="1"/>
      <w:marLeft w:val="0"/>
      <w:marRight w:val="0"/>
      <w:marTop w:val="0"/>
      <w:marBottom w:val="0"/>
      <w:divBdr>
        <w:top w:val="none" w:sz="0" w:space="0" w:color="auto"/>
        <w:left w:val="none" w:sz="0" w:space="0" w:color="auto"/>
        <w:bottom w:val="none" w:sz="0" w:space="0" w:color="auto"/>
        <w:right w:val="none" w:sz="0" w:space="0" w:color="auto"/>
      </w:divBdr>
    </w:div>
    <w:div w:id="1973250712">
      <w:bodyDiv w:val="1"/>
      <w:marLeft w:val="0"/>
      <w:marRight w:val="0"/>
      <w:marTop w:val="0"/>
      <w:marBottom w:val="0"/>
      <w:divBdr>
        <w:top w:val="none" w:sz="0" w:space="0" w:color="auto"/>
        <w:left w:val="none" w:sz="0" w:space="0" w:color="auto"/>
        <w:bottom w:val="none" w:sz="0" w:space="0" w:color="auto"/>
        <w:right w:val="none" w:sz="0" w:space="0" w:color="auto"/>
      </w:divBdr>
    </w:div>
    <w:div w:id="2003854967">
      <w:bodyDiv w:val="1"/>
      <w:marLeft w:val="0"/>
      <w:marRight w:val="0"/>
      <w:marTop w:val="0"/>
      <w:marBottom w:val="0"/>
      <w:divBdr>
        <w:top w:val="none" w:sz="0" w:space="0" w:color="auto"/>
        <w:left w:val="none" w:sz="0" w:space="0" w:color="auto"/>
        <w:bottom w:val="none" w:sz="0" w:space="0" w:color="auto"/>
        <w:right w:val="none" w:sz="0" w:space="0" w:color="auto"/>
      </w:divBdr>
    </w:div>
    <w:div w:id="2010138615">
      <w:bodyDiv w:val="1"/>
      <w:marLeft w:val="0"/>
      <w:marRight w:val="0"/>
      <w:marTop w:val="0"/>
      <w:marBottom w:val="0"/>
      <w:divBdr>
        <w:top w:val="none" w:sz="0" w:space="0" w:color="auto"/>
        <w:left w:val="none" w:sz="0" w:space="0" w:color="auto"/>
        <w:bottom w:val="none" w:sz="0" w:space="0" w:color="auto"/>
        <w:right w:val="none" w:sz="0" w:space="0" w:color="auto"/>
      </w:divBdr>
    </w:div>
    <w:div w:id="2010213931">
      <w:bodyDiv w:val="1"/>
      <w:marLeft w:val="0"/>
      <w:marRight w:val="0"/>
      <w:marTop w:val="0"/>
      <w:marBottom w:val="0"/>
      <w:divBdr>
        <w:top w:val="none" w:sz="0" w:space="0" w:color="auto"/>
        <w:left w:val="none" w:sz="0" w:space="0" w:color="auto"/>
        <w:bottom w:val="none" w:sz="0" w:space="0" w:color="auto"/>
        <w:right w:val="none" w:sz="0" w:space="0" w:color="auto"/>
      </w:divBdr>
    </w:div>
    <w:div w:id="2029216743">
      <w:bodyDiv w:val="1"/>
      <w:marLeft w:val="0"/>
      <w:marRight w:val="0"/>
      <w:marTop w:val="0"/>
      <w:marBottom w:val="0"/>
      <w:divBdr>
        <w:top w:val="none" w:sz="0" w:space="0" w:color="auto"/>
        <w:left w:val="none" w:sz="0" w:space="0" w:color="auto"/>
        <w:bottom w:val="none" w:sz="0" w:space="0" w:color="auto"/>
        <w:right w:val="none" w:sz="0" w:space="0" w:color="auto"/>
      </w:divBdr>
    </w:div>
    <w:div w:id="2049643211">
      <w:bodyDiv w:val="1"/>
      <w:marLeft w:val="0"/>
      <w:marRight w:val="0"/>
      <w:marTop w:val="0"/>
      <w:marBottom w:val="0"/>
      <w:divBdr>
        <w:top w:val="none" w:sz="0" w:space="0" w:color="auto"/>
        <w:left w:val="none" w:sz="0" w:space="0" w:color="auto"/>
        <w:bottom w:val="none" w:sz="0" w:space="0" w:color="auto"/>
        <w:right w:val="none" w:sz="0" w:space="0" w:color="auto"/>
      </w:divBdr>
    </w:div>
    <w:div w:id="2052798137">
      <w:bodyDiv w:val="1"/>
      <w:marLeft w:val="0"/>
      <w:marRight w:val="0"/>
      <w:marTop w:val="0"/>
      <w:marBottom w:val="0"/>
      <w:divBdr>
        <w:top w:val="none" w:sz="0" w:space="0" w:color="auto"/>
        <w:left w:val="none" w:sz="0" w:space="0" w:color="auto"/>
        <w:bottom w:val="none" w:sz="0" w:space="0" w:color="auto"/>
        <w:right w:val="none" w:sz="0" w:space="0" w:color="auto"/>
      </w:divBdr>
    </w:div>
    <w:div w:id="2122334969">
      <w:bodyDiv w:val="1"/>
      <w:marLeft w:val="0"/>
      <w:marRight w:val="0"/>
      <w:marTop w:val="0"/>
      <w:marBottom w:val="0"/>
      <w:divBdr>
        <w:top w:val="none" w:sz="0" w:space="0" w:color="auto"/>
        <w:left w:val="none" w:sz="0" w:space="0" w:color="auto"/>
        <w:bottom w:val="none" w:sz="0" w:space="0" w:color="auto"/>
        <w:right w:val="none" w:sz="0" w:space="0" w:color="auto"/>
      </w:divBdr>
    </w:div>
    <w:div w:id="2124837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6.emf"/><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chart" Target="charts/chart1.xml"/><Relationship Id="rId34"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image" Target="media/image5.emf"/><Relationship Id="rId33" Type="http://schemas.openxmlformats.org/officeDocument/2006/relationships/image" Target="media/image12.emf"/><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openxmlformats.org/officeDocument/2006/relationships/image" Target="media/image8.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chart" Target="charts/chart3.xml"/><Relationship Id="rId32" Type="http://schemas.openxmlformats.org/officeDocument/2006/relationships/image" Target="media/image11.emf"/><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emf"/><Relationship Id="rId28" Type="http://schemas.openxmlformats.org/officeDocument/2006/relationships/image" Target="media/image7.emf"/><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hart" Target="charts/chart2.xml"/><Relationship Id="rId27" Type="http://schemas.openxmlformats.org/officeDocument/2006/relationships/chart" Target="charts/chart4.xml"/><Relationship Id="rId30" Type="http://schemas.openxmlformats.org/officeDocument/2006/relationships/image" Target="media/image9.emf"/><Relationship Id="rId35"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L/TXT/?uri=CELEX%3A52020DC0667&amp;qid=1631534873363" TargetMode="External"/><Relationship Id="rId3" Type="http://schemas.openxmlformats.org/officeDocument/2006/relationships/hyperlink" Target="https://emars.jrc.ec.europa.eu" TargetMode="External"/><Relationship Id="rId7" Type="http://schemas.openxmlformats.org/officeDocument/2006/relationships/hyperlink" Target="https://ozone.unep.org/treaties/montreal-protocol" TargetMode="External"/><Relationship Id="rId2" Type="http://schemas.openxmlformats.org/officeDocument/2006/relationships/hyperlink" Target="https://eur-lex.europa.eu/legal-content/EL/TXT/?uri=CELEX%3A52021DC0400&amp;qid=1631534801376" TargetMode="External"/><Relationship Id="rId1" Type="http://schemas.openxmlformats.org/officeDocument/2006/relationships/hyperlink" Target="https://eur-lex.europa.eu/legal-content/EL/TXT/?qid=1576150542719&amp;uri=COM:2019:640:FIN" TargetMode="External"/><Relationship Id="rId6" Type="http://schemas.openxmlformats.org/officeDocument/2006/relationships/hyperlink" Target="https://emars.jrc.ec.europa.eu/en/emars/accident/search" TargetMode="External"/><Relationship Id="rId5" Type="http://schemas.openxmlformats.org/officeDocument/2006/relationships/hyperlink" Target="https://circabc.europa.eu/w/browse/4cc9ca17-0920-4d8a-8796-6ffa170612b7" TargetMode="External"/><Relationship Id="rId4" Type="http://schemas.openxmlformats.org/officeDocument/2006/relationships/hyperlink" Target="https://circabc.europa.eu/w/browse/df2c6a1c-99bb-4b13-b68c-b8a1e33c95c5" TargetMode="External"/><Relationship Id="rId9" Type="http://schemas.openxmlformats.org/officeDocument/2006/relationships/hyperlink" Target="https://www.gdacs.org/"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net1.cec.eu.int\ENV\C\4\61.%20Chemical%20Accidents\4%20Impl%20Seveso\4.1%20Reporting\2015-2018%20impl\12-EC%20report%20to%20EP-Council\Seveso%20report_all%20charts_26012021.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net1.cec.eu.int\ENV\C\4\61.%20Chemical%20Accidents\4%20Impl%20Seveso\4.1%20Reporting\2015-2018%20impl\12-EC%20report%20to%20EP-Council\Seveso%20report_all%20charts_26012021.xlsx" TargetMode="External"/></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oleObject" Target="file:///\\net1.cec.eu.int\ENV\C\4\61.%20Chemical%20Accidents\4%20Impl%20Seveso\4.1%20Reporting\2015-2018%20impl\12-EC%20report%20to%20EP-Council\Seveso%20report_all%20charts_26012021.xlsx" TargetMode="External"/></Relationships>
</file>

<file path=word/charts/_rels/chart4.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oleObject" Target="file:///\\net1.cec.eu.int\ENV\C\4\61.%20Chemical%20Accidents\4%20Impl%20Seveso\4.1%20Reporting\2015-2018%20impl\Wood%20impl%20report\Seveso%20report_all%20charts_2601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3.11'!$B$4:$B$19</c:f>
              <c:strCache>
                <c:ptCount val="16"/>
                <c:pt idx="0">
                  <c:v>PT</c:v>
                </c:pt>
                <c:pt idx="1">
                  <c:v>BG</c:v>
                </c:pt>
                <c:pt idx="2">
                  <c:v>EL</c:v>
                </c:pt>
                <c:pt idx="3">
                  <c:v>EE</c:v>
                </c:pt>
                <c:pt idx="4">
                  <c:v>MT</c:v>
                </c:pt>
                <c:pt idx="5">
                  <c:v>PL</c:v>
                </c:pt>
                <c:pt idx="6">
                  <c:v>LU</c:v>
                </c:pt>
                <c:pt idx="7">
                  <c:v>IT</c:v>
                </c:pt>
                <c:pt idx="8">
                  <c:v>NL</c:v>
                </c:pt>
                <c:pt idx="9">
                  <c:v>FR</c:v>
                </c:pt>
                <c:pt idx="10">
                  <c:v>IE</c:v>
                </c:pt>
                <c:pt idx="11">
                  <c:v>AT</c:v>
                </c:pt>
                <c:pt idx="12">
                  <c:v>SE</c:v>
                </c:pt>
                <c:pt idx="13">
                  <c:v>ES</c:v>
                </c:pt>
                <c:pt idx="14">
                  <c:v>UK</c:v>
                </c:pt>
                <c:pt idx="15">
                  <c:v>DE</c:v>
                </c:pt>
              </c:strCache>
            </c:strRef>
          </c:cat>
          <c:val>
            <c:numRef>
              <c:f>'Figure 3.11'!$F$4:$F$19</c:f>
              <c:numCache>
                <c:formatCode>0%</c:formatCode>
                <c:ptCount val="16"/>
                <c:pt idx="0">
                  <c:v>0.7846153846153846</c:v>
                </c:pt>
                <c:pt idx="1">
                  <c:v>0.79012345679012341</c:v>
                </c:pt>
                <c:pt idx="2">
                  <c:v>0.81578947368421051</c:v>
                </c:pt>
                <c:pt idx="3">
                  <c:v>0.87096774193548387</c:v>
                </c:pt>
                <c:pt idx="4">
                  <c:v>0.875</c:v>
                </c:pt>
                <c:pt idx="5">
                  <c:v>0.875</c:v>
                </c:pt>
                <c:pt idx="6">
                  <c:v>0.88888888888888884</c:v>
                </c:pt>
                <c:pt idx="7">
                  <c:v>0.90485436893203886</c:v>
                </c:pt>
                <c:pt idx="8">
                  <c:v>0.90769230769230769</c:v>
                </c:pt>
                <c:pt idx="9">
                  <c:v>0.91297935103244843</c:v>
                </c:pt>
                <c:pt idx="10">
                  <c:v>0.95918367346938771</c:v>
                </c:pt>
                <c:pt idx="11">
                  <c:v>0.96590909090909094</c:v>
                </c:pt>
                <c:pt idx="12">
                  <c:v>0.97058823529411764</c:v>
                </c:pt>
                <c:pt idx="13">
                  <c:v>0.97368421052631582</c:v>
                </c:pt>
                <c:pt idx="14">
                  <c:v>0.99150141643059486</c:v>
                </c:pt>
                <c:pt idx="15">
                  <c:v>0.99392888117953171</c:v>
                </c:pt>
              </c:numCache>
            </c:numRef>
          </c:val>
          <c:extLst xmlns:c16r2="http://schemas.microsoft.com/office/drawing/2015/06/chart">
            <c:ext xmlns:c16="http://schemas.microsoft.com/office/drawing/2014/chart" uri="{C3380CC4-5D6E-409C-BE32-E72D297353CC}">
              <c16:uniqueId val="{00000000-9F29-4C79-88F3-F511BBCA473E}"/>
            </c:ext>
          </c:extLst>
        </c:ser>
        <c:dLbls>
          <c:dLblPos val="outEnd"/>
          <c:showLegendKey val="0"/>
          <c:showVal val="1"/>
          <c:showCatName val="0"/>
          <c:showSerName val="0"/>
          <c:showPercent val="0"/>
          <c:showBubbleSize val="0"/>
        </c:dLbls>
        <c:gapWidth val="219"/>
        <c:overlap val="-27"/>
        <c:axId val="87692416"/>
        <c:axId val="87747584"/>
      </c:barChart>
      <c:catAx>
        <c:axId val="87692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747584"/>
        <c:crosses val="autoZero"/>
        <c:auto val="1"/>
        <c:lblAlgn val="ctr"/>
        <c:lblOffset val="100"/>
        <c:noMultiLvlLbl val="0"/>
      </c:catAx>
      <c:valAx>
        <c:axId val="8774758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69241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pattFill prst="dkUpDiag">
                <a:fgClr>
                  <a:schemeClr val="bg1">
                    <a:lumMod val="75000"/>
                  </a:schemeClr>
                </a:fgClr>
                <a:bgClr>
                  <a:schemeClr val="bg1"/>
                </a:bgClr>
              </a:pattFill>
              <a:ln>
                <a:noFill/>
              </a:ln>
              <a:effectLst/>
            </c:spPr>
            <c:extLst xmlns:c16r2="http://schemas.microsoft.com/office/drawing/2015/06/chart">
              <c:ext xmlns:c16="http://schemas.microsoft.com/office/drawing/2014/chart" uri="{C3380CC4-5D6E-409C-BE32-E72D297353CC}">
                <c16:uniqueId val="{00000001-8A2D-4FF8-A1B6-D5778018F3C4}"/>
              </c:ext>
            </c:extLst>
          </c:dPt>
          <c:dPt>
            <c:idx val="1"/>
            <c:invertIfNegative val="0"/>
            <c:bubble3D val="0"/>
            <c:spPr>
              <a:pattFill prst="dkUpDiag">
                <a:fgClr>
                  <a:schemeClr val="bg1">
                    <a:lumMod val="75000"/>
                  </a:schemeClr>
                </a:fgClr>
                <a:bgClr>
                  <a:schemeClr val="bg1"/>
                </a:bgClr>
              </a:pattFill>
              <a:ln>
                <a:noFill/>
                <a:prstDash val="solid"/>
              </a:ln>
              <a:effectLst/>
            </c:spPr>
            <c:extLst xmlns:c16r2="http://schemas.microsoft.com/office/drawing/2015/06/chart">
              <c:ext xmlns:c16="http://schemas.microsoft.com/office/drawing/2014/chart" uri="{C3380CC4-5D6E-409C-BE32-E72D297353CC}">
                <c16:uniqueId val="{00000003-8A2D-4FF8-A1B6-D5778018F3C4}"/>
              </c:ext>
            </c:extLst>
          </c:dPt>
          <c:dLbls>
            <c:dLbl>
              <c:idx val="0"/>
              <c:tx>
                <c:rich>
                  <a:bodyPr/>
                  <a:lstStyle/>
                  <a:p>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A2D-4FF8-A1B6-D5778018F3C4}"/>
                </c:ext>
              </c:extLst>
            </c:dLbl>
            <c:dLbl>
              <c:idx val="1"/>
              <c:tx>
                <c:rich>
                  <a:bodyPr/>
                  <a:lstStyle/>
                  <a:p>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A2D-4FF8-A1B6-D5778018F3C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3.13'!$B$4:$B$19</c:f>
              <c:strCache>
                <c:ptCount val="16"/>
                <c:pt idx="0">
                  <c:v>CZ</c:v>
                </c:pt>
                <c:pt idx="1">
                  <c:v>EL</c:v>
                </c:pt>
                <c:pt idx="2">
                  <c:v>IT</c:v>
                </c:pt>
                <c:pt idx="3">
                  <c:v>EE</c:v>
                </c:pt>
                <c:pt idx="4">
                  <c:v>ES</c:v>
                </c:pt>
                <c:pt idx="5">
                  <c:v>LT</c:v>
                </c:pt>
                <c:pt idx="6">
                  <c:v>FR</c:v>
                </c:pt>
                <c:pt idx="7">
                  <c:v>BG</c:v>
                </c:pt>
                <c:pt idx="8">
                  <c:v>DE</c:v>
                </c:pt>
                <c:pt idx="9">
                  <c:v>SE</c:v>
                </c:pt>
                <c:pt idx="10">
                  <c:v>DK</c:v>
                </c:pt>
                <c:pt idx="11">
                  <c:v>IE</c:v>
                </c:pt>
                <c:pt idx="12">
                  <c:v>SI</c:v>
                </c:pt>
                <c:pt idx="13">
                  <c:v>AT</c:v>
                </c:pt>
                <c:pt idx="14">
                  <c:v>SK</c:v>
                </c:pt>
                <c:pt idx="15">
                  <c:v>UK</c:v>
                </c:pt>
              </c:strCache>
            </c:strRef>
          </c:cat>
          <c:val>
            <c:numRef>
              <c:f>'Figure 3.13'!$D$4:$D$19</c:f>
              <c:numCache>
                <c:formatCode>0%</c:formatCode>
                <c:ptCount val="16"/>
                <c:pt idx="0">
                  <c:v>1</c:v>
                </c:pt>
                <c:pt idx="1">
                  <c:v>1</c:v>
                </c:pt>
                <c:pt idx="2">
                  <c:v>0.6310679611650486</c:v>
                </c:pt>
                <c:pt idx="3">
                  <c:v>0.58064516129032262</c:v>
                </c:pt>
                <c:pt idx="4">
                  <c:v>0.50239234449760761</c:v>
                </c:pt>
                <c:pt idx="5">
                  <c:v>0.42105263157894735</c:v>
                </c:pt>
                <c:pt idx="6">
                  <c:v>0.21533923303834809</c:v>
                </c:pt>
                <c:pt idx="7">
                  <c:v>0.20987654320987653</c:v>
                </c:pt>
                <c:pt idx="8">
                  <c:v>0.19340849956634865</c:v>
                </c:pt>
                <c:pt idx="9">
                  <c:v>0.17156862745098039</c:v>
                </c:pt>
                <c:pt idx="10">
                  <c:v>9.8360655737704916E-2</c:v>
                </c:pt>
                <c:pt idx="11">
                  <c:v>8.1632653061224483E-2</c:v>
                </c:pt>
                <c:pt idx="12">
                  <c:v>4.1666666666666664E-2</c:v>
                </c:pt>
                <c:pt idx="13">
                  <c:v>3.4090909090909088E-2</c:v>
                </c:pt>
                <c:pt idx="14">
                  <c:v>2.3809523809523808E-2</c:v>
                </c:pt>
                <c:pt idx="15">
                  <c:v>5.6657223796033997E-3</c:v>
                </c:pt>
              </c:numCache>
            </c:numRef>
          </c:val>
          <c:extLst xmlns:c16r2="http://schemas.microsoft.com/office/drawing/2015/06/chart">
            <c:ext xmlns:c16="http://schemas.microsoft.com/office/drawing/2014/chart" uri="{C3380CC4-5D6E-409C-BE32-E72D297353CC}">
              <c16:uniqueId val="{00000004-8A2D-4FF8-A1B6-D5778018F3C4}"/>
            </c:ext>
          </c:extLst>
        </c:ser>
        <c:dLbls>
          <c:dLblPos val="outEnd"/>
          <c:showLegendKey val="0"/>
          <c:showVal val="1"/>
          <c:showCatName val="0"/>
          <c:showSerName val="0"/>
          <c:showPercent val="0"/>
          <c:showBubbleSize val="0"/>
        </c:dLbls>
        <c:gapWidth val="219"/>
        <c:overlap val="-27"/>
        <c:axId val="106342656"/>
        <c:axId val="63509248"/>
      </c:barChart>
      <c:catAx>
        <c:axId val="106342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09248"/>
        <c:crosses val="autoZero"/>
        <c:auto val="1"/>
        <c:lblAlgn val="ctr"/>
        <c:lblOffset val="100"/>
        <c:noMultiLvlLbl val="0"/>
      </c:catAx>
      <c:valAx>
        <c:axId val="63509248"/>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063426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3.14'!$B$4:$B$12</c:f>
              <c:strCache>
                <c:ptCount val="9"/>
                <c:pt idx="0">
                  <c:v>ES</c:v>
                </c:pt>
                <c:pt idx="1">
                  <c:v>IT</c:v>
                </c:pt>
                <c:pt idx="2">
                  <c:v>DK</c:v>
                </c:pt>
                <c:pt idx="3">
                  <c:v>EE</c:v>
                </c:pt>
                <c:pt idx="4">
                  <c:v>MT</c:v>
                </c:pt>
                <c:pt idx="5">
                  <c:v>LT</c:v>
                </c:pt>
                <c:pt idx="6">
                  <c:v>DE</c:v>
                </c:pt>
                <c:pt idx="7">
                  <c:v>PL</c:v>
                </c:pt>
                <c:pt idx="8">
                  <c:v>UK</c:v>
                </c:pt>
              </c:strCache>
            </c:strRef>
          </c:cat>
          <c:val>
            <c:numRef>
              <c:f>'Figure 3.14'!$C$4:$C$12</c:f>
              <c:numCache>
                <c:formatCode>0%</c:formatCode>
                <c:ptCount val="9"/>
                <c:pt idx="0">
                  <c:v>0.36363636363636365</c:v>
                </c:pt>
                <c:pt idx="1">
                  <c:v>0.35922330097087379</c:v>
                </c:pt>
                <c:pt idx="2">
                  <c:v>0.29508196721311475</c:v>
                </c:pt>
                <c:pt idx="3">
                  <c:v>0.12903225806451613</c:v>
                </c:pt>
                <c:pt idx="4">
                  <c:v>0.125</c:v>
                </c:pt>
                <c:pt idx="5">
                  <c:v>5.2631578947368418E-2</c:v>
                </c:pt>
                <c:pt idx="6">
                  <c:v>4.6834345186470075E-2</c:v>
                </c:pt>
                <c:pt idx="7">
                  <c:v>2.717391304347826E-2</c:v>
                </c:pt>
                <c:pt idx="8">
                  <c:v>2.5495750708215296E-2</c:v>
                </c:pt>
              </c:numCache>
            </c:numRef>
          </c:val>
          <c:extLst xmlns:c16r2="http://schemas.microsoft.com/office/drawing/2015/06/chart">
            <c:ext xmlns:c16="http://schemas.microsoft.com/office/drawing/2014/chart" uri="{C3380CC4-5D6E-409C-BE32-E72D297353CC}">
              <c16:uniqueId val="{00000000-C58E-4921-9EB3-0A6912298F33}"/>
            </c:ext>
          </c:extLst>
        </c:ser>
        <c:dLbls>
          <c:dLblPos val="outEnd"/>
          <c:showLegendKey val="0"/>
          <c:showVal val="1"/>
          <c:showCatName val="0"/>
          <c:showSerName val="0"/>
          <c:showPercent val="0"/>
          <c:showBubbleSize val="0"/>
        </c:dLbls>
        <c:gapWidth val="219"/>
        <c:overlap val="-27"/>
        <c:axId val="63536512"/>
        <c:axId val="63551744"/>
      </c:barChart>
      <c:catAx>
        <c:axId val="63536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3551744"/>
        <c:crosses val="autoZero"/>
        <c:auto val="1"/>
        <c:lblAlgn val="ctr"/>
        <c:lblOffset val="100"/>
        <c:noMultiLvlLbl val="0"/>
      </c:catAx>
      <c:valAx>
        <c:axId val="635517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365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3.24'!$B$4:$B$14</c:f>
              <c:strCache>
                <c:ptCount val="11"/>
                <c:pt idx="0">
                  <c:v>DE</c:v>
                </c:pt>
                <c:pt idx="1">
                  <c:v>NL</c:v>
                </c:pt>
                <c:pt idx="2">
                  <c:v>BG</c:v>
                </c:pt>
                <c:pt idx="3">
                  <c:v>IT</c:v>
                </c:pt>
                <c:pt idx="4">
                  <c:v>BE</c:v>
                </c:pt>
                <c:pt idx="5">
                  <c:v>LV</c:v>
                </c:pt>
                <c:pt idx="6">
                  <c:v>PL</c:v>
                </c:pt>
                <c:pt idx="7">
                  <c:v>PT</c:v>
                </c:pt>
                <c:pt idx="8">
                  <c:v>FI</c:v>
                </c:pt>
                <c:pt idx="9">
                  <c:v>HU</c:v>
                </c:pt>
                <c:pt idx="10">
                  <c:v>DK</c:v>
                </c:pt>
              </c:strCache>
            </c:strRef>
          </c:cat>
          <c:val>
            <c:numRef>
              <c:f>'Figure 3.24'!$C$4:$C$14</c:f>
              <c:numCache>
                <c:formatCode>General</c:formatCode>
                <c:ptCount val="11"/>
                <c:pt idx="0">
                  <c:v>10</c:v>
                </c:pt>
                <c:pt idx="1">
                  <c:v>6</c:v>
                </c:pt>
                <c:pt idx="2">
                  <c:v>5</c:v>
                </c:pt>
                <c:pt idx="3">
                  <c:v>2</c:v>
                </c:pt>
                <c:pt idx="4">
                  <c:v>1</c:v>
                </c:pt>
                <c:pt idx="5">
                  <c:v>1</c:v>
                </c:pt>
                <c:pt idx="6">
                  <c:v>1</c:v>
                </c:pt>
                <c:pt idx="7">
                  <c:v>1</c:v>
                </c:pt>
                <c:pt idx="8">
                  <c:v>1</c:v>
                </c:pt>
                <c:pt idx="9">
                  <c:v>1</c:v>
                </c:pt>
                <c:pt idx="10">
                  <c:v>1</c:v>
                </c:pt>
              </c:numCache>
            </c:numRef>
          </c:val>
          <c:extLst xmlns:c16r2="http://schemas.microsoft.com/office/drawing/2015/06/chart">
            <c:ext xmlns:c16="http://schemas.microsoft.com/office/drawing/2014/chart" uri="{C3380CC4-5D6E-409C-BE32-E72D297353CC}">
              <c16:uniqueId val="{00000000-6DAC-439F-ACCE-5A564F8D8D19}"/>
            </c:ext>
          </c:extLst>
        </c:ser>
        <c:dLbls>
          <c:dLblPos val="outEnd"/>
          <c:showLegendKey val="0"/>
          <c:showVal val="1"/>
          <c:showCatName val="0"/>
          <c:showSerName val="0"/>
          <c:showPercent val="0"/>
          <c:showBubbleSize val="0"/>
        </c:dLbls>
        <c:gapWidth val="219"/>
        <c:overlap val="-27"/>
        <c:axId val="83559936"/>
        <c:axId val="83562880"/>
      </c:barChart>
      <c:catAx>
        <c:axId val="83559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562880"/>
        <c:crosses val="autoZero"/>
        <c:auto val="1"/>
        <c:lblAlgn val="ctr"/>
        <c:lblOffset val="100"/>
        <c:noMultiLvlLbl val="0"/>
      </c:catAx>
      <c:valAx>
        <c:axId val="8356288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835599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EurolookProperties>
  <ProductCustomizationId>EC</ProductCustomizationId>
  <Created>
    <Version>10.0.41789.0</Version>
    <Date>2020-12-07T18:47:50</Date>
    <Language>EN</Language>
    <Note>Upgraded from EL4.6 (rep.dot)</Note>
  </Created>
  <Edited>
    <Version>10.0.42447.0</Version>
    <Date>2021-09-13T12:15:55</Date>
  </Edited>
  <DocumentModel>
    <Id>6cbda13a-4db2-46c6-876a-ef72275827ef</Id>
    <Name>Report</Name>
  </DocumentModel>
  <DocumentDate>2020-12-07T18:47:50</DocumentDate>
  <DocumentVersion>0.1</DocumentVersion>
  <CompatibilityMode>Eurolook10</CompatibilityMode>
  <DocumentMetadata>
    <EC_SecurityDistributionSensitive MetadataSerializationType="SimpleValue"/>
    <EC_SecurityDateMarking MetadataSerializationType="SimpleValue"/>
    <EC_SecurityReleasability MetadataSerializationType="SimpleValue"/>
    <EC_SecurityMarking MetadataSerializationType="SimpleValue"/>
    <EC_SecurityDateMarkingDate MetadataSerializationType="SimpleValue"/>
    <EC_SecurityDistributionDG MetadataSerializationType="SimpleValue"/>
    <EC_SecurityDateMarkingEvent MetadataSerializationType="SimpleValue"/>
    <EC_SecurityDistributionSpecialHandling MetadataSerializationType="SimpleValue"/>
    <EC_SecurityDistributionWorkingGroup MetadataSerializationType="SimpleValue"/>
  </DocumentMetadata>
</EurolookProperties>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Table>Table </Table>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mbargoUnlimited>Embargo (Unlimited)</EmbargoUnlimited>
  <SecurityCompOperations>COMP Operations</SecurityCompOperations>
  <SecurityOpinionLegalService>Opinion of the Legal Service</SecurityOpinionLegalService>
  <FooterPhone>Απευθείας τηλεφωνική γραμμή</FooterPhone>
  <FooterFax>Fax</FooterFax>
  <FooterOffice>Γραφείο:</FooterOffice>
  <SecurityPharmaSpecial>Pharma Investigations</SecurityPharmaSpecial>
  <SpecialHandlingFootnote>Special handling instructions are given at </SpecialHandlingFootnote>
  <PharmaHandlingInstructions>{field:HYPERLINK "https://myintracomm.ec.europa.eu/corp/security/EN/newDS3/SensitiveInformation/Pages/SPECIAL-HANDLING-INFORMATION-Pharma-investigations.aspx?ln=en" |https://myintracomm.ec.europa.eu/corp/security/EN/newDS3/SensitiveInformation/Pages/SPECIAL-HANDLING-INFORMATION-Pharma-investigations.aspx?ln=en}</PharmaHandlingInstructions>
  <SpecialHandlingLabel>Special Handling</SpecialHandlingLabel>
  <TOCHeading>Table of Contents</TOCHeading>
  <CLIMAfootnotetext>{field:HYPERLINK "https://myintracomm.ec.europa.eu/corp/security/EN/newDS3/SensitiveInformation/Pages/SPECIAL-HANDLING-INFORMATION-DG-CLIMA.aspx?ln=en" |https://myintracomm.ec.europa.eu/corp/security/EN/newDS3/SensitiveInformation/Pages/SPECIAL-HANDLING-INFORMATION-DG-CLIMA.aspx?ln=en}</CLIMAfootnotetext>
  <SpecialHandlingClima>CLIMA</SpecialHandlingClima>
  <AddressFooterBrussels>Commission européenne/Europese Commissie, 1049 Bruxelles/Brussel, BELGIQUE/BELGIË - Tel. +32 22991111</AddressFooterBrussels>
  <AddresseeTo>To:</AddresseeTo>
  <SecurityMedicalSecret>Medical Secret</SecurityMedicalSecret>
  <SecurityStaffMatter>Staff Matter</SecurityStaffMatter>
  <SecurityMediationServiceMatter>Mediation Service</SecurityMediationServiceMatter>
  <SecurityReleasable>RELEASABLE TO:</SecurityReleasable>
  <LabelPictureSeq>Figure {SEQ Figure \* ARABIC }: </LabelPictureSeq>
  <LabelSource>Source</LabelSourc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HandlingInstructions>{field:HYPERLINK "https://myintracomm.ec.europa.eu/corp/security/EN/newDS3/SensitiveInformation/Pages/SPECIAL-HANDLING-INFORMATION-OLAF-Investigations.aspx?ln=en" |https://myintracomm.ec.europa.eu/corp/security/EN/newDS3/SensitiveInformation/Pages/SPECIAL-HANDLING-INFORMATION-OLAF-Investigations.aspx?ln=en}</OLAFHandlingInstructions>
  <SecurityOlafSpecialHandling>OLAF Investigations</SecurityOlafSpecialHandling>
  <SecurityCompSpecial>COMP</SecurityCompSpecial>
  <COMPFootnoteText>{field:HYPERLINK "https://myintracomm.ec.europa.eu/corp/security/EN/newDS3/SensitiveInformation/Pages/SPECIAL-HANDLING-INFORMATION-DG-COMP.aspx?ln=en" |https://myintracomm.ec.europa.eu/corp/security/EN/newDS3/SensitiveInformation/Pages/SPECIAL-HANDLING-INFORMATION-DG-COMP.aspx?ln=en}</COMPFootnoteText>
  <DateFormatShort>dd/MM/yyyy</DateFormatShort>
  <DateFormatLong>d MMMM yyyy</DateFormatLong>
</Texts>
</file>

<file path=customXml/item3.xml><?xml version="1.0" encoding="utf-8"?>
<Author Role="Creator" AuthorRoleName="Writer" AuthorRoleId="a4fbaff4-b07c-48b4-a21e-e7b9eedf3796">
  <Id>eb9c7dd9-a4bb-44cb-9020-e0737f207114</Id>
  <Names>
    <Latin>
      <FirstName>Camille</FirstName>
      <LastName>SIEFRIDT</LastName>
    </Latin>
    <Greek>
      <FirstName/>
      <LastName/>
    </Greek>
    <Cyrillic>
      <FirstName/>
      <LastName/>
    </Cyrillic>
    <DocumentScript>
      <FirstName>Camille</FirstName>
      <LastName>SIEFRIDT</LastName>
      <FullName>Camille SIEFRIDT</FullName>
    </DocumentScript>
  </Names>
  <Initials>CS</Initials>
  <Gender>m</Gender>
  <Email>Camille.SIEFRIDT@ec.europa.eu</Email>
  <Service>ENV.C.4</Service>
  <Function ADCode="" ShowInSignature="true" ShowInHeader="false" HeaderText=""/>
  <WebAddress/>
  <InheritedWebAddress>WebAddress</InheritedWebAddress>
  <OrgaEntity1>
    <Id>97cead3c-fd4c-47cd-8c1d-f49ace8dda92</Id>
    <LogicalLevel>1</LogicalLevel>
    <Name>ENV</Name>
    <HeadLine1>DIRECTORATE-GENERAL</HeadLine1>
    <HeadLine2>ENVIRONMENT</HeadLine2>
    <PrimaryAddressId>f03b5801-04c9-4931-aa17-c6d6c70bc579</PrimaryAddressId>
    <SecondaryAddressId/>
    <WebAddress>WebAddress</WebAddress>
    <InheritedWebAddress>WebAddress</InheritedWebAddress>
    <ShowInHeader>true</ShowInHeader>
  </OrgaEntity1>
  <OrgaEntity2>
    <Id>c6dcdd11-6a02-469f-8248-c573926d1e58</Id>
    <LogicalLevel>2</LogicalLevel>
    <Name>ENV.C</Name>
    <HeadLine1>Quality of Life</HeadLine1>
    <HeadLine2/>
    <PrimaryAddressId>f03b5801-04c9-4931-aa17-c6d6c70bc579</PrimaryAddressId>
    <SecondaryAddressId/>
    <WebAddress/>
    <InheritedWebAddress>WebAddress</InheritedWebAddress>
    <ShowInHeader>true</ShowInHeader>
  </OrgaEntity2>
  <OrgaEntity3>
    <Id>c8877b66-0272-4e08-94c4-c1a57d78d5d0</Id>
    <LogicalLevel>3</LogicalLevel>
    <Name>ENV.C.4</Name>
    <HeadLine1>Industrial Emissions &amp; Safety</HeadLine1>
    <HeadLine2/>
    <PrimaryAddressId>f03b5801-04c9-4931-aa17-c6d6c70bc579</PrimaryAddressId>
    <SecondaryAddressId/>
    <WebAddress/>
    <InheritedWebAddress>WebAddress</InheritedWebAddress>
    <ShowInHeader>true</ShowInHeader>
  </OrgaEntity3>
  <Hierarchy>
    <OrgaEntity>
      <Id>97cead3c-fd4c-47cd-8c1d-f49ace8dda92</Id>
      <LogicalLevel>1</LogicalLevel>
      <Name>ENV</Name>
      <HeadLine1>DIRECTORATE-GENERAL</HeadLine1>
      <HeadLine2>ENVIRONMENT</HeadLine2>
      <PrimaryAddressId>f03b5801-04c9-4931-aa17-c6d6c70bc579</PrimaryAddressId>
      <SecondaryAddressId/>
      <WebAddress>WebAddress</WebAddress>
      <InheritedWebAddress>WebAddress</InheritedWebAddress>
      <ShowInHeader>true</ShowInHeader>
    </OrgaEntity>
    <OrgaEntity>
      <Id>c6dcdd11-6a02-469f-8248-c573926d1e58</Id>
      <LogicalLevel>2</LogicalLevel>
      <Name>ENV.C</Name>
      <HeadLine1>Quality of Life</HeadLine1>
      <HeadLine2/>
      <PrimaryAddressId>f03b5801-04c9-4931-aa17-c6d6c70bc579</PrimaryAddressId>
      <SecondaryAddressId/>
      <WebAddress/>
      <InheritedWebAddress>WebAddress</InheritedWebAddress>
      <ShowInHeader>true</ShowInHeader>
    </OrgaEntity>
    <OrgaEntity>
      <Id>c8877b66-0272-4e08-94c4-c1a57d78d5d0</Id>
      <LogicalLevel>3</LogicalLevel>
      <Name>ENV.C.4</Name>
      <HeadLine1>Industrial Emissions &amp; Safety</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Tηλ. +32 22991111</Footer>
    </Address>
  </Addresses>
  <JobAssignmentId/>
  <MainWorkplace IsMain="true">
    <AddressId>f03b5801-04c9-4931-aa17-c6d6c70bc579</AddressId>
    <Fax/>
    <Phone>+32 22956872</Phone>
    <Office>BU-9 04/036</Office>
  </MainWorkplace>
  <Workplaces>
    <Workplace IsMain="true">
      <AddressId>f03b5801-04c9-4931-aa17-c6d6c70bc579</AddressId>
      <Fax/>
      <Phone>+32 22956872</Phone>
      <Office>BU-9 04/036</Office>
    </Workplace>
    <Workplace IsMain="false">
      <AddressId>f03b5801-04c9-4931-aa17-c6d6c70bc579</AddressId>
      <Fax/>
      <Phone/>
      <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72A8C318-4735-47E7-B4E8-78E5258EE8E7}">
  <ds:schemaRefs/>
</ds:datastoreItem>
</file>

<file path=customXml/itemProps4.xml><?xml version="1.0" encoding="utf-8"?>
<ds:datastoreItem xmlns:ds="http://schemas.openxmlformats.org/officeDocument/2006/customXml" ds:itemID="{D0529D00-18C4-4916-91BB-C664A007F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4375</Words>
  <Characters>25467</Characters>
  <Application>Microsoft Office Word</Application>
  <DocSecurity>0</DocSecurity>
  <PresentationFormat>Microsoft Word 14.0</PresentationFormat>
  <Lines>463</Lines>
  <Paragraphs>140</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30</cp:revision>
  <dcterms:created xsi:type="dcterms:W3CDTF">2021-09-14T07:15:00Z</dcterms:created>
  <dcterms:modified xsi:type="dcterms:W3CDTF">2021-09-23T12:14:00Z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7.0.1, Build 20200226</vt:lpwstr>
  </property>
  <property fmtid="{D5CDD505-2E9C-101B-9397-08002B2CF9AE}" pid="8" name="Created using">
    <vt:lpwstr>LW 7.0, Build 20190717</vt:lpwstr>
  </property>
  <property fmtid="{D5CDD505-2E9C-101B-9397-08002B2CF9AE}" pid="9" name="_LW_INVALIDATED__LW_INVALIDATED__LW_INVALIDATED__LW_INVALIDATED_EurolookVersion">
    <vt:lpwstr>10.0</vt:lpwstr>
  </property>
  <property fmtid="{D5CDD505-2E9C-101B-9397-08002B2CF9AE}" pid="10" name="_LW_INVALIDATED__LW_INVALIDATED__LW_INVALIDATED__LW_INVALIDATED_ELDocType">
    <vt:lpwstr>rep.dot</vt:lpwstr>
  </property>
</Properties>
</file>