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6497A002-61C4-4F22-B5CB-524B3A394672" style="width:455.25pt;height:383.2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spacing w:before="120" w:after="120" w:line="240" w:lineRule="auto"/>
        <w:jc w:val="center"/>
        <w:rPr>
          <w:rFonts w:ascii="Times New Roman" w:hAnsi="Times New Roman" w:cs="Times New Roman"/>
          <w:b/>
          <w:bCs/>
          <w:noProof/>
          <w:sz w:val="24"/>
          <w:szCs w:val="24"/>
          <w:u w:val="single"/>
        </w:rPr>
      </w:pPr>
      <w:bookmarkStart w:id="1" w:name="_GoBack"/>
      <w:bookmarkEnd w:id="1"/>
      <w:r>
        <w:rPr>
          <w:rFonts w:ascii="Times New Roman" w:hAnsi="Times New Roman"/>
          <w:b/>
          <w:bCs/>
          <w:noProof/>
          <w:sz w:val="24"/>
          <w:szCs w:val="24"/>
          <w:u w:val="single"/>
        </w:rPr>
        <w:lastRenderedPageBreak/>
        <w:t xml:space="preserve">LISA </w:t>
      </w:r>
    </w:p>
    <w:p>
      <w:pPr>
        <w:spacing w:before="120" w:after="120" w:line="240" w:lineRule="auto"/>
        <w:jc w:val="both"/>
        <w:rPr>
          <w:rFonts w:ascii="Times New Roman" w:hAnsi="Times New Roman" w:cs="Times New Roman"/>
          <w:noProof/>
          <w:sz w:val="24"/>
        </w:rPr>
      </w:pPr>
    </w:p>
    <w:p>
      <w:pPr>
        <w:pStyle w:val="Heading1"/>
        <w:tabs>
          <w:tab w:val="clear" w:pos="850"/>
        </w:tabs>
        <w:ind w:left="0" w:firstLine="0"/>
        <w:rPr>
          <w:noProof/>
        </w:rPr>
      </w:pPr>
      <w:r>
        <w:rPr>
          <w:noProof/>
        </w:rPr>
        <w:t>1. JAGU. TAASTE- JA VASTUPIDAVUSKAVAGA ETTE NÄHTUD REFORMID JA INVESTEERINGUD</w:t>
      </w:r>
    </w:p>
    <w:p>
      <w:pPr>
        <w:spacing w:before="120" w:after="120" w:line="240" w:lineRule="auto"/>
        <w:jc w:val="both"/>
        <w:rPr>
          <w:rFonts w:ascii="Times New Roman" w:hAnsi="Times New Roman" w:cs="Times New Roman"/>
          <w:noProof/>
          <w:sz w:val="24"/>
        </w:rPr>
      </w:pPr>
    </w:p>
    <w:p>
      <w:pPr>
        <w:numPr>
          <w:ilvl w:val="0"/>
          <w:numId w:val="23"/>
        </w:numPr>
        <w:tabs>
          <w:tab w:val="clear" w:pos="1418"/>
        </w:tabs>
        <w:spacing w:before="120" w:after="120" w:line="240" w:lineRule="auto"/>
        <w:ind w:left="851" w:hanging="851"/>
        <w:jc w:val="both"/>
        <w:rPr>
          <w:rFonts w:ascii="Times New Roman" w:hAnsi="Times New Roman" w:cs="Times New Roman"/>
          <w:b/>
          <w:bCs/>
          <w:noProof/>
          <w:sz w:val="24"/>
          <w:szCs w:val="24"/>
        </w:rPr>
      </w:pPr>
      <w:r>
        <w:rPr>
          <w:rFonts w:ascii="Times New Roman" w:hAnsi="Times New Roman"/>
          <w:b/>
          <w:bCs/>
          <w:noProof/>
          <w:sz w:val="24"/>
          <w:szCs w:val="24"/>
        </w:rPr>
        <w:t xml:space="preserve">Reformide ja investeeringute kirjeldus </w:t>
      </w:r>
    </w:p>
    <w:p>
      <w:pPr>
        <w:keepNext/>
        <w:tabs>
          <w:tab w:val="left" w:pos="850"/>
        </w:tabs>
        <w:spacing w:before="360" w:after="120" w:line="240" w:lineRule="auto"/>
        <w:ind w:left="850" w:hanging="850"/>
        <w:jc w:val="both"/>
        <w:outlineLvl w:val="0"/>
        <w:rPr>
          <w:rFonts w:ascii="Times New Roman" w:hAnsi="Times New Roman" w:cs="Times New Roman"/>
          <w:b/>
          <w:bCs/>
          <w:smallCaps/>
          <w:noProof/>
          <w:sz w:val="24"/>
          <w:szCs w:val="24"/>
        </w:rPr>
      </w:pPr>
      <w:r>
        <w:rPr>
          <w:noProof/>
        </w:rPr>
        <w:tab/>
      </w:r>
      <w:r>
        <w:rPr>
          <w:rFonts w:ascii="Times New Roman" w:hAnsi="Times New Roman"/>
          <w:b/>
          <w:bCs/>
          <w:smallCaps/>
          <w:noProof/>
          <w:sz w:val="24"/>
          <w:szCs w:val="24"/>
        </w:rPr>
        <w:t>A. KOMPONENT 1. Ettevõtete digipööre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Eesti taaste- ja vastupidavuskava selle komponendi eesmärk on edendada Eesti ettevõtetes digipööret ja suurendada nende konkurentsivõimet, eelkõige eksporditurgudel. Kavaga antakse rahalist toetust kõigi sektorite ettevõtjatele nende digipöörde eri etappides, keskendudes VKEdele ja mikroettevõtjatele, ning antakse konkreetne panus digilahenduste juurutamisse ja kasutuselevõttu ehitus- ja autokaubaveo sektoris. Samuti pööratakse selle komponendi raames erilist tähelepanu digioskustele, et suurendada VKEde juhtide teadlikkust ning toetada info- ja kommunikatsioonitehnoloogia (IKT) spetsialistide oskuste täiendamist ja ümberõpet.</w:t>
      </w:r>
    </w:p>
    <w:p>
      <w:pPr>
        <w:spacing w:before="120" w:after="120" w:line="240" w:lineRule="auto"/>
        <w:jc w:val="both"/>
        <w:rPr>
          <w:rFonts w:ascii="Times New Roman" w:hAnsi="Times New Roman" w:cs="Times New Roman"/>
          <w:noProof/>
          <w:sz w:val="24"/>
          <w:szCs w:val="24"/>
        </w:rPr>
      </w:pPr>
      <w:r>
        <w:rPr>
          <w:rFonts w:ascii="Times New Roman" w:hAnsi="Times New Roman"/>
          <w:iCs/>
          <w:noProof/>
          <w:sz w:val="24"/>
          <w:szCs w:val="24"/>
        </w:rPr>
        <w:t>Meetmed, mille eesmärk on toetada ekspordivõimaluste leidmist ja Eesti ettevõtete nähtavuse suurendamist välismaal, viiakse ellu koostoimes Ettevõtluse Arendamise Sihtasutuse tegevusega.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Komponendi meetmed aitavad rakendada digipöördesse investeerimist ja oskuste nappust käsitlevaid riigipõhiseid soovitusi (2020. aasta riigipõhine soovitus nr 3 ja 2019. aasta riigipõhine soovitus nr 2).</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Lähtudes meetmete kirjeldusest taaste- ja vastupidavuskavas ja võttes arvesse põhimõtte „Ei kahjusta oluliselt“ tehniliste suuniste (2021/C58/01) kohaseid leevendavaid samme, mis kavas on sätestatud, võib eeldada, et ükski selle komponendi meede ei kahjusta määruse (EL) 2020/852 artikli 17 tähenduses oluliselt keskkonnaeesmärke. </w:t>
      </w:r>
    </w:p>
    <w:p>
      <w:pPr>
        <w:spacing w:before="120" w:after="120" w:line="240" w:lineRule="auto"/>
        <w:ind w:left="850"/>
        <w:jc w:val="both"/>
        <w:rPr>
          <w:rFonts w:ascii="Times New Roman" w:hAnsi="Times New Roman" w:cs="Times New Roman"/>
          <w:noProof/>
          <w:sz w:val="24"/>
          <w:szCs w:val="24"/>
        </w:rPr>
      </w:pPr>
    </w:p>
    <w:p>
      <w:pPr>
        <w:spacing w:before="120" w:after="120" w:line="240" w:lineRule="auto"/>
        <w:jc w:val="both"/>
        <w:rPr>
          <w:rFonts w:ascii="Times New Roman" w:hAnsi="Times New Roman" w:cs="Times New Roman"/>
          <w:b/>
          <w:bCs/>
          <w:noProof/>
          <w:sz w:val="24"/>
          <w:szCs w:val="24"/>
          <w:u w:val="single"/>
        </w:rPr>
      </w:pPr>
      <w:r>
        <w:rPr>
          <w:rFonts w:ascii="Times New Roman" w:hAnsi="Times New Roman"/>
          <w:b/>
          <w:bCs/>
          <w:noProof/>
          <w:sz w:val="24"/>
          <w:szCs w:val="24"/>
          <w:u w:val="single"/>
        </w:rPr>
        <w:t xml:space="preserve">A.1. </w:t>
      </w:r>
      <w:r>
        <w:rPr>
          <w:noProof/>
          <w:u w:val="single"/>
        </w:rPr>
        <w:tab/>
      </w:r>
      <w:r>
        <w:rPr>
          <w:rFonts w:ascii="Times New Roman" w:hAnsi="Times New Roman"/>
          <w:b/>
          <w:bCs/>
          <w:noProof/>
          <w:sz w:val="24"/>
          <w:szCs w:val="24"/>
          <w:u w:val="single"/>
        </w:rPr>
        <w:t>Tagastamatu rahalise toetusega seotud reformide ja investeeringute kirjeldus</w:t>
      </w:r>
    </w:p>
    <w:p>
      <w:pPr>
        <w:keepNext/>
        <w:numPr>
          <w:ilvl w:val="0"/>
          <w:numId w:val="29"/>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Investeering: Ettevõtete digipööre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Meetme eesmärk on soodustada ettevõtetes digipööret, keskendudes eelkõige VKEdele ja mikroettevõtjatele.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Meetmega antakse rahalist toetust Eestis mis tahes sektoris tegutsevatele VKEdele ja mikroettevõtetele nende digipöördega seotud tegevuseks ja investeeringuteks. Rahalist toetust täiendavad äriühingute omavahendid ning see hõlmab üht või mitut järgmistest tegevustest:</w:t>
      </w:r>
    </w:p>
    <w:p>
      <w:pPr>
        <w:numPr>
          <w:ilvl w:val="0"/>
          <w:numId w:val="27"/>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digitehnoloogia kasutuselevõtt,</w:t>
      </w:r>
    </w:p>
    <w:p>
      <w:pPr>
        <w:numPr>
          <w:ilvl w:val="0"/>
          <w:numId w:val="27"/>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tööstusandmepilvede arendamine,</w:t>
      </w:r>
    </w:p>
    <w:p>
      <w:pPr>
        <w:numPr>
          <w:ilvl w:val="0"/>
          <w:numId w:val="27"/>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tööstusuuringud, arendustegevus, testimine ja katseprojektid;</w:t>
      </w:r>
    </w:p>
    <w:p>
      <w:pPr>
        <w:numPr>
          <w:ilvl w:val="0"/>
          <w:numId w:val="27"/>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teostatavusuuringud ning nõustamis- ja tugiteenused,</w:t>
      </w:r>
    </w:p>
    <w:p>
      <w:pPr>
        <w:numPr>
          <w:ilvl w:val="0"/>
          <w:numId w:val="27"/>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töötajate koolitamine.</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Rahastamine toimub avatud projektikonkursside kaudu.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Et meede oleks kindlasti kooskõlas põhimõtte „Ei kahjusta oluliselt“ tehniliste suunistega (2021/C58/01), välistatakse konkursitingimustes sisalduvate rahastamiskõlblikkuse </w:t>
      </w:r>
      <w:r>
        <w:rPr>
          <w:rFonts w:ascii="Times New Roman" w:hAnsi="Times New Roman"/>
          <w:noProof/>
          <w:sz w:val="24"/>
          <w:szCs w:val="24"/>
        </w:rPr>
        <w:lastRenderedPageBreak/>
        <w:t>kriteeriumidega järgmiste tegevuste rahastamine:</w:t>
      </w:r>
      <w:r>
        <w:rPr>
          <w:rFonts w:ascii="Times New Roman" w:hAnsi="Times New Roman"/>
          <w:noProof/>
          <w:color w:val="FF0000"/>
          <w:sz w:val="24"/>
          <w:szCs w:val="24"/>
        </w:rPr>
        <w:t xml:space="preserve"> </w:t>
      </w:r>
      <w:r>
        <w:rPr>
          <w:rFonts w:ascii="Times New Roman" w:hAnsi="Times New Roman"/>
          <w:noProof/>
          <w:sz w:val="24"/>
          <w:szCs w:val="24"/>
        </w:rPr>
        <w:t>i) fossiilkütustega seotud tegevus, sealhulgas allkasutus tootmisahela järgmistes etappides</w:t>
      </w:r>
      <w:r>
        <w:rPr>
          <w:rFonts w:ascii="Times New Roman" w:eastAsia="Calibri" w:hAnsi="Times New Roman" w:cs="Times New Roman"/>
          <w:noProof/>
          <w:sz w:val="24"/>
          <w:szCs w:val="24"/>
          <w:vertAlign w:val="superscript"/>
        </w:rPr>
        <w:footnoteReference w:id="2"/>
      </w:r>
      <w:r>
        <w:rPr>
          <w:rFonts w:ascii="Times New Roman" w:hAnsi="Times New Roman"/>
          <w:noProof/>
          <w:sz w:val="24"/>
          <w:szCs w:val="24"/>
        </w:rPr>
        <w:t>; ii) ELi heitkogustega kauplemise süsteemi (HKS) raames toimuv tegevus, mille prognoositav kasvuhoonegaaside heide ei ole asjaomastest võrdlusalustest</w:t>
      </w:r>
      <w:r>
        <w:rPr>
          <w:rFonts w:ascii="Times New Roman" w:eastAsia="Calibri" w:hAnsi="Times New Roman" w:cs="Times New Roman"/>
          <w:noProof/>
          <w:sz w:val="24"/>
          <w:szCs w:val="24"/>
          <w:vertAlign w:val="superscript"/>
        </w:rPr>
        <w:footnoteReference w:id="3"/>
      </w:r>
      <w:r>
        <w:rPr>
          <w:rFonts w:ascii="Times New Roman" w:hAnsi="Times New Roman"/>
          <w:noProof/>
          <w:sz w:val="24"/>
          <w:szCs w:val="24"/>
        </w:rPr>
        <w:t xml:space="preserve"> madalam; iii) prügilate, jäätmepõletustehaste</w:t>
      </w:r>
      <w:r>
        <w:rPr>
          <w:rFonts w:ascii="Times New Roman" w:eastAsia="Calibri" w:hAnsi="Times New Roman" w:cs="Times New Roman"/>
          <w:noProof/>
          <w:sz w:val="24"/>
          <w:szCs w:val="24"/>
          <w:vertAlign w:val="superscript"/>
        </w:rPr>
        <w:footnoteReference w:id="4"/>
      </w:r>
      <w:r>
        <w:rPr>
          <w:rFonts w:ascii="Times New Roman" w:hAnsi="Times New Roman"/>
          <w:noProof/>
          <w:sz w:val="24"/>
          <w:szCs w:val="24"/>
        </w:rPr>
        <w:t xml:space="preserve"> ja mehhaanilis-bioloogilise töötlemise jaamadega</w:t>
      </w:r>
      <w:r>
        <w:rPr>
          <w:rFonts w:ascii="Times New Roman" w:eastAsia="Calibri" w:hAnsi="Times New Roman" w:cs="Times New Roman"/>
          <w:noProof/>
          <w:sz w:val="24"/>
          <w:szCs w:val="24"/>
          <w:vertAlign w:val="superscript"/>
        </w:rPr>
        <w:footnoteReference w:id="5"/>
      </w:r>
      <w:r>
        <w:rPr>
          <w:rFonts w:ascii="Times New Roman" w:hAnsi="Times New Roman"/>
          <w:noProof/>
          <w:sz w:val="24"/>
          <w:szCs w:val="24"/>
        </w:rPr>
        <w:t xml:space="preserve"> seotud tegevus; iv) tegevused, mille puhul jäätmete pikaajaline kõrvaldamine võib kahjustada keskkonda. Peale selle peab rahastamiskõlblikkuse kriteeriumides olema sätestatud tingimus, et valida võib ainult tegevusi, mis vastavad asjakohastele ELi ja riiklikele keskkonnaalastele õigusaktidele.</w:t>
      </w:r>
    </w:p>
    <w:p>
      <w:pPr>
        <w:spacing w:before="120" w:after="120" w:line="240" w:lineRule="auto"/>
        <w:jc w:val="both"/>
        <w:rPr>
          <w:rFonts w:ascii="Times New Roman" w:hAnsi="Times New Roman" w:cs="Times New Roman"/>
          <w:noProof/>
          <w:sz w:val="24"/>
        </w:rPr>
      </w:pPr>
      <w:r>
        <w:rPr>
          <w:rFonts w:ascii="Times New Roman" w:hAnsi="Times New Roman"/>
          <w:noProof/>
          <w:sz w:val="24"/>
          <w:szCs w:val="24"/>
        </w:rPr>
        <w:t>Meetme rakendamine viiakse lõpule 31. detsembriks 2025.</w:t>
      </w:r>
    </w:p>
    <w:p>
      <w:pPr>
        <w:spacing w:before="120" w:after="120" w:line="240" w:lineRule="auto"/>
        <w:ind w:left="850"/>
        <w:jc w:val="both"/>
        <w:rPr>
          <w:rFonts w:ascii="Times New Roman" w:hAnsi="Times New Roman" w:cs="Times New Roman"/>
          <w:noProof/>
          <w:sz w:val="24"/>
        </w:rPr>
      </w:pPr>
    </w:p>
    <w:p>
      <w:pPr>
        <w:keepNext/>
        <w:numPr>
          <w:ilvl w:val="0"/>
          <w:numId w:val="29"/>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Investeering: E-ehituse arendamine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Meetme eesmärk on kiirendada ehitussektori digipööret, et suurendada selle tootlikkust, vähendada keskkonnajalajälge ja parandada hoonete kvaliteeti. Investeering peaks soodustama ka laiemat ja tõhusamat andmete jagamist sidusrühmade vahel.</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Meede koosneb kolmest eri tegevussuunast:</w:t>
      </w:r>
    </w:p>
    <w:p>
      <w:pPr>
        <w:numPr>
          <w:ilvl w:val="0"/>
          <w:numId w:val="26"/>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tarkvaraliideste loomine riikliku e-ehituse platvormi (mida töötatakse praegu välja majandus- ja kommunikatsiooniministeeriumi ehitus- ja elamuosakonna juhtimisel) ning sektoris kasutatavate olemasolevate avaliku ja erasektori teabesüsteemide vahel, et muu hulgas automatiseerida hoonete regulatiivsetele nõuetele vastavuse kontrollimist ning sertifikaatide ja lubade väljastamist; see hõlmab e-ehituse platvormi kasutajate koolitamist (sealhulgas koolitusmaterjalide väljatöötamist);</w:t>
      </w:r>
    </w:p>
    <w:p>
      <w:pPr>
        <w:numPr>
          <w:ilvl w:val="0"/>
          <w:numId w:val="26"/>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rahvusvaheliste standardite ja parimate tavade juurutamise toetamine ehituse ja kinnisvara korrashoiu digitaliseerimisel, sealhulgas ehitusandmete klassifitseerimise süsteemi kasutuselevõtmise, ehitusmaterjalide ja ehitustoodete andmebaasi loomise ning ehitusteabe modelleerimise juurutamise teel kinnisvara korrashoiu valdkonnas;</w:t>
      </w:r>
    </w:p>
    <w:p>
      <w:pPr>
        <w:numPr>
          <w:ilvl w:val="0"/>
          <w:numId w:val="26"/>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 xml:space="preserve"> toetus (avatud projektikonkursside kaudu valitud) projektidele, mille eesmärk on rakendada digitaalehituse vahendeid ning arendada (ja prototüüpida) innovaatilisi era- ja avaliku sektori teenuseid, mis on ühendatud riikliku e-ehituse platvormiga.</w:t>
      </w:r>
    </w:p>
    <w:p>
      <w:pPr>
        <w:spacing w:before="120" w:after="120" w:line="240" w:lineRule="auto"/>
        <w:jc w:val="both"/>
        <w:rPr>
          <w:rFonts w:ascii="Times New Roman" w:hAnsi="Times New Roman" w:cs="Times New Roman"/>
          <w:noProof/>
          <w:sz w:val="24"/>
        </w:rPr>
      </w:pPr>
      <w:r>
        <w:rPr>
          <w:rFonts w:ascii="Times New Roman" w:hAnsi="Times New Roman"/>
          <w:noProof/>
          <w:sz w:val="24"/>
          <w:szCs w:val="24"/>
        </w:rPr>
        <w:t>Meetme rakendamine viiakse lõpule 31. detsembriks 2025.</w:t>
      </w:r>
    </w:p>
    <w:p>
      <w:pPr>
        <w:spacing w:before="120" w:after="120" w:line="240" w:lineRule="auto"/>
        <w:jc w:val="both"/>
        <w:rPr>
          <w:rFonts w:ascii="Times New Roman" w:hAnsi="Times New Roman" w:cs="Times New Roman"/>
          <w:noProof/>
          <w:sz w:val="24"/>
        </w:rPr>
      </w:pPr>
    </w:p>
    <w:p>
      <w:pPr>
        <w:keepNext/>
        <w:numPr>
          <w:ilvl w:val="0"/>
          <w:numId w:val="29"/>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Investeering: E-veoselehe teenuse arendamine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Meetme eesmärk on toetada autokaubaveoalase teabevahetuse digitaliseerimist e-veoselehtede kasutuselevõtu teel kooskõlas määrusega (EL) 2020/1056 elektroonilise kaubaveoteabe (eFTI) kohta, aidates seega kaasa siseturu sujuvale toimimisele.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Meetmega toetatakse:</w:t>
      </w:r>
    </w:p>
    <w:p>
      <w:pPr>
        <w:numPr>
          <w:ilvl w:val="0"/>
          <w:numId w:val="28"/>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teenuseosutajaid eFTI platvormide loomisel, et võimaldada e-veoselehtede (eCMR – elektrooniline saateleht) kasutuselevõttu,</w:t>
      </w:r>
    </w:p>
    <w:p>
      <w:pPr>
        <w:numPr>
          <w:ilvl w:val="0"/>
          <w:numId w:val="28"/>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transpordi- ja logistikaettevõtjaid oma süsteemide ja protsesside ühendamisel eFTI platvormidega, et võimaldada neil kasutada e-veoselehti (eCMR).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Asjaomased projektid valitakse välja kahe eraldi projektikonkursiga.</w:t>
      </w:r>
    </w:p>
    <w:p>
      <w:pPr>
        <w:spacing w:before="120" w:after="120" w:line="240" w:lineRule="auto"/>
        <w:jc w:val="both"/>
        <w:rPr>
          <w:rFonts w:ascii="Times New Roman" w:hAnsi="Times New Roman" w:cs="Times New Roman"/>
          <w:noProof/>
          <w:sz w:val="24"/>
        </w:rPr>
      </w:pPr>
      <w:r>
        <w:rPr>
          <w:rFonts w:ascii="Times New Roman" w:hAnsi="Times New Roman"/>
          <w:noProof/>
          <w:sz w:val="24"/>
          <w:szCs w:val="24"/>
        </w:rPr>
        <w:t>Meetme rakendamine viiakse lõpule 30. juuniks 2026.</w:t>
      </w:r>
    </w:p>
    <w:p>
      <w:pPr>
        <w:spacing w:before="120" w:after="120" w:line="240" w:lineRule="auto"/>
        <w:ind w:left="850"/>
        <w:jc w:val="both"/>
        <w:rPr>
          <w:rFonts w:ascii="Times New Roman" w:hAnsi="Times New Roman" w:cs="Times New Roman"/>
          <w:noProof/>
          <w:sz w:val="24"/>
        </w:rPr>
      </w:pPr>
    </w:p>
    <w:p>
      <w:pPr>
        <w:keepNext/>
        <w:numPr>
          <w:ilvl w:val="0"/>
          <w:numId w:val="29"/>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Reform: Oskuste reform ettevõtete digipöördeks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Reformi eesmärk on aidata kaasa ettevõtete suutlikkuse suurendamisele juhtkonna tasandil, et juhtida ja edendada digipööret, ning tagada Eesti ettevõtete jaoks piisav arv ajakohaseid oskusi ja teadmisi omavaid IKT-spetsialiste, et ettevõtted saaksid täielikult ära kasutada digipöördega kaasnevaid võimalusi. Samuti on selle eesmärk pakkuda nii töötavatele kui ka töötutele inimestele uusi karjäärivõimalusi oma IKT-oskuste täiendamise ja ümberõppe kaudu ning väljaspool formaalõpet omandatud oskuste parema tunnustamise kaudu. Meetmega soovitakse suurendada ka naiste osakaalu IKT-alases õppes ja seonduvatel kutsealadel.</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Meede koosneb järgmisest neljast tegevussuunast:</w:t>
      </w:r>
    </w:p>
    <w:p>
      <w:pPr>
        <w:numPr>
          <w:ilvl w:val="0"/>
          <w:numId w:val="39"/>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ettevõtete (eelkõige VKEde) juhtide koolitamine, et suurendada nende IKT-oskusi ja -teadmisi ning teadlikkust IKT kasutamisest saadavast võimalikust kasust;</w:t>
      </w:r>
    </w:p>
    <w:p>
      <w:pPr>
        <w:numPr>
          <w:ilvl w:val="0"/>
          <w:numId w:val="39"/>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IKT-ekspertide väljaõppe sisu ja korralduse läbivaatamine, võttes arvesse uusimaid tehnoloogilisi arenguid, küberturvalisuse kasvavat tähtsust ja ettevõtete vajadusi,</w:t>
      </w:r>
    </w:p>
    <w:p>
      <w:pPr>
        <w:numPr>
          <w:ilvl w:val="0"/>
          <w:numId w:val="39"/>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 xml:space="preserve"> IKT-spetsialistide kvalifikatsiooniraamistiku ümberkujundamise katseprojekt;</w:t>
      </w:r>
    </w:p>
    <w:p>
      <w:pPr>
        <w:numPr>
          <w:ilvl w:val="0"/>
          <w:numId w:val="39"/>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 xml:space="preserve"> IKT-spetsialistide oskuste täiendamine ja ümberõpe, muu hulgas küberturvalisuse valdkonnas.</w:t>
      </w:r>
    </w:p>
    <w:p>
      <w:pPr>
        <w:spacing w:before="120" w:after="120" w:line="240" w:lineRule="auto"/>
        <w:jc w:val="both"/>
        <w:rPr>
          <w:rFonts w:ascii="Times New Roman" w:hAnsi="Times New Roman" w:cs="Times New Roman"/>
          <w:noProof/>
          <w:sz w:val="24"/>
        </w:rPr>
      </w:pPr>
      <w:r>
        <w:rPr>
          <w:rFonts w:ascii="Times New Roman" w:hAnsi="Times New Roman"/>
          <w:noProof/>
          <w:sz w:val="24"/>
          <w:szCs w:val="24"/>
        </w:rPr>
        <w:t>Meetme rakendamine viiakse lõpule 30. juuniks 2026.</w:t>
      </w:r>
    </w:p>
    <w:p>
      <w:pPr>
        <w:rPr>
          <w:rFonts w:ascii="Times New Roman" w:hAnsi="Times New Roman" w:cs="Times New Roman"/>
          <w:noProof/>
          <w:sz w:val="24"/>
        </w:rPr>
      </w:pPr>
      <w:r>
        <w:rPr>
          <w:noProof/>
        </w:rPr>
        <w:br w:type="page"/>
      </w:r>
    </w:p>
    <w:p>
      <w:pPr>
        <w:keepNext/>
        <w:numPr>
          <w:ilvl w:val="0"/>
          <w:numId w:val="29"/>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Reform: Ettevõtete konkurentsivõime toetamine välisturgudel</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Meetme eesmärk on suurendada Eesti ettevõtete, sealhulgas eelkõige IKT-sektori ettevõtete ekspordi- ja konkurentsivõimet. Meede peaks eeldatavasti olema eriti kasulik VKEde jaoks. Samuti kasutatakse meetme rakendamisel ära digitaalsete vahendite pakutavaid võimalusi.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Meede koosneb kolmest allmeetmest:</w:t>
      </w:r>
    </w:p>
    <w:p>
      <w:pPr>
        <w:numPr>
          <w:ilvl w:val="0"/>
          <w:numId w:val="36"/>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konkreetsetele riikidele või piirkondadele suunatud ekspordistrateegiate väljatöötamine;</w:t>
      </w:r>
    </w:p>
    <w:p>
      <w:pPr>
        <w:numPr>
          <w:ilvl w:val="0"/>
          <w:numId w:val="36"/>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ettevõtluskeskuste loomine peamistel eksporditurgudel;</w:t>
      </w:r>
    </w:p>
    <w:p>
      <w:pPr>
        <w:numPr>
          <w:ilvl w:val="0"/>
          <w:numId w:val="36"/>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 xml:space="preserve"> Eesti (eelkõige IKT-sektori) toodete ja teenuste tutvustamine füüsilistel, virtuaalsetel ning hübriidlähetustel ja -üritustel.</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Meetme rakendamine viiakse lõpule 30. juuniks 2026.</w:t>
      </w:r>
    </w:p>
    <w:p>
      <w:pPr>
        <w:spacing w:before="120" w:after="120" w:line="240" w:lineRule="auto"/>
        <w:jc w:val="both"/>
        <w:rPr>
          <w:rFonts w:ascii="Times New Roman" w:hAnsi="Times New Roman" w:cs="Times New Roman"/>
          <w:noProof/>
          <w:sz w:val="24"/>
        </w:rPr>
      </w:pPr>
    </w:p>
    <w:p>
      <w:pPr>
        <w:keepNext/>
        <w:numPr>
          <w:ilvl w:val="1"/>
          <w:numId w:val="29"/>
        </w:numPr>
        <w:tabs>
          <w:tab w:val="num" w:pos="1418"/>
        </w:tabs>
        <w:spacing w:before="120" w:after="120" w:line="240" w:lineRule="auto"/>
        <w:ind w:left="709" w:hanging="709"/>
        <w:jc w:val="both"/>
        <w:outlineLvl w:val="2"/>
        <w:rPr>
          <w:rFonts w:ascii="Times New Roman" w:eastAsiaTheme="majorEastAsia" w:hAnsi="Times New Roman" w:cs="Times New Roman"/>
          <w:b/>
          <w:i/>
          <w:noProof/>
          <w:sz w:val="24"/>
          <w:szCs w:val="24"/>
        </w:rPr>
      </w:pPr>
      <w:r>
        <w:rPr>
          <w:rFonts w:ascii="Times New Roman" w:hAnsi="Times New Roman"/>
          <w:b/>
          <w:bCs/>
          <w:i/>
          <w:iCs/>
          <w:noProof/>
          <w:sz w:val="24"/>
          <w:szCs w:val="24"/>
        </w:rPr>
        <w:t>Alareform: Riigi- ja regioonistrateegiad</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Selle alareformiga töötatakse välja rida terviklikke ekspordistrateegiaid, mis on suunatud peamistele sihtriikidele ja -piirkondadele, mis pakuvad Eesti ettevõtetele suurt kasvuvõimalust. Need sisaldavad eraldi peatükke IKT-sektori ekspordivõimaluste kohta, samuti üldisemalt eri rakendusvaldkondade (nt juhtimine, haridus ja transport) digilahendusi.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Strateegiate eesmärk on anda nõu asjaomastele turgudele sisenevatele või seal juba tegutsevatele ettevõtetele.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Strateegiates käsitletavad riigid ja piirkonnad määratakse kindlaks analüüsi abil, mis teostatakse alameetme rakendamise osana.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Seda meedet rakendatakse koostoimes EASi (ning teiste partnerite) tegevusega.</w:t>
      </w:r>
    </w:p>
    <w:p>
      <w:pPr>
        <w:spacing w:before="120" w:after="120" w:line="240" w:lineRule="auto"/>
        <w:jc w:val="both"/>
        <w:rPr>
          <w:rFonts w:ascii="Times New Roman" w:hAnsi="Times New Roman" w:cs="Times New Roman"/>
          <w:noProof/>
          <w:sz w:val="24"/>
        </w:rPr>
      </w:pPr>
    </w:p>
    <w:p>
      <w:pPr>
        <w:keepNext/>
        <w:numPr>
          <w:ilvl w:val="1"/>
          <w:numId w:val="29"/>
        </w:numPr>
        <w:tabs>
          <w:tab w:val="num" w:pos="1418"/>
        </w:tabs>
        <w:spacing w:before="120" w:after="120" w:line="240" w:lineRule="auto"/>
        <w:ind w:left="709" w:hanging="709"/>
        <w:jc w:val="both"/>
        <w:outlineLvl w:val="2"/>
        <w:rPr>
          <w:rFonts w:ascii="Times New Roman" w:eastAsiaTheme="majorEastAsia" w:hAnsi="Times New Roman" w:cs="Times New Roman"/>
          <w:b/>
          <w:i/>
          <w:noProof/>
          <w:sz w:val="24"/>
          <w:szCs w:val="24"/>
        </w:rPr>
      </w:pPr>
      <w:r>
        <w:rPr>
          <w:rFonts w:ascii="Times New Roman" w:hAnsi="Times New Roman"/>
          <w:b/>
          <w:bCs/>
          <w:i/>
          <w:iCs/>
          <w:noProof/>
          <w:sz w:val="24"/>
          <w:szCs w:val="24"/>
        </w:rPr>
        <w:t>Alareform: Innovaatilised ettevõtluskeskused olulisematel eksporditurgudel</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See alareform seisneb ettevõtluskeskuste loomises seitsmes oluliseks ekspordituruks peetavas välisriigis (nii ELis kui ka väljaspool). Ettevõtluskeskused sisustatakse selliselt, et konkreetsel turul mis tahes sektoris tegutsevad Eesti ettevõtted saaksid seal korraldada füüsilisi, virtuaalseid ja hübriidkoosolekuid, vastuvõtte ja esitlusi. Keskuse sisseseadet saab kasutada ka väljaspool üritusi mis tahes klastri või konkreetse Eesti ettevõtte tutvustamiseks klientidele. Ettevõtluskeskused aitavad tutvustada Eesti ettevõtteid, toetavad neid eksporditegevuses kohapeal ja aitavad ligi meelitada välisinvestoreid. Keskused tegutsevad koostoimes EASi ja teiste partnerite tegevusega.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Ettevõtluskeskuste asukohad määratakse kindlaks pärast alameetme rakendamise osana teostatavat analüüsi.</w:t>
      </w:r>
    </w:p>
    <w:p>
      <w:pPr>
        <w:spacing w:before="120" w:after="120" w:line="240" w:lineRule="auto"/>
        <w:jc w:val="both"/>
        <w:rPr>
          <w:rFonts w:ascii="Times New Roman" w:hAnsi="Times New Roman" w:cs="Times New Roman"/>
          <w:noProof/>
          <w:sz w:val="24"/>
        </w:rPr>
      </w:pPr>
    </w:p>
    <w:p>
      <w:pPr>
        <w:keepNext/>
        <w:numPr>
          <w:ilvl w:val="1"/>
          <w:numId w:val="29"/>
        </w:numPr>
        <w:tabs>
          <w:tab w:val="num" w:pos="1418"/>
        </w:tabs>
        <w:spacing w:before="120" w:after="120" w:line="240" w:lineRule="auto"/>
        <w:ind w:left="709" w:hanging="709"/>
        <w:jc w:val="both"/>
        <w:outlineLvl w:val="2"/>
        <w:rPr>
          <w:rFonts w:ascii="Times New Roman" w:eastAsiaTheme="majorEastAsia" w:hAnsi="Times New Roman" w:cs="Times New Roman"/>
          <w:b/>
          <w:i/>
          <w:noProof/>
          <w:sz w:val="24"/>
          <w:szCs w:val="24"/>
        </w:rPr>
      </w:pPr>
      <w:r>
        <w:rPr>
          <w:rFonts w:ascii="Times New Roman" w:hAnsi="Times New Roman"/>
          <w:b/>
          <w:bCs/>
          <w:i/>
          <w:iCs/>
          <w:noProof/>
          <w:sz w:val="24"/>
          <w:szCs w:val="24"/>
        </w:rPr>
        <w:t>Alareform: Globaalsed e-ekspordi löögirühmad ja virtuaallavad</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Selle alareformiga luuakse nii avaliku sektori asutuste kui ka muude sidusrühmade, sealhulgas eraettevõtjate esindajatest koosnevaid rühmi, kes toetavad Eesti (eelkõige IKT-sektori) toodete ja teenuste tutvustamist lähetuste ning füüsilistel, virtuaalsetel ja hübriidüritustel osalemise kaudu.</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Selle alareformi rakendamine hõlmab ka digitaalsete vahendite paremat kasutamist Eesti toodete ja teenuste tutvustamiseks suurüritustel. Nn virtuaallavad loovad Eesti sidusrühmadele rohkem osalemisvõimalusi ja tõstavad esile Eesti digilahendusi. Virtuaallavad koosnevad tehnilistest lahendustest, mis ühendavad füüsilisi ja digitaalseid elemente, et võimaldada Eestis toimuvatel ekspordiga seotud üritusel jõuda ülemaailmse vaatajaskonnani või Eesti eksportijatel osaleda välismaal korraldatavatel ülemaailmsetel üritustel.</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Seda meedet rakendatakse koostoimes EASi (ning teiste partnerite) tegevusega.</w:t>
      </w:r>
    </w:p>
    <w:p>
      <w:pPr>
        <w:spacing w:before="120" w:after="120" w:line="240" w:lineRule="auto"/>
        <w:jc w:val="both"/>
        <w:rPr>
          <w:rFonts w:ascii="Times New Roman" w:hAnsi="Times New Roman" w:cs="Times New Roman"/>
          <w:noProof/>
          <w:sz w:val="24"/>
        </w:rPr>
        <w:sectPr>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cols w:space="720"/>
          <w:docGrid w:linePitch="360"/>
        </w:sectPr>
      </w:pPr>
    </w:p>
    <w:p>
      <w:pPr>
        <w:spacing w:before="120" w:after="240" w:line="240" w:lineRule="auto"/>
        <w:ind w:left="851"/>
        <w:jc w:val="both"/>
        <w:rPr>
          <w:rFonts w:ascii="Times New Roman" w:hAnsi="Times New Roman" w:cs="Times New Roman"/>
          <w:b/>
          <w:bCs/>
          <w:noProof/>
          <w:sz w:val="24"/>
          <w:szCs w:val="24"/>
          <w:u w:val="single"/>
        </w:rPr>
      </w:pPr>
      <w:r>
        <w:rPr>
          <w:rFonts w:ascii="Times New Roman" w:hAnsi="Times New Roman"/>
          <w:b/>
          <w:bCs/>
          <w:noProof/>
          <w:sz w:val="24"/>
          <w:szCs w:val="24"/>
          <w:u w:val="single"/>
        </w:rPr>
        <w:t xml:space="preserve">A.2. </w:t>
      </w:r>
      <w:r>
        <w:rPr>
          <w:noProof/>
          <w:u w:val="single"/>
        </w:rPr>
        <w:tab/>
      </w:r>
      <w:r>
        <w:rPr>
          <w:rFonts w:ascii="Times New Roman" w:hAnsi="Times New Roman"/>
          <w:b/>
          <w:bCs/>
          <w:noProof/>
          <w:sz w:val="24"/>
          <w:szCs w:val="24"/>
          <w:u w:val="single"/>
        </w:rPr>
        <w:t>Tagastamatu rahalise toetuse eesmärgid, sihid, näitajad ning seire ja rakendamise ajakava</w:t>
      </w:r>
    </w:p>
    <w:tbl>
      <w:tblPr>
        <w:tblW w:w="15937" w:type="dxa"/>
        <w:jc w:val="center"/>
        <w:tblLayout w:type="fixed"/>
        <w:tblLook w:val="04A0" w:firstRow="1" w:lastRow="0" w:firstColumn="1" w:lastColumn="0" w:noHBand="0" w:noVBand="1"/>
      </w:tblPr>
      <w:tblGrid>
        <w:gridCol w:w="1120"/>
        <w:gridCol w:w="1569"/>
        <w:gridCol w:w="1134"/>
        <w:gridCol w:w="1842"/>
        <w:gridCol w:w="1560"/>
        <w:gridCol w:w="1134"/>
        <w:gridCol w:w="992"/>
        <w:gridCol w:w="992"/>
        <w:gridCol w:w="992"/>
        <w:gridCol w:w="709"/>
        <w:gridCol w:w="3893"/>
      </w:tblGrid>
      <w:tr>
        <w:trPr>
          <w:cantSplit/>
          <w:trHeight w:val="927"/>
          <w:tblHeader/>
          <w:jc w:val="center"/>
        </w:trPr>
        <w:tc>
          <w:tcPr>
            <w:tcW w:w="112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Järjekorranumber</w:t>
            </w:r>
          </w:p>
        </w:tc>
        <w:tc>
          <w:tcPr>
            <w:tcW w:w="156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Seotud meede (reform või investeering)</w:t>
            </w:r>
          </w:p>
        </w:tc>
        <w:tc>
          <w:tcPr>
            <w:tcW w:w="113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Eesmärk / siht</w:t>
            </w:r>
          </w:p>
        </w:tc>
        <w:tc>
          <w:tcPr>
            <w:tcW w:w="184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Nimi</w:t>
            </w:r>
          </w:p>
        </w:tc>
        <w:tc>
          <w:tcPr>
            <w:tcW w:w="156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Kvalitatiivsed näitajad</w:t>
            </w:r>
            <w:r>
              <w:rPr>
                <w:noProof/>
              </w:rPr>
              <w:t xml:space="preserve"> </w:t>
            </w:r>
            <w:r>
              <w:rPr>
                <w:noProof/>
              </w:rPr>
              <w:br/>
            </w:r>
            <w:r>
              <w:rPr>
                <w:rFonts w:ascii="Times New Roman" w:hAnsi="Times New Roman"/>
                <w:b/>
                <w:bCs/>
                <w:noProof/>
                <w:sz w:val="20"/>
                <w:szCs w:val="20"/>
              </w:rPr>
              <w:t>(eesmärkide puhul)</w:t>
            </w:r>
          </w:p>
        </w:tc>
        <w:tc>
          <w:tcPr>
            <w:tcW w:w="3118"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Kvantitatiivsed näitajad</w:t>
            </w:r>
            <w:r>
              <w:rPr>
                <w:noProof/>
              </w:rPr>
              <w:t xml:space="preserve"> </w:t>
            </w:r>
            <w:r>
              <w:rPr>
                <w:noProof/>
              </w:rPr>
              <w:br/>
            </w:r>
            <w:r>
              <w:rPr>
                <w:rFonts w:ascii="Times New Roman" w:hAnsi="Times New Roman"/>
                <w:b/>
                <w:bCs/>
                <w:noProof/>
                <w:sz w:val="20"/>
                <w:szCs w:val="20"/>
              </w:rPr>
              <w:t>(sihtide puhul)</w:t>
            </w:r>
          </w:p>
        </w:tc>
        <w:tc>
          <w:tcPr>
            <w:tcW w:w="1701"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 xml:space="preserve">Lõpuleviimise soovituslik ajakava </w:t>
            </w:r>
          </w:p>
        </w:tc>
        <w:tc>
          <w:tcPr>
            <w:tcW w:w="38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Iga eesmärgi ja sihi kirjeldus</w:t>
            </w:r>
          </w:p>
        </w:tc>
      </w:tr>
      <w:tr>
        <w:trPr>
          <w:cantSplit/>
          <w:trHeight w:val="1013"/>
          <w:tblHeader/>
          <w:jc w:val="center"/>
        </w:trPr>
        <w:tc>
          <w:tcPr>
            <w:tcW w:w="112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Cs w:val="24"/>
                <w:lang w:eastAsia="en-GB"/>
              </w:rPr>
            </w:pPr>
          </w:p>
        </w:tc>
        <w:tc>
          <w:tcPr>
            <w:tcW w:w="156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Cs w:val="24"/>
                <w:lang w:eastAsia="en-GB"/>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Cs w:val="24"/>
                <w:lang w:eastAsia="en-GB"/>
              </w:rPr>
            </w:pPr>
          </w:p>
        </w:tc>
        <w:tc>
          <w:tcPr>
            <w:tcW w:w="1842"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Cs w:val="24"/>
                <w:lang w:eastAsia="en-GB"/>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Cs w:val="24"/>
                <w:lang w:eastAsia="en-GB"/>
              </w:rPr>
            </w:pPr>
          </w:p>
        </w:tc>
        <w:tc>
          <w:tcPr>
            <w:tcW w:w="1134"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Mõõtühik</w:t>
            </w:r>
          </w:p>
        </w:tc>
        <w:tc>
          <w:tcPr>
            <w:tcW w:w="992"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 xml:space="preserve">Lähtetase </w:t>
            </w:r>
          </w:p>
        </w:tc>
        <w:tc>
          <w:tcPr>
            <w:tcW w:w="992"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 xml:space="preserve">Eesmärk </w:t>
            </w:r>
          </w:p>
        </w:tc>
        <w:tc>
          <w:tcPr>
            <w:tcW w:w="992"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Kvartal</w:t>
            </w:r>
          </w:p>
        </w:tc>
        <w:tc>
          <w:tcPr>
            <w:tcW w:w="709"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Aasta</w:t>
            </w:r>
          </w:p>
        </w:tc>
        <w:tc>
          <w:tcPr>
            <w:tcW w:w="3893"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
                <w:bCs/>
                <w:noProof/>
                <w:szCs w:val="24"/>
                <w:lang w:eastAsia="en-GB"/>
              </w:rPr>
            </w:pPr>
          </w:p>
        </w:tc>
      </w:tr>
      <w:tr>
        <w:trPr>
          <w:cantSplit/>
          <w:trHeight w:val="309"/>
          <w:jc w:val="center"/>
        </w:trPr>
        <w:tc>
          <w:tcPr>
            <w:tcW w:w="11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w:t>
            </w:r>
          </w:p>
        </w:tc>
        <w:tc>
          <w:tcPr>
            <w:tcW w:w="156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1.1. Ettevõtete digipööre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Projektikonkursi ettevalmistamine koos hindamiskriteeriumide ja toetuse andmise tingimustega</w:t>
            </w:r>
          </w:p>
        </w:tc>
        <w:tc>
          <w:tcPr>
            <w:tcW w:w="15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Konkursikutse avaldamine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8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Majandus- ja kommunikatsiooniministeerium avaldab ettevõtete digipöörde toetamise projektikonkursil osalemise kutse koos pakkumuste hindamise kriteeriumidega.</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Hindamiskriteeriumid ja toetuse andmise tingimused määratakse kindlaks Eesti ettevõtete vajaduste ja meetme eeldatava mõju analüüsi alusel.</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Rahastamiskõlblikkuse kriteeriumidega tagatakse ka, et väljavalitud projektid vastaksid põhimõtte „Ei kahjusta oluliselt“ tehnilistele suunistele (2021/C58/01), kasutades välistamisnimekirja ning asjaomaste ELi ja riiklike keskkonnaalaste õigusaktide järgimise nõuet.</w:t>
            </w:r>
          </w:p>
        </w:tc>
      </w:tr>
      <w:tr>
        <w:trPr>
          <w:cantSplit/>
          <w:trHeight w:val="309"/>
          <w:jc w:val="center"/>
        </w:trPr>
        <w:tc>
          <w:tcPr>
            <w:tcW w:w="11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w:t>
            </w:r>
          </w:p>
        </w:tc>
        <w:tc>
          <w:tcPr>
            <w:tcW w:w="156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1.1. Ettevõtete digipööre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Toetuste määramine</w:t>
            </w:r>
          </w:p>
        </w:tc>
        <w:tc>
          <w:tcPr>
            <w:tcW w:w="15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rPr>
            </w:pPr>
            <w:r>
              <w:rPr>
                <w:rFonts w:ascii="Times New Roman" w:hAnsi="Times New Roman"/>
                <w:noProof/>
                <w:color w:val="006100"/>
              </w:rPr>
              <w:t>Toetust saavate ettevõtete arv</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110</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2023</w:t>
            </w:r>
          </w:p>
        </w:tc>
        <w:tc>
          <w:tcPr>
            <w:tcW w:w="38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Ettevõtted, kes on saanud majandus- ja kommunikatsiooniministeeriumilt toetust, et edendada oma ettevõttes digipööret kooskõlas konkursitingimustega (selliste ettevõtete arv).</w:t>
            </w:r>
          </w:p>
        </w:tc>
      </w:tr>
      <w:tr>
        <w:trPr>
          <w:cantSplit/>
          <w:trHeight w:val="309"/>
          <w:jc w:val="center"/>
        </w:trPr>
        <w:tc>
          <w:tcPr>
            <w:tcW w:w="1120"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w:t>
            </w:r>
          </w:p>
        </w:tc>
        <w:tc>
          <w:tcPr>
            <w:tcW w:w="1569"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1.1. Ettevõtete digipööre</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842"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Toetuste määramine</w:t>
            </w:r>
          </w:p>
        </w:tc>
        <w:tc>
          <w:tcPr>
            <w:tcW w:w="1560"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Toetust saavate ettevõtete arv</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110</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230</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2025</w:t>
            </w:r>
          </w:p>
        </w:tc>
        <w:tc>
          <w:tcPr>
            <w:tcW w:w="3893"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Ettevõtted, kes on saanud majandus- ja kommunikatsiooniministeeriumilt toetust, et edendada oma ettevõttes digipööret kooskõlas konkursitingimustega (selliste ettevõtete arv).</w:t>
            </w:r>
          </w:p>
        </w:tc>
      </w:tr>
      <w:tr>
        <w:trPr>
          <w:cantSplit/>
          <w:trHeight w:val="309"/>
          <w:jc w:val="center"/>
        </w:trPr>
        <w:tc>
          <w:tcPr>
            <w:tcW w:w="11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w:t>
            </w:r>
          </w:p>
        </w:tc>
        <w:tc>
          <w:tcPr>
            <w:tcW w:w="156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1.2. E-ehituse arendamine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Ehitusalase digitehnoloogia kasutamise rahvusvaheliste standardite ja parimate tavade juurutamine</w:t>
            </w:r>
          </w:p>
        </w:tc>
        <w:tc>
          <w:tcPr>
            <w:tcW w:w="15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highlight w:val="yellow"/>
              </w:rPr>
            </w:pPr>
            <w:r>
              <w:rPr>
                <w:rFonts w:ascii="Times New Roman" w:hAnsi="Times New Roman"/>
                <w:noProof/>
                <w:color w:val="006100"/>
              </w:rPr>
              <w:t xml:space="preserve">Rahvusvaheliste standardite ja parimate tavade juurutamine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2024</w:t>
            </w:r>
          </w:p>
        </w:tc>
        <w:tc>
          <w:tcPr>
            <w:tcW w:w="38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Majandus- ja kommunikatsiooniministeerium juhib ja koordineerib tööd, mida tehakse ehitusalase digitehnoloogia kasutamise rahvusvaheliste standardite ja parimate tavade juurutamiseks ehituses ja kinnisvarahalduses ning millega võetakse kasutusele ehitusandmete klassifitseerimise süsteem, luuakse avalikult kättesaadav ehitusmaterjalide ja ehitustoodete andmebaas ning juurutatakse kinnisvarahalduse valdkonnas ehitusteabe modelleerimist.</w:t>
            </w:r>
          </w:p>
        </w:tc>
      </w:tr>
      <w:tr>
        <w:trPr>
          <w:cantSplit/>
          <w:trHeight w:val="309"/>
          <w:jc w:val="center"/>
        </w:trPr>
        <w:tc>
          <w:tcPr>
            <w:tcW w:w="1120"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w:t>
            </w:r>
          </w:p>
        </w:tc>
        <w:tc>
          <w:tcPr>
            <w:tcW w:w="1569"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1.2. E-ehituse arendamine</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2"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Avalike teenuste kättesaadavus e-ehituse platvormil</w:t>
            </w:r>
          </w:p>
        </w:tc>
        <w:tc>
          <w:tcPr>
            <w:tcW w:w="1560"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E-ehituse platvormi ja sellega seotud avalike teenuste liideste kasutuselevõtt</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 </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 </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2025</w:t>
            </w:r>
          </w:p>
        </w:tc>
        <w:tc>
          <w:tcPr>
            <w:tcW w:w="3893"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E-ehituse arendusplaanis ette nähtud avalikud teenused arendatakse välja, need toimivad ning need avalikustatakse e-ehituse platvormil. Kasutajatele pakutakse ka koolitusmaterjale.</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See hõlmab tehiskeskkonnaga seotud teenuseid, nagu ehitus- ja planeerimisload, ehitisregister (logiraamat) ja renoveerimispass.</w:t>
            </w:r>
            <w:r>
              <w:rPr>
                <w:rFonts w:ascii="Times New Roman" w:hAnsi="Times New Roman"/>
                <w:noProof/>
                <w:color w:val="006100"/>
                <w:highlight w:val="yellow"/>
              </w:rPr>
              <w:t xml:space="preserve"> </w:t>
            </w:r>
          </w:p>
        </w:tc>
      </w:tr>
      <w:tr>
        <w:trPr>
          <w:cantSplit/>
          <w:trHeight w:val="309"/>
          <w:jc w:val="center"/>
        </w:trPr>
        <w:tc>
          <w:tcPr>
            <w:tcW w:w="11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w:t>
            </w:r>
          </w:p>
        </w:tc>
        <w:tc>
          <w:tcPr>
            <w:tcW w:w="156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1.2. E-ehituse arendamine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Arendus- ja prototüüpimisprojektide lõpuleviimine</w:t>
            </w:r>
          </w:p>
        </w:tc>
        <w:tc>
          <w:tcPr>
            <w:tcW w:w="15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Lõpetatud projektide arv</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120</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2025</w:t>
            </w:r>
          </w:p>
        </w:tc>
        <w:tc>
          <w:tcPr>
            <w:tcW w:w="38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E-ehituse platvormil põhinevate digitaalehituse vahendite ja innovaatiliste digilahenduste prototüüpide väljatöötamise ja/või rakendamise lõpetatud projektide arv. </w:t>
            </w:r>
          </w:p>
        </w:tc>
      </w:tr>
      <w:tr>
        <w:trPr>
          <w:cantSplit/>
          <w:trHeight w:val="309"/>
          <w:jc w:val="center"/>
        </w:trPr>
        <w:tc>
          <w:tcPr>
            <w:tcW w:w="11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w:t>
            </w:r>
          </w:p>
        </w:tc>
        <w:tc>
          <w:tcPr>
            <w:tcW w:w="156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1.3. E-veoselehe teenuste arendamine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Elektroonilise kaubaveoteabe (eFTI) platvormide arendamine</w:t>
            </w:r>
          </w:p>
        </w:tc>
        <w:tc>
          <w:tcPr>
            <w:tcW w:w="15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Alustatud projektide arv </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2023</w:t>
            </w:r>
          </w:p>
        </w:tc>
        <w:tc>
          <w:tcPr>
            <w:tcW w:w="38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Elektroonilise kaubaveoteabe (eFTI) platvormi arendamise projektid, mille kohta on tehtud positiivne toetuse andmise otsus (projektide arv).</w:t>
            </w:r>
          </w:p>
        </w:tc>
      </w:tr>
      <w:tr>
        <w:trPr>
          <w:cantSplit/>
          <w:trHeight w:val="309"/>
          <w:jc w:val="center"/>
        </w:trPr>
        <w:tc>
          <w:tcPr>
            <w:tcW w:w="11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w:t>
            </w:r>
          </w:p>
        </w:tc>
        <w:tc>
          <w:tcPr>
            <w:tcW w:w="156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1.3. E-veoselehe teenuste arendamine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E-veoselehe (eCMR) liidese arendustööd</w:t>
            </w:r>
          </w:p>
        </w:tc>
        <w:tc>
          <w:tcPr>
            <w:tcW w:w="15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Alustatud projektide arv </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270</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2024</w:t>
            </w:r>
          </w:p>
        </w:tc>
        <w:tc>
          <w:tcPr>
            <w:tcW w:w="38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Projektid, mis võimaldavad transpordi- ja logistikaettevõtjatel ühineda eFTI platvormidega ja kasutada eCMRi liidest ning mille kohta on tehtud positiivne toetuse andmise otsus (projektide arv).</w:t>
            </w:r>
          </w:p>
        </w:tc>
      </w:tr>
      <w:tr>
        <w:trPr>
          <w:cantSplit/>
          <w:trHeight w:val="309"/>
          <w:jc w:val="center"/>
        </w:trPr>
        <w:tc>
          <w:tcPr>
            <w:tcW w:w="11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w:t>
            </w:r>
          </w:p>
        </w:tc>
        <w:tc>
          <w:tcPr>
            <w:tcW w:w="156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1.3. E-veoselehe teenuste arendamine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Lõpetatud projektide arv kokku</w:t>
            </w:r>
          </w:p>
        </w:tc>
        <w:tc>
          <w:tcPr>
            <w:tcW w:w="15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Lõpetatud projektide arv </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275</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2025</w:t>
            </w:r>
          </w:p>
        </w:tc>
        <w:tc>
          <w:tcPr>
            <w:tcW w:w="38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Lõpuleviidud eFTI ja eCMRi projektid, mis aitavad kaasa e-veoselehtede kasutuselevõtule (projektide arv).</w:t>
            </w:r>
          </w:p>
        </w:tc>
      </w:tr>
      <w:tr>
        <w:trPr>
          <w:cantSplit/>
          <w:trHeight w:val="309"/>
          <w:jc w:val="center"/>
        </w:trPr>
        <w:tc>
          <w:tcPr>
            <w:tcW w:w="11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w:t>
            </w:r>
          </w:p>
        </w:tc>
        <w:tc>
          <w:tcPr>
            <w:tcW w:w="156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1.3. E-veoselehe teenuste arendamine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E-veoselehtede väljatöötamise ja kasutuselevõtu järelhindamine</w:t>
            </w:r>
          </w:p>
        </w:tc>
        <w:tc>
          <w:tcPr>
            <w:tcW w:w="15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Järelhindamisaruande vastuvõtmine majandus- ja kommunikatsiooniministeeriumis</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2026</w:t>
            </w:r>
          </w:p>
        </w:tc>
        <w:tc>
          <w:tcPr>
            <w:tcW w:w="38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Välisasutus analüüsib toetusmeetme mõju autokaubaveo sektorile ja koostab hindamisaruande, mille võtab vastu majandus- ja kommunikatsiooniministeerium.</w:t>
            </w:r>
          </w:p>
        </w:tc>
      </w:tr>
      <w:tr>
        <w:trPr>
          <w:cantSplit/>
          <w:trHeight w:val="309"/>
          <w:jc w:val="center"/>
        </w:trPr>
        <w:tc>
          <w:tcPr>
            <w:tcW w:w="11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w:t>
            </w:r>
          </w:p>
        </w:tc>
        <w:tc>
          <w:tcPr>
            <w:tcW w:w="156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1.4. Oskuste reform ettevõtete digipöördeks</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Digioskuste arendamise toetamise tingimusi sisaldavate teiseste õigusaktide jõustumine</w:t>
            </w:r>
          </w:p>
        </w:tc>
        <w:tc>
          <w:tcPr>
            <w:tcW w:w="15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Teiseste õigusaktide jõustumine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8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Jõustuvad toetuse rakendamiseks ja väljamaksmiseks vajalikud teisesed õigusaktid. Toetuse andmise tingimused kehtestatakse ministri käskkirjaga, mis kooskõlastatakse rahandusministeeriumi ja Riigi Tugiteenuste Keskusega.</w:t>
            </w:r>
            <w:r>
              <w:rPr>
                <w:noProof/>
              </w:rPr>
              <w:t xml:space="preserve"> </w:t>
            </w:r>
            <w:r>
              <w:rPr>
                <w:noProof/>
              </w:rPr>
              <w:br/>
            </w:r>
            <w:r>
              <w:rPr>
                <w:rFonts w:ascii="Times New Roman" w:hAnsi="Times New Roman"/>
                <w:noProof/>
                <w:color w:val="006100"/>
              </w:rPr>
              <w:t>Ministri käskkiri sisaldab järgmist:</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meetme eesmärk,</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toetatava tegevuse kirjeldus,</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toetuse saajad ja sihtrühmad,</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rakendamistingimused,</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abikõlblikud kulud ja kasutatud lihtsustused,</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maksetingimused,</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aruandluse ja järelevalve tingimused.</w:t>
            </w:r>
          </w:p>
        </w:tc>
      </w:tr>
      <w:tr>
        <w:trPr>
          <w:cantSplit/>
          <w:trHeight w:val="309"/>
          <w:jc w:val="center"/>
        </w:trPr>
        <w:tc>
          <w:tcPr>
            <w:tcW w:w="11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12</w:t>
            </w:r>
          </w:p>
        </w:tc>
        <w:tc>
          <w:tcPr>
            <w:tcW w:w="156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1.4. Oskuste reform ettevõtete digipöördeks</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Koolitustele registreerumine</w:t>
            </w:r>
          </w:p>
        </w:tc>
        <w:tc>
          <w:tcPr>
            <w:tcW w:w="15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Osalejate arv</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500</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2023</w:t>
            </w:r>
          </w:p>
        </w:tc>
        <w:tc>
          <w:tcPr>
            <w:tcW w:w="38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Meetme raames toetatavas koolitustegevuses osalevate inimeste arv. Koolitused hõlmavad VKEde juhtide teadlikkuse suurendamist ning IKT-spetsialistide oskuste täiendamist ja ümberõpet. Vähemalt 35% koolitusel osalejatest on naised. </w:t>
            </w:r>
          </w:p>
        </w:tc>
      </w:tr>
      <w:tr>
        <w:trPr>
          <w:cantSplit/>
          <w:trHeight w:val="309"/>
          <w:jc w:val="center"/>
        </w:trPr>
        <w:tc>
          <w:tcPr>
            <w:tcW w:w="11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13</w:t>
            </w:r>
          </w:p>
        </w:tc>
        <w:tc>
          <w:tcPr>
            <w:tcW w:w="156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1.4. Oskuste reform ettevõtete digipöördeks</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Koolituste lõpuleviimine</w:t>
            </w:r>
          </w:p>
        </w:tc>
        <w:tc>
          <w:tcPr>
            <w:tcW w:w="15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Osalejate arv</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0</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2000</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2026</w:t>
            </w:r>
          </w:p>
        </w:tc>
        <w:tc>
          <w:tcPr>
            <w:tcW w:w="38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Meetme raames toetatava koolituse läbinud inimeste arv. Koolitused hõlmavad VKEde juhtide teadlikkuse suurendamist ning IKT-spetsialistide oskuste täiendamist ja ümberõpet. Vähemalt 35% koolituse läbinutest on naised.</w:t>
            </w:r>
          </w:p>
        </w:tc>
      </w:tr>
      <w:tr>
        <w:trPr>
          <w:cantSplit/>
          <w:trHeight w:val="309"/>
          <w:jc w:val="center"/>
        </w:trPr>
        <w:tc>
          <w:tcPr>
            <w:tcW w:w="11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14</w:t>
            </w:r>
          </w:p>
        </w:tc>
        <w:tc>
          <w:tcPr>
            <w:tcW w:w="156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1.4. Oskuste reform ettevõtete digipöördeks</w:t>
            </w:r>
          </w:p>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Oskuste täiendamise ja ümberõppe uute moodulite arv </w:t>
            </w:r>
          </w:p>
        </w:tc>
        <w:tc>
          <w:tcPr>
            <w:tcW w:w="15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Eesti haridusinfosüsteemis (EHIS) registreeritud õppekavade arv.</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0</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2023</w:t>
            </w:r>
          </w:p>
        </w:tc>
        <w:tc>
          <w:tcPr>
            <w:tcW w:w="38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highlight w:val="yellow"/>
              </w:rPr>
            </w:pPr>
            <w:r>
              <w:rPr>
                <w:rFonts w:ascii="Times New Roman" w:hAnsi="Times New Roman"/>
                <w:noProof/>
                <w:color w:val="006100"/>
              </w:rPr>
              <w:t>Välja töötatud oskuste täiendamise ja ümberõppemoodulite arv koos üksikasjaliku ülevaatega õppe sisust, struktuurist ja koolitusmaterjalidest, mille alusel digioskustega seotud koolitust pakutakse. Moodulite jaoks välja töötatud uued õppekavad registreeritakse Eesti haridusteabe süsteemis (EHIS).</w:t>
            </w:r>
          </w:p>
        </w:tc>
      </w:tr>
      <w:tr>
        <w:trPr>
          <w:cantSplit/>
          <w:trHeight w:val="309"/>
          <w:jc w:val="center"/>
        </w:trPr>
        <w:tc>
          <w:tcPr>
            <w:tcW w:w="11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15</w:t>
            </w:r>
          </w:p>
        </w:tc>
        <w:tc>
          <w:tcPr>
            <w:tcW w:w="156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1.4. Oskuste reform ettevõtete digipöördeks</w:t>
            </w:r>
          </w:p>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548235"/>
              </w:rPr>
            </w:pPr>
            <w:r>
              <w:rPr>
                <w:rFonts w:ascii="Times New Roman" w:hAnsi="Times New Roman"/>
                <w:noProof/>
                <w:color w:val="006100"/>
              </w:rPr>
              <w:t>IKT-spetsialistide kvalifikatsioonistandardite läbivaatamine.</w:t>
            </w:r>
          </w:p>
        </w:tc>
        <w:tc>
          <w:tcPr>
            <w:tcW w:w="15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Analüüsitud ja vajaduse korral kohandatud kvalifikatsioonistandardite arv</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0</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2024</w:t>
            </w:r>
          </w:p>
        </w:tc>
        <w:tc>
          <w:tcPr>
            <w:tcW w:w="38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Riiklikku kvalifikatsiooniregistrisse kantud IKT-spetsialistide kvalifikatsioonistandardite arv (analüüsitud ja vajaduse korral kohandatud standardid).</w:t>
            </w:r>
          </w:p>
        </w:tc>
      </w:tr>
      <w:tr>
        <w:trPr>
          <w:cantSplit/>
          <w:trHeight w:val="309"/>
          <w:jc w:val="center"/>
        </w:trPr>
        <w:tc>
          <w:tcPr>
            <w:tcW w:w="11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16</w:t>
            </w:r>
          </w:p>
        </w:tc>
        <w:tc>
          <w:tcPr>
            <w:tcW w:w="156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1.5. Ettevõtete konkurentsivõime toetamine välisturgudel</w:t>
            </w:r>
          </w:p>
          <w:p>
            <w:pPr>
              <w:spacing w:after="0" w:line="240" w:lineRule="auto"/>
              <w:rPr>
                <w:rFonts w:ascii="Times New Roman" w:eastAsia="Times New Roman" w:hAnsi="Times New Roman" w:cs="Times New Roman"/>
                <w:noProof/>
                <w:color w:val="006100"/>
                <w:lang w:eastAsia="en-GB"/>
              </w:rPr>
            </w:pP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1.5.1. Riigi- ja regioonistrateegiad</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Strateegiate väljatöötamise ettevalmistamine </w:t>
            </w:r>
          </w:p>
        </w:tc>
        <w:tc>
          <w:tcPr>
            <w:tcW w:w="15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Ettevalmistustöö lõpuleviimine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 xml:space="preserve">2022 </w:t>
            </w:r>
          </w:p>
        </w:tc>
        <w:tc>
          <w:tcPr>
            <w:tcW w:w="38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Ekspordistrateegiate koostamiseks vajalik ettevalmistustöö viiakse lõpule. Ettevalmistusülesanded hõlmavad järgmist:</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analüüs selle kohta, millised välisturud on strateegiate väljatöötamise seisukohalt olulised,</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ettevõtete huvide analüüs,</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eksportivate ettevõtete vajaduste kaardistamine, et suurendada nende konkurentsivõimet eksporditurgudel;</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 - vajaduste järjestamine tähtsuse järjekorras.</w:t>
            </w:r>
          </w:p>
        </w:tc>
      </w:tr>
      <w:tr>
        <w:trPr>
          <w:cantSplit/>
          <w:trHeight w:val="309"/>
          <w:jc w:val="center"/>
        </w:trPr>
        <w:tc>
          <w:tcPr>
            <w:tcW w:w="11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17</w:t>
            </w:r>
          </w:p>
        </w:tc>
        <w:tc>
          <w:tcPr>
            <w:tcW w:w="156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1.5. Ettevõtete konkurentsivõime toetamine välisturgudel</w:t>
            </w:r>
          </w:p>
          <w:p>
            <w:pPr>
              <w:spacing w:after="0" w:line="240" w:lineRule="auto"/>
              <w:rPr>
                <w:rFonts w:ascii="Times New Roman" w:eastAsia="Times New Roman" w:hAnsi="Times New Roman" w:cs="Times New Roman"/>
                <w:noProof/>
                <w:color w:val="006100"/>
                <w:lang w:eastAsia="en-GB"/>
              </w:rPr>
            </w:pP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1.5.1. Riigi- ja regioonistrateegiad</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Uuringute tellimine</w:t>
            </w:r>
          </w:p>
        </w:tc>
        <w:tc>
          <w:tcPr>
            <w:tcW w:w="15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Lepingute allakirjutamine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2024</w:t>
            </w:r>
          </w:p>
        </w:tc>
        <w:tc>
          <w:tcPr>
            <w:tcW w:w="38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Välisministeerium korraldab hanked strateegiate ja tootepakettide koostamiseks eesmärgiga saada välisturgude kohta üksikasjalikku turuteavet. Sõlmitakse hankelepingud.</w:t>
            </w:r>
          </w:p>
        </w:tc>
      </w:tr>
      <w:tr>
        <w:trPr>
          <w:cantSplit/>
          <w:trHeight w:val="309"/>
          <w:jc w:val="center"/>
        </w:trPr>
        <w:tc>
          <w:tcPr>
            <w:tcW w:w="11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18</w:t>
            </w:r>
          </w:p>
        </w:tc>
        <w:tc>
          <w:tcPr>
            <w:tcW w:w="156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1.5. Ettevõtete konkurentsivõime toetamine välisturgudel</w:t>
            </w:r>
          </w:p>
          <w:p>
            <w:pPr>
              <w:spacing w:after="0" w:line="240" w:lineRule="auto"/>
              <w:rPr>
                <w:rFonts w:ascii="Times New Roman" w:eastAsia="Times New Roman" w:hAnsi="Times New Roman" w:cs="Times New Roman"/>
                <w:noProof/>
                <w:color w:val="006100"/>
                <w:lang w:eastAsia="en-GB"/>
              </w:rPr>
            </w:pP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1.5.1. Riigi- ja regioonistrateegiad</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Riigi- ja regioonipõhiste ekspordistrateegiate arv</w:t>
            </w:r>
          </w:p>
        </w:tc>
        <w:tc>
          <w:tcPr>
            <w:tcW w:w="15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Avaldatud strateegiate arv</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13</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2026</w:t>
            </w:r>
          </w:p>
        </w:tc>
        <w:tc>
          <w:tcPr>
            <w:tcW w:w="38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Väljatöötatud riigi- ja/või regioonipõhiste ekspordistrateegiate arv. Strateegiad sisaldavad põhjalikke analüüse ja etteaimavaid tarku nõuandeid välisturgudele sisenevatele ja seal tegutsevatele ettevõtetele.</w:t>
            </w:r>
          </w:p>
        </w:tc>
      </w:tr>
      <w:tr>
        <w:trPr>
          <w:cantSplit/>
          <w:trHeight w:val="309"/>
          <w:jc w:val="center"/>
        </w:trPr>
        <w:tc>
          <w:tcPr>
            <w:tcW w:w="11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19</w:t>
            </w:r>
          </w:p>
        </w:tc>
        <w:tc>
          <w:tcPr>
            <w:tcW w:w="156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1.5. Ettevõtete konkurentsivõime toetamine välisturgudel</w:t>
            </w:r>
          </w:p>
          <w:p>
            <w:pPr>
              <w:spacing w:after="0" w:line="240" w:lineRule="auto"/>
              <w:rPr>
                <w:rFonts w:ascii="Times New Roman" w:eastAsia="Times New Roman" w:hAnsi="Times New Roman" w:cs="Times New Roman"/>
                <w:noProof/>
                <w:color w:val="006100"/>
                <w:lang w:eastAsia="en-GB"/>
              </w:rPr>
            </w:pP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1.5.2. Innovaatilised ettevõtluskeskused peamistel eksporditurgudel</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Ettevalmistav analüüs ettevõtluskeskuste sisustuse ja asukoha kindlaksmääramiseks</w:t>
            </w:r>
          </w:p>
        </w:tc>
        <w:tc>
          <w:tcPr>
            <w:tcW w:w="15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Ettevalmistava analüüsi esitamine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 </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 </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8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Välisministeerium koostab ettevalmistava analüüsi, mis võimaldab kindlaks määrata ettevõtluskeskuste sisustuse ja asukohad. Analüüs peab näitama, kuhu rajada ettevõtluskeskused, mis aitaksid eksporditurgudel suurendada nõudlust Eestis valmistatud toodete ja teenuste järele. </w:t>
            </w:r>
          </w:p>
        </w:tc>
      </w:tr>
      <w:tr>
        <w:trPr>
          <w:cantSplit/>
          <w:trHeight w:val="309"/>
          <w:jc w:val="center"/>
        </w:trPr>
        <w:tc>
          <w:tcPr>
            <w:tcW w:w="11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w:t>
            </w:r>
          </w:p>
        </w:tc>
        <w:tc>
          <w:tcPr>
            <w:tcW w:w="156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1.5. Ettevõtete konkurentsivõime toetamine välisturgudel</w:t>
            </w:r>
          </w:p>
          <w:p>
            <w:pPr>
              <w:spacing w:after="0" w:line="240" w:lineRule="auto"/>
              <w:rPr>
                <w:rFonts w:ascii="Times New Roman" w:eastAsia="Times New Roman" w:hAnsi="Times New Roman" w:cs="Times New Roman"/>
                <w:noProof/>
                <w:color w:val="006100"/>
                <w:lang w:eastAsia="en-GB"/>
              </w:rPr>
            </w:pP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1.5.2. Innovaatilised ettevõtluskeskused peamistel eksporditurgudel</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Avatud ettevõtluskeskuste arv</w:t>
            </w:r>
          </w:p>
        </w:tc>
        <w:tc>
          <w:tcPr>
            <w:tcW w:w="15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Ettevõtluskeskuste arv</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7</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2026</w:t>
            </w:r>
          </w:p>
        </w:tc>
        <w:tc>
          <w:tcPr>
            <w:tcW w:w="38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Välisministeeriumi juhtimisel avatud ettevõtluskeskuste arv, eesmärgiga toetada ettevõtteid olulistele eksporditurgudele sisenemisel ja seal tegutsemisel ning aidata neil tutvustada Eesti tooteid ja teenuseid viisil, mis võtab arvesse kohaliku ettevõtluskeskkonna ja kultuuri eripära. </w:t>
            </w:r>
          </w:p>
        </w:tc>
      </w:tr>
      <w:tr>
        <w:trPr>
          <w:cantSplit/>
          <w:trHeight w:val="309"/>
          <w:jc w:val="center"/>
        </w:trPr>
        <w:tc>
          <w:tcPr>
            <w:tcW w:w="11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21</w:t>
            </w:r>
          </w:p>
        </w:tc>
        <w:tc>
          <w:tcPr>
            <w:tcW w:w="156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1.5. Ettevõtete konkurentsivõime toetamine välisturgudel</w:t>
            </w:r>
          </w:p>
          <w:p>
            <w:pPr>
              <w:spacing w:after="0" w:line="240" w:lineRule="auto"/>
              <w:rPr>
                <w:rFonts w:ascii="Times New Roman" w:eastAsia="Times New Roman" w:hAnsi="Times New Roman" w:cs="Times New Roman"/>
                <w:noProof/>
                <w:color w:val="006100"/>
                <w:lang w:eastAsia="en-GB"/>
              </w:rPr>
            </w:pP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1.5.3. Globaalsed e-ekspordi löögirühmad ja virtuaallavad</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Löögirühmade loomine ja sihtkohtade valimine ülemaailmsete digilähetuste jaoks</w:t>
            </w:r>
          </w:p>
        </w:tc>
        <w:tc>
          <w:tcPr>
            <w:tcW w:w="15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Otsused löögirühmade koosseisu ja ülemaailmsete digilähetuste sihtkohtade kohta</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 </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 </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8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Välisministeerium valib analüüsi põhjal välja ülemaailmsete digilähetuste sihtkohad ja moodustab löögirühmad, et suurendada Eesti digiteenuste ekspordi lisaväärtust ja Eesti ettevõtete, sealhulgas eelkõige IKT-ettevõtete ekspordivõimet ning meelitada ligi innovatsiooniks vajalikke täiendavaid välisinvesteeringuid. </w:t>
            </w:r>
          </w:p>
        </w:tc>
      </w:tr>
      <w:tr>
        <w:trPr>
          <w:cantSplit/>
          <w:trHeight w:val="309"/>
          <w:jc w:val="center"/>
        </w:trPr>
        <w:tc>
          <w:tcPr>
            <w:tcW w:w="11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22</w:t>
            </w:r>
          </w:p>
        </w:tc>
        <w:tc>
          <w:tcPr>
            <w:tcW w:w="156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1.5. Ettevõtete konkurentsivõime toetamine välisturgudel</w:t>
            </w:r>
          </w:p>
          <w:p>
            <w:pPr>
              <w:spacing w:after="0" w:line="240" w:lineRule="auto"/>
              <w:rPr>
                <w:rFonts w:ascii="Times New Roman" w:eastAsia="Times New Roman" w:hAnsi="Times New Roman" w:cs="Times New Roman"/>
                <w:noProof/>
                <w:color w:val="006100"/>
                <w:lang w:eastAsia="en-GB"/>
              </w:rPr>
            </w:pP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1.5.3. Globaalsed e-ekspordi löögirühmad ja virtuaallavad</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Globaalsete löögirühmade lähetuste arv ja nende suurürituste arv, kus Eesti on virtuaallavade kaudu esindatud</w:t>
            </w:r>
          </w:p>
        </w:tc>
        <w:tc>
          <w:tcPr>
            <w:tcW w:w="15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Toimunud lähetuste ja ürituste koguarv</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29</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2026</w:t>
            </w:r>
          </w:p>
        </w:tc>
        <w:tc>
          <w:tcPr>
            <w:tcW w:w="38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Välisministeeriumi moodustatud globaalsed löögirühmad teevad vähemalt 14 lähetust, et suurendada Eesti digiteenuste ekspordi lisaväärtust ja Eesti ettevõtete, sealhulgas eelkõige IKT-ettevõtete ekspordivõimet ning meelitada ligi innovatsiooniks vajalikke täiendavaid välisinvesteeringuid.</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Eesti on virtuaallavade kaudu esindatud vähemalt 15 üritusel.</w:t>
            </w:r>
          </w:p>
        </w:tc>
      </w:tr>
    </w:tbl>
    <w:p>
      <w:pPr>
        <w:spacing w:before="120" w:after="120" w:line="240" w:lineRule="auto"/>
        <w:ind w:left="709"/>
        <w:jc w:val="both"/>
        <w:rPr>
          <w:rFonts w:ascii="Times New Roman" w:hAnsi="Times New Roman" w:cs="Times New Roman"/>
          <w:noProof/>
          <w:sz w:val="24"/>
          <w:szCs w:val="24"/>
        </w:rPr>
      </w:pPr>
    </w:p>
    <w:p>
      <w:pPr>
        <w:spacing w:before="120" w:after="120" w:line="240" w:lineRule="auto"/>
        <w:jc w:val="both"/>
        <w:rPr>
          <w:rFonts w:ascii="Times New Roman" w:hAnsi="Times New Roman" w:cs="Times New Roman"/>
          <w:noProof/>
          <w:sz w:val="24"/>
        </w:rPr>
        <w:sectPr>
          <w:headerReference w:type="even" r:id="rId25"/>
          <w:headerReference w:type="default" r:id="rId26"/>
          <w:footerReference w:type="even" r:id="rId27"/>
          <w:footerReference w:type="default" r:id="rId28"/>
          <w:headerReference w:type="first" r:id="rId29"/>
          <w:footerReference w:type="first" r:id="rId30"/>
          <w:pgSz w:w="16839" w:h="11907" w:orient="landscape"/>
          <w:pgMar w:top="720" w:right="720" w:bottom="720" w:left="720"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bCs/>
          <w:smallCaps/>
          <w:noProof/>
          <w:sz w:val="24"/>
          <w:szCs w:val="24"/>
        </w:rPr>
      </w:pPr>
      <w:r>
        <w:rPr>
          <w:noProof/>
        </w:rPr>
        <w:tab/>
      </w:r>
      <w:r>
        <w:rPr>
          <w:rFonts w:ascii="Times New Roman" w:hAnsi="Times New Roman"/>
          <w:b/>
          <w:bCs/>
          <w:smallCaps/>
          <w:noProof/>
          <w:sz w:val="24"/>
          <w:szCs w:val="24"/>
        </w:rPr>
        <w:t xml:space="preserve">B. KOMPONENT 2. Rohepöörde kiirendamine </w:t>
      </w:r>
    </w:p>
    <w:p>
      <w:pPr>
        <w:spacing w:before="120" w:after="120" w:line="240" w:lineRule="auto"/>
        <w:jc w:val="both"/>
        <w:rPr>
          <w:rFonts w:ascii="Times New Roman" w:hAnsi="Times New Roman" w:cs="Times New Roman"/>
          <w:b/>
          <w:i/>
          <w:noProof/>
          <w:sz w:val="24"/>
          <w:szCs w:val="24"/>
          <w:u w:val="single"/>
        </w:rPr>
      </w:pPr>
      <w:r>
        <w:rPr>
          <w:rFonts w:ascii="Times New Roman" w:hAnsi="Times New Roman"/>
          <w:b/>
          <w:bCs/>
          <w:noProof/>
          <w:sz w:val="24"/>
          <w:szCs w:val="24"/>
          <w:u w:val="single"/>
        </w:rPr>
        <w:t xml:space="preserve">B.1. </w:t>
      </w:r>
      <w:r>
        <w:rPr>
          <w:noProof/>
          <w:u w:val="single"/>
        </w:rPr>
        <w:tab/>
      </w:r>
      <w:r>
        <w:rPr>
          <w:rFonts w:ascii="Times New Roman" w:hAnsi="Times New Roman"/>
          <w:b/>
          <w:bCs/>
          <w:noProof/>
          <w:sz w:val="24"/>
          <w:szCs w:val="24"/>
          <w:u w:val="single"/>
        </w:rPr>
        <w:t>Tagastamatu rahalise toetusega seotud reformide ja investeeringute kirjeldus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Eesti taaste- ja vastupidavuskava selle komponendi eesmärk on kiirendada Eesti ettevõtlussektori rohepööret ja kasutada ära sellega kaasnevaid ärivõimalusi. Komponent koosneb kahest reformist ja kuuest investeeringust ning selle eesmärk on toetada rohetehnoloogia arendamist, suurendada keskkonnahoidlikku teadus- ja arendustegevust, innovatsioonisuutlikkust ja ressursitõhusust, võtta kasutusele uusi ärimudeleid ning parandada oskusi ja teadmisi rohepöördega seotud valdkondades. Selle komponendi meetmetega luuakse rohepöördest terviklik arusaam, mis aitab eemaldada peamisi turutõrkeid ning hõlbustab tehnoloogilist ja käitumuslikku läbimurret, et suurendada ettevõtlussektori konkurentsivõimet. Meetmetega toetatakse ka kapitaliturgude ja ettevõtluskeskkonna edasist arengut.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Komponendi meetmed aitavad rakendada riigipõhiseid soovitusi, mis käsitlevad väikeste ja keskmise suurusega ettevõtjate innovatsioonisuutlikkust ning investeeringute suunamist rohepöördele, tagades piisava juurdepääsu rahastamisele (2020. aasta riigipõhine soovitus nr 3), ning oskuste nappust (2019. aasta riigipõhine soovitus nr 2).</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Lähtudes meetmete kirjeldusest taaste- ja vastupidavuskavas ja võttes arvesse põhimõtte „Ei kahjusta oluliselt“ tehniliste suuniste (2021/C58/01) kohaseid leevendavaid samme, mis kavas on sätestatud, võib eeldada, et ükski selle komponendi meede ei kahjusta määruse (EL) 2020/852 artikli 17 tähenduses oluliselt keskkonnaeesmärke. </w:t>
      </w:r>
    </w:p>
    <w:p>
      <w:pPr>
        <w:spacing w:before="120" w:after="120" w:line="240" w:lineRule="auto"/>
        <w:ind w:left="850"/>
        <w:jc w:val="both"/>
        <w:rPr>
          <w:rFonts w:ascii="Times New Roman" w:hAnsi="Times New Roman" w:cs="Times New Roman"/>
          <w:noProof/>
          <w:sz w:val="24"/>
        </w:rPr>
      </w:pPr>
    </w:p>
    <w:p>
      <w:pPr>
        <w:keepNext/>
        <w:numPr>
          <w:ilvl w:val="0"/>
          <w:numId w:val="30"/>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Reform: Ettevõtete rohepööre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Reformi eesmärk on edendada ettevõtlussektori rohepööret, mis peaks eeldatavasti mõjuma hästi nii majandusele, keskkonnale kui ka ühiskonnale, muutes olemasolevad ettevõtted tõhusamaks ja keskkonnasõbralikumaks (ressursitõhusus, uued rohepööret näitavad sertifikaadid ja toote müügiload) ning toetades uute rohetehnoloogia ettevõtete tekkimist (rohetehnoloogiate arendamine ja kasutuselevõtt, bioressursside uued väärindusvõimalused).</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Reformiga luuakse laiapõhjaline rohepöörde rakkerühm, et edendada koostööd rohetehnoloogia sidusrühmade vahel, ning võetakse vastu õigusaktid, mis on vajalikud viie täiendava investeeringu rakendamiseks: 1. roheoskused ettevõtete rohepöörde toetamiseks; 2. rohetehnoloogiate arendusprogrammid; 3. tootmisettevõtete ärimudelite ajakohastamine; 4. ressursitõhusate rohetehnoloogiate kasutuselevõtt; 5. Rohefond.</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 on vastastikuses seoses 1. komponendiga, sest digitaliseerimine ja automatiseerimine aitavad kaasa rohetehnoloogia arendamisele ja ettevõtlussektori rohepöördele.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Reformi rakendamine viiakse lõpule 31. detsembriks 2022.</w:t>
      </w:r>
    </w:p>
    <w:p>
      <w:pPr>
        <w:spacing w:before="120" w:after="120" w:line="240" w:lineRule="auto"/>
        <w:jc w:val="both"/>
        <w:rPr>
          <w:rFonts w:ascii="Times New Roman" w:hAnsi="Times New Roman" w:cs="Times New Roman"/>
          <w:noProof/>
          <w:sz w:val="24"/>
        </w:rPr>
      </w:pPr>
    </w:p>
    <w:p>
      <w:pPr>
        <w:keepNext/>
        <w:numPr>
          <w:ilvl w:val="0"/>
          <w:numId w:val="30"/>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Investeering: Roheoskused ettevõtete rohepöörde toetamiseks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Investeeringu eesmärk on tagada ettevõtete rohepöörde elluviimiseks vajaliku kvaliteetse oskusteabe kättesaadavus. Investeeringuga juurutatakse täiskasvanutele mõeldud ajakohaseid oskuste täiendamise ja ümberõppe programme, ajakohastatakse kõrg- ja kutsehariduse õppeprogramme ning töötatakse välja ja katsetatakse paindlikumaid õppeprogramme, mis pakuvad mikrokraadi omandamise võimalust, võttes arvesse rohemajanduse tulevasi vajadusi.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Roheoskused on määratletud kui oskused, mida on vaja töökohtadel, mis aitavad energia- ja ressursitõhusust parandades vähendada kasvuhoonegaaside heidet ning hõlmavad ringmajanduse põhimõtete laialdasemat juurutamist. Koostöös sidusrühmadega ajakohastatakse kutsestandardeid ja -kirjeldusi ning vajaduse korral töötatakse välja uued kirjeldused, täpsustades eeldatavaid õpitulemusi ja määrates kindlaks konkreetsed valdkonnad, millel on suurim mõju rohepöördele. Juba praegu rohepöörde mõjualasse jäävates sektorites (energeetika, transport, jäätmekäitlus ning uued tööstusharud ja sektorid, millel on potentsiaali luua rohepöördest tulenevaid või sellega seotud töökohti) töötavatele või karjäärimuutust planeerivatele inimestele pakutakse ümberõppe võimalust.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Investeering viiakse lõpule 30. juuniks 2026.</w:t>
      </w:r>
    </w:p>
    <w:p>
      <w:pPr>
        <w:spacing w:before="120" w:after="120" w:line="240" w:lineRule="auto"/>
        <w:jc w:val="both"/>
        <w:rPr>
          <w:rFonts w:ascii="Times New Roman" w:hAnsi="Times New Roman" w:cs="Times New Roman"/>
          <w:noProof/>
          <w:sz w:val="24"/>
        </w:rPr>
      </w:pPr>
    </w:p>
    <w:p>
      <w:pPr>
        <w:keepNext/>
        <w:numPr>
          <w:ilvl w:val="0"/>
          <w:numId w:val="30"/>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Investeering: Rohetehnoloogiate arendusprogrammid</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Investeeringu eesmärk on aidata kaasa ettevõtete rohepöördele, edendades innovaatiliste rohetehnoloogiate arendamist ja levitamist. Investeering peaks suurendama teadusmahukate rohetehnoloogia ettevõtete arvu turul ja toetama idufirmade ökosüsteemi. Investeeringuga toetatakse idufirmasid ja arenguklastreid, keskendudes mitmesuguseid arendusteenuseid (nagu kiirendid, inkubaatorid, ettevõtlusarendus, prototüüpimine ja katseprojektid) hõlmavatele integreeritud rohetehnoloogilistele lahendustele, ning parandatakse turul juba tegutsevate eri liiki organisatsioonide ja asutuste (ülikoolid, ettevõtted, muud sidusrühmad) vahelist koostööd.</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Investeeringute põhirõhk on energia- ja ressursitõhususel, ringmajanduse edendamisel, uutel ärimudelitel, digitaliseerimisel ja automatiseerimisel. Investeeringu raames toetatavad projektid aitavad Eestil vähendada kasvuhoonegaaside heitkoguseid ja suurendada loodusvarade tootlikkust.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Investeering viiakse lõpule 30. juuniks 2026.</w:t>
      </w:r>
    </w:p>
    <w:p>
      <w:pPr>
        <w:spacing w:before="120" w:after="120" w:line="240" w:lineRule="auto"/>
        <w:jc w:val="both"/>
        <w:rPr>
          <w:rFonts w:ascii="Times New Roman" w:hAnsi="Times New Roman" w:cs="Times New Roman"/>
          <w:noProof/>
          <w:sz w:val="24"/>
        </w:rPr>
      </w:pPr>
    </w:p>
    <w:p>
      <w:pPr>
        <w:keepNext/>
        <w:numPr>
          <w:ilvl w:val="0"/>
          <w:numId w:val="30"/>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Investeering: Tootmisettevõtete ärimudelite ajakohastamine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Investeeringu eesmärk on toetada tootmissektori ärimudelite muutumist, et tagada Eesti toodete vastavus keskkonna- ja kliimaeesmärkidele, sealhulgas ringmajanduse põhimõtetele, ning suurendada tootmisettevõtete konkurentsivõimet. Meetmega toetatakse projekte, millega ajakohastatakse tootmisettevõtete ärimudeleid, et viia need vastavusse kliima- ja keskkonnaeesmärkidega. Projektid valitakse välja projektikonkursi alusel.</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Et meede oleks kindlasti kooskõlas põhimõtte „Ei kahjusta oluliselt“ tehniliste suunistega (2021/C58/01), välistatakse konkursitingimustes sisalduvate rahastamiskõlblikkuse kriteeriumidega järgmiste tegevuste rahastamine:</w:t>
      </w:r>
      <w:r>
        <w:rPr>
          <w:rFonts w:ascii="Times New Roman" w:hAnsi="Times New Roman"/>
          <w:noProof/>
          <w:color w:val="FF0000"/>
          <w:sz w:val="24"/>
          <w:szCs w:val="24"/>
        </w:rPr>
        <w:t xml:space="preserve"> </w:t>
      </w:r>
      <w:r>
        <w:rPr>
          <w:rFonts w:ascii="Times New Roman" w:hAnsi="Times New Roman"/>
          <w:noProof/>
          <w:sz w:val="24"/>
          <w:szCs w:val="24"/>
        </w:rPr>
        <w:t>i) fossiilkütustega seotud tegevus, sealhulgas allkasutus tootmisahela järgmistes etappides</w:t>
      </w:r>
      <w:r>
        <w:rPr>
          <w:rFonts w:ascii="Times New Roman" w:eastAsia="Calibri" w:hAnsi="Times New Roman" w:cs="Times New Roman"/>
          <w:noProof/>
          <w:sz w:val="24"/>
          <w:szCs w:val="24"/>
          <w:vertAlign w:val="superscript"/>
        </w:rPr>
        <w:footnoteReference w:id="6"/>
      </w:r>
      <w:r>
        <w:rPr>
          <w:rFonts w:ascii="Times New Roman" w:hAnsi="Times New Roman"/>
          <w:noProof/>
          <w:sz w:val="24"/>
          <w:szCs w:val="24"/>
        </w:rPr>
        <w:t>; ii) ELi heitkogustega kauplemise süsteemi (HKS) raames toimuv tegevus, mille prognoositav kasvuhoonegaaside heide ei ole asjaomastest võrdlusalustest</w:t>
      </w:r>
      <w:r>
        <w:rPr>
          <w:rFonts w:ascii="Times New Roman" w:eastAsia="Calibri" w:hAnsi="Times New Roman" w:cs="Times New Roman"/>
          <w:noProof/>
          <w:sz w:val="24"/>
          <w:szCs w:val="24"/>
          <w:vertAlign w:val="superscript"/>
        </w:rPr>
        <w:footnoteReference w:id="7"/>
      </w:r>
      <w:r>
        <w:rPr>
          <w:rFonts w:ascii="Times New Roman" w:hAnsi="Times New Roman"/>
          <w:noProof/>
          <w:sz w:val="24"/>
          <w:szCs w:val="24"/>
        </w:rPr>
        <w:t xml:space="preserve"> madalam; iii) prügilate, jäätmepõletustehaste</w:t>
      </w:r>
      <w:r>
        <w:rPr>
          <w:rFonts w:ascii="Times New Roman" w:eastAsia="Calibri" w:hAnsi="Times New Roman" w:cs="Times New Roman"/>
          <w:noProof/>
          <w:sz w:val="24"/>
          <w:szCs w:val="24"/>
          <w:vertAlign w:val="superscript"/>
        </w:rPr>
        <w:footnoteReference w:id="8"/>
      </w:r>
      <w:r>
        <w:rPr>
          <w:rFonts w:ascii="Times New Roman" w:hAnsi="Times New Roman"/>
          <w:noProof/>
          <w:sz w:val="24"/>
          <w:szCs w:val="24"/>
        </w:rPr>
        <w:t xml:space="preserve"> ja mehhaanilis-bioloogilise töötlemise jaamadega</w:t>
      </w:r>
      <w:r>
        <w:rPr>
          <w:rFonts w:ascii="Times New Roman" w:eastAsia="Calibri" w:hAnsi="Times New Roman" w:cs="Times New Roman"/>
          <w:noProof/>
          <w:sz w:val="24"/>
          <w:szCs w:val="24"/>
          <w:vertAlign w:val="superscript"/>
        </w:rPr>
        <w:footnoteReference w:id="9"/>
      </w:r>
      <w:r>
        <w:rPr>
          <w:rFonts w:ascii="Times New Roman" w:hAnsi="Times New Roman"/>
          <w:noProof/>
          <w:sz w:val="24"/>
          <w:szCs w:val="24"/>
        </w:rPr>
        <w:t xml:space="preserve"> seotud tegevus; iv) tegevused, mille puhul jäätmete pikaajaline kõrvaldamine võib kahjustada keskkonda. Peale selle peab rahastamiskõlblikkuse kriteeriumides olema sätestatud tingimus, et valida võib ainult tegevusi, mis vastavad asjakohastele ELi ja riiklikele keskkonnaalastele õigusaktidele.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Investeering viiakse lõpule 31. detsembriks 2025.</w:t>
      </w:r>
    </w:p>
    <w:p>
      <w:pPr>
        <w:spacing w:before="120" w:after="120" w:line="240" w:lineRule="auto"/>
        <w:jc w:val="both"/>
        <w:rPr>
          <w:rFonts w:ascii="Times New Roman" w:hAnsi="Times New Roman" w:cs="Times New Roman"/>
          <w:noProof/>
          <w:sz w:val="24"/>
        </w:rPr>
      </w:pPr>
    </w:p>
    <w:p>
      <w:pPr>
        <w:keepNext/>
        <w:numPr>
          <w:ilvl w:val="0"/>
          <w:numId w:val="30"/>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Investeering: Ressursitõhusate rohetehnoloogiate kasutuselevõtt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Investeeringu eesmärk on parandada ettevõtete ressursitõhusust, sealhulgas energiatõhusust, pöörates erilist tähelepanu alakasutatud bioressursside, nagu jääkide ja kõrvalsaaduste väärindamisele. Investeeringu eesmärk on toetada ettevõtetes tootmistehnoloogia ja tootearenduse valdkonna innovatsiooni ning aidata kaasa ringmajandust soodustavate lahenduste juurutamisele.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Meetmega toetatakse kahte liiki investeeringuid:</w:t>
      </w:r>
    </w:p>
    <w:p>
      <w:pPr>
        <w:numPr>
          <w:ilvl w:val="0"/>
          <w:numId w:val="27"/>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tööstusettevõtete ressursitõhusate rohetehnoloogiate edendamine;</w:t>
      </w:r>
    </w:p>
    <w:p>
      <w:pPr>
        <w:numPr>
          <w:ilvl w:val="0"/>
          <w:numId w:val="27"/>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bioressursside väärindamine.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Projektid valitakse välja projektikonkursi alusel. Toetust saavate projektide valiku peamiste kriteeriumide hulgas on, vastavalt olukorrale, kasvuhoonegaaside heitkoguste vähendamise tõhusus, ressursitõhusus, kulutasuvus, tootmisjääkide ja jäätmetekke vähendamine, bioressursside väärindamisel loodav lisaväärtus ja väljatöötatavate lahenduste uuenduslikkus.</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Et meede oleks kindlasti kooskõlas põhimõtte „Ei kahjusta oluliselt“ tehniliste suunistega (2021/C58/01), välistatakse konkursitingimustes sisalduvate rahastamiskõlblikkuse kriteeriumidega järgmiste tegevuste rahastamine:</w:t>
      </w:r>
      <w:r>
        <w:rPr>
          <w:rFonts w:ascii="Times New Roman" w:hAnsi="Times New Roman"/>
          <w:noProof/>
          <w:color w:val="FF0000"/>
          <w:sz w:val="24"/>
          <w:szCs w:val="24"/>
        </w:rPr>
        <w:t xml:space="preserve"> </w:t>
      </w:r>
      <w:r>
        <w:rPr>
          <w:rFonts w:ascii="Times New Roman" w:hAnsi="Times New Roman"/>
          <w:noProof/>
          <w:sz w:val="24"/>
          <w:szCs w:val="24"/>
        </w:rPr>
        <w:t>i) fossiilkütustega seotud tegevus, sealhulgas allkasutus tootmisahela järgmistes etappides</w:t>
      </w:r>
      <w:r>
        <w:rPr>
          <w:rFonts w:ascii="Times New Roman" w:eastAsia="Calibri" w:hAnsi="Times New Roman" w:cs="Times New Roman"/>
          <w:noProof/>
          <w:sz w:val="24"/>
          <w:szCs w:val="24"/>
          <w:vertAlign w:val="superscript"/>
        </w:rPr>
        <w:footnoteReference w:id="10"/>
      </w:r>
      <w:r>
        <w:rPr>
          <w:rFonts w:ascii="Times New Roman" w:hAnsi="Times New Roman"/>
          <w:noProof/>
          <w:sz w:val="24"/>
          <w:szCs w:val="24"/>
        </w:rPr>
        <w:t>; ii) ELi heitkogustega kauplemise süsteemi (HKS) raames toimuv tegevus, mille prognoositav kasvuhoonegaaside heide ei ole asjaomastest võrdlusalustest</w:t>
      </w:r>
      <w:r>
        <w:rPr>
          <w:rFonts w:ascii="Times New Roman" w:eastAsia="Calibri" w:hAnsi="Times New Roman" w:cs="Times New Roman"/>
          <w:noProof/>
          <w:sz w:val="24"/>
          <w:szCs w:val="24"/>
          <w:vertAlign w:val="superscript"/>
        </w:rPr>
        <w:footnoteReference w:id="11"/>
      </w:r>
      <w:r>
        <w:rPr>
          <w:rFonts w:ascii="Times New Roman" w:hAnsi="Times New Roman"/>
          <w:noProof/>
          <w:sz w:val="24"/>
          <w:szCs w:val="24"/>
        </w:rPr>
        <w:t xml:space="preserve"> madalam; iii) prügilate, jäätmepõletustehaste</w:t>
      </w:r>
      <w:r>
        <w:rPr>
          <w:rFonts w:ascii="Times New Roman" w:eastAsia="Calibri" w:hAnsi="Times New Roman" w:cs="Times New Roman"/>
          <w:noProof/>
          <w:sz w:val="24"/>
          <w:szCs w:val="24"/>
          <w:vertAlign w:val="superscript"/>
        </w:rPr>
        <w:footnoteReference w:id="12"/>
      </w:r>
      <w:r>
        <w:rPr>
          <w:rFonts w:ascii="Times New Roman" w:hAnsi="Times New Roman"/>
          <w:noProof/>
          <w:sz w:val="24"/>
          <w:szCs w:val="24"/>
        </w:rPr>
        <w:t xml:space="preserve"> ja mehhaanilis-bioloogilise töötlemise jaamadega</w:t>
      </w:r>
      <w:r>
        <w:rPr>
          <w:rFonts w:ascii="Times New Roman" w:eastAsia="Calibri" w:hAnsi="Times New Roman" w:cs="Times New Roman"/>
          <w:noProof/>
          <w:sz w:val="24"/>
          <w:szCs w:val="24"/>
          <w:vertAlign w:val="superscript"/>
        </w:rPr>
        <w:footnoteReference w:id="13"/>
      </w:r>
      <w:r>
        <w:rPr>
          <w:rFonts w:ascii="Times New Roman" w:hAnsi="Times New Roman"/>
          <w:noProof/>
          <w:sz w:val="24"/>
          <w:szCs w:val="24"/>
        </w:rPr>
        <w:t xml:space="preserve"> seotud tegevus; iv) tegevused, mille puhul jäätmete pikaajaline kõrvaldamine võib kahjustada keskkonda. Peale selle peab rahastamiskõlblikkuse kriteeriumides olema sätestatud tingimus, et valida võib ainult tegevusi, mis vastavad asjakohastele ELi ja riiklikele keskkonnaalastele õigusaktidele.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Investeering viiakse lõpule 30. juuniks 2026.</w:t>
      </w:r>
    </w:p>
    <w:p>
      <w:pPr>
        <w:spacing w:before="120" w:after="120" w:line="240" w:lineRule="auto"/>
        <w:jc w:val="both"/>
        <w:rPr>
          <w:rFonts w:ascii="Times New Roman" w:hAnsi="Times New Roman" w:cs="Times New Roman"/>
          <w:noProof/>
          <w:sz w:val="24"/>
        </w:rPr>
      </w:pPr>
    </w:p>
    <w:p>
      <w:pPr>
        <w:keepNext/>
        <w:numPr>
          <w:ilvl w:val="0"/>
          <w:numId w:val="30"/>
        </w:numPr>
        <w:spacing w:before="120" w:after="120" w:line="240" w:lineRule="auto"/>
        <w:ind w:left="720" w:hanging="720"/>
        <w:jc w:val="both"/>
        <w:outlineLvl w:val="1"/>
        <w:rPr>
          <w:rFonts w:ascii="Times New Roman" w:eastAsiaTheme="majorEastAsia" w:hAnsi="Times New Roman" w:cs="Times New Roman"/>
          <w:b/>
          <w:noProof/>
          <w:sz w:val="24"/>
          <w:szCs w:val="24"/>
        </w:rPr>
      </w:pPr>
      <w:r>
        <w:rPr>
          <w:rFonts w:ascii="Times New Roman" w:hAnsi="Times New Roman"/>
          <w:b/>
          <w:bCs/>
          <w:i/>
          <w:iCs/>
          <w:noProof/>
          <w:sz w:val="24"/>
          <w:szCs w:val="24"/>
        </w:rPr>
        <w:t>Investeering</w:t>
      </w:r>
      <w:r>
        <w:rPr>
          <w:rFonts w:ascii="Times New Roman" w:hAnsi="Times New Roman"/>
          <w:b/>
          <w:bCs/>
          <w:noProof/>
          <w:sz w:val="24"/>
          <w:szCs w:val="24"/>
        </w:rPr>
        <w:t xml:space="preserve">: </w:t>
      </w:r>
      <w:r>
        <w:rPr>
          <w:rFonts w:ascii="Times New Roman" w:hAnsi="Times New Roman"/>
          <w:b/>
          <w:bCs/>
          <w:i/>
          <w:iCs/>
          <w:noProof/>
          <w:sz w:val="24"/>
          <w:szCs w:val="24"/>
        </w:rPr>
        <w:t>Rohefond</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Investeeringu eesmärk on kaasata kapitali uute rohetehnoloogiate arendamiseks strateegilistes valdkondades, nagu energeetika, põllumajandus, toiduainetööstus, transport ja logistika ning materjalid ja keemiatööstus. Rohefondist rahastatakse ettevõtjaid ja sektoreid, mille tooteid, teenuseid või protsesse iseloomustab teadusmahukas rohetehnoloogia ja mille tegevus aitab potentsiaalselt kaasa keskkonnaprobleemide lahendamisele või kasvuhoonegaaside heidet vähendavate või siduvate uute toodete, teenuste või tehnoloogiate väljatöötamisele või lähtub ökodisaini nõuetest. Investeeringuid tehakse kestlikesse projektidesse, võttes arvesse ELi taksonoomiamäärust.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Meedet rakendatakse rahastamisvahendina, mis on osa laiemast rohetehnoloogia investeerimisprogrammist, millega pakutakse riikliku fondivalitseja SmartCap kaudu ettevõtetele omakapitali investeeringuid otseinvesteeringutena või läbi riskikapitalifondide.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Meede vastab põhimõtte „Ei kahjusta oluliselt“ tehnilistele suunistele (2021/C58/01). Eesti ja SmartCapi vahel sõlmitav juriidiline kokkulepe ning sellel põhinev rohefondi investeerimispoliitika peab sisaldama:</w:t>
      </w:r>
    </w:p>
    <w:p>
      <w:pPr>
        <w:numPr>
          <w:ilvl w:val="0"/>
          <w:numId w:val="38"/>
        </w:numPr>
        <w:spacing w:before="120" w:after="120" w:line="240" w:lineRule="auto"/>
        <w:ind w:left="340" w:hanging="357"/>
        <w:jc w:val="both"/>
        <w:rPr>
          <w:rFonts w:ascii="Times New Roman" w:hAnsi="Times New Roman" w:cs="Times New Roman"/>
          <w:noProof/>
          <w:sz w:val="24"/>
          <w:szCs w:val="24"/>
        </w:rPr>
      </w:pPr>
      <w:r>
        <w:rPr>
          <w:rFonts w:ascii="Times New Roman" w:hAnsi="Times New Roman"/>
          <w:noProof/>
          <w:sz w:val="24"/>
          <w:szCs w:val="24"/>
        </w:rPr>
        <w:t>nõuet, et InvestEU fondi kestlikkuskontrolli suhtes kohaldataks komisjoni tehnilist suunist; ning</w:t>
      </w:r>
    </w:p>
    <w:p>
      <w:pPr>
        <w:numPr>
          <w:ilvl w:val="0"/>
          <w:numId w:val="38"/>
        </w:numPr>
        <w:spacing w:before="120" w:after="120" w:line="240" w:lineRule="auto"/>
        <w:ind w:left="340" w:hanging="357"/>
        <w:jc w:val="both"/>
        <w:rPr>
          <w:rFonts w:ascii="Times New Roman" w:hAnsi="Times New Roman" w:cs="Times New Roman"/>
          <w:noProof/>
          <w:sz w:val="24"/>
          <w:szCs w:val="24"/>
        </w:rPr>
      </w:pPr>
      <w:r>
        <w:rPr>
          <w:rFonts w:ascii="Times New Roman" w:hAnsi="Times New Roman"/>
          <w:noProof/>
          <w:sz w:val="24"/>
          <w:szCs w:val="24"/>
        </w:rPr>
        <w:t>nõuet, et äriühingud, kes teenisid eelmisel majandusaastal üle 50 % oma tulust järgmistelt tegevustelt ja/või varadelt, võtaksid vastu ja avaldaksid oma rohepöörde kava:</w:t>
      </w:r>
      <w:r>
        <w:rPr>
          <w:rFonts w:ascii="Times New Roman" w:hAnsi="Times New Roman"/>
          <w:noProof/>
          <w:color w:val="FF0000"/>
          <w:sz w:val="24"/>
          <w:szCs w:val="24"/>
        </w:rPr>
        <w:t xml:space="preserve"> </w:t>
      </w:r>
      <w:r>
        <w:rPr>
          <w:rFonts w:ascii="Times New Roman" w:hAnsi="Times New Roman"/>
          <w:noProof/>
          <w:sz w:val="24"/>
          <w:szCs w:val="24"/>
        </w:rPr>
        <w:t>i) fossiilkütustega seotud tegevus ja varad, sealhulgas allkasutus tootmisahela järgmistes etappides</w:t>
      </w:r>
      <w:r>
        <w:rPr>
          <w:rFonts w:ascii="Times New Roman" w:hAnsi="Times New Roman" w:cs="Times New Roman"/>
          <w:noProof/>
          <w:sz w:val="24"/>
          <w:szCs w:val="24"/>
          <w:vertAlign w:val="superscript"/>
        </w:rPr>
        <w:footnoteReference w:id="14"/>
      </w:r>
      <w:r>
        <w:rPr>
          <w:rFonts w:ascii="Times New Roman" w:hAnsi="Times New Roman"/>
          <w:noProof/>
          <w:sz w:val="24"/>
          <w:szCs w:val="24"/>
        </w:rPr>
        <w:t>; ii) ELi heitkogustega kauplemise süsteemi (HKS) raames toimuv tegevus ja varad, mille prognoositav kasvuhoonegaaside heide ei ole asjaomastest võrdlusalustest</w:t>
      </w:r>
      <w:r>
        <w:rPr>
          <w:rFonts w:ascii="Times New Roman" w:hAnsi="Times New Roman" w:cs="Times New Roman"/>
          <w:noProof/>
          <w:sz w:val="24"/>
          <w:szCs w:val="24"/>
          <w:vertAlign w:val="superscript"/>
        </w:rPr>
        <w:footnoteReference w:id="15"/>
      </w:r>
      <w:r>
        <w:rPr>
          <w:rFonts w:ascii="Times New Roman" w:hAnsi="Times New Roman"/>
          <w:noProof/>
          <w:sz w:val="24"/>
          <w:szCs w:val="24"/>
        </w:rPr>
        <w:t xml:space="preserve"> madalam; iii) prügilate, jäätmepõletustehaste</w:t>
      </w:r>
      <w:r>
        <w:rPr>
          <w:rFonts w:ascii="Times New Roman" w:hAnsi="Times New Roman" w:cs="Times New Roman"/>
          <w:noProof/>
          <w:sz w:val="24"/>
          <w:szCs w:val="24"/>
          <w:vertAlign w:val="superscript"/>
        </w:rPr>
        <w:footnoteReference w:id="16"/>
      </w:r>
      <w:r>
        <w:rPr>
          <w:rFonts w:ascii="Times New Roman" w:hAnsi="Times New Roman"/>
          <w:noProof/>
          <w:sz w:val="24"/>
          <w:szCs w:val="24"/>
        </w:rPr>
        <w:t xml:space="preserve"> ja mehhaanilis-bioloogilise töötlemise jaamadega</w:t>
      </w:r>
      <w:r>
        <w:rPr>
          <w:rFonts w:ascii="Times New Roman" w:hAnsi="Times New Roman" w:cs="Times New Roman"/>
          <w:noProof/>
          <w:sz w:val="24"/>
          <w:szCs w:val="24"/>
          <w:vertAlign w:val="superscript"/>
        </w:rPr>
        <w:footnoteReference w:id="17"/>
      </w:r>
      <w:r>
        <w:rPr>
          <w:rFonts w:ascii="Times New Roman" w:hAnsi="Times New Roman"/>
          <w:noProof/>
          <w:sz w:val="24"/>
          <w:szCs w:val="24"/>
        </w:rPr>
        <w:t xml:space="preserve"> seotud tegevus ja varad; iv) tegevus ja varad, mille puhul jäätmete pikaajaline kõrvaldamine võib kahjustada keskkonda; ning</w:t>
      </w:r>
    </w:p>
    <w:p>
      <w:pPr>
        <w:numPr>
          <w:ilvl w:val="0"/>
          <w:numId w:val="38"/>
        </w:numPr>
        <w:spacing w:before="120" w:after="120" w:line="240" w:lineRule="auto"/>
        <w:ind w:left="340"/>
        <w:jc w:val="both"/>
        <w:rPr>
          <w:rFonts w:ascii="Times New Roman" w:hAnsi="Times New Roman" w:cs="Times New Roman"/>
          <w:noProof/>
          <w:sz w:val="24"/>
          <w:szCs w:val="24"/>
        </w:rPr>
      </w:pPr>
      <w:r>
        <w:rPr>
          <w:rFonts w:ascii="Times New Roman" w:hAnsi="Times New Roman"/>
          <w:noProof/>
          <w:sz w:val="24"/>
          <w:szCs w:val="24"/>
        </w:rPr>
        <w:t>nõuet, et SmartCap kontrolliks abisaaja vastavust asjakohastele ELi ja riiklikele keskkonnaalastele õigusaktidele kõigi tehingute puhul, sealhulgas nende puhul, mis on kestlikkuskontrollist vabastatud.</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Investeering viiakse lõpule 30. juuniks 2026.</w:t>
      </w:r>
    </w:p>
    <w:p>
      <w:pPr>
        <w:keepNext/>
        <w:numPr>
          <w:ilvl w:val="0"/>
          <w:numId w:val="30"/>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 xml:space="preserve">Investeering: Tingimuste ja võimaluste loomine taastuvenergial põhinevate rohelise vesiniku tehnoloogiate kasutuselevõtuks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Investeeringu eesmärk on toetada terviklike rohevesiniku väärtusahelate kasutuselevõttu ja katseprojekte alates energia tootmisest ja tarnelahendustest kuni lõpptarbimiseni eri rakendusvaldkondades.</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Toetatavad projektid valitakse projektikonkursi alusel. Projektikonkurss on avatud kõikide majandussektorite projektidele. Vesiniku tootmiseks kasutatav elekter peab olema toodetud taastuvatest energiaallikatest ja rohevesiniku tarbimine peab toimuma Eestis.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Et meede oleks kindlasti kooskõlas põhimõtte „Ei kahjusta oluliselt“ tehniliste suunistega (2021/C58/01), välistatakse konkursitingimustes sisalduvate rahastamiskõlblikkuse kriteeriumidega järgmiste tegevuste rahastamine:</w:t>
      </w:r>
      <w:r>
        <w:rPr>
          <w:rFonts w:ascii="Times New Roman" w:hAnsi="Times New Roman"/>
          <w:noProof/>
          <w:color w:val="FF0000"/>
          <w:sz w:val="24"/>
          <w:szCs w:val="24"/>
        </w:rPr>
        <w:t xml:space="preserve"> </w:t>
      </w:r>
      <w:r>
        <w:rPr>
          <w:rFonts w:ascii="Times New Roman" w:hAnsi="Times New Roman"/>
          <w:noProof/>
          <w:sz w:val="24"/>
          <w:szCs w:val="24"/>
        </w:rPr>
        <w:t>i) fossiilkütustega seotud tegevus, sealhulgas allkasutus tootmisahela järgmistes etappides</w:t>
      </w:r>
      <w:r>
        <w:rPr>
          <w:rFonts w:ascii="Times New Roman" w:eastAsia="Calibri" w:hAnsi="Times New Roman" w:cs="Times New Roman"/>
          <w:noProof/>
          <w:sz w:val="24"/>
          <w:szCs w:val="24"/>
          <w:vertAlign w:val="superscript"/>
        </w:rPr>
        <w:footnoteReference w:id="18"/>
      </w:r>
      <w:r>
        <w:rPr>
          <w:rFonts w:ascii="Times New Roman" w:hAnsi="Times New Roman"/>
          <w:noProof/>
          <w:sz w:val="24"/>
          <w:szCs w:val="24"/>
        </w:rPr>
        <w:t>; ii) ELi heitkogustega kauplemise süsteemi (HKS) raames toimuv tegevus, mille prognoositav kasvuhoonegaaside heide ei ole asjaomastest võrdlusalustest</w:t>
      </w:r>
      <w:r>
        <w:rPr>
          <w:rFonts w:ascii="Times New Roman" w:eastAsia="Calibri" w:hAnsi="Times New Roman" w:cs="Times New Roman"/>
          <w:noProof/>
          <w:sz w:val="24"/>
          <w:szCs w:val="24"/>
          <w:vertAlign w:val="superscript"/>
        </w:rPr>
        <w:footnoteReference w:id="19"/>
      </w:r>
      <w:r>
        <w:rPr>
          <w:rFonts w:ascii="Times New Roman" w:hAnsi="Times New Roman"/>
          <w:noProof/>
          <w:sz w:val="24"/>
          <w:szCs w:val="24"/>
        </w:rPr>
        <w:t xml:space="preserve"> madalam; iii) prügilate, jäätmepõletustehaste</w:t>
      </w:r>
      <w:r>
        <w:rPr>
          <w:rFonts w:ascii="Times New Roman" w:eastAsia="Calibri" w:hAnsi="Times New Roman" w:cs="Times New Roman"/>
          <w:noProof/>
          <w:sz w:val="24"/>
          <w:szCs w:val="24"/>
          <w:vertAlign w:val="superscript"/>
        </w:rPr>
        <w:footnoteReference w:id="20"/>
      </w:r>
      <w:r>
        <w:rPr>
          <w:rFonts w:ascii="Times New Roman" w:hAnsi="Times New Roman"/>
          <w:noProof/>
          <w:sz w:val="24"/>
          <w:szCs w:val="24"/>
        </w:rPr>
        <w:t xml:space="preserve"> ja mehhaanilis-bioloogilise töötlemise jaamadega</w:t>
      </w:r>
      <w:r>
        <w:rPr>
          <w:rFonts w:ascii="Times New Roman" w:eastAsia="Calibri" w:hAnsi="Times New Roman" w:cs="Times New Roman"/>
          <w:noProof/>
          <w:sz w:val="24"/>
          <w:szCs w:val="24"/>
          <w:vertAlign w:val="superscript"/>
        </w:rPr>
        <w:footnoteReference w:id="21"/>
      </w:r>
      <w:r>
        <w:rPr>
          <w:rFonts w:ascii="Times New Roman" w:hAnsi="Times New Roman"/>
          <w:noProof/>
          <w:sz w:val="24"/>
          <w:szCs w:val="24"/>
        </w:rPr>
        <w:t xml:space="preserve"> seotud tegevus; iv) tegevused, mille puhul jäätmete pikaajaline kõrvaldamine võib kahjustada keskkonda. Peale selle peab rahastamiskõlblikkuse kriteeriumides olema sätestatud tingimus, et valida võib ainult tegevusi, mis vastavad asjakohastele ELi ja riiklikele keskkonnaalastele õigusaktidele.</w:t>
      </w:r>
    </w:p>
    <w:p>
      <w:pPr>
        <w:spacing w:before="120" w:after="120" w:line="240" w:lineRule="auto"/>
        <w:rPr>
          <w:rFonts w:ascii="Times New Roman" w:hAnsi="Times New Roman" w:cs="Times New Roman"/>
          <w:noProof/>
          <w:sz w:val="24"/>
          <w:szCs w:val="24"/>
        </w:rPr>
        <w:sectPr>
          <w:headerReference w:type="even" r:id="rId31"/>
          <w:headerReference w:type="default" r:id="rId32"/>
          <w:footerReference w:type="even" r:id="rId33"/>
          <w:footerReference w:type="default" r:id="rId34"/>
          <w:headerReference w:type="first" r:id="rId35"/>
          <w:footerReference w:type="first" r:id="rId36"/>
          <w:pgSz w:w="11907" w:h="16839"/>
          <w:pgMar w:top="1134" w:right="1417" w:bottom="1134" w:left="1417" w:header="709" w:footer="709" w:gutter="0"/>
          <w:cols w:space="720"/>
          <w:docGrid w:linePitch="360"/>
        </w:sectPr>
      </w:pPr>
      <w:r>
        <w:rPr>
          <w:rFonts w:ascii="Times New Roman" w:hAnsi="Times New Roman"/>
          <w:noProof/>
          <w:sz w:val="24"/>
          <w:szCs w:val="24"/>
        </w:rPr>
        <w:t>Investeering viiakse lõpule 30. juuniks 2026.</w:t>
      </w:r>
    </w:p>
    <w:p>
      <w:pPr>
        <w:spacing w:before="120" w:after="240" w:line="240" w:lineRule="auto"/>
        <w:ind w:left="851"/>
        <w:jc w:val="both"/>
        <w:rPr>
          <w:rFonts w:ascii="Times New Roman" w:hAnsi="Times New Roman" w:cs="Times New Roman"/>
          <w:b/>
          <w:bCs/>
          <w:noProof/>
          <w:sz w:val="24"/>
          <w:szCs w:val="24"/>
          <w:u w:val="single"/>
        </w:rPr>
      </w:pPr>
      <w:r>
        <w:rPr>
          <w:rFonts w:ascii="Times New Roman" w:hAnsi="Times New Roman"/>
          <w:b/>
          <w:bCs/>
          <w:noProof/>
          <w:sz w:val="24"/>
          <w:szCs w:val="24"/>
          <w:u w:val="single"/>
        </w:rPr>
        <w:t xml:space="preserve">B.2. </w:t>
      </w:r>
      <w:r>
        <w:rPr>
          <w:noProof/>
          <w:u w:val="single"/>
        </w:rPr>
        <w:tab/>
      </w:r>
      <w:r>
        <w:rPr>
          <w:rFonts w:ascii="Times New Roman" w:hAnsi="Times New Roman"/>
          <w:b/>
          <w:bCs/>
          <w:noProof/>
          <w:sz w:val="24"/>
          <w:szCs w:val="24"/>
          <w:u w:val="single"/>
        </w:rPr>
        <w:t>Tagastamatu rahalise toetuse eesmärgid, sihid, näitajad ning seire ja rakendamise ajakava</w:t>
      </w:r>
    </w:p>
    <w:tbl>
      <w:tblPr>
        <w:tblW w:w="15937" w:type="dxa"/>
        <w:jc w:val="center"/>
        <w:tblLayout w:type="fixed"/>
        <w:tblLook w:val="04A0" w:firstRow="1" w:lastRow="0" w:firstColumn="1" w:lastColumn="0" w:noHBand="0" w:noVBand="1"/>
      </w:tblPr>
      <w:tblGrid>
        <w:gridCol w:w="1129"/>
        <w:gridCol w:w="1701"/>
        <w:gridCol w:w="1134"/>
        <w:gridCol w:w="1985"/>
        <w:gridCol w:w="1559"/>
        <w:gridCol w:w="1134"/>
        <w:gridCol w:w="992"/>
        <w:gridCol w:w="993"/>
        <w:gridCol w:w="997"/>
        <w:gridCol w:w="993"/>
        <w:gridCol w:w="3320"/>
      </w:tblGrid>
      <w:tr>
        <w:trPr>
          <w:cantSplit/>
          <w:trHeight w:val="910"/>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Järjekorranumber</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Seotud meede (reform või investeering)</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Eesmärk / siht</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Nimi</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Kvalitatiivsed näitajad</w:t>
            </w:r>
            <w:r>
              <w:rPr>
                <w:noProof/>
              </w:rPr>
              <w:t xml:space="preserve"> </w:t>
            </w:r>
            <w:r>
              <w:rPr>
                <w:noProof/>
              </w:rPr>
              <w:br/>
            </w:r>
            <w:r>
              <w:rPr>
                <w:rFonts w:ascii="Times New Roman" w:hAnsi="Times New Roman"/>
                <w:b/>
                <w:bCs/>
                <w:noProof/>
                <w:sz w:val="20"/>
                <w:szCs w:val="20"/>
              </w:rPr>
              <w:t>(eesmärkide puhul)</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Mõõtühik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Kvantitatiivsed näitajad</w:t>
            </w:r>
            <w:r>
              <w:rPr>
                <w:noProof/>
              </w:rPr>
              <w:t xml:space="preserve"> </w:t>
            </w:r>
            <w:r>
              <w:rPr>
                <w:noProof/>
              </w:rPr>
              <w:br/>
            </w:r>
            <w:r>
              <w:rPr>
                <w:rFonts w:ascii="Times New Roman" w:hAnsi="Times New Roman"/>
                <w:b/>
                <w:bCs/>
                <w:noProof/>
                <w:sz w:val="20"/>
                <w:szCs w:val="20"/>
              </w:rPr>
              <w:t>(sihtide puhul)</w:t>
            </w:r>
          </w:p>
        </w:tc>
        <w:tc>
          <w:tcPr>
            <w:tcW w:w="1990" w:type="dxa"/>
            <w:gridSpan w:val="2"/>
            <w:tcBorders>
              <w:top w:val="single" w:sz="4" w:space="0" w:color="auto"/>
              <w:left w:val="nil"/>
              <w:bottom w:val="single" w:sz="4" w:space="0" w:color="auto"/>
              <w:right w:val="single" w:sz="4" w:space="0" w:color="auto"/>
            </w:tcBorders>
            <w:shd w:val="clear" w:color="auto" w:fill="B8CCE4" w:themeFill="accent1" w:themeFillTint="66"/>
            <w:noWrap/>
          </w:tcPr>
          <w:p>
            <w:pPr>
              <w:spacing w:after="0" w:line="240" w:lineRule="auto"/>
              <w:jc w:val="center"/>
              <w:rPr>
                <w:rFonts w:ascii="Times New Roman" w:eastAsia="Times New Roman" w:hAnsi="Times New Roman" w:cs="Times New Roman"/>
                <w:noProof/>
                <w:color w:val="006100"/>
              </w:rPr>
            </w:pPr>
            <w:r>
              <w:rPr>
                <w:rFonts w:ascii="Times New Roman" w:hAnsi="Times New Roman"/>
                <w:b/>
                <w:bCs/>
                <w:noProof/>
                <w:sz w:val="20"/>
                <w:szCs w:val="20"/>
              </w:rPr>
              <w:t>Lõpuleviimise soovituslik ajakava</w:t>
            </w:r>
          </w:p>
        </w:tc>
        <w:tc>
          <w:tcPr>
            <w:tcW w:w="3320" w:type="dxa"/>
            <w:vMerge w:val="restart"/>
            <w:tcBorders>
              <w:top w:val="single" w:sz="4" w:space="0" w:color="auto"/>
              <w:left w:val="nil"/>
              <w:bottom w:val="single" w:sz="4" w:space="0" w:color="auto"/>
              <w:right w:val="single" w:sz="4" w:space="0" w:color="auto"/>
            </w:tcBorders>
            <w:shd w:val="clear" w:color="auto" w:fill="B8CCE4" w:themeFill="accent1" w:themeFillTint="66"/>
            <w:noWrap/>
            <w:vAlign w:val="center"/>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Iga eesmärgi ja sihi kirjeldus</w:t>
            </w:r>
          </w:p>
        </w:tc>
      </w:tr>
      <w:tr>
        <w:trPr>
          <w:cantSplit/>
          <w:trHeight w:val="910"/>
          <w:tblHeader/>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BDD7EE"/>
            <w:noWrap/>
            <w:vAlign w:val="center"/>
          </w:tcPr>
          <w:p>
            <w:pPr>
              <w:spacing w:after="0" w:line="240" w:lineRule="auto"/>
              <w:jc w:val="center"/>
              <w:rPr>
                <w:rFonts w:ascii="Times New Roman" w:eastAsia="Times New Roman" w:hAnsi="Times New Roman" w:cs="Times New Roman"/>
                <w:b/>
                <w:noProof/>
                <w:sz w:val="20"/>
                <w:szCs w:val="20"/>
                <w:lang w:eastAsia="en-GB"/>
              </w:rPr>
            </w:pPr>
          </w:p>
        </w:tc>
        <w:tc>
          <w:tcPr>
            <w:tcW w:w="1701" w:type="dxa"/>
            <w:vMerge/>
            <w:tcBorders>
              <w:top w:val="single" w:sz="4" w:space="0" w:color="auto"/>
              <w:left w:val="single" w:sz="4" w:space="0" w:color="auto"/>
              <w:bottom w:val="single" w:sz="4" w:space="0" w:color="auto"/>
              <w:right w:val="single" w:sz="4" w:space="0" w:color="auto"/>
            </w:tcBorders>
            <w:shd w:val="clear" w:color="auto" w:fill="BDD7EE"/>
            <w:noWrap/>
            <w:vAlign w:val="center"/>
          </w:tcPr>
          <w:p>
            <w:pPr>
              <w:spacing w:after="0" w:line="240" w:lineRule="auto"/>
              <w:jc w:val="center"/>
              <w:rPr>
                <w:rFonts w:ascii="Times New Roman" w:eastAsia="Times New Roman" w:hAnsi="Times New Roman" w:cs="Times New Roman"/>
                <w:b/>
                <w:noProof/>
                <w:sz w:val="20"/>
                <w:szCs w:val="20"/>
                <w:lang w:eastAsia="en-GB"/>
              </w:rPr>
            </w:pPr>
          </w:p>
        </w:tc>
        <w:tc>
          <w:tcPr>
            <w:tcW w:w="1134" w:type="dxa"/>
            <w:vMerge/>
            <w:tcBorders>
              <w:top w:val="single" w:sz="4" w:space="0" w:color="auto"/>
              <w:left w:val="single" w:sz="4" w:space="0" w:color="auto"/>
              <w:bottom w:val="single" w:sz="4" w:space="0" w:color="auto"/>
              <w:right w:val="single" w:sz="4" w:space="0" w:color="auto"/>
            </w:tcBorders>
            <w:shd w:val="clear" w:color="auto" w:fill="BDD7EE"/>
            <w:noWrap/>
            <w:vAlign w:val="center"/>
          </w:tcPr>
          <w:p>
            <w:pPr>
              <w:spacing w:after="0" w:line="240" w:lineRule="auto"/>
              <w:jc w:val="center"/>
              <w:rPr>
                <w:rFonts w:ascii="Times New Roman" w:eastAsia="Times New Roman" w:hAnsi="Times New Roman" w:cs="Times New Roman"/>
                <w:b/>
                <w:noProof/>
                <w:sz w:val="20"/>
                <w:szCs w:val="20"/>
                <w:lang w:eastAsia="en-GB"/>
              </w:rPr>
            </w:pPr>
          </w:p>
        </w:tc>
        <w:tc>
          <w:tcPr>
            <w:tcW w:w="1985" w:type="dxa"/>
            <w:vMerge/>
            <w:tcBorders>
              <w:top w:val="single" w:sz="4" w:space="0" w:color="auto"/>
              <w:left w:val="single" w:sz="4" w:space="0" w:color="auto"/>
              <w:bottom w:val="single" w:sz="4" w:space="0" w:color="auto"/>
              <w:right w:val="single" w:sz="4" w:space="0" w:color="auto"/>
            </w:tcBorders>
            <w:shd w:val="clear" w:color="auto" w:fill="BDD7EE"/>
            <w:noWrap/>
            <w:vAlign w:val="center"/>
          </w:tcPr>
          <w:p>
            <w:pPr>
              <w:spacing w:after="0" w:line="240" w:lineRule="auto"/>
              <w:jc w:val="center"/>
              <w:rPr>
                <w:rFonts w:ascii="Times New Roman" w:eastAsia="Times New Roman" w:hAnsi="Times New Roman" w:cs="Times New Roman"/>
                <w:b/>
                <w:noProof/>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shd w:val="clear" w:color="auto" w:fill="BDD7EE"/>
            <w:noWrap/>
            <w:vAlign w:val="center"/>
          </w:tcPr>
          <w:p>
            <w:pPr>
              <w:spacing w:after="0" w:line="240" w:lineRule="auto"/>
              <w:jc w:val="center"/>
              <w:rPr>
                <w:rFonts w:ascii="Times New Roman" w:eastAsia="Times New Roman" w:hAnsi="Times New Roman" w:cs="Times New Roman"/>
                <w:b/>
                <w:noProof/>
                <w:sz w:val="20"/>
                <w:szCs w:val="20"/>
                <w:lang w:eastAsia="en-GB"/>
              </w:rPr>
            </w:pPr>
          </w:p>
        </w:tc>
        <w:tc>
          <w:tcPr>
            <w:tcW w:w="1134" w:type="dxa"/>
            <w:vMerge/>
            <w:tcBorders>
              <w:top w:val="single" w:sz="4" w:space="0" w:color="auto"/>
              <w:left w:val="single" w:sz="4" w:space="0" w:color="auto"/>
              <w:bottom w:val="single" w:sz="4" w:space="0" w:color="auto"/>
              <w:right w:val="single" w:sz="4" w:space="0" w:color="auto"/>
            </w:tcBorders>
            <w:shd w:val="clear" w:color="auto" w:fill="BDD7EE"/>
            <w:noWrap/>
            <w:vAlign w:val="center"/>
          </w:tcPr>
          <w:p>
            <w:pPr>
              <w:spacing w:after="0" w:line="240" w:lineRule="auto"/>
              <w:jc w:val="center"/>
              <w:rPr>
                <w:rFonts w:ascii="Times New Roman" w:eastAsia="Times New Roman" w:hAnsi="Times New Roman" w:cs="Times New Roman"/>
                <w:b/>
                <w:noProof/>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Lähtetase</w:t>
            </w:r>
          </w:p>
        </w:tc>
        <w:tc>
          <w:tcPr>
            <w:tcW w:w="993" w:type="dxa"/>
            <w:tcBorders>
              <w:top w:val="single" w:sz="4" w:space="0" w:color="auto"/>
              <w:left w:val="nil"/>
              <w:right w:val="single" w:sz="4" w:space="0" w:color="auto"/>
            </w:tcBorders>
            <w:shd w:val="clear" w:color="auto" w:fill="B8CCE4" w:themeFill="accent1" w:themeFillTint="66"/>
            <w:vAlign w:val="center"/>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Eesmärk</w:t>
            </w:r>
          </w:p>
        </w:tc>
        <w:tc>
          <w:tcPr>
            <w:tcW w:w="997" w:type="dxa"/>
            <w:tcBorders>
              <w:top w:val="single" w:sz="4" w:space="0" w:color="auto"/>
              <w:left w:val="nil"/>
              <w:right w:val="single" w:sz="4" w:space="0" w:color="auto"/>
            </w:tcBorders>
            <w:shd w:val="clear" w:color="auto" w:fill="B8CCE4" w:themeFill="accent1" w:themeFillTint="66"/>
            <w:noWrap/>
            <w:vAlign w:val="center"/>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Kvartal</w:t>
            </w:r>
          </w:p>
        </w:tc>
        <w:tc>
          <w:tcPr>
            <w:tcW w:w="993" w:type="dxa"/>
            <w:tcBorders>
              <w:top w:val="single" w:sz="4" w:space="0" w:color="auto"/>
              <w:left w:val="nil"/>
              <w:bottom w:val="single" w:sz="4" w:space="0" w:color="auto"/>
              <w:right w:val="single" w:sz="4" w:space="0" w:color="auto"/>
            </w:tcBorders>
            <w:shd w:val="clear" w:color="auto" w:fill="B8CCE4" w:themeFill="accent1" w:themeFillTint="66"/>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Aasta</w:t>
            </w:r>
          </w:p>
        </w:tc>
        <w:tc>
          <w:tcPr>
            <w:tcW w:w="3320" w:type="dxa"/>
            <w:vMerge/>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r>
      <w:tr>
        <w:trPr>
          <w:cantSplit/>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23</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2.1. Ettevõtete rohepööre</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985"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Rohepöörde rakkerühma loomine rohepöörde rakendamiseks ja seireks</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Rakkerühma ja töörühmade loomine</w:t>
            </w:r>
          </w:p>
        </w:tc>
        <w:tc>
          <w:tcPr>
            <w:tcW w:w="1134" w:type="dxa"/>
            <w:tcBorders>
              <w:top w:val="single" w:sz="4" w:space="0" w:color="auto"/>
              <w:left w:val="nil"/>
              <w:bottom w:val="single" w:sz="4" w:space="0" w:color="auto"/>
              <w:right w:val="single" w:sz="4" w:space="0" w:color="auto"/>
            </w:tcBorders>
            <w:shd w:val="clear" w:color="auto" w:fill="C6EFCE"/>
            <w:noWrap/>
          </w:tcPr>
          <w:p>
            <w:pPr>
              <w:rPr>
                <w:rFonts w:ascii="Times New Roman" w:eastAsia="Times New Roman" w:hAnsi="Times New Roman" w:cs="Times New Roman"/>
                <w:noProof/>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&lt;&lt;&lt;&lt;&lt;&lt;&lt;&lt;&lt;&lt;&lt;&lt;&lt;&lt;&lt;&lt;&lt;</w:t>
            </w:r>
          </w:p>
        </w:tc>
        <w:tc>
          <w:tcPr>
            <w:tcW w:w="997"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2021</w:t>
            </w:r>
          </w:p>
        </w:tc>
        <w:tc>
          <w:tcPr>
            <w:tcW w:w="332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Keskkonnaministeerium kujundab olemasoleva (2020. aastal loodud) rohetehnoloogia töörühma ümber taaste- ja vastupidavuskava alusel moodustatavaks rohepöörde rakkerühmaks, et koordineerida ettevõtete rohemajandusele ülemineku meetmeid ning parandada koostööd ja teabevahetust avaliku sektori ning sidus- ja huvirühmade vahel. Erimeetmete jaoks moodustatakse vajalikud töörühmad.</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24</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2.1. Ettevõtete rohepööre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98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 Ringmajanduse tegevuskava vastuvõtmine rohepöörde rakkerühmas</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Ringmajanduse tegevuskava on vastu võetud </w:t>
            </w:r>
          </w:p>
        </w:tc>
        <w:tc>
          <w:tcPr>
            <w:tcW w:w="1134" w:type="dxa"/>
            <w:tcBorders>
              <w:top w:val="nil"/>
              <w:left w:val="nil"/>
              <w:bottom w:val="single" w:sz="4" w:space="0" w:color="auto"/>
              <w:right w:val="single" w:sz="4" w:space="0" w:color="auto"/>
            </w:tcBorders>
            <w:shd w:val="clear" w:color="auto" w:fill="C6EFCE"/>
            <w:noWrap/>
          </w:tcPr>
          <w:p>
            <w:pPr>
              <w:rPr>
                <w:rFonts w:ascii="Times New Roman" w:eastAsia="Times New Roman" w:hAnsi="Times New Roman" w:cs="Times New Roman"/>
                <w:noProof/>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7"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32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Rohepöörde rakkerühm vaatab läbi praegused ringmajanduse meetmed ja tegevuskavad ning koondab need ühtseks ringmajanduse tegevuskavaks, mis on aluseks Eesti ringmajandusele üleminekule. </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25</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2.2. Roheoskused ettevõtete rohepöörde toetamiseks</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98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Roheoskuste arendamise toetamise tingimusi sisaldavate teiseste õigusaktide jõustumine</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Teiseste õigusaktide jõustumine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7"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32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Jõustuvad toetuse rakendamiseks ja väljamaksmiseks vajalikud teisesed õigusaktid. Need peavad sisaldama sätteid, millega tagatakse, et kõik meetme raames toetatavad tegevused keskenduvad valdkondadele, mis aitavad vähendada kasvuhoonegaaside heitkoguseid või kohaneda kliimamuutustega. </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26</w:t>
            </w:r>
          </w:p>
        </w:tc>
        <w:tc>
          <w:tcPr>
            <w:tcW w:w="1701"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2.2. Roheoskused ettevõtete rohepöörde toetamiseks</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985"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Oskuste täiendamise ja ümberõppemoodulite arv</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Moodulite arv</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3"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w:t>
            </w:r>
          </w:p>
        </w:tc>
        <w:tc>
          <w:tcPr>
            <w:tcW w:w="997"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993"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2023</w:t>
            </w:r>
          </w:p>
        </w:tc>
        <w:tc>
          <w:tcPr>
            <w:tcW w:w="3320"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Välja töötatud oskuste täiendamise ja ümberõppemoodulite arv, sealhulgas üksikasjalik ülevaade õppe sisust, struktuurist ja koolitusmaterjalidest, mille alusel pakutakse roheoskustega seotud koolitust.</w:t>
            </w:r>
          </w:p>
        </w:tc>
      </w:tr>
      <w:tr>
        <w:trPr>
          <w:trHeight w:val="309"/>
          <w:jc w:val="center"/>
        </w:trPr>
        <w:tc>
          <w:tcPr>
            <w:tcW w:w="1129"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27</w:t>
            </w:r>
          </w:p>
        </w:tc>
        <w:tc>
          <w:tcPr>
            <w:tcW w:w="1701"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2.2. Roheoskused ettevõtete rohepöörde toetamiseks</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985"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Oskuste täiendamise ja ümberõppeprogrammides osalevad inimesed</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Osalejate arv</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3"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2830</w:t>
            </w:r>
          </w:p>
        </w:tc>
        <w:tc>
          <w:tcPr>
            <w:tcW w:w="997"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993"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2026</w:t>
            </w:r>
          </w:p>
        </w:tc>
        <w:tc>
          <w:tcPr>
            <w:tcW w:w="3320"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Meetme raames toetust saanud koolituskursuse läbinud inimeste arv kokku.</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28</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2.3. Rohetehnoloogiate arendusprogramm</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98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Arendusprogrammi kavandamise ja koostamise töörühma moodustamine</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Projektijuhi töölevõtmine ja töörühma moodustamine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7"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2021</w:t>
            </w:r>
          </w:p>
        </w:tc>
        <w:tc>
          <w:tcPr>
            <w:tcW w:w="332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rPr>
            </w:pPr>
            <w:r>
              <w:rPr>
                <w:rFonts w:ascii="Times New Roman" w:hAnsi="Times New Roman"/>
                <w:noProof/>
                <w:color w:val="006100"/>
              </w:rPr>
              <w:t>Investeeringute kavandamise ja rakendamise koordineerimiseks võetakse tööle projektijuht ning moodustatakse laiapõhjaline sidusrühmade rühm. Määratakse kindlaks projektijuhi ülesanded, et koguda turuosalistelt teavet ning kavandada vajalikud toetusmeetmed ja hanked. Töörühm moodustatakse ettevõtluse arendamise kogemusega inimestest ning see peab kokku tulema vähemalt kolm korda aastas, et teha kokkuvõtteid investeeringutega seotud tegevusest ja anda soovitusi edasisteks meetmeteks. Töörühm koostab tingimused arengukava raames toetatavate meetmete valiku kohta nii, et oleks tagatud iga meetme otsene panus kas kasvuhoonegaaside heitkoguste vähendamisse või kliimamuutustega kohanemise toetamisse.</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29</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2.3. Rohetehnoloogiate arendusprogramm</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98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Rohetehnoloogiate arendusprogrammi käivitamine</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Kõigi arendusklastrite ning kavandatud ja avatud toetusmeetmete kohta on lepingud sõlmitud</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7"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2024</w:t>
            </w:r>
          </w:p>
        </w:tc>
        <w:tc>
          <w:tcPr>
            <w:tcW w:w="332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Vähemalt viie arendusklastri riigihankemenetlused viiakse lõpule ja võitjatega sõlmitakse lepingud. Kavandatakse toetusmeetmed ja avatakse nende esimesed taotlusvoorud vähemalt kümnele esimesele idufirmale.</w:t>
            </w:r>
            <w:r>
              <w:rPr>
                <w:rFonts w:ascii="Times New Roman" w:hAnsi="Times New Roman"/>
                <w:noProof/>
              </w:rPr>
              <w:t xml:space="preserve"> </w:t>
            </w:r>
            <w:r>
              <w:rPr>
                <w:rFonts w:ascii="Times New Roman" w:hAnsi="Times New Roman"/>
                <w:noProof/>
                <w:color w:val="006100"/>
              </w:rPr>
              <w:t>Valikumenetlusega tagatakse, et iga toetatav meede aitaks otseselt kaasa kas kasvuhoonegaaside heitkoguste vähendamisele või kliimamuutustega kohanemise toetamisele.</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30</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2.3. Rohetehnoloogiate arendusprogramm</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98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Rohetehnoloogiate arendusprogrammi kaudu toetatavate klastrite arv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Klastrite arv</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w:t>
            </w:r>
          </w:p>
        </w:tc>
        <w:tc>
          <w:tcPr>
            <w:tcW w:w="997"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2026</w:t>
            </w:r>
          </w:p>
        </w:tc>
        <w:tc>
          <w:tcPr>
            <w:tcW w:w="332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Arendusprogrammi kaudu toetatavate klastrite arv. </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31</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2.3. Rohetehnoloogiate arendusprogramm</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98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Rohetehnoloogiate arendusprogrammi kaudu toetust ja erainvesteeringuid saanud idufirmade arv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Idufirmade arv</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10</w:t>
            </w:r>
          </w:p>
        </w:tc>
        <w:tc>
          <w:tcPr>
            <w:tcW w:w="997"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2026</w:t>
            </w:r>
          </w:p>
        </w:tc>
        <w:tc>
          <w:tcPr>
            <w:tcW w:w="332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Rohetehnoloogiate arendusprogrammi kaudu toetust saanud idufirmad, kes on arendusprogrammi jooksul või pärast seda saanud vahendeid erainvestoritelt (selliste idufirmade arv). </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32</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2.4. Tootmisettevõtete ärimudelite ajakohastamine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98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Toetuse andmise tingimusi sätestava ministri käskkirja jõustumine</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Ministri käskkirja jõustumine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7"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32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Toetuse andmise tingimused kehtestatakse vastutava ministri käskkirjaga. Need peavad sisaldama rahastamiskõlblikkuse kriteeriume, millega tagatakse, et väljavalitud projektid vastaksid põhimõtte „Ei kahjusta oluliselt“ tehnilistele suunistele (2021/C58/01), kasutades välistamisnimekirja ning asjaomaste ELi ja riiklike keskkonnaalaste õigusaktide järgimise nõuet. Valiku- ja rahastamiskõlblikkuse kriteeriumides täpsustatakse, et toetatavad tegevused ja/või ettevõtted peavad aitama kaasa kliimaneutraalsele majandusele, vastupidavusele ja kliimamuutustega kohanemisele, sealhulgas ringmajanduse eesmärkidele, nagu ringmajanduse põhimõtete asutusesisene rakendamine ning transpordi- ja ladustamisettevõtete tegevuse üleviimine uutele alustele.</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33</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2.4. Tootmisettevõtete ärimudelite ajakohastamine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98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Toetatud projektide arv</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Projektide arv</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70</w:t>
            </w:r>
          </w:p>
        </w:tc>
        <w:tc>
          <w:tcPr>
            <w:tcW w:w="997"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2025</w:t>
            </w:r>
          </w:p>
        </w:tc>
        <w:tc>
          <w:tcPr>
            <w:tcW w:w="332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Projektid, millele on tehtud väljamakseid vastavalt konkursikutses sätestatud rahastamiskõlblikkuse kriteeriumidele, et võtta kasutusele ärimudeleid, mis toetavad üleminekut kliimaneutraalsele majandusele, vastupidavust ja kliimamuutustega kohanemist, sealhulgas ringmajanduse eesmärke.</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34</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2.5. Ressursitõhusate rohetehnoloogiate kasutuselevõtt</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98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Konkursikutse avaldamine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Konkursi teatise avaldamine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7"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32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Avaldatakse ressursitõhusate rohetehnoloogiate ja bioressursside väärindamise toetuse taotlemise konkursikutse ning avatakse taotlusvoor. Rahastamiskõlblikkuse kriteeriumidega tagatakse, et väljavalitud projektid vastaksid põhimõtte „Ei kahjusta oluliselt“ tehnilistele suunistele (2021/C58/01), kasutades välistamisnimekirja ning asjaomaste ELi ja riiklike keskkonnaalaste õigusaktide järgimise nõuet. Valiku- ja rahastamiskõlblikkuse kriteeriumides täpsustatakse, et toetatav tegevus ja/või ettevõtted peavad aitama kaasa kliimaneutraalsele majandusele, vastupidavusele ja kliimamuutustega kohanemisele.</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35</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2.5. Ressursitõhusate rohetehnoloogiate kasutuselevõtt</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98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Projektikonkursi tulemusel sõlmitud lepingute arv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Sõlmitud lepingud </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25</w:t>
            </w:r>
          </w:p>
        </w:tc>
        <w:tc>
          <w:tcPr>
            <w:tcW w:w="997"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2023</w:t>
            </w:r>
          </w:p>
        </w:tc>
        <w:tc>
          <w:tcPr>
            <w:tcW w:w="332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Lepingute sõlmimine vähemalt 25 tööstusrajatiste rohetehnoloogiate ja bioressursside väärindamise projekti jaoks, mis on välja valitud konkurentsipõhise projektikonkursi alusel kooskõlas konkursitingimustega.</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36</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2.5. Ressursitõhusate rohetehnoloogiate kasutuselevõtt</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98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Lõpetatud projektide arv</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Projektide arv</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25</w:t>
            </w:r>
          </w:p>
        </w:tc>
        <w:tc>
          <w:tcPr>
            <w:tcW w:w="997"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2026</w:t>
            </w:r>
          </w:p>
        </w:tc>
        <w:tc>
          <w:tcPr>
            <w:tcW w:w="332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Lõpetatud projektid, mille eesmärk on parandada ressursitõhusust rohetehnoloogiate edendamise ja bioressursside väärindamise kaudu, vastavalt konkursitingimustele ja rahastamiskõlblikkuse kriteeriumidele (selliste projektide arv). </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37</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2.6. Rohefond</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98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Majandus- ja kommunikatsiooniministeeriumi ning SmartCapi vahelise lepingu allakirjutamine</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Lepingu allakirjutamine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7"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2021</w:t>
            </w:r>
          </w:p>
        </w:tc>
        <w:tc>
          <w:tcPr>
            <w:tcW w:w="332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Majandus- ja kommunikatsiooniministeerium ja SmartCap sõlmivad rohefondi haldamiseks lepingu, mis sisaldab järgmist:</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investeerimiseesmärgid investeerimiseks ettevõtetesse ja tegevustesse, mis aitavad kaasa kliimaneutraalsele majandusele ja kliimamuutustele vastupidavuse parandamisele, sealhulgas teadlikkuse suurendamise meetmed;</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 rahastamiskõlblikkuse kriteeriumid, millega tagatakse toetusesaajate vastavus põhimõtte „Ei kahjusta oluliselt“ tehnilistele suunistele (2021/C58/01), kasutades kestlikkuskontrolli, välistamisnimekirja ning asjaomaste ELi ja riiklike keskkonnaalaste õigusaktide järgimise nõuet. </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38</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2.6. Rohefond</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98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Investeerimispoliitika dokumendi vastuvõtmine SmartCapi poolt</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SmartCap on investeerimispoliitika dokumendi vastu võtnud</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7"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r>
              <w:rPr>
                <w:rFonts w:ascii="Times New Roman" w:hAnsi="Times New Roman"/>
                <w:noProof/>
                <w:color w:val="006100"/>
                <w:highlight w:val="yellow"/>
              </w:rPr>
              <w:t xml:space="preserve"> </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2021</w:t>
            </w:r>
          </w:p>
        </w:tc>
        <w:tc>
          <w:tcPr>
            <w:tcW w:w="332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SmartCap võtab vastu rohefondi investeerimispoliitika. See on kooskõlas majandus- ja kommunikatsiooniministeeriumi ja SmartCapi vahel sõlmitud lepinguga, mis sisaldab investeerimiseesmärke ja rahastamiskõlblikkuse kriteeriume, millega tagatakse meetme toetusesaajate vastavus põhimõtte „Ei kahjusta oluliselt“ tehnilistele suunistele (2021/C58/01), kasutades kestlikkuskontrolli, asjaomaste ELi ja riiklike keskkonnaalaste õigusaktide järgimise nõuet ning nõuet, et toetusesaajad, kes teenisid eelneval eelarveaastal rohkem kui 50 % oma tuludest välistamisnimekirja kantud tegevustest või varadest, võtaksid vastu ja avaldaksid rohepöörde kava. </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39</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2.6. Rohefond</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98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Riskikapitalifondidesse tehtud investeeringute või ettevõtetesse tehtud omakapitaliinvesteeringute maht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Investeeritud kapitali maht (eurodes)</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60 000 000</w:t>
            </w:r>
          </w:p>
        </w:tc>
        <w:tc>
          <w:tcPr>
            <w:tcW w:w="997"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2024</w:t>
            </w:r>
          </w:p>
        </w:tc>
        <w:tc>
          <w:tcPr>
            <w:tcW w:w="332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Rohefond investeerib kooskõlas investeerimispoliitikaga riskikapitalifondidesse või ettevõtetesse vähemalt 60 miljonit eurot.</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40</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2.6. Rohefond</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Siht </w:t>
            </w:r>
          </w:p>
        </w:tc>
        <w:tc>
          <w:tcPr>
            <w:tcW w:w="198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Riskikapitalifondidesse tehtud investeeringute või ettevõtetesse tehtud omakapitaliinvesteeringute maht</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Investeeritud kapitali maht (eurodes)</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60 000 000</w:t>
            </w:r>
          </w:p>
        </w:tc>
        <w:tc>
          <w:tcPr>
            <w:tcW w:w="9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100 000 000</w:t>
            </w:r>
          </w:p>
        </w:tc>
        <w:tc>
          <w:tcPr>
            <w:tcW w:w="997"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2026</w:t>
            </w:r>
          </w:p>
        </w:tc>
        <w:tc>
          <w:tcPr>
            <w:tcW w:w="332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Rohefond investeerib riskikapitalifondidesse või ettevõtetesse kooskõlas investeerimispoliitikaga vähemalt 100 miljonit eurot.</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41</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2.7. Tingimuste ja võimaluste loomine taastuvenergial põhinevate rohelise vesiniku tehnoloogiate kasutuselevõtuks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98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Toetuse andmise tingimusi sätestava ministri käskkirja jõustumine</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Ministri käskkirja jõustumine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7"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320" w:type="dxa"/>
            <w:tcBorders>
              <w:top w:val="nil"/>
              <w:left w:val="nil"/>
              <w:bottom w:val="single" w:sz="4" w:space="0" w:color="auto"/>
              <w:right w:val="single" w:sz="4" w:space="0" w:color="auto"/>
            </w:tcBorders>
            <w:shd w:val="clear" w:color="auto" w:fill="C6EFCE"/>
            <w:noWrap/>
          </w:tcPr>
          <w:p>
            <w:pPr>
              <w:spacing w:after="0" w:line="240" w:lineRule="auto"/>
              <w:rPr>
                <w:noProof/>
              </w:rPr>
            </w:pPr>
            <w:r>
              <w:rPr>
                <w:rFonts w:ascii="Times New Roman" w:hAnsi="Times New Roman"/>
                <w:noProof/>
                <w:color w:val="006100"/>
              </w:rPr>
              <w:t>Rohevesiniku terviktehnoloogiatega seotud projektide valikukriteeriumide väljatöötamine ja toetuse andmise tingimusi sätestava ministri käskkirja jõustumine. Toetuse saamise konkursitingimused peavad sisaldama rahastamiskõlblikkuse kriteeriume, millega tagatakse väljavalitud projektide eesmärkide vastavus põhimõtte „Ei kahjusta oluliselt“ tehnilistele suunistele (2021/C58/01), kasutades välistamisnimekirja ning asjaomaste ELi ja riiklike keskkonnaalaste õigusaktide järgimise nõuet.</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42</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2.7. Tingimuste ja võimaluste loomine taastuvenergial põhinevate rohelise vesiniku tehnoloogiate kasutuselevõtuks</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98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Tehnoloogiad ja seadmed terviklike rohevesiniku väärtusahelate loomiseks</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Tehnoloogiate ja seadmete hankimine, paigaldamine ja kasutuselevõtt</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7"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 kv</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2025</w:t>
            </w:r>
          </w:p>
          <w:p>
            <w:pPr>
              <w:spacing w:after="0" w:line="240" w:lineRule="auto"/>
              <w:jc w:val="center"/>
              <w:rPr>
                <w:rFonts w:ascii="Times New Roman" w:eastAsia="Times New Roman" w:hAnsi="Times New Roman" w:cs="Times New Roman"/>
                <w:noProof/>
                <w:color w:val="006100"/>
                <w:lang w:eastAsia="en-GB"/>
              </w:rPr>
            </w:pPr>
          </w:p>
        </w:tc>
        <w:tc>
          <w:tcPr>
            <w:tcW w:w="332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Projektikonkursiga valitud arendajad ostavad, paigaldavad ja võtavad kasutusele rohevesiniku tootmiseks vajalikud seadmed.</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43</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2.7. Tingimuste ja võimaluste loomine taastuvenergial põhinevate rohelise vesiniku tehnoloogiate kasutuselevõtuks</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98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Taastuvatel energiaallikatel põhinevatele rohevesiniku tehnoloogiatele eraldatud toetused moodustavad vähemalt 49,49 miljonit eurot</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eurodes</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49 490 000</w:t>
            </w:r>
          </w:p>
        </w:tc>
        <w:tc>
          <w:tcPr>
            <w:tcW w:w="997"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2026</w:t>
            </w:r>
          </w:p>
        </w:tc>
        <w:tc>
          <w:tcPr>
            <w:tcW w:w="332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Kooskõlas investeerimispoliitikaga eraldatakse taastuvatel energiaallikatel põhinevatesse rohevesiniku tehnoloogiatesse tehtavateks investeeringuteks toetusi vähemalt 49,49 miljoni euro ulatuses.</w:t>
            </w:r>
          </w:p>
        </w:tc>
      </w:tr>
    </w:tbl>
    <w:p>
      <w:pPr>
        <w:keepNext/>
        <w:tabs>
          <w:tab w:val="left" w:pos="850"/>
        </w:tabs>
        <w:spacing w:before="360" w:after="120" w:line="240" w:lineRule="auto"/>
        <w:ind w:left="850" w:hanging="850"/>
        <w:jc w:val="both"/>
        <w:outlineLvl w:val="0"/>
        <w:rPr>
          <w:rFonts w:ascii="Times New Roman" w:hAnsi="Times New Roman" w:cs="Times New Roman"/>
          <w:b/>
          <w:smallCaps/>
          <w:noProof/>
          <w:sz w:val="24"/>
        </w:rPr>
        <w:sectPr>
          <w:headerReference w:type="even" r:id="rId37"/>
          <w:headerReference w:type="default" r:id="rId38"/>
          <w:footerReference w:type="even" r:id="rId39"/>
          <w:footerReference w:type="default" r:id="rId40"/>
          <w:headerReference w:type="first" r:id="rId41"/>
          <w:footerReference w:type="first" r:id="rId42"/>
          <w:pgSz w:w="16839" w:h="11907" w:orient="landscape"/>
          <w:pgMar w:top="1417" w:right="1134" w:bottom="1417" w:left="1134"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bCs/>
          <w:smallCaps/>
          <w:noProof/>
          <w:sz w:val="24"/>
          <w:szCs w:val="24"/>
        </w:rPr>
      </w:pPr>
      <w:r>
        <w:rPr>
          <w:noProof/>
        </w:rPr>
        <w:tab/>
      </w:r>
      <w:r>
        <w:rPr>
          <w:rFonts w:ascii="Times New Roman" w:hAnsi="Times New Roman"/>
          <w:b/>
          <w:bCs/>
          <w:smallCaps/>
          <w:noProof/>
          <w:sz w:val="24"/>
          <w:szCs w:val="24"/>
        </w:rPr>
        <w:t>C. KOMPONENT 3. Digiriik</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Tuginedes digitehnoloogia edukale kasutuselevõtule avalike teenuste osutamisel Eestis viimastel aastatel, on Eesti taaste- ja vastupidavuskava selle komponendi eesmärk jätkata digivalitsuse teenuste täiustamist, eelkõige kasutajasõbralikkuse ja vastupidavuse seisukohast (pidades muu hulgas silmas suurenevaid küberohte). Komponent sisaldab meetmeid, mille abil kasutada ära uusima tehnoloogia ja eelkõige tehisintellekti pakutavaid võimalusi, aga samuti ees- ja tagateenuste olulist ümberkujundamist. Need toovad kasu nii kodanikele kui ka ettevõtjatele. Ette on nähtud konkreetsed meetmed, et tugevdada riigi suutlikkust võidelda rahapesu vastu. Toetus väga suure läbilaskevõimega võrkude kasutuselevõtuks maapiirkondades peaks samuti tagama laiema juurdepääsu internetipõhistele teenustele ja aitama üldisemalt kaasa riigi edasisele digiüleminekule.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Selle komponendiga toetatakse digiüleminekusse investeerimist (2020. aasta riigipõhine soovitus nr 3) ja rahapesuvastast raamistikku (2019. aasta riigipõhine soovitus nr 1 ja 2020. aasta riigipõhine soovitus nr 4) käsitlevate riigipõhiste soovituste elluviimist.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Lähtudes meetmete kirjeldusest taaste- ja vastupidavuskavas ja võttes arvesse põhimõtte „Ei kahjusta oluliselt“ tehniliste suuniste (2021/C58/01) kohaseid leevendavaid samme, mis kavas on sätestatud, võib eeldada, et ükski selle komponendi meede ei kahjusta määruse (EL) 2020/852 artikli 17 tähenduses oluliselt keskkonnaeesmärke. </w:t>
      </w:r>
    </w:p>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b/>
          <w:i/>
          <w:noProof/>
          <w:sz w:val="24"/>
          <w:szCs w:val="24"/>
          <w:u w:val="single"/>
        </w:rPr>
      </w:pPr>
      <w:r>
        <w:rPr>
          <w:rFonts w:ascii="Times New Roman" w:hAnsi="Times New Roman"/>
          <w:b/>
          <w:bCs/>
          <w:noProof/>
          <w:sz w:val="24"/>
          <w:szCs w:val="24"/>
          <w:u w:val="single"/>
        </w:rPr>
        <w:t xml:space="preserve">C.1. </w:t>
      </w:r>
      <w:r>
        <w:rPr>
          <w:noProof/>
          <w:u w:val="single"/>
        </w:rPr>
        <w:tab/>
      </w:r>
      <w:r>
        <w:rPr>
          <w:rFonts w:ascii="Times New Roman" w:hAnsi="Times New Roman"/>
          <w:b/>
          <w:bCs/>
          <w:noProof/>
          <w:sz w:val="24"/>
          <w:szCs w:val="24"/>
          <w:u w:val="single"/>
        </w:rPr>
        <w:t>Tagastamatu rahalise toetusega seotud reformide ja investeeringute kirjeldus</w:t>
      </w:r>
    </w:p>
    <w:p>
      <w:pPr>
        <w:spacing w:before="120" w:after="120" w:line="240" w:lineRule="auto"/>
        <w:jc w:val="both"/>
        <w:rPr>
          <w:rFonts w:ascii="Times New Roman" w:hAnsi="Times New Roman"/>
          <w:noProof/>
          <w:sz w:val="24"/>
        </w:rPr>
      </w:pPr>
    </w:p>
    <w:p>
      <w:pPr>
        <w:keepNext/>
        <w:numPr>
          <w:ilvl w:val="0"/>
          <w:numId w:val="31"/>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Reform: Andmehalduse ja avaandmete oivakeskuse loomine ja väljaarendamine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Meetme eesmärk on edendada Eesti ametiasutuste kogutud ja nende valduses olevate andmete paremat haldamist. Sellega püütakse parandada andmete kvaliteeti, suurendada nende kasutust otsuste tegemisel ja nende kättesaadavust avaandmetena, et ka teised sidusrühmad saaksid neid taaskasutada.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Meede hõlmab järgmist:</w:t>
      </w:r>
    </w:p>
    <w:p>
      <w:pPr>
        <w:numPr>
          <w:ilvl w:val="0"/>
          <w:numId w:val="27"/>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Eesti Statistikaameti (ametliku statistika koostamise eest vastutav valitsusasutus) juurde oivakeskuse loomine, et koordineerida ja toetada andmehalduse juurutamist teistes riigiasutustes;</w:t>
      </w:r>
    </w:p>
    <w:p>
      <w:pPr>
        <w:numPr>
          <w:ilvl w:val="0"/>
          <w:numId w:val="27"/>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andmehalduse ja andmejagamise töövahendite ja infosüsteemide väljaarendamine;</w:t>
      </w:r>
    </w:p>
    <w:p>
      <w:pPr>
        <w:numPr>
          <w:ilvl w:val="0"/>
          <w:numId w:val="27"/>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projektid avaliku sektori asutuste valduses olevate andmete kvaliteedi parandamiseks ja avaandmete kättesaadavuse suurendamiseks.</w:t>
      </w:r>
    </w:p>
    <w:p>
      <w:pPr>
        <w:spacing w:before="120" w:after="120" w:line="240" w:lineRule="auto"/>
        <w:jc w:val="both"/>
        <w:rPr>
          <w:rFonts w:ascii="Times New Roman" w:eastAsia="Times New Roman" w:hAnsi="Times New Roman" w:cs="Times New Roman"/>
          <w:noProof/>
          <w:sz w:val="24"/>
          <w:szCs w:val="24"/>
        </w:rPr>
        <w:sectPr>
          <w:headerReference w:type="even" r:id="rId43"/>
          <w:headerReference w:type="default" r:id="rId44"/>
          <w:footerReference w:type="even" r:id="rId45"/>
          <w:footerReference w:type="default" r:id="rId46"/>
          <w:headerReference w:type="first" r:id="rId47"/>
          <w:footerReference w:type="first" r:id="rId48"/>
          <w:pgSz w:w="11907" w:h="16839"/>
          <w:pgMar w:top="1134" w:right="1417" w:bottom="1134" w:left="1417" w:header="709" w:footer="709" w:gutter="0"/>
          <w:cols w:space="720"/>
          <w:docGrid w:linePitch="360"/>
        </w:sectPr>
      </w:pPr>
      <w:r>
        <w:rPr>
          <w:rFonts w:ascii="Times New Roman" w:hAnsi="Times New Roman"/>
          <w:noProof/>
          <w:sz w:val="24"/>
          <w:szCs w:val="24"/>
        </w:rPr>
        <w:t>Meetme rakendamine viiakse lõpule 31. detsembriks 2025.</w:t>
      </w:r>
    </w:p>
    <w:p>
      <w:pPr>
        <w:keepNext/>
        <w:numPr>
          <w:ilvl w:val="0"/>
          <w:numId w:val="31"/>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Reform: Eraisikutele sündmusteenuste ja etteaimavate teenuste väljaarendamine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Meetme eesmärk on parandada avalike teenuste osutamise tõhusust ja vähendada kodanike halduskoormust.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Meede seisneb rea avalike teenuste (ja nende aluseks olevate IT-süsteemide) ümberkujundamises, et võimaldada nende automaatset ja proaktiivset osutamist kodanike elu- ja ärisündmuste põhiselt (nt abielu, lapse sünd või ettevõtte asutamine). Eelkõige võimaldab see IT-süsteeme avaliku sektori asutuste vahel paremini integreerida ja aitab rakendada ühekordsuse põhimõtet.</w:t>
      </w:r>
    </w:p>
    <w:p>
      <w:pPr>
        <w:spacing w:before="120" w:after="120" w:line="240" w:lineRule="auto"/>
        <w:jc w:val="both"/>
        <w:rPr>
          <w:rFonts w:ascii="Times New Roman" w:hAnsi="Times New Roman" w:cs="Times New Roman"/>
          <w:noProof/>
          <w:sz w:val="24"/>
        </w:rPr>
      </w:pPr>
      <w:r>
        <w:rPr>
          <w:rFonts w:ascii="Times New Roman" w:hAnsi="Times New Roman"/>
          <w:noProof/>
          <w:sz w:val="24"/>
          <w:szCs w:val="24"/>
        </w:rPr>
        <w:t>Meetme rakendamine viiakse lõpule 31. detsembriks 2025.</w:t>
      </w:r>
    </w:p>
    <w:p>
      <w:pPr>
        <w:spacing w:before="120" w:after="120" w:line="240" w:lineRule="auto"/>
        <w:jc w:val="both"/>
        <w:rPr>
          <w:rFonts w:ascii="Times New Roman" w:hAnsi="Times New Roman" w:cs="Times New Roman"/>
          <w:noProof/>
          <w:sz w:val="24"/>
        </w:rPr>
      </w:pPr>
    </w:p>
    <w:p>
      <w:pPr>
        <w:keepNext/>
        <w:numPr>
          <w:ilvl w:val="0"/>
          <w:numId w:val="31"/>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Reform: Ettevõtja sündmusteenuste ja digivärava väljaarendamine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Meetme eesmärk on parandada avalike teenuste osutamise tõhusust ja kvaliteeti ning vähendada ettevõtjate halduskoormust.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Meede seisneb ettevõtjatele avalike teenuste osutamiseks ühtse digivärava loomises ja rea teenuste (ja nende aluseks olevate IT-süsteemide) ümberkujundamises, et ühendada need digiväravaga, toetades teenuste kasutajasõbralikkust, võimaldades ühekordsuse põhimõtte rakendamist ja võimaluse korral ettevõtjate kogetud sündmustel põhineva teabe proaktiivset edastamist.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Seejuures võetakse arvesse määruse (EL) 2018/1724 (millega luuakse ühtne digivärav teabele ja menetlustele ning abi- ja probleemilahendamisteenustele juurdepääsu pakkumiseks) rakendamise käigus välja töötatavaid lahendusi.</w:t>
      </w:r>
    </w:p>
    <w:p>
      <w:pPr>
        <w:spacing w:before="120" w:after="120" w:line="240" w:lineRule="auto"/>
        <w:jc w:val="both"/>
        <w:rPr>
          <w:rFonts w:ascii="Times New Roman" w:hAnsi="Times New Roman" w:cs="Times New Roman"/>
          <w:noProof/>
          <w:sz w:val="24"/>
        </w:rPr>
      </w:pPr>
      <w:r>
        <w:rPr>
          <w:rFonts w:ascii="Times New Roman" w:hAnsi="Times New Roman"/>
          <w:noProof/>
          <w:sz w:val="24"/>
          <w:szCs w:val="24"/>
        </w:rPr>
        <w:t>Meetme rakendamine viiakse lõpule 31. detsembriks 2025.</w:t>
      </w:r>
    </w:p>
    <w:p>
      <w:pPr>
        <w:spacing w:before="120" w:after="120" w:line="240" w:lineRule="auto"/>
        <w:jc w:val="both"/>
        <w:rPr>
          <w:rFonts w:ascii="Times New Roman" w:hAnsi="Times New Roman" w:cs="Times New Roman"/>
          <w:noProof/>
          <w:sz w:val="24"/>
        </w:rPr>
      </w:pPr>
    </w:p>
    <w:p>
      <w:pPr>
        <w:keepNext/>
        <w:numPr>
          <w:ilvl w:val="0"/>
          <w:numId w:val="31"/>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Investeering: #Bürokrati programm (riikliku virtuaalassistendi platvorm ja ökosüsteem)</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Meetme eesmärk on parandada Eestis internetipõhiste avalike teenuste kasutajasõbralikkust ja kättesaadavust.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Meede seisneb kõne ja teksti kaudu juhitava tehisintellektipõhise virtuaalassistendi arendamises juurdepääsuks internetipõhistele avalikele teenustele. Töö tugineb 2020. ja 2021. aastal ellu viidud katseprojektidele.</w:t>
      </w:r>
    </w:p>
    <w:p>
      <w:pPr>
        <w:spacing w:before="120" w:after="120" w:line="240" w:lineRule="auto"/>
        <w:jc w:val="both"/>
        <w:rPr>
          <w:rFonts w:ascii="Times New Roman" w:hAnsi="Times New Roman" w:cs="Times New Roman"/>
          <w:noProof/>
          <w:sz w:val="24"/>
        </w:rPr>
      </w:pPr>
      <w:r>
        <w:rPr>
          <w:rFonts w:ascii="Times New Roman" w:hAnsi="Times New Roman"/>
          <w:noProof/>
          <w:sz w:val="24"/>
          <w:szCs w:val="24"/>
        </w:rPr>
        <w:t>Meetme rakendamine viiakse lõpule 31. detsembriks 2025.</w:t>
      </w:r>
    </w:p>
    <w:p>
      <w:pPr>
        <w:spacing w:before="120" w:after="120" w:line="240" w:lineRule="auto"/>
        <w:jc w:val="both"/>
        <w:rPr>
          <w:rFonts w:ascii="Times New Roman" w:hAnsi="Times New Roman" w:cs="Times New Roman"/>
          <w:noProof/>
          <w:sz w:val="24"/>
        </w:rPr>
      </w:pPr>
    </w:p>
    <w:p>
      <w:pPr>
        <w:keepNext/>
        <w:numPr>
          <w:ilvl w:val="0"/>
          <w:numId w:val="31"/>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Investeering: Digiriigi baasteenuste ümberkorraldamine ning turvaline pilvetaristule üleminek</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Meetme eesmärk on suurendada Eesti ametiasutuste IT-süsteemide ja -teenuste vastupidavust, turvalisust ja usaldusväärsust, minnes üle privaatpilvele ja viies läbi suuremahulist turvatestismist.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Meede koosneb järgmistest elementidest:</w:t>
      </w:r>
    </w:p>
    <w:p>
      <w:pPr>
        <w:numPr>
          <w:ilvl w:val="0"/>
          <w:numId w:val="27"/>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luuakse uus avalik-õiguslik asutus, mis vastutab avaliku sektori asutuste IT-põhiteenuste ja -põhitaristu keskse juhtimise eest;</w:t>
      </w:r>
    </w:p>
    <w:p>
      <w:pPr>
        <w:numPr>
          <w:ilvl w:val="0"/>
          <w:numId w:val="27"/>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luuakse turvatestimise võimekus Riigi Infosüsteemi Ametis (RIA);</w:t>
      </w:r>
    </w:p>
    <w:p>
      <w:pPr>
        <w:numPr>
          <w:ilvl w:val="0"/>
          <w:numId w:val="27"/>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hangitakse privaatpilvetaristu ressursid;</w:t>
      </w:r>
    </w:p>
    <w:p>
      <w:pPr>
        <w:numPr>
          <w:ilvl w:val="0"/>
          <w:numId w:val="27"/>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olemasolevad infosüsteemid viiakse üle privaatpilvele;</w:t>
      </w:r>
    </w:p>
    <w:p>
      <w:pPr>
        <w:numPr>
          <w:ilvl w:val="0"/>
          <w:numId w:val="27"/>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viiakse läbi ametiasutuste kasutatavate uute pilvesüsteemide ja olemasolevate infosüsteemide suuremahuline turvatestmine;</w:t>
      </w:r>
    </w:p>
    <w:p>
      <w:pPr>
        <w:numPr>
          <w:ilvl w:val="0"/>
          <w:numId w:val="27"/>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arendatakse välja andmesaatkonna võimekus (st andmekogude majutamine välisriiki, et tagada katastroofi korral kriitiliste andmebaaside pidev kättesaadavus), tuginedes aastatel 2017–2020 Luksemburgis läbi viidud katseprojektile;</w:t>
      </w:r>
    </w:p>
    <w:p>
      <w:pPr>
        <w:numPr>
          <w:ilvl w:val="0"/>
          <w:numId w:val="27"/>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privaatpilve laiendatakse andmesaatkonnale, nii et pilve viidud süsteeme saaks majutada andmesaatkonnas ja käitada sealt;</w:t>
      </w:r>
    </w:p>
    <w:p>
      <w:pPr>
        <w:numPr>
          <w:ilvl w:val="0"/>
          <w:numId w:val="27"/>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elutähtsad süsteemid viiakse üle andmesaatkonna taristusse.</w:t>
      </w:r>
    </w:p>
    <w:p>
      <w:pPr>
        <w:spacing w:before="120" w:after="120" w:line="240" w:lineRule="auto"/>
        <w:jc w:val="both"/>
        <w:rPr>
          <w:rFonts w:ascii="Times New Roman" w:hAnsi="Times New Roman" w:cs="Times New Roman"/>
          <w:noProof/>
          <w:sz w:val="24"/>
        </w:rPr>
      </w:pPr>
      <w:r>
        <w:rPr>
          <w:rFonts w:ascii="Times New Roman" w:hAnsi="Times New Roman"/>
          <w:noProof/>
          <w:sz w:val="24"/>
          <w:szCs w:val="24"/>
        </w:rPr>
        <w:t>Meetme rakendamine viiakse lõpule 31. detsembriks 2024.</w:t>
      </w:r>
    </w:p>
    <w:p>
      <w:pPr>
        <w:spacing w:before="120" w:after="120" w:line="240" w:lineRule="auto"/>
        <w:jc w:val="both"/>
        <w:rPr>
          <w:rFonts w:ascii="Times New Roman" w:hAnsi="Times New Roman" w:cs="Times New Roman"/>
          <w:noProof/>
          <w:sz w:val="24"/>
        </w:rPr>
      </w:pPr>
    </w:p>
    <w:p>
      <w:pPr>
        <w:keepNext/>
        <w:numPr>
          <w:ilvl w:val="0"/>
          <w:numId w:val="31"/>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Reform: Rahapesu ja terrorismi rahastamise strateegilise analüüsi uuele tasemele viimine Eestis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Reformi eesmärk on tugevdada rahapesu andmebüroo suutlikkust teha varakult kindlaks rahapesuskeemid ja -kanalid.</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Meede seisneb strateegilise analüüsi keskuse loomises rahapesu andmebüroos. Strateegilise analüüsi keskus peaks võimaldama operatiivsemat ja tõhusamat rahapesu ja terrorismi rahastamise ennetamist ja tuvastamist. Strateegilise analüüsi keskuse meeskond vastutaks eelkõige uue IT-lahenduse spetsifikatsioonide väljatöötamise eest, tuginedes eri allikatest pärit andmetele. Strateegilise analüüsi keskus võib kindlaks määrata ka vajalikud õigusmuudatused.</w:t>
      </w:r>
    </w:p>
    <w:p>
      <w:pPr>
        <w:spacing w:before="120" w:after="120" w:line="240" w:lineRule="auto"/>
        <w:jc w:val="both"/>
        <w:rPr>
          <w:rFonts w:ascii="Times New Roman" w:hAnsi="Times New Roman" w:cs="Times New Roman"/>
          <w:noProof/>
          <w:sz w:val="24"/>
        </w:rPr>
      </w:pPr>
      <w:r>
        <w:rPr>
          <w:rFonts w:ascii="Times New Roman" w:hAnsi="Times New Roman"/>
          <w:noProof/>
          <w:sz w:val="24"/>
          <w:szCs w:val="24"/>
        </w:rPr>
        <w:t>Meetme rakendamine viiakse lõpule 31. detsembriks 2024.</w:t>
      </w:r>
    </w:p>
    <w:p>
      <w:pPr>
        <w:spacing w:before="120" w:after="120" w:line="240" w:lineRule="auto"/>
        <w:jc w:val="both"/>
        <w:rPr>
          <w:rFonts w:ascii="Times New Roman" w:hAnsi="Times New Roman" w:cs="Times New Roman"/>
          <w:noProof/>
          <w:sz w:val="24"/>
        </w:rPr>
      </w:pPr>
    </w:p>
    <w:p>
      <w:pPr>
        <w:keepNext/>
        <w:numPr>
          <w:ilvl w:val="0"/>
          <w:numId w:val="31"/>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Investeering: Rahapesu ja terrorismi rahastamise reaalaja strateegilise analüüsi süsteem</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Investeering tugineb punktis 3.6 nimetatud reformi rakendamise raames tehtavale analüüsile, et luua rahapesu andmebüroole uus spetsiaalne IT-süsteem, mis võimaldaks kasutada erinevatelt ametiasutustelt saadud andmeid ning teha reaalajas kindlaks võimalikke rahapesuskeeme ja -kanaleid. Meede seisneb uue IT-süsteemi väljatöötamises.</w:t>
      </w:r>
    </w:p>
    <w:p>
      <w:pPr>
        <w:spacing w:before="120" w:after="120" w:line="240" w:lineRule="auto"/>
        <w:jc w:val="both"/>
        <w:rPr>
          <w:rFonts w:ascii="Times New Roman" w:hAnsi="Times New Roman" w:cs="Times New Roman"/>
          <w:noProof/>
          <w:sz w:val="24"/>
        </w:rPr>
      </w:pPr>
      <w:r>
        <w:rPr>
          <w:rFonts w:ascii="Times New Roman" w:hAnsi="Times New Roman"/>
          <w:noProof/>
          <w:sz w:val="24"/>
          <w:szCs w:val="24"/>
        </w:rPr>
        <w:t>Meetme rakendamine viiakse lõpule 30. juuniks 2026.</w:t>
      </w:r>
    </w:p>
    <w:p>
      <w:pPr>
        <w:spacing w:before="120" w:after="120" w:line="240" w:lineRule="auto"/>
        <w:jc w:val="both"/>
        <w:rPr>
          <w:rFonts w:ascii="Times New Roman" w:hAnsi="Times New Roman" w:cs="Times New Roman"/>
          <w:noProof/>
          <w:sz w:val="24"/>
        </w:rPr>
      </w:pPr>
    </w:p>
    <w:p>
      <w:pPr>
        <w:keepNext/>
        <w:numPr>
          <w:ilvl w:val="0"/>
          <w:numId w:val="31"/>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Investeering: Väga suure läbilaskevõimega lairibavõrkude ehitamine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Investeeringu eesmärk on parandada kodumajapidamiste ja sotsiaalmajanduslikult oluliste asutuste, nagu haiglate, koolide, avalike teenuste pakkujate ja ettevõtete juurdepääsu väga suure läbilaskevõimega lairibavõrkudele (VHCN), mis tagavad ühenduse kiirusega vähemalt 100 Mbit/s.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Meede seisneb rahalise toetuse andmises väga suure läbilaskevõimega lairibavõrkude kasutuselevõtuks turutõrke piirkondades (kooskõlas komisjoni määruse (EL) nr 651/2014 artikliga 52). Rahaliste vahendite eraldamiseks kasutatavad rahastamiskõlblikkuse ja valikukriteeriumid peavad tagama asjakohase piirkondliku tasakaalu.</w:t>
      </w:r>
    </w:p>
    <w:p>
      <w:pPr>
        <w:spacing w:before="120" w:after="120" w:line="240" w:lineRule="auto"/>
        <w:jc w:val="both"/>
        <w:rPr>
          <w:rFonts w:ascii="Times New Roman" w:eastAsia="Times New Roman" w:hAnsi="Times New Roman" w:cs="Times New Roman"/>
          <w:noProof/>
          <w:sz w:val="24"/>
          <w:szCs w:val="24"/>
        </w:rPr>
        <w:sectPr>
          <w:headerReference w:type="even" r:id="rId49"/>
          <w:headerReference w:type="default" r:id="rId50"/>
          <w:footerReference w:type="even" r:id="rId51"/>
          <w:footerReference w:type="default" r:id="rId52"/>
          <w:headerReference w:type="first" r:id="rId53"/>
          <w:footerReference w:type="first" r:id="rId54"/>
          <w:pgSz w:w="11907" w:h="16839"/>
          <w:pgMar w:top="1134" w:right="1417" w:bottom="1134" w:left="1417" w:header="709" w:footer="709" w:gutter="0"/>
          <w:cols w:space="720"/>
          <w:docGrid w:linePitch="360"/>
        </w:sectPr>
      </w:pPr>
      <w:r>
        <w:rPr>
          <w:rFonts w:ascii="Times New Roman" w:hAnsi="Times New Roman"/>
          <w:noProof/>
          <w:sz w:val="24"/>
          <w:szCs w:val="24"/>
        </w:rPr>
        <w:t>Meetme rakendamine viiakse lõpule 31. detsembriks 2025.</w:t>
      </w:r>
    </w:p>
    <w:p>
      <w:pPr>
        <w:spacing w:before="120" w:after="240" w:line="240" w:lineRule="auto"/>
        <w:ind w:left="850"/>
        <w:jc w:val="both"/>
        <w:rPr>
          <w:rFonts w:ascii="Times New Roman" w:hAnsi="Times New Roman" w:cs="Times New Roman"/>
          <w:b/>
          <w:bCs/>
          <w:noProof/>
          <w:sz w:val="24"/>
          <w:szCs w:val="24"/>
          <w:u w:val="single"/>
        </w:rPr>
      </w:pPr>
      <w:r>
        <w:rPr>
          <w:rFonts w:ascii="Times New Roman" w:hAnsi="Times New Roman"/>
          <w:b/>
          <w:bCs/>
          <w:noProof/>
          <w:sz w:val="24"/>
          <w:szCs w:val="24"/>
          <w:u w:val="single"/>
        </w:rPr>
        <w:t xml:space="preserve">C.2. </w:t>
      </w:r>
      <w:r>
        <w:rPr>
          <w:noProof/>
          <w:u w:val="single"/>
        </w:rPr>
        <w:tab/>
      </w:r>
      <w:r>
        <w:rPr>
          <w:rFonts w:ascii="Times New Roman" w:hAnsi="Times New Roman"/>
          <w:b/>
          <w:bCs/>
          <w:noProof/>
          <w:sz w:val="24"/>
          <w:szCs w:val="24"/>
          <w:u w:val="single"/>
        </w:rPr>
        <w:t>Tagastamatu rahalise toetuse eesmärgid, sihid, näitajad ning seire ja rakendamise ajakava</w:t>
      </w:r>
    </w:p>
    <w:tbl>
      <w:tblPr>
        <w:tblW w:w="15937" w:type="dxa"/>
        <w:jc w:val="center"/>
        <w:tblLayout w:type="fixed"/>
        <w:tblLook w:val="04A0" w:firstRow="1" w:lastRow="0" w:firstColumn="1" w:lastColumn="0" w:noHBand="0" w:noVBand="1"/>
      </w:tblPr>
      <w:tblGrid>
        <w:gridCol w:w="1129"/>
        <w:gridCol w:w="2127"/>
        <w:gridCol w:w="1134"/>
        <w:gridCol w:w="1701"/>
        <w:gridCol w:w="1842"/>
        <w:gridCol w:w="1276"/>
        <w:gridCol w:w="992"/>
        <w:gridCol w:w="993"/>
        <w:gridCol w:w="992"/>
        <w:gridCol w:w="709"/>
        <w:gridCol w:w="3042"/>
      </w:tblGrid>
      <w:tr>
        <w:trPr>
          <w:cantSplit/>
          <w:trHeight w:val="927"/>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Järjekorranumber</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Seotud meede (reform või investeering)</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Eesmärk / siht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Nimi</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Kvalitatiivsed näitajad</w:t>
            </w:r>
            <w:r>
              <w:rPr>
                <w:noProof/>
              </w:rPr>
              <w:t xml:space="preserve"> </w:t>
            </w:r>
            <w:r>
              <w:rPr>
                <w:noProof/>
              </w:rPr>
              <w:br/>
            </w:r>
            <w:r>
              <w:rPr>
                <w:rFonts w:ascii="Times New Roman" w:hAnsi="Times New Roman"/>
                <w:b/>
                <w:bCs/>
                <w:noProof/>
                <w:sz w:val="20"/>
                <w:szCs w:val="20"/>
              </w:rPr>
              <w:t>(eesmärkide puhul)</w:t>
            </w:r>
          </w:p>
        </w:tc>
        <w:tc>
          <w:tcPr>
            <w:tcW w:w="3261"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Kvantitatiivsed näitajad</w:t>
            </w:r>
            <w:r>
              <w:rPr>
                <w:noProof/>
              </w:rPr>
              <w:t xml:space="preserve"> </w:t>
            </w:r>
            <w:r>
              <w:rPr>
                <w:noProof/>
              </w:rPr>
              <w:br/>
            </w:r>
            <w:r>
              <w:rPr>
                <w:rFonts w:ascii="Times New Roman" w:hAnsi="Times New Roman"/>
                <w:b/>
                <w:bCs/>
                <w:noProof/>
                <w:sz w:val="20"/>
                <w:szCs w:val="20"/>
              </w:rPr>
              <w:t>(sihtide puhul)</w:t>
            </w:r>
          </w:p>
        </w:tc>
        <w:tc>
          <w:tcPr>
            <w:tcW w:w="1701"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 xml:space="preserve">Lõpuleviimise soovituslik ajakava </w:t>
            </w:r>
          </w:p>
        </w:tc>
        <w:tc>
          <w:tcPr>
            <w:tcW w:w="304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Iga eesmärgi ja sihi kirjeldus</w:t>
            </w:r>
          </w:p>
        </w:tc>
      </w:tr>
      <w:tr>
        <w:trPr>
          <w:cantSplit/>
          <w:trHeight w:val="1013"/>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Mõõtühik</w:t>
            </w:r>
          </w:p>
        </w:tc>
        <w:tc>
          <w:tcPr>
            <w:tcW w:w="992" w:type="dxa"/>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 xml:space="preserve">Lähtetase </w:t>
            </w:r>
          </w:p>
        </w:tc>
        <w:tc>
          <w:tcPr>
            <w:tcW w:w="993" w:type="dxa"/>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 xml:space="preserve">Eesmärk </w:t>
            </w:r>
          </w:p>
        </w:tc>
        <w:tc>
          <w:tcPr>
            <w:tcW w:w="992" w:type="dxa"/>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Kvartal</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Aasta</w:t>
            </w:r>
          </w:p>
        </w:tc>
        <w:tc>
          <w:tcPr>
            <w:tcW w:w="3042"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r>
      <w:tr>
        <w:trPr>
          <w:cantSplit/>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44</w:t>
            </w:r>
          </w:p>
        </w:tc>
        <w:tc>
          <w:tcPr>
            <w:tcW w:w="2127"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3.1. Andmehalduse ja avaandmete oivakeskuse loomine ja väljaarendamine</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Andmehaldusmeeskonna moodustamine statistikaametis, majandus- ja kommunikatsiooniministeeriumis ning Riigi Infosüsteemi Ametis</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Andmehalduse koordineerimiseks vajaliku organisatsioonilise struktuuri loomine </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 xml:space="preserve"> </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2021</w:t>
            </w:r>
          </w:p>
        </w:tc>
        <w:tc>
          <w:tcPr>
            <w:tcW w:w="3042"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Eesti Statistikaameti andmehaldusmeeskonna loomine, värvates eksperte, kelle ülesanne on koordineerida andmehaldusraamistikku ja toetada teisi ametiasutusi. Lisaks luuakse arendusprojektide läbiviimiseks majandus- ja kommunikatsiooniministeeriumisse ja Riigi Infosüsteemi Ametisse asjaomased töökohad. 2021. aasta lõpuks võetakse kolme asutuse peale kokku tööle viis inimest.</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45</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3.1. Andmehalduse ja avaandmete oivakeskuse loomine ja väljaarendamine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Andmekvaliteedi parandamise projektide lõpuleviimine</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Projektide arv </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0</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430</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2025</w:t>
            </w:r>
          </w:p>
        </w:tc>
        <w:tc>
          <w:tcPr>
            <w:tcW w:w="30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Selliste lõpuleviidud projektide arv, mis aitavad tagada riigiasutuste andmete parema taaskasutatavuse koos andmebaaside ja andmekogumite ajakohaste ja täpsete kirjeldustega.</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46</w:t>
            </w:r>
          </w:p>
        </w:tc>
        <w:tc>
          <w:tcPr>
            <w:tcW w:w="2127"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3.1. Andmehalduse ja avaandmete oivakeskuse loomine ja väljaarendamine</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701"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Andmekogumite avaldamine riiklikus avaandmete teabeväravas</w:t>
            </w:r>
          </w:p>
        </w:tc>
        <w:tc>
          <w:tcPr>
            <w:tcW w:w="1842" w:type="dxa"/>
            <w:tcBorders>
              <w:top w:val="nil"/>
              <w:left w:val="nil"/>
              <w:bottom w:val="single" w:sz="4" w:space="0" w:color="auto"/>
              <w:right w:val="single" w:sz="4" w:space="0" w:color="auto"/>
            </w:tcBorders>
            <w:shd w:val="clear" w:color="auto" w:fill="C6EFCE"/>
            <w:noWrap/>
            <w:hideMark/>
          </w:tcPr>
          <w:p>
            <w:pPr>
              <w:rPr>
                <w:rFonts w:ascii="Times New Roman" w:eastAsia="Times New Roman" w:hAnsi="Times New Roman" w:cs="Times New Roman"/>
                <w:noProof/>
                <w:lang w:eastAsia="en-GB"/>
              </w:rPr>
            </w:pP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Avaldatud andmekogumite arv</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707</w:t>
            </w:r>
          </w:p>
        </w:tc>
        <w:tc>
          <w:tcPr>
            <w:tcW w:w="993" w:type="dxa"/>
            <w:tcBorders>
              <w:top w:val="nil"/>
              <w:left w:val="nil"/>
              <w:bottom w:val="single" w:sz="4" w:space="0" w:color="auto"/>
              <w:right w:val="single" w:sz="4" w:space="0" w:color="auto"/>
            </w:tcBorders>
            <w:shd w:val="clear" w:color="auto" w:fill="C6EFCE"/>
            <w:noWrap/>
            <w:hideMark/>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2600</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2025</w:t>
            </w:r>
          </w:p>
        </w:tc>
        <w:tc>
          <w:tcPr>
            <w:tcW w:w="3042"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Riikliku avaandmete teabevärava kaudu avalikustatud ja seega ELi avatud andmete portaalist kättesaadavate andmekogumite arvu suurendatakse 707-lt (13. augustil 2021) 2600-le.</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47</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3.2. Eraisikutele sündmusteenuste ja etteaimavate teenuste väljaarendamine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Eraisikute elusündmusteenuste ja/või etteaimavate teenuste käivitamine</w:t>
            </w:r>
          </w:p>
        </w:tc>
        <w:tc>
          <w:tcPr>
            <w:tcW w:w="1842" w:type="dxa"/>
            <w:tcBorders>
              <w:top w:val="nil"/>
              <w:left w:val="nil"/>
              <w:bottom w:val="single" w:sz="4" w:space="0" w:color="auto"/>
              <w:right w:val="single" w:sz="4" w:space="0" w:color="auto"/>
            </w:tcBorders>
            <w:shd w:val="clear" w:color="auto" w:fill="C6EFCE"/>
            <w:noWrap/>
          </w:tcPr>
          <w:p>
            <w:pPr>
              <w:rPr>
                <w:rFonts w:ascii="Times New Roman" w:eastAsia="Times New Roman" w:hAnsi="Times New Roman" w:cs="Times New Roman"/>
                <w:noProof/>
                <w:lang w:eastAsia="en-GB"/>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Toimivate teenuste arv</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0</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2</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0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Kodanike jaoks käivitatud internetipõhiste elusündmusteenuste ja/või etteaimavate teenuste arv.</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IT-lahendused, mis võimaldavad teenuste osutamist, peavad toimima ja hõlmama vähemalt asjaomase teenuse kõiki põhikomponente ning meetme rakendamise käigus arendatakse neid edasi.</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Teenuste valik põhineb eraisikute elusündmusteenuste ja etteaimavate teenuste arengukaval.</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48</w:t>
            </w:r>
          </w:p>
        </w:tc>
        <w:tc>
          <w:tcPr>
            <w:tcW w:w="2127"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3.2. Eraisikutele sündmusteenuste ja etteaimavate teenuste väljaarendamine</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701"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Eraisikute elusündmusteenuste ja/või etteaimavate teenuste käivitamine</w:t>
            </w:r>
          </w:p>
        </w:tc>
        <w:tc>
          <w:tcPr>
            <w:tcW w:w="1842"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lang w:eastAsia="en-GB"/>
              </w:rPr>
            </w:pP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Toimivate teenuste arv</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2</w:t>
            </w:r>
          </w:p>
        </w:tc>
        <w:tc>
          <w:tcPr>
            <w:tcW w:w="993" w:type="dxa"/>
            <w:tcBorders>
              <w:top w:val="nil"/>
              <w:left w:val="nil"/>
              <w:bottom w:val="single" w:sz="4" w:space="0" w:color="auto"/>
              <w:right w:val="single" w:sz="4" w:space="0" w:color="auto"/>
            </w:tcBorders>
            <w:shd w:val="clear" w:color="auto" w:fill="C6EFCE"/>
            <w:noWrap/>
            <w:hideMark/>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10</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2025</w:t>
            </w:r>
          </w:p>
        </w:tc>
        <w:tc>
          <w:tcPr>
            <w:tcW w:w="3042"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Kodanike jaoks käivitatud internetipõhiste elusündmusteenuste ja/või etteaimavate teenuste arv.</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IT-lahendused, mis võimaldavad teenuste osutamist, peavad toimima ja hõlmama vähemalt asjaomase teenuse kõiki põhikomponente ning meetme rakendamise käigus arendatakse neid edasi.</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Teenuste valik põhineb eraisikute elusündmusteenuste ja etteaimavate teenuste arengukaval.</w:t>
            </w:r>
          </w:p>
        </w:tc>
      </w:tr>
      <w:tr>
        <w:trPr>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49</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3.3. Ettevõtja sündmusteenuste ja digivärava väljaarendamine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Ärisündmustel põhinevate teenuste ja digivärava rakendamisele kaasa aitavate IT-arenduste kasutuselevõtt </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Selliste projektide arv, mille juures on uusi internetipõhiseid arendusi edukalt kasutusele võetud.</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0</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1</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0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Ettevõtja sündmusteenuste ja digivärava rakendamisele kaasa aitavate IT-arendusprojektide arv, mille juures on uusi internetipõhiseid arendusi edukalt kasutusele võetud.</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Nimetatud arendusprojektid on kas ettevõtja digivärava või ärisündmustel põhinevate teenuste arendamisega otseselt seotud, arendades ühtlasi välja seotud süsteeme, mida saab digiväravaga ühendada. Iga arendusprojekti kohta peab valmima vähemalt esmaselt toimiv IT-lahendus (st IT-lahendus on vähemalt põhikomponentide ulatuses lõppkasutajate (ettevõtjate) jaoks toimiv ning suudab anda tagasisidet uute arendusvajaduste jaoks reformi rakendusperioodi jooksul ja pärast seda). </w:t>
            </w:r>
          </w:p>
        </w:tc>
      </w:tr>
      <w:tr>
        <w:trPr>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50</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3.3. Ettevõtja sündmusteenuste ja digivärava väljaarendamine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Ärisündmustel põhinevate teenuste ja digivärava rakendamisele kaasa aitavate IT-arenduste kasutuselevõtt </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Selliste projektide arv, mille juures on uusi internetipõhiseid arendusi edukalt kasutusele võetud.</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1</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10</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2025</w:t>
            </w:r>
          </w:p>
        </w:tc>
        <w:tc>
          <w:tcPr>
            <w:tcW w:w="30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Ettevõtja sündmusteenuste ja digivärava rakendamisele kaasa aitavate IT-arendusprojektide arv, mille juures on uusi internetipõhiseid arendusi edukalt kasutusele võetud.</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Nimetatud arendusprojektid on kas ettevõtja digivärava või ärisündmustel põhinevate teenuste arendamisega otseselt seotud, arendades ühtlasi välja seotud süsteeme, mida saab digiväravaga ühendada. Iga arendusprojekti kohta peab valmima vähemalt esmaselt toimiv IT-lahendus (st IT-lahendus on vähemalt põhikomponentide ulatuses lõppkasutajate (ettevõtjate) jaoks toimiv ning suudab anda tagasisidet uute arendusvajaduste jaoks reformi rakendusperioodi jooksul ja pärast seda). </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51</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3.4. #Bürokrati programm (riikliku virtuaalassistendi platvorm ja ökosüsteem)</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Juurdepääs digitaalsetele avalikele teenustele virtuaalassistendi platvormi kaudu</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Virtuaalassistendi kaudu kättesaadavate digitaalsete avalike teenuste arv</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0</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1</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0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Virtuaalassistendi platvormi kaudu kättesaadavate digitaalsete avalike teenuste arv. </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52</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3.4. #Bürokrati programm (riikliku virtuaalassistendi platvorm ja ökosüsteem)</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Bürokrati virtuaalassistendi kasutuselevõtt digitaalseid avalikke teenuseid pakkuvates teeninduskeskkondades</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Teenuseid pakkuvate teeninduskeskkondade arv</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0</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18</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2025</w:t>
            </w:r>
          </w:p>
        </w:tc>
        <w:tc>
          <w:tcPr>
            <w:tcW w:w="30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Selliste veebikeskkondade arv, kus virtuaalne assistent töötab. „Teeninduskeskkond“ tähendab ametiasutuse veebisaiti.</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53</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3.4. #Bürokrati programm (riikliku virtuaalassistendi platvorm ja ökosüsteem)</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Juurdepääs digitaalsetele avalikele teenustele virtuaalassistendi platvormi kaudu</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Virtuaalassistendi kaudu kättesaadavate digitaalsete avalike teenuste arv</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1</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20</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2025</w:t>
            </w:r>
          </w:p>
        </w:tc>
        <w:tc>
          <w:tcPr>
            <w:tcW w:w="30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Virtuaalassistendi platvormi kaudu kättesaadavate digitaalsete avalike teenuste arv. </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54</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3.5. Digiriigi baasteenuste ümberkorraldamine ning turvaline pilvetaristule üleminek</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Keskselt osutatud / jagatud IT-baasteenuste väljaarendamine</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Serverimajutuse ja arvutitöökoha jagatud teenuste avamine riigiasutustele</w:t>
            </w: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 </w:t>
            </w:r>
          </w:p>
        </w:tc>
        <w:tc>
          <w:tcPr>
            <w:tcW w:w="9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 </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0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Keskselt osutatud/jagatud põhilised IT-teenused avatakse uute kasutajate (ministeeriumid ja teised riigiasutused) jaoks.</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55</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3.5. Digiriigi baasteenuste ümberkorraldamine ning turvaline pilvetaristule üleminek</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Riikliku privaatpilvetaristu kasutuselevõtt avaliku sektori asutuste poolt</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Riiklikule privaatpilvele üle viidud infosüsteemide arv</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0</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10</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2023</w:t>
            </w:r>
          </w:p>
        </w:tc>
        <w:tc>
          <w:tcPr>
            <w:tcW w:w="30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Nende infosüsteemide arv, mille puhul on üleminek privaatpilvetaristule lõpule viidud.</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56</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3.5. Digiriigi baasteenuste ümberkorraldamine ning turvaline pilvetaristule üleminek</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Pilvetaristu laiendamine andmesaatkonnale</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Riikliku privaatpilve laiendamine Eesti andmesaatkonna taristule</w:t>
            </w: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2023</w:t>
            </w:r>
          </w:p>
        </w:tc>
        <w:tc>
          <w:tcPr>
            <w:tcW w:w="30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Võimalikuks on saanud majutada infosüsteeme riigi privaatpilve kaudu andmesaatkonda ja neid sealt käitada. Sel eesmärgil on hangitud uus riistvara koos selle juurde kuuluvate litsentsidega ja seatud see töökorda.</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57</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3.5. Digiriigi baasteenuste ümberkorraldamine ning turvaline pilvetaristule üleminek</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Elutähtsate süsteemide üleviimine pilvelahendusega andmesaatkonda</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Elutähtsate süsteemide arv</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0</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10</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2024</w:t>
            </w:r>
          </w:p>
        </w:tc>
        <w:tc>
          <w:tcPr>
            <w:tcW w:w="30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Riigipilve kaudu andmesaatkonna taristusse ja platvormile üle viidud elutähtsate süsteemide arv. Elutähtsad süsteemid on sellised süsteemid, mis on riigi toimepidevuse seisukohast olulised.</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58</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3.5. Digiriigi baasteenuste ümberkorraldamine ning turvaline pilvetaristule üleminek</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Riigiasutuste infosüsteemide keskne turvatestimine</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Tehtud testide arv</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0</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16</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2024</w:t>
            </w:r>
          </w:p>
        </w:tc>
        <w:tc>
          <w:tcPr>
            <w:tcW w:w="30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Riigi Infosüsteemi Ameti teostatud suuremahuliste turvatestimiste arv – testimiste tulemused on esitatud aruannetena.</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59</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3.6. Rahapesu ja terrorismi rahastamise strateegilise analüüsi uuele tasemele viimine Eestis</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Rahapesu ja terrorismi rahastamise tõkestamise seaduse muudatuse ning muude strateegilise analüüsi keskuse jaoks vajalike seadusandlike, halduslike ja lepinguliste muudatuste jõustumine</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Õigusnorm, milles viidatakse muudetud õigusakti ning muude seadusandlike, haldus- ja lepinguliste aktide jõustumise kuupäevale. </w:t>
            </w: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 </w:t>
            </w:r>
          </w:p>
        </w:tc>
        <w:tc>
          <w:tcPr>
            <w:tcW w:w="9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 </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2024</w:t>
            </w:r>
          </w:p>
        </w:tc>
        <w:tc>
          <w:tcPr>
            <w:tcW w:w="30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Et võimaldada strateegilise analüüsi keskusel pääseda ligi rahapesu ja terrorismi rahastamise tuvastamiseks ja tõkestamiseks vajalikele andmetele ning neid töödelda, peavad olema lõpule viidud järgmised sammud:</w:t>
            </w:r>
            <w:r>
              <w:rPr>
                <w:noProof/>
              </w:rPr>
              <w:t xml:space="preserve"> </w:t>
            </w:r>
            <w:r>
              <w:rPr>
                <w:noProof/>
              </w:rPr>
              <w:br/>
            </w:r>
            <w:r>
              <w:rPr>
                <w:rFonts w:ascii="Times New Roman" w:hAnsi="Times New Roman"/>
                <w:noProof/>
                <w:color w:val="006100"/>
              </w:rPr>
              <w:t>1) rahapesu ja terrorismi rahastamise tõkestamise seaduse muudatus on avaldatud Riigi Teatajas ja jõustunud;</w:t>
            </w:r>
            <w:r>
              <w:rPr>
                <w:noProof/>
              </w:rPr>
              <w:t xml:space="preserve"> </w:t>
            </w:r>
            <w:r>
              <w:rPr>
                <w:noProof/>
              </w:rPr>
              <w:br/>
            </w:r>
            <w:r>
              <w:rPr>
                <w:rFonts w:ascii="Times New Roman" w:hAnsi="Times New Roman"/>
                <w:noProof/>
                <w:color w:val="006100"/>
              </w:rPr>
              <w:t>2) asjaomaste riiklike andmekogude põhimääruste muudatused on jõustunud;</w:t>
            </w:r>
            <w:r>
              <w:rPr>
                <w:noProof/>
              </w:rPr>
              <w:t xml:space="preserve"> </w:t>
            </w:r>
            <w:r>
              <w:rPr>
                <w:noProof/>
              </w:rPr>
              <w:br/>
            </w:r>
            <w:r>
              <w:rPr>
                <w:rFonts w:ascii="Times New Roman" w:hAnsi="Times New Roman"/>
                <w:noProof/>
                <w:color w:val="006100"/>
              </w:rPr>
              <w:t>3) lepinguosalised on allkirjastanud rahapesu andmebüroo andmevahetuslepingute tingimuste muudatused.</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60</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3.7. Rahapesu ja terrorismi rahastamise reaalaja strateegilise analüüsi süsteem</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Strateegilise analüüsi keskuse jaoks uue reaalajas kasutatava IKT analüüsisüsteemi väljatöötamine ja selle üleandmine rahapesu andmebüroole</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Uue IKT-süsteemi üleandmine rahapesu andmebüroole</w:t>
            </w: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 </w:t>
            </w:r>
          </w:p>
        </w:tc>
        <w:tc>
          <w:tcPr>
            <w:tcW w:w="9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 </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2026</w:t>
            </w:r>
          </w:p>
        </w:tc>
        <w:tc>
          <w:tcPr>
            <w:tcW w:w="30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IKT-süsteem, mis võimaldab teha reaalajas analüüse rahapesu tuvastamiseks ja tõkestamiseks, on välja töötatud. Süsteem on toimiv ja rahapesu andmebüroo kasutuses.</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61</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3.8. Väga suure läbilaskevõimega lairibavõrkude ehitamine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Väga suure läbilaskevõimega lairibavõrgu kasutuselevõtt uutes kohtades</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Kohtade arv</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0</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4000</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2023</w:t>
            </w:r>
          </w:p>
        </w:tc>
        <w:tc>
          <w:tcPr>
            <w:tcW w:w="30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Uute kohtade arv (majapidamised, ettevõtted, asutused), mis on kaetud väga suure läbilaskevõimega lairibavõrkudega (ja mis saavad seega kasutada ühendust kiirusega vähemalt 100 Mbit/s).</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62</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3.8. Väga suure läbilaskevõimega lairibavõrkude ehitamine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Väga suure läbilaskevõimega lairibavõrgu kasutuselevõtt uutes kohtades</w:t>
            </w:r>
          </w:p>
        </w:tc>
        <w:tc>
          <w:tcPr>
            <w:tcW w:w="18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Kohtade arv</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4000</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rPr>
            </w:pPr>
            <w:r>
              <w:rPr>
                <w:rFonts w:ascii="Times New Roman" w:hAnsi="Times New Roman"/>
                <w:noProof/>
                <w:color w:val="006100"/>
              </w:rPr>
              <w:t>8097</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2025</w:t>
            </w:r>
          </w:p>
        </w:tc>
        <w:tc>
          <w:tcPr>
            <w:tcW w:w="304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Täiendavate kohtade arv (majapidamised, ettevõtted, asutused), mis on kaetud väga suure läbilaskevõimega lairibavõrkudega (ja mis saavad seega kasutada ühendust kiirusega vähemalt 100 Mbit/s).</w:t>
            </w:r>
          </w:p>
        </w:tc>
      </w:tr>
    </w:tbl>
    <w:p>
      <w:pPr>
        <w:spacing w:before="120" w:after="120" w:line="240" w:lineRule="auto"/>
        <w:ind w:left="709"/>
        <w:jc w:val="both"/>
        <w:rPr>
          <w:rFonts w:ascii="Times New Roman" w:hAnsi="Times New Roman" w:cs="Times New Roman"/>
          <w:noProof/>
          <w:sz w:val="24"/>
          <w:szCs w:val="24"/>
        </w:rPr>
      </w:pPr>
    </w:p>
    <w:p>
      <w:pPr>
        <w:spacing w:before="120" w:after="120" w:line="240" w:lineRule="auto"/>
        <w:jc w:val="both"/>
        <w:rPr>
          <w:rFonts w:ascii="Times New Roman" w:hAnsi="Times New Roman" w:cs="Times New Roman"/>
          <w:noProof/>
          <w:sz w:val="24"/>
        </w:rPr>
        <w:sectPr>
          <w:headerReference w:type="even" r:id="rId55"/>
          <w:headerReference w:type="default" r:id="rId56"/>
          <w:footerReference w:type="even" r:id="rId57"/>
          <w:footerReference w:type="default" r:id="rId58"/>
          <w:headerReference w:type="first" r:id="rId59"/>
          <w:footerReference w:type="first" r:id="rId60"/>
          <w:pgSz w:w="16839" w:h="11907" w:orient="landscape"/>
          <w:pgMar w:top="720" w:right="720" w:bottom="720" w:left="720"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bCs/>
          <w:smallCaps/>
          <w:noProof/>
          <w:sz w:val="24"/>
          <w:szCs w:val="24"/>
        </w:rPr>
      </w:pPr>
      <w:r>
        <w:rPr>
          <w:noProof/>
        </w:rPr>
        <w:tab/>
      </w:r>
      <w:r>
        <w:rPr>
          <w:rFonts w:ascii="Times New Roman" w:hAnsi="Times New Roman"/>
          <w:b/>
          <w:bCs/>
          <w:smallCaps/>
          <w:noProof/>
          <w:sz w:val="24"/>
          <w:szCs w:val="24"/>
        </w:rPr>
        <w:t>D. KOMPONENT 4. Energeetika ja energiatõhusus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Eesti taaste- ja vastupidavuskava selle komponendiga võetakse käsile energiasektori CO</w:t>
      </w:r>
      <w:r>
        <w:rPr>
          <w:rFonts w:ascii="Times New Roman" w:hAnsi="Times New Roman"/>
          <w:noProof/>
          <w:sz w:val="24"/>
          <w:szCs w:val="24"/>
          <w:vertAlign w:val="subscript"/>
        </w:rPr>
        <w:t>2</w:t>
      </w:r>
      <w:r>
        <w:rPr>
          <w:rFonts w:ascii="Times New Roman" w:hAnsi="Times New Roman"/>
          <w:noProof/>
          <w:sz w:val="24"/>
          <w:szCs w:val="24"/>
        </w:rPr>
        <w:t xml:space="preserve"> heide. Komponendi eesmärk on vähendada sõltuvust põlevkivist, soodustada taastuvenergia kasutuselevõttu ja parandada hoonete energiatõhusust.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Selle komponendiga reageeritakse riigipõhisele soovitusele keskenduda investeeringutele energiataristusse ning ressursi- ja energiatõhususse, aidates kaasa majanduse CO</w:t>
      </w:r>
      <w:r>
        <w:rPr>
          <w:rFonts w:ascii="Times New Roman" w:hAnsi="Times New Roman"/>
          <w:noProof/>
          <w:sz w:val="24"/>
          <w:szCs w:val="24"/>
          <w:vertAlign w:val="subscript"/>
        </w:rPr>
        <w:t>2</w:t>
      </w:r>
      <w:r>
        <w:rPr>
          <w:rFonts w:ascii="Times New Roman" w:hAnsi="Times New Roman"/>
          <w:noProof/>
          <w:sz w:val="24"/>
          <w:szCs w:val="24"/>
        </w:rPr>
        <w:t xml:space="preserve"> heite järkjärgulisele vähendamisele (2019. ja 2020. aasta riigipõhine soovitus nr 3).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Lähtudes meetmete kirjeldusest taaste- ja vastupidavuskavas ja võttes arvesse põhimõtte „Ei kahjusta oluliselt“ tehniliste suuniste (2021/C58/01) kohaseid leevendavaid samme, mis kavas on sätestatud, võib eeldada, et ükski selle komponendi meede ei kahjusta määruse (EL) 2020/852 artikli 17 tähenduses oluliselt keskkonnaeesmärke. </w:t>
      </w:r>
    </w:p>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b/>
          <w:i/>
          <w:noProof/>
          <w:color w:val="4F81BD" w:themeColor="accent1"/>
          <w:sz w:val="24"/>
          <w:szCs w:val="24"/>
          <w:u w:val="single"/>
        </w:rPr>
      </w:pPr>
      <w:r>
        <w:rPr>
          <w:rFonts w:ascii="Times New Roman" w:hAnsi="Times New Roman"/>
          <w:b/>
          <w:bCs/>
          <w:noProof/>
          <w:sz w:val="24"/>
          <w:szCs w:val="24"/>
          <w:u w:val="single"/>
        </w:rPr>
        <w:t xml:space="preserve">D.1. </w:t>
      </w:r>
      <w:r>
        <w:rPr>
          <w:noProof/>
          <w:u w:val="single"/>
        </w:rPr>
        <w:tab/>
      </w:r>
      <w:r>
        <w:rPr>
          <w:rFonts w:ascii="Times New Roman" w:hAnsi="Times New Roman"/>
          <w:b/>
          <w:bCs/>
          <w:noProof/>
          <w:sz w:val="24"/>
          <w:szCs w:val="24"/>
          <w:u w:val="single"/>
        </w:rPr>
        <w:t>Tagastamatu rahalise toetusega seotud reformide ja investeeringute kirjeldus</w:t>
      </w:r>
    </w:p>
    <w:p>
      <w:pPr>
        <w:keepNext/>
        <w:numPr>
          <w:ilvl w:val="0"/>
          <w:numId w:val="32"/>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Reform: Energiatõhustamise soodustamine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Reformi eesmärk on vähendada energiatõhusa renoveerimise haldustõkkeid, andes korteriühistutele, kodumajapidamistele ja kohalikele omavalitsustele nõu õigusaktide, tehniliste aspektide ja renoveerimise rahastamise kohta. Reformiga toetatakse ka uuenduslike lahenduste kasutamist, näiteks renoveerimist tehases eeltoodetud elementide abil, et suurendada renoveerimisvõimekust ja vähendada hoonefondi CO</w:t>
      </w:r>
      <w:r>
        <w:rPr>
          <w:rFonts w:ascii="Times New Roman" w:hAnsi="Times New Roman"/>
          <w:noProof/>
          <w:sz w:val="24"/>
          <w:szCs w:val="24"/>
          <w:vertAlign w:val="subscript"/>
        </w:rPr>
        <w:t>2</w:t>
      </w:r>
      <w:r>
        <w:rPr>
          <w:rFonts w:ascii="Times New Roman" w:hAnsi="Times New Roman"/>
          <w:noProof/>
          <w:sz w:val="24"/>
          <w:szCs w:val="24"/>
        </w:rPr>
        <w:t xml:space="preserve"> jalajälge (materjalisääst ja kvaliteet). Reformi eesmärk on suurendada renoveerimismäära piirkondades, kus kinnisvara väärtus on väiksem.</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Meede seisneb piirkondliku nõustamisvõrgustiku loomises ja tehniliste konsultantide koolitamises, et pakkuda vajalikku teavet ja soodustada renoveerimist. Lisaks tagatakse energiatõhusa renoveerimisega seotud teabe kättesaadavus veebilehe loomisega ning digitaalsete veebitööriistadega, mis aitavad mõista renoveerimise tulemusi, kulusid ja tulusid. Komponent on seotud Eesti taaste- ja vastupidavuskava komponendi nr 1 ehitusandmete digitaliseerimise meetmega.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Reformi rakendamine viiakse lõpule 31. detsembriks 2024.</w:t>
      </w:r>
    </w:p>
    <w:p>
      <w:pPr>
        <w:spacing w:before="120" w:after="120" w:line="240" w:lineRule="auto"/>
        <w:jc w:val="both"/>
        <w:rPr>
          <w:rFonts w:ascii="Times New Roman" w:hAnsi="Times New Roman" w:cs="Times New Roman"/>
          <w:noProof/>
          <w:sz w:val="24"/>
        </w:rPr>
      </w:pPr>
    </w:p>
    <w:p>
      <w:pPr>
        <w:keepNext/>
        <w:numPr>
          <w:ilvl w:val="0"/>
          <w:numId w:val="32"/>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Investeering: Korterelamute rekonstrueerimise toetamine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Meetme eesmärk on edendada korterelamute terviklikku rekonstrueerimist, et suurendada energiatõhusust, vähendada energiatarbimist ja parandada elanike elutingimusi. Samuti püütakse sellega suurendada renoveerimise määra piirkondades, kus kinnisvara väärtus on väiksem.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Toetust antakse korteriühistutele renoveerimistöödeks, millega saavutatakse energiatõhususe klassi paranemine vähemalt ühe astme võrra või, tervikliku renoveerimise korral, vähemalt energiatõhususe klass C ja mis vastavad vähemalt keskmisele renoveerimise põhjalikkusele, mille puhul primaarenergia sääst on keskmiselt vähemalt 30 %. Toetusmäärasid diferentseeritakse vastavalt piirdkonnale järgmisel viisil: Tallinnas ja Tartus 30 %, Tallinna ja Tartu ümbruses kinnisvara hinna alusel 40 % ja kõigis teistes piirkondades 50 %. Väljaspool Tallinna ja Tartut võivad korteriühistud viia läbi osalise renoveerimise, et hoida ära hoone tehnilise olukorra halvenemist, kuid sellisel puhul alandatakse toetuse määra. Lisaks kavatseb Eesti pikaajaliste riiklike strateegiate raames rahastada täiendavaid rekonstrueerimismeetmeid Euroopa Regionaalarengu Fondist ja REACT-EUst.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Investeering viiakse lõpule 30. juuniks 2026. </w:t>
      </w:r>
    </w:p>
    <w:p>
      <w:pPr>
        <w:spacing w:before="120" w:after="120" w:line="240" w:lineRule="auto"/>
        <w:jc w:val="both"/>
        <w:rPr>
          <w:rFonts w:ascii="Times New Roman" w:eastAsia="Times New Roman" w:hAnsi="Times New Roman" w:cs="Times New Roman"/>
          <w:noProof/>
          <w:sz w:val="24"/>
          <w:szCs w:val="24"/>
        </w:rPr>
      </w:pPr>
    </w:p>
    <w:p>
      <w:pPr>
        <w:keepNext/>
        <w:numPr>
          <w:ilvl w:val="0"/>
          <w:numId w:val="32"/>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Investeering: Väikeelamute rekonstrueerimise toetamine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Meetme eesmärk on edendada väikeelamute terviklikku rekonstrueerimist, et suurendada energiatõhusust, vähendada energiatarbimist ja parandada elanike elutingimusi. Samuti püütakse sellega suurendada renoveerimise määra piirkondades, kus kinnisvara väärtus on väiksem.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Toetust antakse eraomanikele renoveerimistöödeks, millega saavutatakse energiatõhususe klassi paranemine vähemalt ühe astme võrra või, tervikliku renoveerimise korral, vähemalt energiatõhususe klass C ja mis vastavad vähemalt keskmisele renoveerimise põhjalikkusele, mille puhul primaarenergia sääst on keskmiselt vähemalt 30 %. Toetusmäärasid diferentseeritakse vastavalt piirdkonnale järgmisel viisil: Tallinnas ja Tartus 30 %, Tallinna ja Tartu ümbruses kinnisvara hinna alusel 40 % ja kõigis teistes piirkondades 50 %. Meetme kohaldamisel on eluase (eluruum) määratletud kui „eluruum või eluruumid ühes hoones või eraldi hoonetes, mis on ette nähtud ühele leibkonnale aastaringseks elamiseks“ (vastavalt Eurostatile)”.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Investeering viiakse lõpule 31. detsembriks 2024.</w:t>
      </w:r>
    </w:p>
    <w:p>
      <w:pPr>
        <w:spacing w:before="120" w:after="120" w:line="240" w:lineRule="auto"/>
        <w:jc w:val="both"/>
        <w:rPr>
          <w:rFonts w:ascii="Times New Roman" w:eastAsia="Times New Roman" w:hAnsi="Times New Roman" w:cs="Times New Roman"/>
          <w:noProof/>
          <w:sz w:val="24"/>
          <w:szCs w:val="24"/>
        </w:rPr>
      </w:pPr>
    </w:p>
    <w:p>
      <w:pPr>
        <w:keepNext/>
        <w:numPr>
          <w:ilvl w:val="0"/>
          <w:numId w:val="32"/>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Reform: Energiamajanduses rohepöörde hoogustamine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Meetme eesmärk on aidata kaasa Eesti energiatootmise ja -tarbimise CO</w:t>
      </w:r>
      <w:r>
        <w:rPr>
          <w:rFonts w:ascii="Times New Roman" w:hAnsi="Times New Roman"/>
          <w:noProof/>
          <w:sz w:val="24"/>
          <w:szCs w:val="24"/>
          <w:vertAlign w:val="subscript"/>
        </w:rPr>
        <w:t>2</w:t>
      </w:r>
      <w:r>
        <w:rPr>
          <w:rFonts w:ascii="Times New Roman" w:hAnsi="Times New Roman"/>
          <w:noProof/>
          <w:sz w:val="24"/>
          <w:szCs w:val="24"/>
        </w:rPr>
        <w:t xml:space="preserve"> heite vähendamisele, ajakohastades Eesti energiapoliitika sihte ja meetmeid (muu hulgas põlevkivi kasutamise järkjärguliseks lõpetamiseks) ning kõrvaldades taastuvenergia tootmisseadmete rajamiselt haldustõkkeid.</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Eesti energiamajanduse arengukava ajakohastatakse ning sellesse lisatakse sihid taastuvenergia tootmise, energiatõhususe ja varustuskindluse vallas. Riiklikusse energiamajanduse arengukavasse lisatakse ka meetmed, millega vähendada Eesti energiamajanduse sõltuvust põlevkivist, ning sihid põlevkivi järkjärguliseks kasutuselt kõrvaldamiseks.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 hõlmab ka taastuvenergia tootmisseadmete rajamise kiirendamiseks vajalike õigusaktide vastuvõtmist ja juhendmaterjalide koostamist ning meetmeid tuuleparkide riigikaitseliste kõrgusepiirangute leevendamiseks.</w:t>
      </w:r>
      <w:sdt>
        <w:sdtPr>
          <w:rPr>
            <w:noProof/>
          </w:rPr>
          <w:tag w:val="goog_rdk_480"/>
          <w:id w:val="659048081"/>
        </w:sdtPr>
        <w:sdtContent/>
      </w:sdt>
      <w:sdt>
        <w:sdtPr>
          <w:rPr>
            <w:noProof/>
          </w:rPr>
          <w:tag w:val="goog_rdk_514"/>
          <w:id w:val="-2007434487"/>
        </w:sdtPr>
        <w:sdtContent/>
      </w:sdt>
      <w:sdt>
        <w:sdtPr>
          <w:rPr>
            <w:noProof/>
          </w:rPr>
          <w:tag w:val="goog_rdk_550"/>
          <w:id w:val="-208806490"/>
        </w:sdtPr>
        <w:sdtContent/>
      </w:sdt>
      <w:sdt>
        <w:sdtPr>
          <w:rPr>
            <w:noProof/>
          </w:rPr>
          <w:tag w:val="goog_rdk_587"/>
          <w:id w:val="-1615122966"/>
        </w:sdtPr>
        <w:sdtContent/>
      </w:sdt>
      <w:sdt>
        <w:sdtPr>
          <w:rPr>
            <w:noProof/>
          </w:rPr>
          <w:tag w:val="goog_rdk_626"/>
          <w:id w:val="-867287408"/>
        </w:sdtPr>
        <w:sdtContent/>
      </w:sdt>
      <w:sdt>
        <w:sdtPr>
          <w:rPr>
            <w:noProof/>
          </w:rPr>
          <w:tag w:val="goog_rdk_665"/>
          <w:id w:val="1902326982"/>
        </w:sdtPr>
        <w:sdtContent/>
      </w:sdt>
      <w:sdt>
        <w:sdtPr>
          <w:rPr>
            <w:noProof/>
          </w:rPr>
          <w:tag w:val="goog_rdk_705"/>
          <w:id w:val="-584758326"/>
        </w:sdtPr>
        <w:sdtContent/>
      </w:sdt>
      <w:sdt>
        <w:sdtPr>
          <w:rPr>
            <w:noProof/>
          </w:rPr>
          <w:tag w:val="goog_rdk_746"/>
          <w:id w:val="-634725949"/>
        </w:sdtPr>
        <w:sdtContent/>
      </w:sdt>
      <w:sdt>
        <w:sdtPr>
          <w:rPr>
            <w:noProof/>
          </w:rPr>
          <w:tag w:val="goog_rdk_788"/>
          <w:id w:val="1896622538"/>
        </w:sdtPr>
        <w:sdtContent/>
      </w:sdt>
      <w:sdt>
        <w:sdtPr>
          <w:rPr>
            <w:noProof/>
          </w:rPr>
          <w:tag w:val="goog_rdk_831"/>
          <w:id w:val="-2049520610"/>
        </w:sdtPr>
        <w:sdtContent/>
      </w:sdt>
      <w:sdt>
        <w:sdtPr>
          <w:rPr>
            <w:noProof/>
          </w:rPr>
          <w:tag w:val="goog_rdk_875"/>
          <w:id w:val="-15238419"/>
        </w:sdtPr>
        <w:sdtContent/>
      </w:sdt>
      <w:sdt>
        <w:sdtPr>
          <w:rPr>
            <w:noProof/>
          </w:rPr>
          <w:tag w:val="goog_rdk_922"/>
          <w:id w:val="733274675"/>
        </w:sdtPr>
        <w:sdtContent/>
      </w:sdt>
      <w:sdt>
        <w:sdtPr>
          <w:rPr>
            <w:noProof/>
          </w:rPr>
          <w:tag w:val="goog_rdk_975"/>
          <w:id w:val="573015612"/>
        </w:sdtPr>
        <w:sdtContent/>
      </w:sdt>
      <w:sdt>
        <w:sdtPr>
          <w:rPr>
            <w:noProof/>
          </w:rPr>
          <w:tag w:val="goog_rdk_1024"/>
          <w:id w:val="-100420120"/>
        </w:sdtPr>
        <w:sdtContent/>
      </w:sdt>
      <w:sdt>
        <w:sdtPr>
          <w:rPr>
            <w:noProof/>
          </w:rPr>
          <w:tag w:val="goog_rdk_1076"/>
          <w:id w:val="-658923592"/>
        </w:sdtPr>
        <w:sdtContent/>
      </w:sdt>
      <w:sdt>
        <w:sdtPr>
          <w:rPr>
            <w:noProof/>
          </w:rPr>
          <w:tag w:val="goog_rdk_1128"/>
          <w:id w:val="-1472823252"/>
        </w:sdtPr>
        <w:sdtContent/>
      </w:sdt>
      <w:sdt>
        <w:sdtPr>
          <w:rPr>
            <w:noProof/>
          </w:rPr>
          <w:tag w:val="goog_rdk_1184"/>
          <w:id w:val="1962374453"/>
        </w:sdtPr>
        <w:sdtContent/>
      </w:sdt>
      <w:sdt>
        <w:sdtPr>
          <w:rPr>
            <w:noProof/>
          </w:rPr>
          <w:tag w:val="goog_rdk_1240"/>
          <w:id w:val="-928122968"/>
        </w:sdtPr>
        <w:sdtContent/>
      </w:sdt>
      <w:sdt>
        <w:sdtPr>
          <w:rPr>
            <w:noProof/>
          </w:rPr>
          <w:tag w:val="goog_rdk_1298"/>
          <w:id w:val="1360790014"/>
        </w:sdtPr>
        <w:sdtContent/>
      </w:sdt>
      <w:sdt>
        <w:sdtPr>
          <w:rPr>
            <w:noProof/>
          </w:rPr>
          <w:tag w:val="goog_rdk_1357"/>
          <w:id w:val="-1247962778"/>
        </w:sdtPr>
        <w:sdtContent/>
      </w:sdt>
      <w:sdt>
        <w:sdtPr>
          <w:rPr>
            <w:noProof/>
          </w:rPr>
          <w:tag w:val="goog_rdk_1418"/>
          <w:id w:val="1031304934"/>
        </w:sdtPr>
        <w:sdtContent/>
      </w:sdt>
      <w:sdt>
        <w:sdtPr>
          <w:rPr>
            <w:noProof/>
          </w:rPr>
          <w:tag w:val="goog_rdk_1479"/>
          <w:id w:val="-1417552384"/>
        </w:sdtPr>
        <w:sdtContent/>
      </w:sdt>
      <w:sdt>
        <w:sdtPr>
          <w:rPr>
            <w:noProof/>
          </w:rPr>
          <w:tag w:val="goog_rdk_1541"/>
          <w:id w:val="263191661"/>
        </w:sdtPr>
        <w:sdtContent/>
      </w:sdt>
      <w:sdt>
        <w:sdtPr>
          <w:rPr>
            <w:noProof/>
          </w:rPr>
          <w:tag w:val="goog_rdk_1604"/>
          <w:id w:val="1233970388"/>
        </w:sdtPr>
        <w:sdtContent/>
      </w:sdt>
      <w:sdt>
        <w:sdtPr>
          <w:rPr>
            <w:noProof/>
          </w:rPr>
          <w:tag w:val="goog_rdk_1668"/>
          <w:id w:val="-213893412"/>
        </w:sdtPr>
        <w:sdtContent/>
      </w:sdt>
      <w:sdt>
        <w:sdtPr>
          <w:rPr>
            <w:noProof/>
          </w:rPr>
          <w:tag w:val="goog_rdk_1735"/>
          <w:id w:val="-561797801"/>
        </w:sdtPr>
        <w:sdtContent/>
      </w:sdt>
      <w:sdt>
        <w:sdtPr>
          <w:rPr>
            <w:noProof/>
          </w:rPr>
          <w:tag w:val="goog_rdk_1803"/>
          <w:id w:val="1326094606"/>
        </w:sdtPr>
        <w:sdtContent/>
      </w:sdt>
      <w:sdt>
        <w:sdtPr>
          <w:rPr>
            <w:noProof/>
          </w:rPr>
          <w:tag w:val="goog_rdk_1871"/>
          <w:id w:val="-17392890"/>
          <w:showingPlcHdr/>
        </w:sdtPr>
        <w:sdtContent>
          <w:r>
            <w:rPr>
              <w:noProof/>
            </w:rPr>
            <w:t xml:space="preserve"> </w:t>
          </w:r>
        </w:sdtContent>
      </w:sdt>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Reformi rakendamine viiakse lõpule 31. detsembriks 2025. </w:t>
      </w:r>
    </w:p>
    <w:p>
      <w:pPr>
        <w:spacing w:before="120" w:after="120" w:line="240" w:lineRule="auto"/>
        <w:jc w:val="both"/>
        <w:rPr>
          <w:rFonts w:ascii="Times New Roman" w:hAnsi="Times New Roman" w:cs="Times New Roman"/>
          <w:noProof/>
          <w:sz w:val="24"/>
        </w:rPr>
      </w:pPr>
    </w:p>
    <w:p>
      <w:pPr>
        <w:keepNext/>
        <w:numPr>
          <w:ilvl w:val="0"/>
          <w:numId w:val="32"/>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Investeering: Elektrivõrgu tugevdamise programm taastuvenergia tootmisvõimekuse tõstmiseks ning kliimamuutustega (nt tormid) kohanemiseks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Meetme eesmärk on aidata taastuvenergia tootmise liitumisvõimsuste suurendamise kaudu kaasa Eesti elektritootmise CO</w:t>
      </w:r>
      <w:r>
        <w:rPr>
          <w:rFonts w:ascii="Times New Roman" w:hAnsi="Times New Roman"/>
          <w:noProof/>
          <w:sz w:val="24"/>
          <w:szCs w:val="24"/>
          <w:vertAlign w:val="subscript"/>
        </w:rPr>
        <w:t>2</w:t>
      </w:r>
      <w:r>
        <w:rPr>
          <w:rFonts w:ascii="Times New Roman" w:hAnsi="Times New Roman"/>
          <w:noProof/>
          <w:sz w:val="24"/>
          <w:szCs w:val="24"/>
        </w:rPr>
        <w:t xml:space="preserve"> heite vähendamisele.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Selle meetme alusel kaasrahastatakse põhivõrguettevõtja investeeringuid ülekandevõrgu taristusse, et lisada vähemalt 310 MW ulatuses liitumisvõimsust.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Meetme rakendamine viiakse lõpule 30. juuniks 2026.</w:t>
      </w:r>
    </w:p>
    <w:p>
      <w:pPr>
        <w:spacing w:before="120" w:after="120" w:line="240" w:lineRule="auto"/>
        <w:jc w:val="both"/>
        <w:rPr>
          <w:rFonts w:ascii="Times New Roman" w:hAnsi="Times New Roman" w:cs="Times New Roman"/>
          <w:noProof/>
          <w:sz w:val="24"/>
        </w:rPr>
      </w:pPr>
    </w:p>
    <w:p>
      <w:pPr>
        <w:keepNext/>
        <w:numPr>
          <w:ilvl w:val="0"/>
          <w:numId w:val="32"/>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Investeering: Tööstusalades elektritootmisseadmete kasutuselevõtu hoogustamise programm</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Meetme eesmärk on muuta elektrienergiasüsteem tõhusamaks, soodustades elektritootmist tarbimise lähedal. Meetme abil innustatakse tootma taastuvelektrit tööstusaladel ja nende läheduses, kaasrahastades selleks elektrivõrguga liitumist. Taastuvatest energiaallikatest elektrit tootvatele ettevõtjatele võrguga liitumiseks tehtavate investeeringute kaasrahastus antakse selle meetme alusel toetusena. Et meede oleks kindlasti kooskõlas põhimõtte „Ei kahjusta oluliselt“ tehniliste suunistega (2021/C58/01), välistatakse konkursitingimustes sisalduvate rahastamiskõlblikkuse kriteeriumidega järgmiste tegevuste rahastamine:</w:t>
      </w:r>
      <w:r>
        <w:rPr>
          <w:rFonts w:ascii="Times New Roman" w:hAnsi="Times New Roman"/>
          <w:noProof/>
          <w:color w:val="FF0000"/>
          <w:sz w:val="24"/>
          <w:szCs w:val="24"/>
        </w:rPr>
        <w:t xml:space="preserve"> </w:t>
      </w:r>
      <w:r>
        <w:rPr>
          <w:rFonts w:ascii="Times New Roman" w:hAnsi="Times New Roman"/>
          <w:noProof/>
          <w:sz w:val="24"/>
          <w:szCs w:val="24"/>
        </w:rPr>
        <w:t>i) fossiilkütustega seotud tegevus, sealhulgas allkasutus tootmisahela järgmistes etappides</w:t>
      </w:r>
      <w:r>
        <w:rPr>
          <w:rFonts w:ascii="Times New Roman" w:eastAsia="Calibri" w:hAnsi="Times New Roman" w:cs="Times New Roman"/>
          <w:noProof/>
          <w:sz w:val="24"/>
          <w:szCs w:val="24"/>
          <w:vertAlign w:val="superscript"/>
        </w:rPr>
        <w:footnoteReference w:id="22"/>
      </w:r>
      <w:r>
        <w:rPr>
          <w:rFonts w:ascii="Times New Roman" w:hAnsi="Times New Roman"/>
          <w:noProof/>
          <w:sz w:val="24"/>
          <w:szCs w:val="24"/>
        </w:rPr>
        <w:t>; ii) ELi heitkogustega kauplemise süsteemi (HKS) raames toimuv tegevus, mille prognoositav kasvuhoonegaaside heide ei ole asjaomastest võrdlusalustest</w:t>
      </w:r>
      <w:r>
        <w:rPr>
          <w:rFonts w:ascii="Times New Roman" w:eastAsia="Calibri" w:hAnsi="Times New Roman" w:cs="Times New Roman"/>
          <w:noProof/>
          <w:sz w:val="24"/>
          <w:szCs w:val="24"/>
          <w:vertAlign w:val="superscript"/>
        </w:rPr>
        <w:footnoteReference w:id="23"/>
      </w:r>
      <w:r>
        <w:rPr>
          <w:rFonts w:ascii="Times New Roman" w:hAnsi="Times New Roman"/>
          <w:noProof/>
          <w:sz w:val="24"/>
          <w:szCs w:val="24"/>
        </w:rPr>
        <w:t xml:space="preserve"> madalam; iii) prügilate, jäätmepõletustehaste</w:t>
      </w:r>
      <w:r>
        <w:rPr>
          <w:rFonts w:ascii="Times New Roman" w:eastAsia="Calibri" w:hAnsi="Times New Roman" w:cs="Times New Roman"/>
          <w:noProof/>
          <w:sz w:val="24"/>
          <w:szCs w:val="24"/>
          <w:vertAlign w:val="superscript"/>
        </w:rPr>
        <w:footnoteReference w:id="24"/>
      </w:r>
      <w:r>
        <w:rPr>
          <w:rFonts w:ascii="Times New Roman" w:hAnsi="Times New Roman"/>
          <w:noProof/>
          <w:sz w:val="24"/>
          <w:szCs w:val="24"/>
        </w:rPr>
        <w:t xml:space="preserve"> ja mehhaanilis-bioloogilise töötlemise jaamadega</w:t>
      </w:r>
      <w:r>
        <w:rPr>
          <w:rFonts w:ascii="Times New Roman" w:eastAsia="Calibri" w:hAnsi="Times New Roman" w:cs="Times New Roman"/>
          <w:noProof/>
          <w:sz w:val="24"/>
          <w:szCs w:val="24"/>
          <w:vertAlign w:val="superscript"/>
        </w:rPr>
        <w:footnoteReference w:id="25"/>
      </w:r>
      <w:r>
        <w:rPr>
          <w:rFonts w:ascii="Times New Roman" w:hAnsi="Times New Roman"/>
          <w:noProof/>
          <w:sz w:val="24"/>
          <w:szCs w:val="24"/>
        </w:rPr>
        <w:t xml:space="preserve"> seotud tegevus; iv) tegevused, mille puhul jäätmete pikaajaline kõrvaldamine võib kahjustada keskkonda. Peale selle peab rahastamiskõlblikkuse kriteeriumides olema sätestatud tingimus, et valida võib ainult tegevusi, mis vastavad asjakohastele ELi ja riiklikele keskkonnaalastele õigusaktidele.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Investeering viiakse lõpule 30. juuniks 2026.</w:t>
      </w:r>
    </w:p>
    <w:p>
      <w:pPr>
        <w:spacing w:before="120" w:after="120" w:line="240" w:lineRule="auto"/>
        <w:jc w:val="both"/>
        <w:rPr>
          <w:rFonts w:ascii="Times New Roman" w:hAnsi="Times New Roman" w:cs="Times New Roman"/>
          <w:noProof/>
          <w:sz w:val="24"/>
        </w:rPr>
      </w:pPr>
    </w:p>
    <w:p>
      <w:pPr>
        <w:keepNext/>
        <w:numPr>
          <w:ilvl w:val="0"/>
          <w:numId w:val="32"/>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Investeering: Energiasalvestuse pilootprogramm</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Eespool nimetatud meetmete täiendamiseks toetatakse põlevkivi järkjärgulist kasutuselt kõrvaldamist ja taastuvenergia tootmise suurendamist ning taastuvenergia salvestamise pilootprojekte.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Meetme eesmärk on katsetada Eestis taastuvenergia salvestamist. Pilootprojekti käigus saadud teadmiste põhjal loodetakse valmistuda salvestusseadmete paigaldamiseks tulevikus ilma rahalise toetuseta. Selle meetme alusel antakse toetusi ettevõtjatele, kes investeerivad taastuvenergia salvestusseadmetesse.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Investeering viiakse lõpule 30. juuniks 2026.</w:t>
      </w:r>
    </w:p>
    <w:p>
      <w:pPr>
        <w:spacing w:before="120" w:after="120" w:line="240" w:lineRule="auto"/>
        <w:ind w:left="850"/>
        <w:jc w:val="both"/>
        <w:rPr>
          <w:rFonts w:ascii="Times New Roman" w:hAnsi="Times New Roman" w:cs="Times New Roman"/>
          <w:noProof/>
          <w:sz w:val="24"/>
          <w:u w:val="single"/>
        </w:rPr>
        <w:sectPr>
          <w:headerReference w:type="even" r:id="rId61"/>
          <w:headerReference w:type="default" r:id="rId62"/>
          <w:footerReference w:type="even" r:id="rId63"/>
          <w:footerReference w:type="default" r:id="rId64"/>
          <w:headerReference w:type="first" r:id="rId65"/>
          <w:footerReference w:type="first" r:id="rId66"/>
          <w:pgSz w:w="11907" w:h="16839"/>
          <w:pgMar w:top="1134" w:right="1417" w:bottom="1134" w:left="1417" w:header="709" w:footer="709" w:gutter="0"/>
          <w:cols w:space="720"/>
          <w:docGrid w:linePitch="360"/>
        </w:sectPr>
      </w:pPr>
    </w:p>
    <w:p>
      <w:pPr>
        <w:spacing w:before="120" w:after="120" w:line="240" w:lineRule="auto"/>
        <w:ind w:left="850"/>
        <w:jc w:val="both"/>
        <w:rPr>
          <w:rFonts w:ascii="Times New Roman" w:hAnsi="Times New Roman" w:cs="Times New Roman"/>
          <w:b/>
          <w:bCs/>
          <w:noProof/>
          <w:sz w:val="24"/>
          <w:szCs w:val="24"/>
          <w:u w:val="single"/>
        </w:rPr>
      </w:pPr>
      <w:r>
        <w:rPr>
          <w:rFonts w:ascii="Times New Roman" w:hAnsi="Times New Roman"/>
          <w:b/>
          <w:bCs/>
          <w:noProof/>
          <w:sz w:val="24"/>
          <w:szCs w:val="24"/>
          <w:u w:val="single"/>
        </w:rPr>
        <w:t xml:space="preserve">D.2. </w:t>
      </w:r>
      <w:r>
        <w:rPr>
          <w:noProof/>
          <w:u w:val="single"/>
        </w:rPr>
        <w:tab/>
      </w:r>
      <w:r>
        <w:rPr>
          <w:rFonts w:ascii="Times New Roman" w:hAnsi="Times New Roman"/>
          <w:b/>
          <w:bCs/>
          <w:noProof/>
          <w:sz w:val="24"/>
          <w:szCs w:val="24"/>
          <w:u w:val="single"/>
        </w:rPr>
        <w:t>Tagastamatu rahalise toetuse eesmärgid, sihid, näitajad ning seire ja rakendamise ajakava</w:t>
      </w:r>
    </w:p>
    <w:p>
      <w:pPr>
        <w:spacing w:before="120" w:after="120" w:line="240" w:lineRule="auto"/>
        <w:ind w:left="850"/>
        <w:jc w:val="both"/>
        <w:rPr>
          <w:rFonts w:ascii="Times New Roman" w:hAnsi="Times New Roman" w:cs="Times New Roman"/>
          <w:b/>
          <w:noProof/>
          <w:sz w:val="24"/>
          <w:u w:val="single"/>
        </w:rPr>
      </w:pPr>
    </w:p>
    <w:tbl>
      <w:tblPr>
        <w:tblW w:w="15937" w:type="dxa"/>
        <w:jc w:val="center"/>
        <w:tblLayout w:type="fixed"/>
        <w:tblLook w:val="04A0" w:firstRow="1" w:lastRow="0" w:firstColumn="1" w:lastColumn="0" w:noHBand="0" w:noVBand="1"/>
      </w:tblPr>
      <w:tblGrid>
        <w:gridCol w:w="1129"/>
        <w:gridCol w:w="1701"/>
        <w:gridCol w:w="1134"/>
        <w:gridCol w:w="2127"/>
        <w:gridCol w:w="1559"/>
        <w:gridCol w:w="1134"/>
        <w:gridCol w:w="992"/>
        <w:gridCol w:w="992"/>
        <w:gridCol w:w="993"/>
        <w:gridCol w:w="708"/>
        <w:gridCol w:w="3468"/>
      </w:tblGrid>
      <w:tr>
        <w:trPr>
          <w:cantSplit/>
          <w:trHeight w:val="927"/>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Järjekorranumber</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Seotud meede (reform või investeering)</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Eesmärk / siht</w:t>
            </w:r>
          </w:p>
        </w:tc>
        <w:tc>
          <w:tcPr>
            <w:tcW w:w="2127" w:type="dxa"/>
            <w:vMerge w:val="restart"/>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Nimi</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Kvalitatiivsed näitajad</w:t>
            </w:r>
            <w:r>
              <w:rPr>
                <w:noProof/>
              </w:rPr>
              <w:t xml:space="preserve"> </w:t>
            </w:r>
            <w:r>
              <w:rPr>
                <w:noProof/>
              </w:rPr>
              <w:br/>
            </w:r>
            <w:r>
              <w:rPr>
                <w:rFonts w:ascii="Times New Roman" w:hAnsi="Times New Roman"/>
                <w:b/>
                <w:bCs/>
                <w:noProof/>
                <w:sz w:val="20"/>
                <w:szCs w:val="20"/>
              </w:rPr>
              <w:t>(eesmärkide puhul)</w:t>
            </w:r>
          </w:p>
        </w:tc>
        <w:tc>
          <w:tcPr>
            <w:tcW w:w="3118"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Kvantitatiivsed näitajad</w:t>
            </w:r>
            <w:r>
              <w:rPr>
                <w:noProof/>
              </w:rPr>
              <w:t xml:space="preserve"> </w:t>
            </w:r>
            <w:r>
              <w:rPr>
                <w:noProof/>
              </w:rPr>
              <w:br/>
            </w:r>
            <w:r>
              <w:rPr>
                <w:rFonts w:ascii="Times New Roman" w:hAnsi="Times New Roman"/>
                <w:b/>
                <w:bCs/>
                <w:noProof/>
                <w:sz w:val="20"/>
                <w:szCs w:val="20"/>
              </w:rPr>
              <w:t>(sihtide puhul)</w:t>
            </w:r>
          </w:p>
        </w:tc>
        <w:tc>
          <w:tcPr>
            <w:tcW w:w="1701"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 xml:space="preserve">Lõpuleviimise soovituslik ajakava </w:t>
            </w:r>
          </w:p>
        </w:tc>
        <w:tc>
          <w:tcPr>
            <w:tcW w:w="346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Iga eesmärgi ja sihi kirjeldus</w:t>
            </w:r>
          </w:p>
        </w:tc>
      </w:tr>
      <w:tr>
        <w:trPr>
          <w:cantSplit/>
          <w:trHeight w:val="1013"/>
          <w:tblHeader/>
          <w:jc w:val="center"/>
        </w:trPr>
        <w:tc>
          <w:tcPr>
            <w:tcW w:w="112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2127"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Mõõtühik</w:t>
            </w:r>
          </w:p>
        </w:tc>
        <w:tc>
          <w:tcPr>
            <w:tcW w:w="992" w:type="dxa"/>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 xml:space="preserve">Lähtetase </w:t>
            </w:r>
          </w:p>
        </w:tc>
        <w:tc>
          <w:tcPr>
            <w:tcW w:w="992" w:type="dxa"/>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 xml:space="preserve">Eesmärk </w:t>
            </w:r>
          </w:p>
        </w:tc>
        <w:tc>
          <w:tcPr>
            <w:tcW w:w="993" w:type="dxa"/>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Kvartal</w:t>
            </w:r>
          </w:p>
        </w:tc>
        <w:tc>
          <w:tcPr>
            <w:tcW w:w="708" w:type="dxa"/>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Aasta</w:t>
            </w:r>
          </w:p>
        </w:tc>
        <w:tc>
          <w:tcPr>
            <w:tcW w:w="3468"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63</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4.1. Energiatõhustamise soodustamine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Koostöölepingu sõlmimine, et sätestada SA Kredex / Enterprise Eesti ja maakondlike arenduskeskuste vahelise koostöö tingimused.</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 Koostöölepingu sõlmimine, et sätestada SA Kredex / Enterprise Eesti ja maakondlike arenduskeskuste vahelise koostöö tingimused.</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lang w:eastAsia="en-GB"/>
              </w:rPr>
            </w:pP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46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Sõlmitakse SA KredEx / Ettevõtluse Arendamise Sihtasutuse ja maakondlike arenduskeskuste vaheline koostööleping, mille alusel tagab SA KredEx / Ettevõtluse Arendamise Sihtasutus, et igas maakondlikus arenduskeskuses tegutseb vähemalt üks koolitatud spetsialist, kes annab renoveerimisalast nõu.</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64</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4.1. Energiatõhustamise soodustamine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Kasutusele on võetud digitaalsed vahendid, millega hõlbustada juurdepääsu rekonstrueerimist käsitlevale teabele, sealhulgas visualiseerida rekonstrueerimise tulemusi ja hinnata rekonstrueerimiskulusid.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Kasutajasõbralik rekonstrueerimise veebileht ja hinnastamise mudelid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p>
            <w:pPr>
              <w:rPr>
                <w:rFonts w:ascii="Times New Roman" w:eastAsia="Times New Roman" w:hAnsi="Times New Roman" w:cs="Times New Roman"/>
                <w:noProof/>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lang w:eastAsia="en-GB"/>
              </w:rPr>
            </w:pP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2024</w:t>
            </w:r>
          </w:p>
        </w:tc>
        <w:tc>
          <w:tcPr>
            <w:tcW w:w="346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SA KredEx / Ettevõtluse Arendamise Sihtasutus ajakohastab elamumajanduse toetusmeetmete kodulehekülge, et tagada renoveerimisest huvitatud isikutele ja taotlejatele kiire, ajakohastatud ja asjakohane teave.</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Tehakse kättesaadavaks veebipõhised digitaalsed vahendid, et renoveerimisest huvitatud isikud saaksid oma hoone parameetrite lisamisel visualiseerida võimalikke tulemusi ja arvutada välja võimalikud kulud nii koos toetuskavadega kui ilma nendeta.</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65</w:t>
            </w:r>
          </w:p>
        </w:tc>
        <w:tc>
          <w:tcPr>
            <w:tcW w:w="1701"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4.2. Korterelamute rekonstrueerimise toetamine</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2127"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Korterelamute rekonstrueerimistoetuse projektikonkursside väljakuulutamine</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Eluaseme rekonstrueerimistoetuse projektikonkursside väljakuulutamine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3"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8"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468"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hAnsi="Times New Roman" w:cs="Times New Roman"/>
                <w:noProof/>
                <w:sz w:val="24"/>
                <w:szCs w:val="24"/>
              </w:rPr>
            </w:pPr>
            <w:r>
              <w:rPr>
                <w:rFonts w:ascii="Times New Roman" w:hAnsi="Times New Roman"/>
                <w:noProof/>
                <w:color w:val="006100"/>
              </w:rPr>
              <w:t>SA KredEx / Ettevõtluse Arendamise Sihtasutus avaldab konkursikutse korterelamute energiatõhususe parandamiseks. Toetus diferentseeritakse piirkonniti kinnisvara väärtuse alusel nii, et piirkondades, kus kinnisvara väärtus on keskmisest madalam, on toetuse määr kõrgem.</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Toetust antakse renoveerimistöödeks, millega saavutatakse energiatõhususe klassi paranemine vähemalt ühe astme võrra või, tervikliku renoveerimise korral, vähemalt energiatõhususe klass C. Renoveerimistööd vastavad vähemalt Euroopa Komisjoni soovituses (EL) 2019/786 sätestatud keskmisele renoveerimise põhjalikkusele, mille puhul primaarenergia sääst on keskmiselt vähemalt 30 %. Tulemusi tõendatakse rekonstrueerimistööde eel ja järel väljastatavate energiatõhususe sertifikaatidega.</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66</w:t>
            </w:r>
          </w:p>
        </w:tc>
        <w:tc>
          <w:tcPr>
            <w:tcW w:w="1701"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4.2. Korterelamute rekonstrueerimise toetamine</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2127"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Suurema energiatõhususega eluruumid</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Eluruumide arv</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2600</w:t>
            </w:r>
          </w:p>
        </w:tc>
        <w:tc>
          <w:tcPr>
            <w:tcW w:w="993"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8"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2024</w:t>
            </w:r>
          </w:p>
        </w:tc>
        <w:tc>
          <w:tcPr>
            <w:tcW w:w="3468"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Rekonstrueeritud on vähemalt 2 600 eluruumi, mille puhul on saavutatud energiatõhususe klassi paranemine vähemalt ühe astme võrra või, tervikliku renoveerimise korral, vähemalt energiatõhususe klass C. Renoveerimistööd vastavad vähemalt Euroopa Komisjoni soovituses (EL) 2019/786 sätestatud keskmisele renoveerimise põhjalikkusele, mille puhul primaarenergia sääst on keskmiselt vähemalt 30 %. Tulemusi tõendatakse rekonstrueerimistööde eel ja järel väljastatavate energiatõhususe sertifikaatidega.</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67</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4.2. Korterelamute rekonstrueerimise toetamine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Kasvuhoonegaaside heite hinnanguline vähenemine aastas</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Ei kohaldata</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CO</w:t>
            </w:r>
            <w:r>
              <w:rPr>
                <w:rFonts w:ascii="Times New Roman" w:hAnsi="Times New Roman"/>
                <w:noProof/>
                <w:color w:val="006100"/>
                <w:vertAlign w:val="subscript"/>
              </w:rPr>
              <w:t>2</w:t>
            </w:r>
            <w:r>
              <w:rPr>
                <w:rFonts w:ascii="Times New Roman" w:hAnsi="Times New Roman"/>
                <w:noProof/>
                <w:color w:val="006100"/>
              </w:rPr>
              <w:t xml:space="preserve"> ekvivalenttonni aastas</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2200</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2026</w:t>
            </w:r>
          </w:p>
        </w:tc>
        <w:tc>
          <w:tcPr>
            <w:tcW w:w="346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Kasvuhoonegaaside heidet on vähendatud vähemalt 2 200 tonni CO</w:t>
            </w:r>
            <w:r>
              <w:rPr>
                <w:rFonts w:ascii="Times New Roman" w:hAnsi="Times New Roman"/>
                <w:noProof/>
                <w:color w:val="006100"/>
                <w:vertAlign w:val="subscript"/>
              </w:rPr>
              <w:t>2</w:t>
            </w:r>
            <w:r>
              <w:rPr>
                <w:rFonts w:ascii="Times New Roman" w:hAnsi="Times New Roman"/>
                <w:noProof/>
                <w:color w:val="006100"/>
              </w:rPr>
              <w:t xml:space="preserve"> ekvivalenti aastas. Sihti mõõdetakse kasvuhoonegaaside heite vähenemisega kõigi 2024. aastal lõpetatud projektide summana. Kõigi rekonstrueeritud hoonete energiatõhususe klassi mõõdetakse ning nende aastast kasvuhoonegaaside heidet hinnatakse selle järgi hiljemalt 2025. aastal. Lähtetasemeks võetakse hoonete hinnanguline kasvuhoonegaaside heide enne rekonstrueerimist. Hinnatakse, kas toetusmeetme tegevused on ellu viidud ja korteriühistud on esitanud kõik vajalikud dokumendid (energiatõhususe sertifikaat, audit jt dokumendid). Kasvuhoonegaaside heite vähendamise tulemuse arvutus baseerub energiatarbimise ja teiste asjakohaste andmete SA Kredexi / Ettevõtluse arendamise sihtasutuse mudelil. Saavutatud tulemused saadakse toetavate tegevuste lõppemisel.</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68</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4.3. Väikeelamute rekonstrueerimise toetamine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Renoveerimistoetuse projektikonkursside väljakuulutamine</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Projektikonkursside väljakuulutamine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46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sz w:val="24"/>
                <w:szCs w:val="24"/>
              </w:rPr>
            </w:pPr>
            <w:r>
              <w:rPr>
                <w:rFonts w:ascii="Times New Roman" w:hAnsi="Times New Roman"/>
                <w:noProof/>
                <w:color w:val="006100"/>
              </w:rPr>
              <w:t>SA KredEx / Ettevõtluse Arendamise Sihtasutus avaldab konkursikutse elamute energiatõhususe parandamiseks. Toetus diferentseeritakse piirkonniti kinnisvara väärtuse alusel nii, et piirkondades, kus kinnisvara väärtus on keskmisest madalam, on toetuse määr kõrgem.</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Toetust antakse renoveerimistöödeks, millega saavutatakse energiatõhususe klassi paranemine või, tervikliku renoveerimise korral, vähemalt energiatõhususe klass C. Tulemusi tõendatakse rekonstrueerimistööde eel ja järel SA KredExi energiatõhususe arvutustega.</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69</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4.3. Väikeelamute rekonstrueerimise toetamine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Suurema energiatõhususega eluruumid</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Eluruumide arv</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80</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2024</w:t>
            </w:r>
          </w:p>
        </w:tc>
        <w:tc>
          <w:tcPr>
            <w:tcW w:w="346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Renoveeritud on vähemalt 80 eluaset nii, et hoone energiatõhususe klass on paranenud või, tervikliku renoveerimise korral, on saavutatud vähemalt energiatõhususe klass C. Tulemusi tõendatakse rekonstrueerimistööde eel ja järel SA KredExi energiatõhususe arvutustega.</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70</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4.4. Energiamajanduses rohepöörde hoogustamine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Valitsuse otsus investeeringute kohta, mis on vajalikud tuuleparkide riigikaitseliste kõrgusepiirangute tühistamiseks.</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Valitsuse otsuse vastuvõtmine.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2021</w:t>
            </w:r>
          </w:p>
        </w:tc>
        <w:tc>
          <w:tcPr>
            <w:tcW w:w="346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Valitsus võtab vastu otsuse teha vajalikud investeeringud tuuleparkide riigikaitseliste kõrgusepiirangute leevendamiseks.</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71</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4.4. Energiamajanduses rohepöörde hoogustamine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Valitsuse otsuse vastuvõtmine, et kiita heaks energiamajanduse arengukava koostamine ning määrata kindlaks vastutajad ja tähtajad.</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Valitsuse otsuse vastuvõtmine.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2021</w:t>
            </w:r>
          </w:p>
        </w:tc>
        <w:tc>
          <w:tcPr>
            <w:tcW w:w="346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Valitsuse otsus, millega alustatakse ettevalmistust energiamajanduse arengukava koostamiseks ning määratakse kindlaks vastutajad ja tähtajad, on heaks kiidetud. Arengukavas käsitletakse muu hulgas eesmärki suurendada taastuvenergia tootmist ja energiatõhusust ning hoida ja parandada varustuskindluse taset, aga ka põlevkivi kasutamise lõpetamist elektri tootmiseks aastal 2035 ning põlevkivi kasutamise lõpetamist õlitootmiseks aastaks 2040.</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72</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4.4. Energiamajanduses rohepöörde hoogustamine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Asjaomaste esmaste ja/või teiseste õigusaktide jõustumine ja juhendmaterjalide avaldamine, et leevendada taastuvenergia tootmisseadmete ja energiasalvestusseadmete rajamise tõkkeid.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Õigusnorm, mis viitab asjaomaste esmaste õigusaktide jõustumisele ja/või teiseste õigusaktide jõustumisele, ning juhendmaterjali avaldamine.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2024</w:t>
            </w:r>
          </w:p>
          <w:p>
            <w:pPr>
              <w:spacing w:after="0" w:line="240" w:lineRule="auto"/>
              <w:jc w:val="center"/>
              <w:rPr>
                <w:rFonts w:ascii="Times New Roman" w:eastAsia="Times New Roman" w:hAnsi="Times New Roman" w:cs="Times New Roman"/>
                <w:noProof/>
                <w:color w:val="006100"/>
                <w:lang w:eastAsia="en-GB"/>
              </w:rPr>
            </w:pPr>
          </w:p>
        </w:tc>
        <w:tc>
          <w:tcPr>
            <w:tcW w:w="346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Avaldatud on juhendmaterjalid taastuvenergia tootmisseadmete ja energiasalvestusseadmete paigaldamise hõlbustamiseks ja ergutamiseks ning jõustuvad asjaomased esmased ja/või teisesed õigusaktid, et kõrvaldada taastuvenergia rajatiste paigaldamise tõkked, nagu kõrgusepiirangud, loamenetluste kestus ja keerukus.</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73</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4.4. Energiamajanduses rohepöörde hoogustamine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Energiamajanduse arengukava vastuvõtmine valitsuses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Dokumendi vastuvõtmine valitsuses</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2025</w:t>
            </w:r>
          </w:p>
          <w:p>
            <w:pPr>
              <w:spacing w:after="0" w:line="240" w:lineRule="auto"/>
              <w:jc w:val="center"/>
              <w:rPr>
                <w:rFonts w:ascii="Times New Roman" w:eastAsia="Times New Roman" w:hAnsi="Times New Roman" w:cs="Times New Roman"/>
                <w:noProof/>
                <w:color w:val="006100"/>
                <w:lang w:eastAsia="en-GB"/>
              </w:rPr>
            </w:pPr>
          </w:p>
        </w:tc>
        <w:tc>
          <w:tcPr>
            <w:tcW w:w="346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Valitsus on energiamajanduse arengukava heaks kiitnud. Kava sisaldab meetmeid, mis on seotud põlevkivi kasutamise järkjärgulise lõpetamisega elektri tootmiseks 2035. aastal ja põlevkiviõli tootmiseks 2040. aastaks. Samuti sisaldab see sihte elektrienergia tootmisvõimsuse asendamiseks taastuvenergia tootmisvõimsusega.</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74</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4.5. Elektrivõrgu tugevdamise programm taastuvenergia tootmisvõimekuse suurendamiseks ning kliimamuutustega (nt tormid) kohanemiseks</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Võrguinvesteeringute kaasrahastamise lepingu allkirjastamine põhivõrguettevõtjaga</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Lepingu allkirjastamine põhivõrguettevõtjaga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 kv</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46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Majandus- ja kommunikatsiooniministeeriumi ja Elering ASi vahel on sõlmitud elektrivõrguinvesteeringute kaasrahastamise leping. Lepingus sätestatakse oodatavad tulemused ja tähtajad.</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75</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4.5. Elektrivõrgu tugevdamise programm taastuvenergia tootmisvõimekuse suurendamiseks ning kliimamuutustega kohanemiseks (nt paranenud vastupidavus tormidele).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Täiendav taastuvenergia liitumisvõimsus, mis on loodud investeeringutega ülekandevõrku. </w:t>
            </w:r>
          </w:p>
          <w:p>
            <w:pPr>
              <w:spacing w:after="0" w:line="240" w:lineRule="auto"/>
              <w:rPr>
                <w:rFonts w:ascii="Times New Roman" w:eastAsia="Times New Roman" w:hAnsi="Times New Roman" w:cs="Times New Roman"/>
                <w:noProof/>
                <w:color w:val="006100"/>
                <w:lang w:eastAsia="en-GB"/>
              </w:rPr>
            </w:pP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Täiendav liitumisvõimsus (MW)</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310</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2026</w:t>
            </w:r>
          </w:p>
        </w:tc>
        <w:tc>
          <w:tcPr>
            <w:tcW w:w="346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Eesti elektriülekandevõrgu taastuvenergiarajatiste liitumisvõimsuse suurendamine vähemalt 310 MW võrra. </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76</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4.6. Tööstusalades elektritootmisseadmete kasutuselevõtu hoogustamise programm</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Projektikonkursi väljakuulutamine tööstusaladel energiatootmise hoogustamiseks</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Konkursikutse avaldamine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46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Keskkonnainvesteeringute keskus on kuulutanud välja avatud konkursi, et toetada tööstusaladel taastuvatest energiaallikatest elektrit tootvate ettevõtete võrguga liitmise kulusid.</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Projektikonkursiga nähakse ette valikukriteeriumid ja toetuse andmise tingimused, mis sisaldavad asjakohast välistamisnimekirja, et tagada valitud projektide kooskõla põhimõtte „Ei kahjusta oluliselt“ tehniliste suunistega (2021/C58/01), samuti nõue järgida ELi ja riiklikke keskkonnaalaseid õigusakte.</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77</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4.6. Tööstusalades elektritootmisseadmete kasutuselevõtu hoogustamise programm</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Siht </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Tööstusaladel või nende läheduses toimuva taastuvenergia tootmise jaoks on elektrivõrgus loodud täiendav liitumisvõimsus.</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Loodud liitumisvõimsus (MW)</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28</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2026</w:t>
            </w:r>
          </w:p>
        </w:tc>
        <w:tc>
          <w:tcPr>
            <w:tcW w:w="346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Tööstusaladel või nende läheduses toimuva taastuvenergia tootmise jaoks on loodud vähemalt 28 MW täiendavat liitumisvõimsust.</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78</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4.7. Energiasalvestuse pilootprogramm</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Energiasalvestuse pilootprogrammi projektikonkursi väljakuulutamine</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Konkursikutse avaldamine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468"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cs="Times New Roman"/>
                <w:noProof/>
                <w:color w:val="006100"/>
              </w:rPr>
            </w:pPr>
            <w:r>
              <w:rPr>
                <w:rFonts w:ascii="Times New Roman" w:hAnsi="Times New Roman"/>
                <w:noProof/>
                <w:color w:val="006100"/>
              </w:rPr>
              <w:t xml:space="preserve">Keskkonnainvesteeringute keskus kuulutab välja avatud projektikonkursi energiasalvestuse pilootprogrammide toetamiseks. </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Projektikonkursiga nähakse ette valikukriteeriumid ja toetuse andmise tingimused, mis sisaldavad asjakohast välistamisnimekirja, et tagada valitud projektide kooskõla põhimõtte „Ei kahjusta oluliselt“ tehniliste suunistega (2021/C58/01), samuti nõue järgida ELi ja riiklikke keskkonnaalaseid õigusakte.</w:t>
            </w:r>
            <w:r>
              <w:rPr>
                <w:rFonts w:ascii="Times New Roman" w:hAnsi="Times New Roman"/>
                <w:noProof/>
                <w:sz w:val="24"/>
                <w:szCs w:val="24"/>
              </w:rPr>
              <w:t xml:space="preserve"> </w:t>
            </w:r>
            <w:r>
              <w:rPr>
                <w:rFonts w:ascii="Times New Roman" w:hAnsi="Times New Roman"/>
                <w:noProof/>
                <w:color w:val="006100"/>
              </w:rPr>
              <w:t xml:space="preserve">Valiku- ja rahastamiskõlblikkuse kriteeriumides täpsustatakse, et toetatavad tegevused ja/või ettevõtted aitavad kaasa kliimaneutraalsele majandusele, kliimamuutustele vastupanu võimele ja kliimamuutustega kohanemisele, sealhulgas ringmajanduse eesmärkidele. </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79</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4.7. Energiasalvestuse pilootprogramm</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Siht </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Investeeringutoetusest tulenev täiendav soojussalvestusvõimsus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Rajatud võimsus (m³)</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35 000</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2026</w:t>
            </w:r>
          </w:p>
        </w:tc>
        <w:tc>
          <w:tcPr>
            <w:tcW w:w="346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Investeeringute toetuskava tulemusel paigaldatakse kaugküttesüsteemidesse vähemalt 35 000 m³ soojussalvesteid. </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80</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4.7. Energiasalvestuse pilootprogramm</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212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Investeeringutoetusest tulenev täiendav elektrisalvestusvõimsus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Rajatud võimsus (MW)</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 MW</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2026</w:t>
            </w:r>
          </w:p>
        </w:tc>
        <w:tc>
          <w:tcPr>
            <w:tcW w:w="346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Investeeringute toetuskava tulemusel paigaldatakse vähemalt 4 MW elektrisalvestusvõimsust. </w:t>
            </w:r>
          </w:p>
        </w:tc>
      </w:tr>
    </w:tbl>
    <w:p>
      <w:pPr>
        <w:spacing w:before="120" w:after="120" w:line="240" w:lineRule="auto"/>
        <w:jc w:val="both"/>
        <w:rPr>
          <w:rFonts w:ascii="Times New Roman" w:hAnsi="Times New Roman" w:cs="Times New Roman"/>
          <w:noProof/>
          <w:sz w:val="24"/>
        </w:rPr>
        <w:sectPr>
          <w:headerReference w:type="even" r:id="rId67"/>
          <w:headerReference w:type="default" r:id="rId68"/>
          <w:footerReference w:type="even" r:id="rId69"/>
          <w:footerReference w:type="default" r:id="rId70"/>
          <w:headerReference w:type="first" r:id="rId71"/>
          <w:footerReference w:type="first" r:id="rId72"/>
          <w:pgSz w:w="16839" w:h="11907" w:orient="landscape"/>
          <w:pgMar w:top="720" w:right="720" w:bottom="720" w:left="720"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bCs/>
          <w:smallCaps/>
          <w:noProof/>
          <w:sz w:val="24"/>
          <w:szCs w:val="24"/>
        </w:rPr>
      </w:pPr>
      <w:r>
        <w:rPr>
          <w:noProof/>
        </w:rPr>
        <w:tab/>
      </w:r>
      <w:r>
        <w:rPr>
          <w:rFonts w:ascii="Times New Roman" w:hAnsi="Times New Roman"/>
          <w:b/>
          <w:bCs/>
          <w:smallCaps/>
          <w:noProof/>
          <w:sz w:val="24"/>
          <w:szCs w:val="24"/>
        </w:rPr>
        <w:t>E. KOMPONENT 5. Säästlik transport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Eesti taaste- ja vastupidavuskava selle komponendiga võetakse käsile transpordisektori CO</w:t>
      </w:r>
      <w:r>
        <w:rPr>
          <w:rFonts w:ascii="Times New Roman" w:hAnsi="Times New Roman"/>
          <w:noProof/>
          <w:sz w:val="24"/>
          <w:szCs w:val="24"/>
          <w:vertAlign w:val="subscript"/>
        </w:rPr>
        <w:t>2</w:t>
      </w:r>
      <w:r>
        <w:rPr>
          <w:rFonts w:ascii="Times New Roman" w:hAnsi="Times New Roman"/>
          <w:noProof/>
          <w:sz w:val="24"/>
          <w:szCs w:val="24"/>
        </w:rPr>
        <w:t xml:space="preserve"> heide. Komponendi eesmärk on vähendada CO</w:t>
      </w:r>
      <w:r>
        <w:rPr>
          <w:rFonts w:ascii="Times New Roman" w:hAnsi="Times New Roman"/>
          <w:noProof/>
          <w:sz w:val="24"/>
          <w:szCs w:val="24"/>
          <w:vertAlign w:val="subscript"/>
        </w:rPr>
        <w:t>2</w:t>
      </w:r>
      <w:r>
        <w:rPr>
          <w:rFonts w:ascii="Times New Roman" w:hAnsi="Times New Roman"/>
          <w:noProof/>
          <w:sz w:val="24"/>
          <w:szCs w:val="24"/>
        </w:rPr>
        <w:t xml:space="preserve"> heidet ja soodustada säästlike transpordiliikide kasutuselevõttu.</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Komponendi reform ja investeeringud toetavad piiriülest Rail Balticu projekti, mis ühendab kolme Balti riigi pealinnu Poola ja ülejäänud liiduga. Komponendi meetmete eesmärk on ühendada Rail Baltic teiste riiklike raudteedega ja muude TEN-T sõlmpunktidega (Tallinna lennujaam ja Vanasadam) ning hõlbustada juurdepääsu kohalikele peatustele jalgsi ja jalgrattaga.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Selle komponendiga reageeritakse riigipõhisele soovitusele keskenduda investeeringutele energiatõhususse ja säästvasse transporti, aidates kaasa majanduse CO</w:t>
      </w:r>
      <w:r>
        <w:rPr>
          <w:rFonts w:ascii="Times New Roman" w:hAnsi="Times New Roman"/>
          <w:noProof/>
          <w:sz w:val="24"/>
          <w:szCs w:val="24"/>
          <w:vertAlign w:val="subscript"/>
        </w:rPr>
        <w:t>2</w:t>
      </w:r>
      <w:r>
        <w:rPr>
          <w:rFonts w:ascii="Times New Roman" w:hAnsi="Times New Roman"/>
          <w:noProof/>
          <w:sz w:val="24"/>
          <w:szCs w:val="24"/>
        </w:rPr>
        <w:t xml:space="preserve"> heite vähendamisele (2019. ja 2020. aasta riigipõhine soovitus nr 3).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Lähtudes meetmete kirjeldusest taaste- ja vastupidavuskavas ja võttes arvesse põhimõtte „Ei kahjusta oluliselt“ tehniliste suuniste (2021/C58/01) kohaseid leevendavaid samme, mis kavas on sätestatud, võib eeldada, et ükski selle komponendi meede ei kahjusta määruse (EL) 2020/852 artikli 17 tähenduses oluliselt keskkonnaeesmärke. </w:t>
      </w:r>
    </w:p>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b/>
          <w:i/>
          <w:noProof/>
          <w:sz w:val="24"/>
          <w:szCs w:val="24"/>
          <w:u w:val="single"/>
        </w:rPr>
      </w:pPr>
      <w:r>
        <w:rPr>
          <w:rFonts w:ascii="Times New Roman" w:hAnsi="Times New Roman"/>
          <w:b/>
          <w:bCs/>
          <w:noProof/>
          <w:sz w:val="24"/>
          <w:szCs w:val="24"/>
          <w:u w:val="single"/>
        </w:rPr>
        <w:t xml:space="preserve">E.1. </w:t>
      </w:r>
      <w:r>
        <w:rPr>
          <w:noProof/>
          <w:u w:val="single"/>
        </w:rPr>
        <w:tab/>
      </w:r>
      <w:r>
        <w:rPr>
          <w:rFonts w:ascii="Times New Roman" w:hAnsi="Times New Roman"/>
          <w:b/>
          <w:bCs/>
          <w:noProof/>
          <w:sz w:val="24"/>
          <w:szCs w:val="24"/>
          <w:u w:val="single"/>
        </w:rPr>
        <w:t>Tagastamatu rahalise toetusega seotud reformide ja investeeringute kirjeldus</w:t>
      </w:r>
    </w:p>
    <w:p>
      <w:pPr>
        <w:keepNext/>
        <w:numPr>
          <w:ilvl w:val="0"/>
          <w:numId w:val="33"/>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Reform: Võtame kasutusele ohutu, keskkonnahoidliku, konkurentsivõimelise, vajaduspõhise ja jätkusuutliku transpordi- ja energiataristu</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Reformi eesmärk on vähendada transpordisektori CO</w:t>
      </w:r>
      <w:r>
        <w:rPr>
          <w:rFonts w:ascii="Times New Roman" w:hAnsi="Times New Roman"/>
          <w:noProof/>
          <w:sz w:val="24"/>
          <w:szCs w:val="24"/>
          <w:vertAlign w:val="subscript"/>
        </w:rPr>
        <w:t>2</w:t>
      </w:r>
      <w:r>
        <w:rPr>
          <w:rFonts w:ascii="Times New Roman" w:hAnsi="Times New Roman"/>
          <w:noProof/>
          <w:sz w:val="24"/>
          <w:szCs w:val="24"/>
        </w:rPr>
        <w:t xml:space="preserve"> heidet ja soodustada säästlike transpordiliikide kasutuselevõttu. </w:t>
      </w: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Meede seisneb uue transpordi ja liikuvuse arengukava ja selle rakendusplaani vastuvõtmises ja rakendamises. Kava keskendub transpordisüsteemide keskkonnajalajälje vähendamisele ning sisaldab meetmeid, millega arendatakse linnapiirkondades autokasutajate arvelt ühendatud ja jagatud liikuvust ning väljaspool suuremaid linnapiirkondi jalgratta- ja/või jalgteede terviklikumat võrgustikku. Kava sisaldab raudteeinvesteeringuid, millega suurendatakse reiside kiirust ja ohutust ning lisatakse ühendusi nii reisijate- kui ka kaubaveo jaoks. Transpordi ja liikuvuse arengukava peamised meetmed, mida taaste- ja vastupidavusrahastu ajakava raames rakendatakse, hõlmavad Tallinn–Tartu liinil elektrifitseeritud raudtee rajamist ja pikendamist ning ühistranspordisüsteemi ühtlustamist Tallinna ümbruskonnas (piletid ja tasud).</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Reformi rakendamine viiakse lõpule 30. juuniks 2026.</w:t>
      </w:r>
    </w:p>
    <w:p>
      <w:pPr>
        <w:keepNext/>
        <w:numPr>
          <w:ilvl w:val="0"/>
          <w:numId w:val="33"/>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 xml:space="preserve">Investeering: Läänesuunalise Tallinna-Rohuküla raudteeliini uue lõigu rajamine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Investeering võimaldab ühendada Läänemaa Tallinna ja rahvusvaheliste TEN-T sõlmjaamadega, nagu Tallinna Lennujaam, Rail Baltic ning laevaühendused Tallinna Vanasadama kaudu.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Toetus antakse riiklikule raudteetaristu haldajale Eesti Raudtee 15 km pikkuse üherajalise elektrifitseeritud raudteelõigu ehitamiseks Turba (kus praegu raudtee lõppeb) ja Risti jaama vahele. Ülejäänud osa raudteest kuni Rohuküla jaamani, kust lähtuvad parvlaevaühendused Hiiumaa ja Vormsi saartega, rahastatakse eeldatavasti ERFist ja riigieelarvest ning see valmib kavakohaselt 2026. aastal. Tallinna-Rohuküla raudtee kogupikkuses lõpuleviimine ühendab riigi lääneosa rahvusvaheliste TEN-T sõlmpunktidega Tallinnas.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Investeering viiakse lõpule 31. detsembriks 2024.</w:t>
      </w:r>
    </w:p>
    <w:p>
      <w:pPr>
        <w:spacing w:before="120" w:after="120" w:line="240" w:lineRule="auto"/>
        <w:jc w:val="both"/>
        <w:rPr>
          <w:rFonts w:ascii="Times New Roman" w:hAnsi="Times New Roman" w:cs="Times New Roman"/>
          <w:noProof/>
          <w:sz w:val="24"/>
        </w:rPr>
      </w:pPr>
    </w:p>
    <w:p>
      <w:pPr>
        <w:keepNext/>
        <w:numPr>
          <w:ilvl w:val="0"/>
          <w:numId w:val="33"/>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 xml:space="preserve">Investeering: Rail Balticu mitmeliigilise ühisterminali ehitamine Tallinnasse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Meetme eesmärk on suurendada säästliku liikuvuse osakaalu Tallinna piirkonnas.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Ülemiste ühisterminalist peaks saama Rail Balticu lähtepunkt. Terminaliala koosneb terminalihoonest, sellega seotud raudteetaristust ja seda ümbritsevast avalikust linnaruumist, millest terminalihoonet rahastatakse taaste- ja vastupidavusrahastust. Ülejäänud osasid on kavas rahastada Euroopa ühendamise rahastust.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Investeering viiakse lõpule 31. märtsiks 2026. </w:t>
      </w:r>
    </w:p>
    <w:p>
      <w:pPr>
        <w:spacing w:before="120" w:after="120" w:line="240" w:lineRule="auto"/>
        <w:jc w:val="both"/>
        <w:rPr>
          <w:rFonts w:ascii="Times New Roman" w:hAnsi="Times New Roman" w:cs="Times New Roman"/>
          <w:noProof/>
          <w:sz w:val="24"/>
        </w:rPr>
      </w:pPr>
    </w:p>
    <w:p>
      <w:pPr>
        <w:keepNext/>
        <w:numPr>
          <w:ilvl w:val="0"/>
          <w:numId w:val="33"/>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Investeering: Tallinna Vanasadama trammiliini rajamine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Meetme eesmärk on suurendada säästliku liikuvuse osakaalu Tallinna piirkonnas. Selleks on kavas ühendada Rail Baltic Tallinna Vanasadamaga, kust lähtuvad mereühendused Põhjamaadesse.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Toetus antakse Tallinna linna transpordiametile, kes vastutab ühistranspordi käitamise eest Tallinnas, uue, umbes 2 km pikkuse trammiliini ehitamiseks, et ühendada omavahel Tallinna lennujaam, Rail Balticu ühisterminal, kesklinn, Vanasadam ja piirkondlik raudteejaam.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Investeering viiakse lõpule 30. juuniks 2024. </w:t>
      </w:r>
    </w:p>
    <w:p>
      <w:pPr>
        <w:spacing w:before="120" w:after="120" w:line="240" w:lineRule="auto"/>
        <w:jc w:val="both"/>
        <w:rPr>
          <w:rFonts w:ascii="Times New Roman" w:hAnsi="Times New Roman" w:cs="Times New Roman"/>
          <w:noProof/>
          <w:sz w:val="24"/>
        </w:rPr>
      </w:pPr>
    </w:p>
    <w:p>
      <w:pPr>
        <w:keepNext/>
        <w:numPr>
          <w:ilvl w:val="0"/>
          <w:numId w:val="33"/>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Investeering: KOVide investeeringud jalgratta- ja/või jalgteedesse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Meetme eesmärk on vähendada autosõltuvust ja suurendada säästlikku liikuvust piirkondades, mis asuvad väljaspool kolme peamist linnakeskust (Tallinn, Tartu ja Pärnu), kus omavalitsuste vähene finantssuutlikkus takistab turvaliste ja kliimasõbralike jalgratta- ja jalgteekoridoride arendamist.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Kohalikke omavalitsusi toetatakse 24 km pikkuse jalgratta- ja/või jalgteetaristu ehitamisel, et tagada turvaline ja säästlik juurdepääs avalikele teenustele, sealhulgas ühistranspordile, ja töökohtadele. Samuti pööratakse tähelepanu Rail Balticu kohalikele peatustele ning ühendustele olemasoleva jalgratta- ja jalgteede võrgustikuga.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Meede täiendab sarnast meedet, mida eeldatavasti rahastatakse ERFist ja mis aitab suurendada jalgrattaliiklust kolmes suuremas linnakeskuses – Tallinnas, Tartus ja Pärnus.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Investeering viiakse lõpule 31. detsembriks 2025.</w:t>
      </w:r>
    </w:p>
    <w:p>
      <w:pPr>
        <w:spacing w:before="120" w:after="120" w:line="240" w:lineRule="auto"/>
        <w:ind w:left="850"/>
        <w:jc w:val="both"/>
        <w:rPr>
          <w:rFonts w:ascii="Times New Roman" w:hAnsi="Times New Roman" w:cs="Times New Roman"/>
          <w:noProof/>
          <w:sz w:val="24"/>
          <w:u w:val="single"/>
        </w:rPr>
        <w:sectPr>
          <w:headerReference w:type="even" r:id="rId73"/>
          <w:headerReference w:type="default" r:id="rId74"/>
          <w:footerReference w:type="even" r:id="rId75"/>
          <w:footerReference w:type="default" r:id="rId76"/>
          <w:headerReference w:type="first" r:id="rId77"/>
          <w:footerReference w:type="first" r:id="rId78"/>
          <w:pgSz w:w="11907" w:h="16839"/>
          <w:pgMar w:top="1134" w:right="1417" w:bottom="1134" w:left="1417" w:header="709" w:footer="709" w:gutter="0"/>
          <w:cols w:space="720"/>
          <w:docGrid w:linePitch="360"/>
        </w:sectPr>
      </w:pPr>
    </w:p>
    <w:p>
      <w:pPr>
        <w:spacing w:before="120" w:after="120" w:line="240" w:lineRule="auto"/>
        <w:ind w:left="850"/>
        <w:jc w:val="both"/>
        <w:rPr>
          <w:rFonts w:ascii="Times New Roman" w:hAnsi="Times New Roman" w:cs="Times New Roman"/>
          <w:b/>
          <w:bCs/>
          <w:noProof/>
          <w:sz w:val="24"/>
          <w:szCs w:val="24"/>
          <w:u w:val="single"/>
        </w:rPr>
      </w:pPr>
      <w:r>
        <w:rPr>
          <w:rFonts w:ascii="Times New Roman" w:hAnsi="Times New Roman"/>
          <w:b/>
          <w:bCs/>
          <w:noProof/>
          <w:sz w:val="24"/>
          <w:szCs w:val="24"/>
          <w:u w:val="single"/>
        </w:rPr>
        <w:t xml:space="preserve">E.2. </w:t>
      </w:r>
      <w:r>
        <w:rPr>
          <w:noProof/>
          <w:u w:val="single"/>
        </w:rPr>
        <w:tab/>
      </w:r>
      <w:r>
        <w:rPr>
          <w:rFonts w:ascii="Times New Roman" w:hAnsi="Times New Roman"/>
          <w:b/>
          <w:bCs/>
          <w:noProof/>
          <w:sz w:val="24"/>
          <w:szCs w:val="24"/>
          <w:u w:val="single"/>
        </w:rPr>
        <w:t>Tagastamatu rahalise toetuse eesmärgid, sihid, näitajad ning seire ja rakendamise ajakava</w:t>
      </w:r>
    </w:p>
    <w:tbl>
      <w:tblPr>
        <w:tblW w:w="15825" w:type="dxa"/>
        <w:jc w:val="center"/>
        <w:tblLayout w:type="fixed"/>
        <w:tblLook w:val="04A0" w:firstRow="1" w:lastRow="0" w:firstColumn="1" w:lastColumn="0" w:noHBand="0" w:noVBand="1"/>
      </w:tblPr>
      <w:tblGrid>
        <w:gridCol w:w="1347"/>
        <w:gridCol w:w="1463"/>
        <w:gridCol w:w="1231"/>
        <w:gridCol w:w="1865"/>
        <w:gridCol w:w="1830"/>
        <w:gridCol w:w="1266"/>
        <w:gridCol w:w="987"/>
        <w:gridCol w:w="986"/>
        <w:gridCol w:w="986"/>
        <w:gridCol w:w="705"/>
        <w:gridCol w:w="3159"/>
      </w:tblGrid>
      <w:tr>
        <w:trPr>
          <w:cantSplit/>
          <w:trHeight w:val="605"/>
          <w:tblHeader/>
          <w:jc w:val="center"/>
        </w:trPr>
        <w:tc>
          <w:tcPr>
            <w:tcW w:w="134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Järjekorranumber</w:t>
            </w:r>
          </w:p>
        </w:tc>
        <w:tc>
          <w:tcPr>
            <w:tcW w:w="146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Seotud meede (reform või investeering)</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Eesmärk / siht</w:t>
            </w:r>
          </w:p>
        </w:tc>
        <w:tc>
          <w:tcPr>
            <w:tcW w:w="1865" w:type="dxa"/>
            <w:vMerge w:val="restart"/>
            <w:tcBorders>
              <w:top w:val="single" w:sz="4" w:space="0" w:color="auto"/>
              <w:left w:val="nil"/>
              <w:bottom w:val="single" w:sz="4" w:space="0" w:color="auto"/>
              <w:right w:val="single" w:sz="4" w:space="0" w:color="auto"/>
            </w:tcBorders>
            <w:shd w:val="clear" w:color="auto" w:fill="B8CCE4" w:themeFill="accent1" w:themeFillTint="66"/>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Nimi</w:t>
            </w:r>
          </w:p>
        </w:tc>
        <w:tc>
          <w:tcPr>
            <w:tcW w:w="183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Kvalitatiivsed näitajad</w:t>
            </w:r>
            <w:r>
              <w:rPr>
                <w:noProof/>
              </w:rPr>
              <w:t xml:space="preserve"> </w:t>
            </w:r>
            <w:r>
              <w:rPr>
                <w:noProof/>
              </w:rPr>
              <w:br/>
            </w:r>
            <w:r>
              <w:rPr>
                <w:rFonts w:ascii="Times New Roman" w:hAnsi="Times New Roman"/>
                <w:b/>
                <w:bCs/>
                <w:noProof/>
                <w:sz w:val="24"/>
                <w:szCs w:val="24"/>
              </w:rPr>
              <w:t>(eesmärkide puhul)</w:t>
            </w:r>
          </w:p>
        </w:tc>
        <w:tc>
          <w:tcPr>
            <w:tcW w:w="3239" w:type="dxa"/>
            <w:gridSpan w:val="3"/>
            <w:tcBorders>
              <w:top w:val="single" w:sz="4" w:space="0" w:color="auto"/>
              <w:left w:val="nil"/>
              <w:bottom w:val="single" w:sz="4" w:space="0" w:color="auto"/>
              <w:right w:val="single" w:sz="4" w:space="0" w:color="auto"/>
            </w:tcBorders>
            <w:shd w:val="clear" w:color="auto" w:fill="B8CCE4" w:themeFill="accent1" w:themeFillTint="66"/>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Kvantitatiivsed näitajad</w:t>
            </w:r>
            <w:r>
              <w:rPr>
                <w:noProof/>
              </w:rPr>
              <w:t xml:space="preserve"> </w:t>
            </w:r>
            <w:r>
              <w:rPr>
                <w:noProof/>
              </w:rPr>
              <w:br/>
            </w:r>
            <w:r>
              <w:rPr>
                <w:rFonts w:ascii="Times New Roman" w:hAnsi="Times New Roman"/>
                <w:b/>
                <w:bCs/>
                <w:noProof/>
                <w:sz w:val="20"/>
                <w:szCs w:val="20"/>
              </w:rPr>
              <w:t>(sihtide puhul)</w:t>
            </w:r>
          </w:p>
        </w:tc>
        <w:tc>
          <w:tcPr>
            <w:tcW w:w="1691" w:type="dxa"/>
            <w:gridSpan w:val="2"/>
            <w:tcBorders>
              <w:top w:val="single" w:sz="4" w:space="0" w:color="auto"/>
              <w:left w:val="nil"/>
              <w:bottom w:val="single" w:sz="4" w:space="0" w:color="auto"/>
              <w:right w:val="single" w:sz="4" w:space="0" w:color="auto"/>
            </w:tcBorders>
            <w:shd w:val="clear" w:color="auto" w:fill="B8CCE4" w:themeFill="accent1" w:themeFillTint="66"/>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Lõpuleviimise soovituslik ajakava</w:t>
            </w:r>
          </w:p>
        </w:tc>
        <w:tc>
          <w:tcPr>
            <w:tcW w:w="3159"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0"/>
                <w:szCs w:val="20"/>
              </w:rPr>
              <w:t>Iga eesmärgi ja sihi kirjeldus</w:t>
            </w:r>
          </w:p>
        </w:tc>
      </w:tr>
      <w:tr>
        <w:trPr>
          <w:cantSplit/>
          <w:trHeight w:val="604"/>
          <w:tblHeader/>
          <w:jc w:val="center"/>
        </w:trPr>
        <w:tc>
          <w:tcPr>
            <w:tcW w:w="1347" w:type="dxa"/>
            <w:vMerge/>
            <w:tcBorders>
              <w:top w:val="single" w:sz="4" w:space="0" w:color="auto"/>
              <w:left w:val="single" w:sz="4" w:space="0" w:color="auto"/>
              <w:bottom w:val="single" w:sz="4" w:space="0" w:color="000000"/>
              <w:right w:val="single" w:sz="4" w:space="0" w:color="auto"/>
            </w:tcBorders>
            <w:vAlign w:val="center"/>
          </w:tcPr>
          <w:p>
            <w:pPr>
              <w:spacing w:after="0" w:line="240" w:lineRule="auto"/>
              <w:rPr>
                <w:rFonts w:ascii="Times New Roman" w:eastAsia="Times New Roman" w:hAnsi="Times New Roman" w:cs="Times New Roman"/>
                <w:b/>
                <w:bCs/>
                <w:noProof/>
                <w:sz w:val="24"/>
                <w:szCs w:val="24"/>
                <w:lang w:eastAsia="en-GB"/>
              </w:rPr>
            </w:pPr>
          </w:p>
        </w:tc>
        <w:tc>
          <w:tcPr>
            <w:tcW w:w="1463" w:type="dxa"/>
            <w:vMerge/>
            <w:tcBorders>
              <w:top w:val="single" w:sz="4" w:space="0" w:color="auto"/>
              <w:left w:val="single" w:sz="4" w:space="0" w:color="auto"/>
              <w:bottom w:val="single" w:sz="4" w:space="0" w:color="000000"/>
              <w:right w:val="single" w:sz="4" w:space="0" w:color="auto"/>
            </w:tcBorders>
            <w:vAlign w:val="center"/>
          </w:tcPr>
          <w:p>
            <w:pPr>
              <w:spacing w:after="0" w:line="240" w:lineRule="auto"/>
              <w:rPr>
                <w:rFonts w:ascii="Times New Roman" w:eastAsia="Times New Roman" w:hAnsi="Times New Roman" w:cs="Times New Roman"/>
                <w:b/>
                <w:bCs/>
                <w:noProof/>
                <w:sz w:val="24"/>
                <w:szCs w:val="24"/>
                <w:lang w:eastAsia="en-GB"/>
              </w:rPr>
            </w:pPr>
          </w:p>
        </w:tc>
        <w:tc>
          <w:tcPr>
            <w:tcW w:w="1231" w:type="dxa"/>
            <w:vMerge/>
            <w:tcBorders>
              <w:top w:val="single" w:sz="4" w:space="0" w:color="auto"/>
              <w:left w:val="single" w:sz="4" w:space="0" w:color="auto"/>
              <w:bottom w:val="single" w:sz="4" w:space="0" w:color="000000"/>
              <w:right w:val="single" w:sz="4" w:space="0" w:color="auto"/>
            </w:tcBorders>
            <w:vAlign w:val="center"/>
          </w:tcPr>
          <w:p>
            <w:pPr>
              <w:spacing w:after="0" w:line="240" w:lineRule="auto"/>
              <w:rPr>
                <w:rFonts w:ascii="Times New Roman" w:eastAsia="Times New Roman" w:hAnsi="Times New Roman" w:cs="Times New Roman"/>
                <w:b/>
                <w:bCs/>
                <w:noProof/>
                <w:sz w:val="24"/>
                <w:szCs w:val="24"/>
                <w:lang w:eastAsia="en-GB"/>
              </w:rPr>
            </w:pPr>
          </w:p>
        </w:tc>
        <w:tc>
          <w:tcPr>
            <w:tcW w:w="1865" w:type="dxa"/>
            <w:vMerge/>
            <w:tcBorders>
              <w:top w:val="single" w:sz="4" w:space="0" w:color="auto"/>
              <w:left w:val="nil"/>
              <w:bottom w:val="single" w:sz="4" w:space="0" w:color="000000"/>
              <w:right w:val="single" w:sz="4" w:space="0" w:color="auto"/>
            </w:tcBorders>
            <w:vAlign w:val="center"/>
          </w:tcPr>
          <w:p>
            <w:pPr>
              <w:spacing w:after="0" w:line="240" w:lineRule="auto"/>
              <w:rPr>
                <w:rFonts w:ascii="Times New Roman" w:eastAsia="Times New Roman" w:hAnsi="Times New Roman" w:cs="Times New Roman"/>
                <w:b/>
                <w:bCs/>
                <w:noProof/>
                <w:sz w:val="24"/>
                <w:szCs w:val="24"/>
                <w:lang w:eastAsia="en-GB"/>
              </w:rPr>
            </w:pPr>
          </w:p>
        </w:tc>
        <w:tc>
          <w:tcPr>
            <w:tcW w:w="1830" w:type="dxa"/>
            <w:vMerge/>
            <w:tcBorders>
              <w:top w:val="single" w:sz="4" w:space="0" w:color="auto"/>
              <w:left w:val="single" w:sz="4" w:space="0" w:color="auto"/>
              <w:bottom w:val="single" w:sz="4" w:space="0" w:color="000000"/>
              <w:right w:val="single" w:sz="4" w:space="0" w:color="auto"/>
            </w:tcBorders>
            <w:vAlign w:val="center"/>
          </w:tcPr>
          <w:p>
            <w:pPr>
              <w:spacing w:after="0" w:line="240" w:lineRule="auto"/>
              <w:rPr>
                <w:rFonts w:ascii="Times New Roman" w:eastAsia="Times New Roman" w:hAnsi="Times New Roman" w:cs="Times New Roman"/>
                <w:b/>
                <w:bCs/>
                <w:noProof/>
                <w:sz w:val="24"/>
                <w:szCs w:val="24"/>
                <w:lang w:eastAsia="en-GB"/>
              </w:rPr>
            </w:pPr>
          </w:p>
        </w:tc>
        <w:tc>
          <w:tcPr>
            <w:tcW w:w="1266" w:type="dxa"/>
            <w:tcBorders>
              <w:top w:val="single" w:sz="4" w:space="0" w:color="auto"/>
              <w:left w:val="nil"/>
              <w:bottom w:val="single" w:sz="4" w:space="0" w:color="auto"/>
              <w:right w:val="single" w:sz="4" w:space="0" w:color="auto"/>
            </w:tcBorders>
            <w:shd w:val="clear" w:color="auto" w:fill="B8CCE4" w:themeFill="accent1" w:themeFillTint="66"/>
            <w:vAlign w:val="center"/>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Mõõtühik</w:t>
            </w:r>
          </w:p>
        </w:tc>
        <w:tc>
          <w:tcPr>
            <w:tcW w:w="987" w:type="dxa"/>
            <w:tcBorders>
              <w:top w:val="single" w:sz="4" w:space="0" w:color="auto"/>
              <w:left w:val="nil"/>
              <w:bottom w:val="single" w:sz="4" w:space="0" w:color="auto"/>
              <w:right w:val="single" w:sz="4" w:space="0" w:color="auto"/>
            </w:tcBorders>
            <w:shd w:val="clear" w:color="auto" w:fill="B8CCE4" w:themeFill="accent1" w:themeFillTint="66"/>
            <w:vAlign w:val="center"/>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Lähtetase</w:t>
            </w:r>
          </w:p>
        </w:tc>
        <w:tc>
          <w:tcPr>
            <w:tcW w:w="986" w:type="dxa"/>
            <w:tcBorders>
              <w:top w:val="single" w:sz="4" w:space="0" w:color="auto"/>
              <w:left w:val="nil"/>
              <w:bottom w:val="single" w:sz="4" w:space="0" w:color="auto"/>
              <w:right w:val="single" w:sz="4" w:space="0" w:color="auto"/>
            </w:tcBorders>
            <w:shd w:val="clear" w:color="auto" w:fill="B8CCE4" w:themeFill="accent1" w:themeFillTint="66"/>
            <w:vAlign w:val="center"/>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Eesmärk</w:t>
            </w:r>
          </w:p>
        </w:tc>
        <w:tc>
          <w:tcPr>
            <w:tcW w:w="986" w:type="dxa"/>
            <w:tcBorders>
              <w:top w:val="single" w:sz="4" w:space="0" w:color="auto"/>
              <w:left w:val="nil"/>
              <w:bottom w:val="single" w:sz="4" w:space="0" w:color="auto"/>
              <w:right w:val="single" w:sz="4" w:space="0" w:color="auto"/>
            </w:tcBorders>
            <w:shd w:val="clear" w:color="auto" w:fill="B8CCE4" w:themeFill="accent1" w:themeFillTint="66"/>
            <w:vAlign w:val="center"/>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Kvartal</w:t>
            </w:r>
          </w:p>
        </w:tc>
        <w:tc>
          <w:tcPr>
            <w:tcW w:w="705" w:type="dxa"/>
            <w:tcBorders>
              <w:top w:val="single" w:sz="4" w:space="0" w:color="auto"/>
              <w:left w:val="nil"/>
              <w:bottom w:val="single" w:sz="4" w:space="0" w:color="auto"/>
              <w:right w:val="single" w:sz="4" w:space="0" w:color="auto"/>
            </w:tcBorders>
            <w:shd w:val="clear" w:color="auto" w:fill="B8CCE4" w:themeFill="accent1" w:themeFillTint="66"/>
            <w:vAlign w:val="center"/>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Aasta</w:t>
            </w:r>
          </w:p>
        </w:tc>
        <w:tc>
          <w:tcPr>
            <w:tcW w:w="3159" w:type="dxa"/>
            <w:vMerge/>
            <w:tcBorders>
              <w:top w:val="single" w:sz="4" w:space="0" w:color="auto"/>
              <w:left w:val="single" w:sz="4" w:space="0" w:color="auto"/>
              <w:bottom w:val="single" w:sz="4" w:space="0" w:color="auto"/>
              <w:right w:val="single" w:sz="4" w:space="0" w:color="auto"/>
            </w:tcBorders>
            <w:vAlign w:val="center"/>
          </w:tcPr>
          <w:p>
            <w:pPr>
              <w:spacing w:after="0" w:line="240" w:lineRule="auto"/>
              <w:rPr>
                <w:rFonts w:ascii="Times New Roman" w:eastAsia="Times New Roman" w:hAnsi="Times New Roman" w:cs="Times New Roman"/>
                <w:b/>
                <w:bCs/>
                <w:noProof/>
                <w:sz w:val="24"/>
                <w:szCs w:val="24"/>
                <w:lang w:eastAsia="en-GB"/>
              </w:rPr>
            </w:pPr>
          </w:p>
        </w:tc>
      </w:tr>
      <w:tr>
        <w:trPr>
          <w:cantSplit/>
          <w:trHeight w:val="309"/>
          <w:jc w:val="center"/>
        </w:trPr>
        <w:tc>
          <w:tcPr>
            <w:tcW w:w="134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81</w:t>
            </w:r>
          </w:p>
        </w:tc>
        <w:tc>
          <w:tcPr>
            <w:tcW w:w="146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5.1. Võtame kasutusele ohutu, keskkonnahoidliku, konkurentsivõimelise, vajaduspõhise ja jätkusuutliku transpordi- ja energiataristu</w:t>
            </w:r>
          </w:p>
        </w:tc>
        <w:tc>
          <w:tcPr>
            <w:tcW w:w="123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6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Transpordi ja liikuvuse arengukava (2021–2035) vastuvõtmine valitsuses</w:t>
            </w:r>
          </w:p>
        </w:tc>
        <w:tc>
          <w:tcPr>
            <w:tcW w:w="183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Transpordi ja liikuvuse arengukava (2021–2035) vastuvõtmine </w:t>
            </w:r>
          </w:p>
        </w:tc>
        <w:tc>
          <w:tcPr>
            <w:tcW w:w="1266" w:type="dxa"/>
            <w:tcBorders>
              <w:top w:val="nil"/>
              <w:left w:val="nil"/>
              <w:bottom w:val="single" w:sz="4" w:space="0" w:color="auto"/>
              <w:right w:val="single" w:sz="4" w:space="0" w:color="auto"/>
            </w:tcBorders>
            <w:shd w:val="clear" w:color="auto" w:fill="C6EFCE"/>
            <w:noWrap/>
          </w:tcPr>
          <w:p>
            <w:pPr>
              <w:rPr>
                <w:rFonts w:ascii="Times New Roman" w:eastAsia="Times New Roman" w:hAnsi="Times New Roman" w:cs="Times New Roman"/>
                <w:noProof/>
                <w:lang w:eastAsia="en-GB"/>
              </w:rPr>
            </w:pPr>
          </w:p>
        </w:tc>
        <w:tc>
          <w:tcPr>
            <w:tcW w:w="98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 kv</w:t>
            </w:r>
          </w:p>
        </w:tc>
        <w:tc>
          <w:tcPr>
            <w:tcW w:w="705"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1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Vabariigi Valitsus on transpordi ja liikuvuse arengukava aastateks 2021–2035 heaks kiitnud.</w:t>
            </w:r>
            <w:r>
              <w:rPr>
                <w:noProof/>
              </w:rPr>
              <w:t xml:space="preserve"> </w:t>
            </w:r>
            <w:r>
              <w:rPr>
                <w:rFonts w:ascii="Times New Roman" w:hAnsi="Times New Roman"/>
                <w:noProof/>
                <w:color w:val="006100"/>
              </w:rPr>
              <w:t>See hõlmab Tallinna ümbruskonna ühise piletimüügisüsteemi loomist, kohaliku biometaani kasutuselevõttu hõlbustavaid meetmeid, suuremate linnade säästva linnaarengu kavade koostamist integreeritud transpordikoridoride põhimõtete vaimus, mitmeliigilise taristu planeerimist, raudtee sõlmjaamade, kiiruse ja ohutuse suurendamist, meretranspordi konkurentsivõime parandamist ja keskkonnahoidlikkuse suurendamist ning selle ühendamist mitmeliigilisse transpordisüsteemi, kiirema ja ohutuma maanteetranspordi arendamist.</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Kava sisaldab eesmärki vähendada CO</w:t>
            </w:r>
            <w:r>
              <w:rPr>
                <w:rFonts w:ascii="Times New Roman" w:hAnsi="Times New Roman"/>
                <w:noProof/>
                <w:color w:val="006100"/>
                <w:vertAlign w:val="subscript"/>
              </w:rPr>
              <w:t>2</w:t>
            </w:r>
            <w:r>
              <w:rPr>
                <w:rFonts w:ascii="Times New Roman" w:hAnsi="Times New Roman"/>
                <w:noProof/>
                <w:color w:val="006100"/>
              </w:rPr>
              <w:t xml:space="preserve"> heidet 700 000 tonni (ehk 30 %) võrreldes 2018. aasta tasemega ning saavutada 2035. aastaks transpordisektoris tarbitavas energias taastuvenergia osakaal 24 %.</w:t>
            </w:r>
          </w:p>
        </w:tc>
      </w:tr>
      <w:tr>
        <w:trPr>
          <w:cantSplit/>
          <w:trHeight w:val="309"/>
          <w:jc w:val="center"/>
        </w:trPr>
        <w:tc>
          <w:tcPr>
            <w:tcW w:w="134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82</w:t>
            </w:r>
          </w:p>
        </w:tc>
        <w:tc>
          <w:tcPr>
            <w:tcW w:w="146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5.1. Võtame kasutusele ohutu, keskkonnahoidliku, konkurentsivõimelise, vajaduspõhise ja jätkusuutliku transpordi- ja energiataristu</w:t>
            </w:r>
          </w:p>
        </w:tc>
        <w:tc>
          <w:tcPr>
            <w:tcW w:w="123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6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Transpordi ja liikuvuse arengukava (2021–2035) keskkonnasõbraliku ja säästliku transpordi arendamise rakendusplaani vastuvõtmine</w:t>
            </w:r>
          </w:p>
        </w:tc>
        <w:tc>
          <w:tcPr>
            <w:tcW w:w="183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Rakenduskava vastuvõtmine </w:t>
            </w:r>
          </w:p>
        </w:tc>
        <w:tc>
          <w:tcPr>
            <w:tcW w:w="126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5"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1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Rakendusplaani kiidab heaks transpordi ja liikuvuse arengukava (2021–2035) juhtkomitee. See hõlmab Tallinna ümbruskonna ühise piletimüügisüsteemi loomist, kohaliku biometaani kasutuselevõttu hõlbustavaid meetmeid, suuremate linnade säästva linnaarengu kavade koostamist integreeritud transpordikoridoride põhimõtete vaimus, mitmeliigilise taristu planeerimist, raudtee sõlmjaamade, kiiruse ja ohutuse suurendamist, meretranspordi konkurentsivõime parandamist ja keskkonnahoidlikkuse suurendamist ning selle ühendamist mitmeliigilisse transpordisüsteemi, kiirema ja ohutuma maanteetranspordi arendamist. Rakendusplaanis sisaldub nõue, et vastutav minister esitab igal aastal valitsusele aruande.</w:t>
            </w:r>
          </w:p>
        </w:tc>
      </w:tr>
      <w:tr>
        <w:trPr>
          <w:cantSplit/>
          <w:trHeight w:val="309"/>
          <w:jc w:val="center"/>
        </w:trPr>
        <w:tc>
          <w:tcPr>
            <w:tcW w:w="134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83</w:t>
            </w:r>
          </w:p>
        </w:tc>
        <w:tc>
          <w:tcPr>
            <w:tcW w:w="146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5.1. Võtame kasutusele ohutu, keskkonnahoidliku, konkurentsivõimelise, vajaduspõhise ja jätkusuutliku transpordi- ja energiataristu</w:t>
            </w:r>
          </w:p>
        </w:tc>
        <w:tc>
          <w:tcPr>
            <w:tcW w:w="123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6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Transpordi ja liikuvuse arengukava (2021–2035) rakendamine</w:t>
            </w:r>
          </w:p>
        </w:tc>
        <w:tc>
          <w:tcPr>
            <w:tcW w:w="183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Transpordi ja liikuvuse arengukava (2021–2035) mitme põhimeetme rakendamine on lõpule viidud</w:t>
            </w:r>
          </w:p>
        </w:tc>
        <w:tc>
          <w:tcPr>
            <w:tcW w:w="126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5"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2026</w:t>
            </w:r>
          </w:p>
        </w:tc>
        <w:tc>
          <w:tcPr>
            <w:tcW w:w="31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Transpordi ja liikuvuse arengukava peamiste meetmete rakendamine, sealhulgas Tallinna-Rohuküla liinil elektrifitseeritud raudtee rajamine ja pikendamine ning ühistranspordisüsteemi ühtlustamine Tallinna ümbruskonnas (piletid ja tasud) on lõpule viidud.</w:t>
            </w:r>
            <w:r>
              <w:rPr>
                <w:noProof/>
              </w:rPr>
              <w:t xml:space="preserve"> </w:t>
            </w:r>
          </w:p>
        </w:tc>
      </w:tr>
      <w:tr>
        <w:trPr>
          <w:cantSplit/>
          <w:trHeight w:val="309"/>
          <w:jc w:val="center"/>
        </w:trPr>
        <w:tc>
          <w:tcPr>
            <w:tcW w:w="1347"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84</w:t>
            </w:r>
          </w:p>
        </w:tc>
        <w:tc>
          <w:tcPr>
            <w:tcW w:w="1463"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5.2. Läänesuunalise Tallinna-Rohuküla raudteeliini uue lõigu rajamine</w:t>
            </w:r>
          </w:p>
        </w:tc>
        <w:tc>
          <w:tcPr>
            <w:tcW w:w="1231"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65"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Raudtee ehituslepingu sõlmimine raudtee ehitamiseks Turba-Ellamaa ja Ellamaa-Risti lõikudel</w:t>
            </w:r>
          </w:p>
        </w:tc>
        <w:tc>
          <w:tcPr>
            <w:tcW w:w="1830"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Leping on allkirjastatud. </w:t>
            </w:r>
          </w:p>
        </w:tc>
        <w:tc>
          <w:tcPr>
            <w:tcW w:w="126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6"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5"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159"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Sõlmitud on leping elektrifitseeritud raudtee ehitamiseks Turba-Ellamaa ja Ellamaa-Risti lõikudel nende kogupikkuses.</w:t>
            </w:r>
          </w:p>
        </w:tc>
      </w:tr>
      <w:tr>
        <w:trPr>
          <w:cantSplit/>
          <w:trHeight w:val="309"/>
          <w:jc w:val="center"/>
        </w:trPr>
        <w:tc>
          <w:tcPr>
            <w:tcW w:w="1347"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85</w:t>
            </w:r>
          </w:p>
        </w:tc>
        <w:tc>
          <w:tcPr>
            <w:tcW w:w="1463"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5.2. Läänesuunalise Tallinna-Rohuküla raudteeliini uue lõigu rajamine</w:t>
            </w:r>
          </w:p>
        </w:tc>
        <w:tc>
          <w:tcPr>
            <w:tcW w:w="1231"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865"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Uue raudtee väljaehitamine (liiklusvalmis)</w:t>
            </w:r>
          </w:p>
        </w:tc>
        <w:tc>
          <w:tcPr>
            <w:tcW w:w="1830"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lang w:eastAsia="en-GB"/>
              </w:rPr>
            </w:pPr>
          </w:p>
        </w:tc>
        <w:tc>
          <w:tcPr>
            <w:tcW w:w="1266"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Raudteeraja km</w:t>
            </w:r>
          </w:p>
        </w:tc>
        <w:tc>
          <w:tcPr>
            <w:tcW w:w="987"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86"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15</w:t>
            </w:r>
          </w:p>
        </w:tc>
        <w:tc>
          <w:tcPr>
            <w:tcW w:w="986"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5"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2024</w:t>
            </w:r>
          </w:p>
        </w:tc>
        <w:tc>
          <w:tcPr>
            <w:tcW w:w="3159"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Tallinna-Rohuküla liinil, mis ühendab Lääne-Eesti raudteid Tallinna Vanasadama ja lennujaamaga, on valmis ehitatud ja reisijatele avatud Turba ja Risti vaheline elektrifitseeritud raudteelõik.</w:t>
            </w:r>
          </w:p>
        </w:tc>
      </w:tr>
      <w:tr>
        <w:trPr>
          <w:cantSplit/>
          <w:trHeight w:val="309"/>
          <w:jc w:val="center"/>
        </w:trPr>
        <w:tc>
          <w:tcPr>
            <w:tcW w:w="1347"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86</w:t>
            </w:r>
          </w:p>
        </w:tc>
        <w:tc>
          <w:tcPr>
            <w:tcW w:w="1463"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5.3. Rail Balticu mitmeliigilise ühisterminali ehitamine Tallinnasse</w:t>
            </w:r>
          </w:p>
        </w:tc>
        <w:tc>
          <w:tcPr>
            <w:tcW w:w="1231"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65"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Lepingu sõlmimine Rail Balticu mitmeliigilise ühisterminali hoone ehitamiseks Tallinnasse</w:t>
            </w:r>
          </w:p>
        </w:tc>
        <w:tc>
          <w:tcPr>
            <w:tcW w:w="1830"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Leping on allkirjastatud.</w:t>
            </w:r>
          </w:p>
        </w:tc>
        <w:tc>
          <w:tcPr>
            <w:tcW w:w="126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6"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 kv</w:t>
            </w:r>
          </w:p>
        </w:tc>
        <w:tc>
          <w:tcPr>
            <w:tcW w:w="705"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159"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Rail Balticu mitmeliigilise ühisterminali arhitektuurilahendus ja insenertehniline projekt on viidud lõpule ja hankija Rail Baltic Estonia OÜ on andnud sellele heakskiidu ning terminalihoone ehitajaga on allkirjastatud ehitusleping.</w:t>
            </w:r>
          </w:p>
        </w:tc>
      </w:tr>
      <w:tr>
        <w:trPr>
          <w:cantSplit/>
          <w:trHeight w:val="309"/>
          <w:jc w:val="center"/>
        </w:trPr>
        <w:tc>
          <w:tcPr>
            <w:tcW w:w="134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87</w:t>
            </w:r>
          </w:p>
        </w:tc>
        <w:tc>
          <w:tcPr>
            <w:tcW w:w="146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5.3. Rail Balticu mitmeliigilise ühisterminali ehitamine Tallinnasse</w:t>
            </w:r>
          </w:p>
        </w:tc>
        <w:tc>
          <w:tcPr>
            <w:tcW w:w="123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6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Terminalihoone aluse tunneli lõpuleviimine</w:t>
            </w:r>
          </w:p>
        </w:tc>
        <w:tc>
          <w:tcPr>
            <w:tcW w:w="183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Terminalialusele kergliiklustunnelile on antud kasutusluba </w:t>
            </w:r>
          </w:p>
        </w:tc>
        <w:tc>
          <w:tcPr>
            <w:tcW w:w="126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5"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2024</w:t>
            </w:r>
          </w:p>
        </w:tc>
        <w:tc>
          <w:tcPr>
            <w:tcW w:w="31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Tarbijakaitse- ja Tehnilise Järelevalve Amet väljastab loa kasutada tunnelit, mis ühendab Ülemiste terminali alt Peterburi maanteed Tallinna lennujaamaga.</w:t>
            </w:r>
          </w:p>
        </w:tc>
      </w:tr>
      <w:tr>
        <w:trPr>
          <w:cantSplit/>
          <w:trHeight w:val="309"/>
          <w:jc w:val="center"/>
        </w:trPr>
        <w:tc>
          <w:tcPr>
            <w:tcW w:w="134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88</w:t>
            </w:r>
          </w:p>
        </w:tc>
        <w:tc>
          <w:tcPr>
            <w:tcW w:w="146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5.3. Rail Balticu mitmeliigilise ühisterminali ehitamine Tallinnasse</w:t>
            </w:r>
          </w:p>
        </w:tc>
        <w:tc>
          <w:tcPr>
            <w:tcW w:w="123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6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Uue raudteejaama valmimine </w:t>
            </w:r>
          </w:p>
        </w:tc>
        <w:tc>
          <w:tcPr>
            <w:tcW w:w="183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Ehitustööd on lõpule viidud</w:t>
            </w:r>
          </w:p>
        </w:tc>
        <w:tc>
          <w:tcPr>
            <w:tcW w:w="126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 kv</w:t>
            </w:r>
          </w:p>
        </w:tc>
        <w:tc>
          <w:tcPr>
            <w:tcW w:w="705"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2026</w:t>
            </w:r>
          </w:p>
        </w:tc>
        <w:tc>
          <w:tcPr>
            <w:tcW w:w="31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Rail Balticu Ülemiste mitmeliigilise terminali hoone ehitustööd on lõpule viidud ja kõik vajalikud kasutusload on olemas.</w:t>
            </w:r>
          </w:p>
        </w:tc>
      </w:tr>
      <w:tr>
        <w:trPr>
          <w:cantSplit/>
          <w:trHeight w:val="309"/>
          <w:jc w:val="center"/>
        </w:trPr>
        <w:tc>
          <w:tcPr>
            <w:tcW w:w="134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89</w:t>
            </w:r>
          </w:p>
        </w:tc>
        <w:tc>
          <w:tcPr>
            <w:tcW w:w="146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5.4. Tallinna Vanasadama trammiliini rajamine</w:t>
            </w:r>
          </w:p>
        </w:tc>
        <w:tc>
          <w:tcPr>
            <w:tcW w:w="123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6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Trammiteede ehitusprojekti lõpuleviimine</w:t>
            </w:r>
          </w:p>
        </w:tc>
        <w:tc>
          <w:tcPr>
            <w:tcW w:w="183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Projektikavandi heakskiitmine </w:t>
            </w:r>
          </w:p>
        </w:tc>
        <w:tc>
          <w:tcPr>
            <w:tcW w:w="126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5"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2021</w:t>
            </w:r>
          </w:p>
        </w:tc>
        <w:tc>
          <w:tcPr>
            <w:tcW w:w="31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Tallinna linnaplaneerimise ja kommunaalteenuste amet võtab vastu trammitee projektilahenduse</w:t>
            </w:r>
          </w:p>
        </w:tc>
      </w:tr>
      <w:tr>
        <w:trPr>
          <w:cantSplit/>
          <w:trHeight w:val="309"/>
          <w:jc w:val="center"/>
        </w:trPr>
        <w:tc>
          <w:tcPr>
            <w:tcW w:w="134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90</w:t>
            </w:r>
          </w:p>
        </w:tc>
        <w:tc>
          <w:tcPr>
            <w:tcW w:w="146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5.4. Tallinna Vanasadama trammiliini rajamine</w:t>
            </w:r>
          </w:p>
        </w:tc>
        <w:tc>
          <w:tcPr>
            <w:tcW w:w="123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6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Ehituslepingu sõlmimine</w:t>
            </w:r>
          </w:p>
        </w:tc>
        <w:tc>
          <w:tcPr>
            <w:tcW w:w="183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Trammiliini ehitamiseks on sõlmitud ehitusleping</w:t>
            </w:r>
          </w:p>
        </w:tc>
        <w:tc>
          <w:tcPr>
            <w:tcW w:w="126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5"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1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Tallinna linnaplaneerimise ja kommunaalteenuste ameti ning töövõtja vahel on sõlmitud ehitusleping Gonsiori tänava ja Põhja Puiestee vahelise trammiliini ehitamiseks.</w:t>
            </w:r>
          </w:p>
        </w:tc>
      </w:tr>
      <w:tr>
        <w:trPr>
          <w:cantSplit/>
          <w:trHeight w:val="309"/>
          <w:jc w:val="center"/>
        </w:trPr>
        <w:tc>
          <w:tcPr>
            <w:tcW w:w="134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91</w:t>
            </w:r>
          </w:p>
        </w:tc>
        <w:tc>
          <w:tcPr>
            <w:tcW w:w="146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5.4. Tallinna Vanasadama trammiliini rajamine</w:t>
            </w:r>
          </w:p>
        </w:tc>
        <w:tc>
          <w:tcPr>
            <w:tcW w:w="123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86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Uus trammiliin toimib</w:t>
            </w:r>
          </w:p>
        </w:tc>
        <w:tc>
          <w:tcPr>
            <w:tcW w:w="183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26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Trammitee meetrid</w:t>
            </w:r>
          </w:p>
        </w:tc>
        <w:tc>
          <w:tcPr>
            <w:tcW w:w="98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8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2500</w:t>
            </w:r>
          </w:p>
        </w:tc>
        <w:tc>
          <w:tcPr>
            <w:tcW w:w="98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5"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2024</w:t>
            </w:r>
          </w:p>
        </w:tc>
        <w:tc>
          <w:tcPr>
            <w:tcW w:w="31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2500 meetri pikkune trammitee lõik on lõpule viidud ja vastavalt Tallinna linnavalitsuse kasutusloale kasutusse võetud. </w:t>
            </w:r>
          </w:p>
        </w:tc>
      </w:tr>
      <w:tr>
        <w:trPr>
          <w:cantSplit/>
          <w:trHeight w:val="309"/>
          <w:jc w:val="center"/>
        </w:trPr>
        <w:tc>
          <w:tcPr>
            <w:tcW w:w="134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92</w:t>
            </w:r>
          </w:p>
        </w:tc>
        <w:tc>
          <w:tcPr>
            <w:tcW w:w="146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5.5. KOVide investeeringud jalgratta- ja/või jalgteedesse</w:t>
            </w:r>
          </w:p>
        </w:tc>
        <w:tc>
          <w:tcPr>
            <w:tcW w:w="123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6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Konkurss toetuse saamiseks </w:t>
            </w:r>
          </w:p>
        </w:tc>
        <w:tc>
          <w:tcPr>
            <w:tcW w:w="183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Konkursi teatise avaldamine </w:t>
            </w:r>
          </w:p>
        </w:tc>
        <w:tc>
          <w:tcPr>
            <w:tcW w:w="126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8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5"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1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Omavalitsuste jaoks on välja kuulutatud avatud projektikonkurss toetuse saamiseks jalgratta- ja/või jalgteede rajamiseks.</w:t>
            </w:r>
          </w:p>
        </w:tc>
      </w:tr>
      <w:tr>
        <w:trPr>
          <w:cantSplit/>
          <w:trHeight w:val="1873"/>
          <w:jc w:val="center"/>
        </w:trPr>
        <w:tc>
          <w:tcPr>
            <w:tcW w:w="134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93</w:t>
            </w:r>
          </w:p>
        </w:tc>
        <w:tc>
          <w:tcPr>
            <w:tcW w:w="146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5.5. KOVide investeeringud jalgratta- ja/või jalgteedesse</w:t>
            </w:r>
          </w:p>
        </w:tc>
        <w:tc>
          <w:tcPr>
            <w:tcW w:w="123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86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Jalgratta- ja/või jalgteede taristu on valmis.</w:t>
            </w:r>
          </w:p>
        </w:tc>
        <w:tc>
          <w:tcPr>
            <w:tcW w:w="183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26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Km jalgratta- ja jalgteid</w:t>
            </w:r>
          </w:p>
        </w:tc>
        <w:tc>
          <w:tcPr>
            <w:tcW w:w="98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8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24</w:t>
            </w:r>
          </w:p>
        </w:tc>
        <w:tc>
          <w:tcPr>
            <w:tcW w:w="98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5"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2025</w:t>
            </w:r>
          </w:p>
        </w:tc>
        <w:tc>
          <w:tcPr>
            <w:tcW w:w="315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Toetuskava tulemusel ehitatakse vähemalt 24 km jalgratta- ja/või jalgteid. Need peavad üldjuhul olema uued teed. Põhjendatud juhtudel on lubatud olemasolevate jalgratta- ja/või jalgteede rekonstrueerimine, näiteks kui olemasoleva jalgtee laius ei vasta standarditele, mistõttu ei ole jalakäijatel ja jalgratturitel võimalik üheskoos turvaliselt ja teineteist segamata liikuda. </w:t>
            </w:r>
          </w:p>
        </w:tc>
      </w:tr>
    </w:tbl>
    <w:p>
      <w:pPr>
        <w:spacing w:before="120" w:after="120" w:line="240" w:lineRule="auto"/>
        <w:ind w:left="709"/>
        <w:jc w:val="both"/>
        <w:rPr>
          <w:rFonts w:ascii="Times New Roman" w:hAnsi="Times New Roman" w:cs="Times New Roman"/>
          <w:noProof/>
          <w:sz w:val="24"/>
          <w:szCs w:val="24"/>
        </w:rPr>
      </w:pPr>
    </w:p>
    <w:p>
      <w:pPr>
        <w:spacing w:before="120" w:after="120" w:line="240" w:lineRule="auto"/>
        <w:jc w:val="both"/>
        <w:rPr>
          <w:rFonts w:ascii="Times New Roman" w:hAnsi="Times New Roman" w:cs="Times New Roman"/>
          <w:noProof/>
          <w:sz w:val="24"/>
        </w:rPr>
        <w:sectPr>
          <w:headerReference w:type="even" r:id="rId79"/>
          <w:headerReference w:type="default" r:id="rId80"/>
          <w:footerReference w:type="even" r:id="rId81"/>
          <w:footerReference w:type="default" r:id="rId82"/>
          <w:headerReference w:type="first" r:id="rId83"/>
          <w:footerReference w:type="first" r:id="rId84"/>
          <w:pgSz w:w="16839" w:h="11907" w:orient="landscape"/>
          <w:pgMar w:top="720" w:right="720" w:bottom="720" w:left="720"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bCs/>
          <w:smallCaps/>
          <w:noProof/>
          <w:sz w:val="24"/>
          <w:szCs w:val="24"/>
        </w:rPr>
      </w:pPr>
      <w:r>
        <w:rPr>
          <w:noProof/>
        </w:rPr>
        <w:tab/>
      </w:r>
      <w:r>
        <w:rPr>
          <w:rFonts w:ascii="Times New Roman" w:hAnsi="Times New Roman"/>
          <w:b/>
          <w:bCs/>
          <w:smallCaps/>
          <w:noProof/>
          <w:sz w:val="24"/>
          <w:szCs w:val="24"/>
        </w:rPr>
        <w:t>F. KOMPONENT 6. Tervis ja sotsiaalkaitse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Eesti taaste- ja vastupidavuskava selle komponendiga võetakse käsile tervishoiusüsteemi vastupidavus ja juurdepääs tervishoiusüsteemile, sotsiaalse turvavõrgu piisavus, juurdepääs sotsiaalteenustele ja noorte töötus. Komponendi raames on ette nähtud järgmine: tegeleda tööjõupuudusega tervishoiusektoris, tugevdada esmatasandi arstiabi ja haiglaravi, laiendada suure töötusega perioodidel töötuskindlustushüvitise kestvust, parandada juurdepääsu sotsiaalteenustele, tegeleda noorte töötuse probleemiga ja vähendada soolist palgalõhet.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Selle komponendiga reageeritakse järgmistele riigipõhistele soovitustele: parandada tervishoiusüsteemi juurdepääsetavust ja vastupidavust, sealhulgas võttes meetmeid tervishoiutöötajate nappuse leevendamiseks, tugevdades esmatasandi arstiabi ja tagades elutähtsate meditsiinitoodetega varustatuse (2020. aasta riigipõhine soovitus nr 1), parandada sotsiaalset turvavõrku ning juurdepääsu integreeritud sotsiaalteenustele (2019. aasta riigipõhine soovitus nr 2 ja 2020. aasta riigipõhine soovitus nr 2) ning vähendada soolist palgalõhet, sealhulgas palkade läbipaistvuse suurendamise kaudu (2019. aasta riigipõhine soovitus nr 2).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Lähtudes meetmete kirjeldusest taaste- ja vastupidavuskavas ja võttes arvesse põhimõtte „Ei kahjusta oluliselt“ tehniliste suuniste (2021/C58/01) kohaseid leevendavaid samme, mis kavas on sätestatud, võib eeldada, et ükski selle komponendi meede ei kahjusta määruse (EL) 2020/852 artikli 17 tähenduses oluliselt keskkonnaeesmärke. </w:t>
      </w:r>
    </w:p>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b/>
          <w:i/>
          <w:noProof/>
          <w:sz w:val="24"/>
          <w:szCs w:val="24"/>
          <w:u w:val="single"/>
        </w:rPr>
      </w:pPr>
      <w:r>
        <w:rPr>
          <w:rFonts w:ascii="Times New Roman" w:hAnsi="Times New Roman"/>
          <w:b/>
          <w:bCs/>
          <w:noProof/>
          <w:sz w:val="24"/>
          <w:szCs w:val="24"/>
          <w:u w:val="single"/>
        </w:rPr>
        <w:t xml:space="preserve">F.1. </w:t>
      </w:r>
      <w:r>
        <w:rPr>
          <w:noProof/>
          <w:u w:val="single"/>
        </w:rPr>
        <w:tab/>
      </w:r>
      <w:r>
        <w:rPr>
          <w:rFonts w:ascii="Times New Roman" w:hAnsi="Times New Roman"/>
          <w:b/>
          <w:bCs/>
          <w:noProof/>
          <w:sz w:val="24"/>
          <w:szCs w:val="24"/>
          <w:u w:val="single"/>
        </w:rPr>
        <w:t>Tagastamatu rahalise toetusega seotud reformide ja investeeringute kirjeldus</w:t>
      </w:r>
    </w:p>
    <w:p>
      <w:pPr>
        <w:keepNext/>
        <w:numPr>
          <w:ilvl w:val="0"/>
          <w:numId w:val="34"/>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Reform: Eesti tervishoiukorralduse terviklik muutmine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Reformi eesmärk on parandada Eesti tervishoiusüsteemi vastupidavust ja kriisidega toimetuleku võimet, tagades seeläbi inimestele juurdepääsu kvaliteetsetele integreeritud tervishoiuteenustele terves Eestis. Reform koosneb järgmistest elementidest:</w:t>
      </w:r>
    </w:p>
    <w:p>
      <w:pPr>
        <w:numPr>
          <w:ilvl w:val="0"/>
          <w:numId w:val="35"/>
        </w:numPr>
        <w:spacing w:before="120" w:after="160" w:line="259" w:lineRule="auto"/>
        <w:ind w:left="360"/>
        <w:contextualSpacing/>
        <w:jc w:val="both"/>
        <w:rPr>
          <w:rFonts w:ascii="Times New Roman" w:hAnsi="Times New Roman" w:cs="Times New Roman"/>
          <w:noProof/>
          <w:sz w:val="24"/>
          <w:szCs w:val="24"/>
        </w:rPr>
      </w:pPr>
      <w:r>
        <w:rPr>
          <w:rFonts w:ascii="Times New Roman" w:hAnsi="Times New Roman"/>
          <w:noProof/>
          <w:sz w:val="24"/>
          <w:szCs w:val="24"/>
        </w:rPr>
        <w:t xml:space="preserve">31. detsembriks 2024 võetakse vastu haiglavõrgu arengukava, milles nähakse ette haiglavõrgu tugevdamine, et muuta ravi tulemuslikumaks ja parandada taristut, ning määratakse kindlaks haiglate spetsialiseerumine, et vähendada rahuldamata ravivajaduse kõrget määra. </w:t>
      </w:r>
    </w:p>
    <w:p>
      <w:pPr>
        <w:numPr>
          <w:ilvl w:val="0"/>
          <w:numId w:val="35"/>
        </w:numPr>
        <w:spacing w:before="120" w:after="160" w:line="259" w:lineRule="auto"/>
        <w:ind w:left="360"/>
        <w:contextualSpacing/>
        <w:jc w:val="both"/>
        <w:rPr>
          <w:rFonts w:ascii="Times New Roman" w:hAnsi="Times New Roman" w:cs="Times New Roman"/>
          <w:noProof/>
          <w:sz w:val="24"/>
          <w:szCs w:val="24"/>
        </w:rPr>
      </w:pPr>
      <w:r>
        <w:rPr>
          <w:rFonts w:ascii="Times New Roman" w:hAnsi="Times New Roman"/>
          <w:noProof/>
          <w:sz w:val="24"/>
          <w:szCs w:val="24"/>
        </w:rPr>
        <w:t>Tervishoiutöötajate nappuse leevendamiseks on kavandatud kolm meedet:</w:t>
      </w:r>
    </w:p>
    <w:p>
      <w:pPr>
        <w:numPr>
          <w:ilvl w:val="1"/>
          <w:numId w:val="35"/>
        </w:numPr>
        <w:spacing w:before="120" w:after="160" w:line="259" w:lineRule="auto"/>
        <w:ind w:left="360"/>
        <w:contextualSpacing/>
        <w:jc w:val="both"/>
        <w:rPr>
          <w:rFonts w:ascii="Times New Roman" w:hAnsi="Times New Roman" w:cs="Times New Roman"/>
          <w:noProof/>
          <w:sz w:val="24"/>
          <w:szCs w:val="24"/>
        </w:rPr>
      </w:pPr>
      <w:r>
        <w:rPr>
          <w:rFonts w:ascii="Times New Roman" w:hAnsi="Times New Roman"/>
          <w:noProof/>
          <w:sz w:val="24"/>
          <w:szCs w:val="24"/>
        </w:rPr>
        <w:t>31. detsembriks 2022 võetakse vastu strateegiline raamistik kvaliteetsete tervishoiuteenuste osutamiseks terves riigis. Selles kirjeldatakse tervishoiuteenuste osutamist erinevates tervishoiusektorites, eelkõige eriarstiabi puhul, füüsiliste ja inimressursside jaotamist ning rahastamismehhanismi. 2023. aastaks suurendatakse vastuvõttu õenduse erialale 2020. aastaga võrreldes 5 %.</w:t>
      </w:r>
    </w:p>
    <w:p>
      <w:pPr>
        <w:numPr>
          <w:ilvl w:val="1"/>
          <w:numId w:val="35"/>
        </w:numPr>
        <w:spacing w:before="120" w:after="160" w:line="259" w:lineRule="auto"/>
        <w:ind w:left="360"/>
        <w:contextualSpacing/>
        <w:jc w:val="both"/>
        <w:rPr>
          <w:rFonts w:ascii="Times New Roman" w:hAnsi="Times New Roman" w:cs="Times New Roman"/>
          <w:noProof/>
          <w:sz w:val="24"/>
          <w:szCs w:val="24"/>
        </w:rPr>
      </w:pPr>
      <w:r>
        <w:rPr>
          <w:rFonts w:ascii="Times New Roman" w:hAnsi="Times New Roman"/>
          <w:noProof/>
          <w:sz w:val="24"/>
          <w:szCs w:val="24"/>
        </w:rPr>
        <w:t xml:space="preserve">Et innustada tervishoiutöötajaid asuma tööle äärealadele, muudetakse 31. märtsiks 2023. aastaks arstide, õdede ja apteekrite tasustamissüsteemi. </w:t>
      </w:r>
    </w:p>
    <w:p>
      <w:pPr>
        <w:numPr>
          <w:ilvl w:val="1"/>
          <w:numId w:val="35"/>
        </w:numPr>
        <w:spacing w:before="120" w:after="160" w:line="259" w:lineRule="auto"/>
        <w:ind w:left="360"/>
        <w:contextualSpacing/>
        <w:jc w:val="both"/>
        <w:rPr>
          <w:rFonts w:ascii="Times New Roman" w:eastAsia="Times New Roman" w:hAnsi="Times New Roman" w:cs="Times New Roman"/>
          <w:noProof/>
          <w:sz w:val="24"/>
          <w:szCs w:val="24"/>
        </w:rPr>
      </w:pPr>
      <w:r>
        <w:rPr>
          <w:rFonts w:ascii="Times New Roman" w:hAnsi="Times New Roman"/>
          <w:noProof/>
          <w:sz w:val="24"/>
          <w:szCs w:val="24"/>
        </w:rPr>
        <w:t xml:space="preserve">Muudetakse sotsiaalministeeriumi ja Tartu Ülikooli vahelist kokkulepet, et sätestada nõuded, mis võimaldavad arstide puuduse vähendamiseks järk-järgult suurendada vastuvõttu teatavatel erialadel (nt perearstid, psühhiaatria, sisehaigused). Muudatused jõustuvad 30. juuniks 2026. </w:t>
      </w:r>
    </w:p>
    <w:p>
      <w:pPr>
        <w:spacing w:before="120" w:after="120" w:line="240" w:lineRule="auto"/>
        <w:jc w:val="both"/>
        <w:rPr>
          <w:rFonts w:ascii="Times New Roman" w:hAnsi="Times New Roman" w:cs="Times New Roman"/>
          <w:noProof/>
          <w:sz w:val="24"/>
        </w:rPr>
      </w:pPr>
    </w:p>
    <w:p>
      <w:pPr>
        <w:keepNext/>
        <w:numPr>
          <w:ilvl w:val="0"/>
          <w:numId w:val="34"/>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Investeering: Põhja-Eesti meditsiinilinnaku loomine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Investeeringu eesmärk on aidata optimeerida Eesti haiglavõrku, suurendada ressursitõhusust ja vähendada rahuldamata eriarstiabi vajadust, mis on liidu suurimaid. Investeering seisneb Põhja-Eesti meditsiinilinnaku ehitamises. Sellest kujundatakse tippkeskus, kus pakutakse kvaliteetseid tervishoiuteenuseid nüüdisaegses ja turvalises keskkonnas kahele kolmandikule Eesti elanikkonnast. Põhja-Eesti meditsiinilinnak luuakse kahe olemasoleva Tallinna haigla – Ida-Tallinna Keskhaigla ja Lääne-Tallinna Keskhaigla – ühendamise teel. Haiglahoonete arvu vähenemine peaks parandama pakutavaid teenuseid ning uus moodne rajatis peaks aitama tulla toime patsientide kasvavast arvust tingitud survega ning suurendama tervishoiuteenuste kättesaadavust ja kvaliteeti, aidates hoida tervishoiutöötajaid Eestis. Taaste ja vastupidavusrahastust rahastatakse linnaku ehitamist vaid osaliselt.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Investeering viiakse lõpule 30. juuniks 2026. </w:t>
      </w:r>
    </w:p>
    <w:p>
      <w:pPr>
        <w:spacing w:before="120" w:after="120" w:line="240" w:lineRule="auto"/>
        <w:jc w:val="both"/>
        <w:rPr>
          <w:rFonts w:ascii="Times New Roman" w:hAnsi="Times New Roman" w:cs="Times New Roman"/>
          <w:noProof/>
          <w:sz w:val="24"/>
        </w:rPr>
      </w:pPr>
    </w:p>
    <w:p>
      <w:pPr>
        <w:keepNext/>
        <w:numPr>
          <w:ilvl w:val="0"/>
          <w:numId w:val="34"/>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Reform: Tervishoiu esmatasandi tugevdamine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Reformi eesmärk on tagada üldarstiabi kättesaadavus, parandada ravi järjepidevust ning muuta süsteem paindlikumaks ja inimkesksemaks. Meede koosneb kolmest osameetmest. Esiteks laiendati 30. septembril 2020 eriarstiabiteenuste kättesaadavuse parandamiseks esmatasandi tervishoius e-konsultatsioonide kasutamist, võimaldades eriarstidel patsiente nõustada, ilma et oleks vaja silmast silma kohtuda. Teiseks jõustusid tervishoiuteenuste kättesaadavuse parandamiseks 31. märtsil 2021 õigusaktid, millega nähti ette perearstidele makstavate toetuste suurendamine ning üldarstiabi rahastusmudeli muutmine viisil, mis soosiks perearstide töötamist esmatasandi tervisekeskustes. Kolmandaks on kavas muuta tervishoiuteenuste korraldamise seadust, et parandada patsientide nimistute teenindamist, tagades esmatasandi arstiabi järjepidevuse ja laiendades meditsiiniõdedele õiguse patsientidele ravimeid välja kirjutada.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Reformi rakendamine viiakse lõpule 31. märtsiks 2023.</w:t>
      </w:r>
    </w:p>
    <w:p>
      <w:pPr>
        <w:spacing w:before="120" w:after="120" w:line="240" w:lineRule="auto"/>
        <w:jc w:val="both"/>
        <w:rPr>
          <w:rFonts w:ascii="Times New Roman" w:hAnsi="Times New Roman" w:cs="Times New Roman"/>
          <w:noProof/>
          <w:sz w:val="24"/>
        </w:rPr>
      </w:pPr>
    </w:p>
    <w:p>
      <w:pPr>
        <w:keepNext/>
        <w:numPr>
          <w:ilvl w:val="0"/>
          <w:numId w:val="34"/>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Reform: E-tervise valitsemisraamistiku uuendamine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Reformi eesmärk on uuendada e-tervise valitsemisraamistikku, et see vastaks senisest paremini tervishoiusüsteemi vajadustele ning oleks tagatud jätkusuutlikku tervishoiusüsteemi toetavate digilahenduste areng Eestis. Reform seisneb praeguse tervishoiusüsteemi IKT-valitsemismudeli läbivaatamises ja uue tulevikku vaatava e-tervise valitsemismudeli väljatöötamises, tagades partnerite ühise arusaama rollide ja vastutuse jaotusest e-tervises.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Reformi rakendamine viiakse lõpule 30. juuniks 2023.</w:t>
      </w:r>
    </w:p>
    <w:p>
      <w:pPr>
        <w:spacing w:before="120" w:after="120" w:line="240" w:lineRule="auto"/>
        <w:jc w:val="both"/>
        <w:rPr>
          <w:rFonts w:ascii="Times New Roman" w:hAnsi="Times New Roman" w:cs="Times New Roman"/>
          <w:noProof/>
          <w:sz w:val="24"/>
        </w:rPr>
      </w:pPr>
    </w:p>
    <w:p>
      <w:pPr>
        <w:keepNext/>
        <w:numPr>
          <w:ilvl w:val="0"/>
          <w:numId w:val="34"/>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Investeering: Mitmeotstarbelise meditsiinikopteri võimekuse loomine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Investeeringu eesmärk on tagada aegkriitiliste meditsiiniliste juhtumite korral (nagu rasked liiklusõnnetused, suuri rahvahulki hõlmavad päästeoperatsioonid, meditsiinilise sekkumise vajadus laeva pardal jne) mitmeotstarbeliste meditsiinikopterite abil kiire meditsiinilise abi kättesaadavus, sh äärealadel ja saartel; Investeering seisneb kahe mitmeotstarbelise meditsiinikopteri soetamises. Samuti on kavas hankida kopteri sihtotstarbeliseks kasutuseks vajalik lisavarustus, hooldustarvikud jms, tagada kopterite käitamiseks vajaliku personali esmane koolitamine ning projekteerida ja ehitada erakorralise meditsiini keskuste juurde kopteri maandumisplatsid. Lähtudes meetme kirjeldusest taaste- ja vastupidavuskavas ja võttes arvesse põhimõtte „Ei kahjusta oluliselt“ tehniliste suuniste (2021/C58/01) kohaseid leevendavaid samme, mis kavas on sätestatud, võib eeldada, et see meede ei kahjusta määruse (EL) 2020/852 artikli 17 tähenduses oluliselt keskkonnaeesmärke. Mitmeotstarbeliste helikopterite puhul kasutatakse kogu asjaomase sektori parimat võimalikku tehnoloogiat, millel on vähim võimalik keskkonnamõju.</w:t>
      </w:r>
      <w:r>
        <w:rPr>
          <w:rFonts w:ascii="Times New Roman" w:hAnsi="Times New Roman"/>
          <w:noProof/>
          <w:color w:val="1F497D"/>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Investeering viiakse lõpule 30. juuniks 2026.</w:t>
      </w:r>
    </w:p>
    <w:p>
      <w:pPr>
        <w:spacing w:before="120" w:after="120" w:line="240" w:lineRule="auto"/>
        <w:jc w:val="both"/>
        <w:rPr>
          <w:rFonts w:ascii="Times New Roman" w:hAnsi="Times New Roman" w:cs="Times New Roman"/>
          <w:noProof/>
          <w:sz w:val="24"/>
        </w:rPr>
      </w:pPr>
    </w:p>
    <w:p>
      <w:pPr>
        <w:keepNext/>
        <w:numPr>
          <w:ilvl w:val="0"/>
          <w:numId w:val="34"/>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Investeering: Tööturumeetmed noorte tööpuuduse vähendamiseks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Investeeringu eesmärk on aidata vähese töökogemusega noortel tööd leida. Uuendatud kava „Minu esimene töökoht“ (M1T) reguleerivate õigusaktidega nähakse ette meetmed kahes harus: tööandjale makstav palgatoetus ja nooruki koolituskulude hüvitamine. Palgatoetust ja koolituskulu hüvitist (kuni 2 500 eurot) makstakse tööandjale, kes võtab tööle 16–29-aastase töötuna registreeritud noore, kellel puudub töökogemus või kelle töökogemus on lühiajaline. M1T-meede lõimitakse muude teenustega, et jätkata noorte ja tööandjate toetamist ka pärast töösuhte algust. Esmatähtis on vältida töösuhte enneaegset lõppemist ning teha koostöös tööandja ja noorukiga kindlaks koolitusvajadused. 30. juuniks 2022 esitatakse täiustatud noortegarantii tegevuskava, millega nähakse investeeringute kõrval ette täiendavad noorte töötute toetamise meetmed. Noortegarantii tegevuskava hõlmab meetmeid, millega parandada noorte oskusi, ennetada noorte töötust ja sellega võidelda, sh tegeledes mittetöötavate ja mitteõppivate noorte probleemiga ja otsides võimalusi selle ennetamiseks, ning määrata noorte töötuse ennetamisel ja sellega võitlemisel kindlaks osalejad ja nende vastutusala.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Investeering viiakse lõpule 31. detsembriks 2025.</w:t>
      </w:r>
    </w:p>
    <w:p>
      <w:pPr>
        <w:spacing w:before="120" w:after="120" w:line="240" w:lineRule="auto"/>
        <w:jc w:val="both"/>
        <w:rPr>
          <w:rFonts w:ascii="Times New Roman" w:eastAsia="Times New Roman" w:hAnsi="Times New Roman" w:cs="Times New Roman"/>
          <w:noProof/>
          <w:sz w:val="24"/>
        </w:rPr>
      </w:pPr>
    </w:p>
    <w:p>
      <w:pPr>
        <w:keepNext/>
        <w:numPr>
          <w:ilvl w:val="0"/>
          <w:numId w:val="34"/>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 xml:space="preserve">Reform: Töötuskindlustushüvitise kestuse pikendamine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Reformi eesmärk on võtta käsile pikka aega muret valmistanud sotsiaalse turvavõrgu piisavuse küsimus. Reform seisneb selles, et luuakse asjakohane mehhanism, mille abil pikendada töötuskindlustushüvitise kestust 60 päeva võrra, kui registreeritud töötuse tase ületab inflatsiooni/palgakasvu mitte kiirendavat töötuse taset (NAIRU/NAWRU) märkimisväärsel määral. Pikendamise mehhanism ja märkimisväärne määr, mis ei tohi olla rohkem kui 2 %, määratakse kindlaks dialoogis tööturu osapooltega. </w:t>
      </w:r>
      <w:r>
        <w:rPr>
          <w:rFonts w:ascii="Times New Roman" w:hAnsi="Times New Roman"/>
          <w:noProof/>
          <w:sz w:val="24"/>
        </w:rPr>
        <w:t>Meetme eesmärk on aidata inimestel elada rasketes tööturutingimustes üle pikem töötuse periood.</w:t>
      </w:r>
      <w:r>
        <w:rPr>
          <w:rFonts w:ascii="Times New Roman" w:hAnsi="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Reformi rakendamine viiakse lõpule 30. juuniks 2023.</w:t>
      </w:r>
    </w:p>
    <w:p>
      <w:pPr>
        <w:spacing w:before="120" w:after="120" w:line="240" w:lineRule="auto"/>
        <w:jc w:val="both"/>
        <w:rPr>
          <w:rFonts w:ascii="Times New Roman" w:hAnsi="Times New Roman" w:cs="Times New Roman"/>
          <w:noProof/>
          <w:sz w:val="24"/>
          <w:szCs w:val="24"/>
        </w:rPr>
      </w:pPr>
    </w:p>
    <w:p>
      <w:pPr>
        <w:keepNext/>
        <w:numPr>
          <w:ilvl w:val="0"/>
          <w:numId w:val="34"/>
        </w:numPr>
        <w:spacing w:before="120" w:after="120" w:line="240" w:lineRule="auto"/>
        <w:ind w:left="720" w:hanging="720"/>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Reform: Pikaajaline hooldus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Reformi eesmärk on parandada pikaajalist hooldust. Reform koosneb järgmistest elementidest:</w:t>
      </w:r>
    </w:p>
    <w:p>
      <w:pPr>
        <w:spacing w:before="120" w:after="120" w:line="240" w:lineRule="auto"/>
        <w:jc w:val="both"/>
        <w:rPr>
          <w:noProof/>
        </w:rPr>
      </w:pPr>
      <w:r>
        <w:rPr>
          <w:rFonts w:ascii="Times New Roman" w:hAnsi="Times New Roman"/>
          <w:noProof/>
          <w:sz w:val="24"/>
          <w:szCs w:val="24"/>
        </w:rPr>
        <w:t>i) sotsiaalhoolekande seaduse muudatustega määratletakse pikaajalise hoolduse mõiste ning kohustatakse kohaliku tasandi ametiasutusi järgima põhimõtet, et inimene peab saama elada võimalikult kaua oma kodus oma tavalises keskkonnas, nii et talle on kättesaadavad piisavad kvaliteetsed teenused. Muudatused jõustuvad 30. juuniks 2022;</w:t>
      </w:r>
    </w:p>
    <w:p>
      <w:pPr>
        <w:spacing w:before="120" w:after="120" w:line="240" w:lineRule="auto"/>
        <w:jc w:val="both"/>
        <w:rPr>
          <w:rFonts w:ascii="Times New Roman" w:hAnsi="Times New Roman"/>
          <w:noProof/>
          <w:sz w:val="24"/>
        </w:rPr>
      </w:pPr>
      <w:r>
        <w:rPr>
          <w:rFonts w:ascii="Times New Roman" w:hAnsi="Times New Roman"/>
          <w:noProof/>
          <w:sz w:val="24"/>
          <w:szCs w:val="24"/>
        </w:rPr>
        <w:t>ii) sotsiaalteenuste ja hoolduse integreerimise tegevuskavas nähakse ette hoolduse integreerimise mudel, mida rakendada üle terve Eesti, ning määratakse kindlaks osalejate rollid ja vastutus ning süsteemi rahastamine. Tegevuskava võetakse vastu 31. detsembriks 2022;</w:t>
      </w:r>
    </w:p>
    <w:p>
      <w:pPr>
        <w:spacing w:before="120" w:after="120" w:line="240" w:lineRule="auto"/>
        <w:jc w:val="both"/>
        <w:rPr>
          <w:noProof/>
        </w:rPr>
      </w:pPr>
      <w:r>
        <w:rPr>
          <w:rFonts w:ascii="Times New Roman" w:hAnsi="Times New Roman"/>
          <w:noProof/>
          <w:sz w:val="24"/>
          <w:szCs w:val="24"/>
        </w:rPr>
        <w:t>iii) sotsiaalkaitseministri käskkirjaga määratakse kindlaks kohalike ametiasutuste osutatavate hooldusteenuste vorm ja omadused, samuti nende rakendamise tingimused. Et võimaldada väiksema hooldusvajadusega eakamatel inimestel ja puuetega inimestel iseseisvalt toime tulla, peavad reformiga kaasnema piisavad investeeringud ja teenusearendus kohalike ametiasutuste poolt. Sotsiaalkaitseministri käskkiri jõustub 31. detsembriks 2024;</w:t>
      </w:r>
    </w:p>
    <w:p>
      <w:pPr>
        <w:spacing w:before="120" w:after="120" w:line="240" w:lineRule="auto"/>
        <w:jc w:val="both"/>
        <w:rPr>
          <w:rFonts w:ascii="Times New Roman" w:hAnsi="Times New Roman"/>
          <w:noProof/>
          <w:sz w:val="24"/>
        </w:rPr>
      </w:pPr>
      <w:r>
        <w:rPr>
          <w:rFonts w:ascii="Times New Roman" w:hAnsi="Times New Roman"/>
          <w:noProof/>
          <w:sz w:val="24"/>
          <w:szCs w:val="24"/>
        </w:rPr>
        <w:t xml:space="preserve">iv) õigusmuudatustega, millega parandatakse suurema hooldusvajadusega laste toetussüsteemi, nähakse ette suurema hooldusvajadusega lastele osutatavate teenuste ajakohastamine ja integreerimine. Eelkõige on kavas hoolduskoormusega perekondade igakülgseks toetamiseks integreerida tervise-, haridus-, sotsiaalkaitse- ja tööhõiveteenused. Praegust toetussüsteemi lihtsustatakse ja hooldusvajaduste hindamine muudetakse põhjalikumaks, et vanematel oleks kindel kontaktpunkt, kust esialgset nõu ja tuge saada. </w:t>
      </w:r>
      <w:r>
        <w:rPr>
          <w:rFonts w:ascii="Times New Roman" w:hAnsi="Times New Roman"/>
          <w:noProof/>
          <w:sz w:val="24"/>
        </w:rPr>
        <w:t>Õigusmuudatused jõustuvad 31. märtsiks 2025.</w:t>
      </w:r>
    </w:p>
    <w:p>
      <w:pPr>
        <w:spacing w:before="120" w:after="120" w:line="240" w:lineRule="auto"/>
        <w:jc w:val="both"/>
        <w:rPr>
          <w:rFonts w:ascii="Times New Roman" w:hAnsi="Times New Roman"/>
          <w:noProof/>
          <w:sz w:val="24"/>
        </w:rPr>
      </w:pPr>
    </w:p>
    <w:p>
      <w:pPr>
        <w:keepNext/>
        <w:numPr>
          <w:ilvl w:val="0"/>
          <w:numId w:val="34"/>
        </w:numPr>
        <w:spacing w:before="120" w:after="120" w:line="240" w:lineRule="auto"/>
        <w:ind w:left="567" w:hanging="567"/>
        <w:jc w:val="both"/>
        <w:outlineLvl w:val="1"/>
        <w:rPr>
          <w:rFonts w:ascii="Times New Roman" w:eastAsiaTheme="majorEastAsia" w:hAnsi="Times New Roman" w:cs="Times New Roman"/>
          <w:b/>
          <w:i/>
          <w:noProof/>
          <w:sz w:val="24"/>
          <w:szCs w:val="24"/>
        </w:rPr>
      </w:pPr>
      <w:r>
        <w:rPr>
          <w:rFonts w:ascii="Times New Roman" w:hAnsi="Times New Roman"/>
          <w:b/>
          <w:bCs/>
          <w:i/>
          <w:iCs/>
          <w:noProof/>
          <w:sz w:val="24"/>
          <w:szCs w:val="24"/>
        </w:rPr>
        <w:t xml:space="preserve">Reform: Soolise palgalõhe vähendamine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Reformi eesmärk on vähendada soolist palgalõhet. Reform seisneb heaolu arengukava 2023–2030 vastuvõtmises, selle rakendamises ja digitaalse soolise palgalõhe töövahendi käikulaskmises.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Heaolu arengukava võetakse vastu 31. märtsiks 2024 ning selles sätestatakse strateegilised eesmärgid vähendada sotsiaalset ebavõrdsust ja vaesust, tagades soolise võrdõiguslikkuse ja suurema sotsiaalse kaasatuse ning edendades vähemusrühmadesse kuuluvate isikute võrdset kohtlemist. Heaolu arengukavas nähakse ette meetmed, millega vähendada soolist palgalõhet, suurendades tasustamise läbipaistvust, vähendades soostereotüüpide levikut ja negatiivset mõju naiste ja meeste eludele ja otsustele, sealhulgas haridus- ja karjäärivalikutes ja hoolduskoormuse kandmisel, ning toetades soolise võrdõiguslikkuse seaduse tulemuslikumat rakendamist.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31. märtsiks 2024 lastakse käiku digitaalne soolise palgalõhe töövahend, mis võimaldab tööandjatel lihtsal ja hõlpsal viisil saada ja analüüsida andmeid ja teavet, mis käsitlevad soolist palgalõhet ja selle eeldatavaid põhjuseid nende organisatsioonis, aidates neil teha teadlikke valikuid ja võtta tulemuslikke meetmeid võrdse töötasu põhimõtte rakendamiseks ja palgalõhe vähendamiseks.</w:t>
      </w:r>
    </w:p>
    <w:p>
      <w:pPr>
        <w:spacing w:before="120" w:after="120" w:line="240" w:lineRule="auto"/>
        <w:jc w:val="both"/>
        <w:rPr>
          <w:rFonts w:ascii="Times New Roman" w:hAnsi="Times New Roman" w:cs="Times New Roman"/>
          <w:noProof/>
          <w:sz w:val="24"/>
          <w:szCs w:val="24"/>
        </w:rPr>
        <w:sectPr>
          <w:headerReference w:type="even" r:id="rId85"/>
          <w:headerReference w:type="default" r:id="rId86"/>
          <w:footerReference w:type="even" r:id="rId87"/>
          <w:footerReference w:type="default" r:id="rId88"/>
          <w:headerReference w:type="first" r:id="rId89"/>
          <w:footerReference w:type="first" r:id="rId90"/>
          <w:pgSz w:w="11907" w:h="16839"/>
          <w:pgMar w:top="1134" w:right="1418" w:bottom="1134" w:left="1418" w:header="709" w:footer="709" w:gutter="0"/>
          <w:cols w:space="720"/>
          <w:docGrid w:linePitch="360"/>
        </w:sectPr>
      </w:pPr>
      <w:r>
        <w:rPr>
          <w:rFonts w:ascii="Times New Roman" w:hAnsi="Times New Roman"/>
          <w:noProof/>
          <w:sz w:val="24"/>
          <w:szCs w:val="24"/>
        </w:rPr>
        <w:t>Reformi rakendamine viiakse lõpule 31. märts 2024.</w:t>
      </w:r>
    </w:p>
    <w:p>
      <w:pPr>
        <w:spacing w:before="120" w:after="120" w:line="240" w:lineRule="auto"/>
        <w:ind w:left="850"/>
        <w:jc w:val="both"/>
        <w:rPr>
          <w:rFonts w:ascii="Times New Roman" w:hAnsi="Times New Roman" w:cs="Times New Roman"/>
          <w:b/>
          <w:bCs/>
          <w:noProof/>
          <w:sz w:val="24"/>
          <w:szCs w:val="24"/>
          <w:u w:val="single"/>
        </w:rPr>
      </w:pPr>
      <w:r>
        <w:rPr>
          <w:rFonts w:ascii="Times New Roman" w:hAnsi="Times New Roman"/>
          <w:b/>
          <w:bCs/>
          <w:noProof/>
          <w:sz w:val="24"/>
          <w:szCs w:val="24"/>
          <w:u w:val="single"/>
        </w:rPr>
        <w:t xml:space="preserve">F.2. </w:t>
      </w:r>
      <w:r>
        <w:rPr>
          <w:noProof/>
          <w:u w:val="single"/>
        </w:rPr>
        <w:tab/>
      </w:r>
      <w:r>
        <w:rPr>
          <w:rFonts w:ascii="Times New Roman" w:hAnsi="Times New Roman"/>
          <w:b/>
          <w:bCs/>
          <w:noProof/>
          <w:sz w:val="24"/>
          <w:szCs w:val="24"/>
          <w:u w:val="single"/>
        </w:rPr>
        <w:t>Tagastamatu rahalise toetuse eesmärgid, sihid, näitajad ning seire ja rakendamise ajakava</w:t>
      </w:r>
    </w:p>
    <w:p>
      <w:pPr>
        <w:spacing w:before="120" w:after="120" w:line="240" w:lineRule="auto"/>
        <w:ind w:left="850"/>
        <w:jc w:val="both"/>
        <w:rPr>
          <w:rFonts w:ascii="Times New Roman" w:hAnsi="Times New Roman" w:cs="Times New Roman"/>
          <w:b/>
          <w:noProof/>
          <w:sz w:val="24"/>
          <w:u w:val="single"/>
        </w:rPr>
      </w:pPr>
    </w:p>
    <w:tbl>
      <w:tblPr>
        <w:tblW w:w="15937" w:type="dxa"/>
        <w:jc w:val="center"/>
        <w:tblLayout w:type="fixed"/>
        <w:tblLook w:val="04A0" w:firstRow="1" w:lastRow="0" w:firstColumn="1" w:lastColumn="0" w:noHBand="0" w:noVBand="1"/>
      </w:tblPr>
      <w:tblGrid>
        <w:gridCol w:w="1129"/>
        <w:gridCol w:w="1701"/>
        <w:gridCol w:w="1134"/>
        <w:gridCol w:w="1843"/>
        <w:gridCol w:w="1701"/>
        <w:gridCol w:w="1418"/>
        <w:gridCol w:w="992"/>
        <w:gridCol w:w="992"/>
        <w:gridCol w:w="992"/>
        <w:gridCol w:w="709"/>
        <w:gridCol w:w="3326"/>
      </w:tblGrid>
      <w:tr>
        <w:trPr>
          <w:cantSplit/>
          <w:trHeight w:val="927"/>
          <w:tblHeader/>
          <w:jc w:val="center"/>
        </w:trPr>
        <w:tc>
          <w:tcPr>
            <w:tcW w:w="112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Järjekorranumber</w:t>
            </w:r>
          </w:p>
        </w:tc>
        <w:tc>
          <w:tcPr>
            <w:tcW w:w="170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Seotud meede (reform või investeering)</w:t>
            </w:r>
          </w:p>
        </w:tc>
        <w:tc>
          <w:tcPr>
            <w:tcW w:w="113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Eesmärk / siht</w:t>
            </w:r>
          </w:p>
        </w:tc>
        <w:tc>
          <w:tcPr>
            <w:tcW w:w="1843"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Nimi</w:t>
            </w:r>
          </w:p>
        </w:tc>
        <w:tc>
          <w:tcPr>
            <w:tcW w:w="170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Kvalitatiivsed näitajad</w:t>
            </w:r>
            <w:r>
              <w:rPr>
                <w:noProof/>
              </w:rPr>
              <w:t xml:space="preserve"> </w:t>
            </w:r>
            <w:r>
              <w:rPr>
                <w:noProof/>
              </w:rPr>
              <w:br/>
            </w:r>
            <w:r>
              <w:rPr>
                <w:rFonts w:ascii="Times New Roman" w:hAnsi="Times New Roman"/>
                <w:b/>
                <w:bCs/>
                <w:noProof/>
                <w:sz w:val="20"/>
                <w:szCs w:val="20"/>
              </w:rPr>
              <w:t>(eesmärkide puhul)</w:t>
            </w:r>
          </w:p>
        </w:tc>
        <w:tc>
          <w:tcPr>
            <w:tcW w:w="3402"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noProof/>
                <w:sz w:val="20"/>
                <w:szCs w:val="20"/>
                <w:lang w:eastAsia="en-GB"/>
              </w:rPr>
            </w:pPr>
            <w:r>
              <w:rPr>
                <w:rFonts w:ascii="Times New Roman" w:hAnsi="Times New Roman"/>
                <w:b/>
                <w:bCs/>
                <w:noProof/>
                <w:sz w:val="20"/>
                <w:szCs w:val="20"/>
              </w:rPr>
              <w:t>Kvantitatiivsed näitajad</w:t>
            </w:r>
            <w:r>
              <w:rPr>
                <w:noProof/>
              </w:rPr>
              <w:t xml:space="preserve"> </w:t>
            </w:r>
            <w:r>
              <w:rPr>
                <w:noProof/>
              </w:rPr>
              <w:br/>
            </w:r>
            <w:r>
              <w:rPr>
                <w:rFonts w:ascii="Times New Roman" w:hAnsi="Times New Roman"/>
                <w:b/>
                <w:bCs/>
                <w:noProof/>
                <w:sz w:val="20"/>
                <w:szCs w:val="20"/>
              </w:rPr>
              <w:t>(sihtide puhul)</w:t>
            </w:r>
          </w:p>
        </w:tc>
        <w:tc>
          <w:tcPr>
            <w:tcW w:w="1701"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 xml:space="preserve">Lõpuleviimise soovituslik ajakava </w:t>
            </w:r>
          </w:p>
        </w:tc>
        <w:tc>
          <w:tcPr>
            <w:tcW w:w="332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Iga eesmärgi ja sihi kirjeldus</w:t>
            </w:r>
          </w:p>
        </w:tc>
      </w:tr>
      <w:tr>
        <w:trPr>
          <w:cantSplit/>
          <w:trHeight w:val="1013"/>
          <w:tblHeader/>
          <w:jc w:val="center"/>
        </w:trPr>
        <w:tc>
          <w:tcPr>
            <w:tcW w:w="112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1843"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1418"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b/>
                <w:bCs/>
                <w:noProof/>
                <w:sz w:val="20"/>
                <w:szCs w:val="20"/>
              </w:rPr>
              <w:t>Mõõtühik</w:t>
            </w:r>
          </w:p>
        </w:tc>
        <w:tc>
          <w:tcPr>
            <w:tcW w:w="992"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 xml:space="preserve">Lähtetase </w:t>
            </w:r>
          </w:p>
        </w:tc>
        <w:tc>
          <w:tcPr>
            <w:tcW w:w="992"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 xml:space="preserve">Eesmärk </w:t>
            </w:r>
          </w:p>
        </w:tc>
        <w:tc>
          <w:tcPr>
            <w:tcW w:w="992"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Kvartal</w:t>
            </w:r>
          </w:p>
        </w:tc>
        <w:tc>
          <w:tcPr>
            <w:tcW w:w="709"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Aasta</w:t>
            </w:r>
          </w:p>
        </w:tc>
        <w:tc>
          <w:tcPr>
            <w:tcW w:w="3326"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94</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6.1. Eesti tervishoiukorralduse terviklik muutmine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Haiglavõrgu arengukava käsitleva valitsuse määruse jõustumine</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Määruse jõustumine</w:t>
            </w:r>
          </w:p>
        </w:tc>
        <w:tc>
          <w:tcPr>
            <w:tcW w:w="1418" w:type="dxa"/>
            <w:tcBorders>
              <w:top w:val="nil"/>
              <w:left w:val="nil"/>
              <w:bottom w:val="single" w:sz="4" w:space="0" w:color="auto"/>
              <w:right w:val="single" w:sz="4" w:space="0" w:color="auto"/>
            </w:tcBorders>
            <w:shd w:val="clear" w:color="auto" w:fill="C6EFCE"/>
            <w:noWrap/>
          </w:tcPr>
          <w:p>
            <w:pPr>
              <w:rPr>
                <w:rFonts w:ascii="Times New Roman" w:eastAsia="Times New Roman" w:hAnsi="Times New Roman" w:cs="Times New Roman"/>
                <w:noProof/>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2024</w:t>
            </w:r>
          </w:p>
        </w:tc>
        <w:tc>
          <w:tcPr>
            <w:tcW w:w="332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Jõustub määrus, milles on sätestatud:</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loend piirkondliku, kesk- ja kohaliku tasandi ning taastusravihaiglatest, et tagada võrdne juurdepääs tervishoiuteenustele;</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haiglavõrgu konsolideerimise nõuded, eesmärgid ja meetmed;</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haiglate loendisse kantud haiglate ehitamiseks, renoveerimiseks ja ümberprofileerimiseks vajalikud investeeringud.</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95</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6.1. Eesti tervishoiukorralduse terviklik muutmine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Tervishoiutöötajate nappuse leevendamise strateegilise raamistiku heakskiitmine</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Tervise- ja tööminister annab tervishoiutöötajate nappuse leevendamise strateegilisele raamistikule heakskiidu.</w:t>
            </w:r>
          </w:p>
        </w:tc>
        <w:tc>
          <w:tcPr>
            <w:tcW w:w="141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32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Tervishoiutöötajate nappuse leevendamise strateegilises raamistikus esitatakse:</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tervishoiuteenuste korraldamise meetmed erinevates tervishoiusektorites, eelkõige eriarstiabi vallas,</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füüsiliste ja inimressursside eraldamine, et tagada tervishoiuteenuste osutamine kogu territooriumil,</w:t>
            </w:r>
          </w:p>
          <w:p>
            <w:pPr>
              <w:spacing w:after="0" w:line="240" w:lineRule="auto"/>
              <w:rPr>
                <w:rFonts w:ascii="Times New Roman" w:eastAsia="Times New Roman" w:hAnsi="Times New Roman" w:cs="Times New Roman"/>
                <w:noProof/>
                <w:color w:val="006100"/>
                <w:sz w:val="24"/>
                <w:szCs w:val="24"/>
              </w:rPr>
            </w:pPr>
            <w:r>
              <w:rPr>
                <w:rFonts w:ascii="Times New Roman" w:hAnsi="Times New Roman"/>
                <w:noProof/>
                <w:color w:val="006100"/>
              </w:rPr>
              <w:t>- rahastamis-, valitsemis- ja teabevahetusmehhanismid, mille abil tagada strateegia tulemuslikkus kogu riigis.</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96</w:t>
            </w:r>
          </w:p>
        </w:tc>
        <w:tc>
          <w:tcPr>
            <w:tcW w:w="1701"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6.1. Eesti tervishoiukorralduse terviklik muutmine</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3"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Tervishoiuteenuste korraldamise seadust käsitleva tervise- ja tööministri käskkirja jõustumine, et parandada arstide, õdede ja proviisorite kulude hüvitamise süsteemi.</w:t>
            </w:r>
          </w:p>
        </w:tc>
        <w:tc>
          <w:tcPr>
            <w:tcW w:w="1701"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Tervishoiuteenuste korraldamise seadust käsitleva tervise- ja tööministri käskkirja jõustumine. </w:t>
            </w:r>
          </w:p>
        </w:tc>
        <w:tc>
          <w:tcPr>
            <w:tcW w:w="141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 kv</w:t>
            </w:r>
          </w:p>
        </w:tc>
        <w:tc>
          <w:tcPr>
            <w:tcW w:w="709"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2023</w:t>
            </w:r>
          </w:p>
        </w:tc>
        <w:tc>
          <w:tcPr>
            <w:tcW w:w="3326"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Jõustub tervishoiuteenuste korraldamise seadust käsitlev tervise- ja tööministri käskkiri, millega parandatakse arstide, õdede ja proviisorite kulude hüvitamise süsteemi, et motiveerida tervishoiutöötajaid töötama äärealadel.</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97</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6.1. Eesti tervishoiukorralduse terviklik muutmine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84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Vastuvõtt õenduse erialale</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41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rPr>
            </w:pPr>
            <w:r>
              <w:rPr>
                <w:rFonts w:ascii="Times New Roman" w:hAnsi="Times New Roman"/>
                <w:noProof/>
                <w:color w:val="006100"/>
              </w:rPr>
              <w:t>Õenduse erialale vastu võetud inimeste arvu suurenemine protsentides</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0</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rPr>
            </w:pPr>
            <w:r>
              <w:rPr>
                <w:rFonts w:ascii="Times New Roman" w:hAnsi="Times New Roman"/>
                <w:noProof/>
                <w:color w:val="006100"/>
              </w:rPr>
              <w:t>5</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2023</w:t>
            </w:r>
          </w:p>
        </w:tc>
        <w:tc>
          <w:tcPr>
            <w:tcW w:w="332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Õenduse erialale vastu võetud inimeste arv on suurenenud 2020. aastaga võrreldes 5 %. </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98</w:t>
            </w:r>
          </w:p>
        </w:tc>
        <w:tc>
          <w:tcPr>
            <w:tcW w:w="1701"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6.1. Eesti tervishoiukorralduse terviklik muutmine</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3"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Jõustub ministri määrus, millega muudetakse sotsiaalministeeriumi ja Tartu Ülikooli vahelist lepingut arstide nappuse kohta teatavatel erialadel.</w:t>
            </w:r>
          </w:p>
        </w:tc>
        <w:tc>
          <w:tcPr>
            <w:tcW w:w="1701"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Jõustuvad ministri määrus ning sotsiaalministeeriumi ja Tartu Ülikooli vaheline leping.</w:t>
            </w:r>
          </w:p>
        </w:tc>
        <w:tc>
          <w:tcPr>
            <w:tcW w:w="141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9"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2026</w:t>
            </w:r>
          </w:p>
        </w:tc>
        <w:tc>
          <w:tcPr>
            <w:tcW w:w="3326"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Jõustub sotsiaalministri määrus, millega muudetakse sotsiaalministeeriumi ja Tartu Ülikooli vahelist kokkulepet, et näha arstide puuduse vähendamiseks ette vastuvõtu järkjärguline suurendamine teatavatel erialadel (nt perearstid, psühhiaatria, sisehaigused).</w:t>
            </w:r>
            <w:r>
              <w:rPr>
                <w:rFonts w:ascii="Times New Roman" w:hAnsi="Times New Roman"/>
                <w:noProof/>
                <w:sz w:val="24"/>
                <w:szCs w:val="24"/>
              </w:rPr>
              <w:t xml:space="preserve"> </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99</w:t>
            </w:r>
          </w:p>
        </w:tc>
        <w:tc>
          <w:tcPr>
            <w:tcW w:w="1701"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6.2. Põhja-Eesti meditsiinilinnaku loomine</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3"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Põhja-Eesti meditsiinilinnaku projekteerimislepingu allkirjastamine.</w:t>
            </w:r>
          </w:p>
        </w:tc>
        <w:tc>
          <w:tcPr>
            <w:tcW w:w="1701"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Projekteerimislepingu allkirjastamine </w:t>
            </w:r>
          </w:p>
        </w:tc>
        <w:tc>
          <w:tcPr>
            <w:tcW w:w="141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2021</w:t>
            </w:r>
          </w:p>
        </w:tc>
        <w:tc>
          <w:tcPr>
            <w:tcW w:w="3326"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Hankija, kes on haigla omanik, allkirjastab Põhja-Eesti meditsiinilinnaku projekteerimislepingu. Leping hõlmab vajalike ehituslubade hankimist. </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100</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6.2. Põhja-Eesti meditsiinilinnaku loomine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Põhja-Eesti meditsiinilinnaku kaevetööde-, veevarustus- ja elektrivarustuslepingu ning raudbetoonelementide hankimise lepingu allkirjastamine </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Lepingute allakirjutamine </w:t>
            </w:r>
          </w:p>
        </w:tc>
        <w:tc>
          <w:tcPr>
            <w:tcW w:w="141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2023</w:t>
            </w:r>
          </w:p>
        </w:tc>
        <w:tc>
          <w:tcPr>
            <w:tcW w:w="332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Hankija, kes on haigla omanik, sõlmib lepingud:</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kaevetööde tegemiseks ning ühendustrasside rajamiseks veevarustuse, reovee kogumise taristu ja elektrivõrguga ning</w:t>
            </w:r>
          </w:p>
          <w:p>
            <w:pPr>
              <w:spacing w:after="0" w:line="240" w:lineRule="auto"/>
              <w:rPr>
                <w:rFonts w:ascii="Times New Roman" w:eastAsia="Times New Roman" w:hAnsi="Times New Roman" w:cs="Times New Roman"/>
                <w:noProof/>
                <w:color w:val="006100"/>
                <w:sz w:val="24"/>
                <w:szCs w:val="24"/>
              </w:rPr>
            </w:pPr>
            <w:r>
              <w:rPr>
                <w:rFonts w:ascii="Times New Roman" w:hAnsi="Times New Roman"/>
                <w:noProof/>
                <w:color w:val="006100"/>
              </w:rPr>
              <w:t>- raudbetoonelementide hankimiseks.</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101</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6.2. Põhja-Eesti meditsiinilinnaku loomine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Põhja-Eesti meditsiinilinnaku ehituslepingu allkirjastamine</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Lepingu allkirjastamine</w:t>
            </w:r>
          </w:p>
        </w:tc>
        <w:tc>
          <w:tcPr>
            <w:tcW w:w="141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2024</w:t>
            </w:r>
          </w:p>
        </w:tc>
        <w:tc>
          <w:tcPr>
            <w:tcW w:w="332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Hankija, kes on haigla omanik, allkirjastab Põhja-Eesti meditsiinilinnaku ehituslepingu, mis hõlmab hoone tehnosüsteeme, sealhulgas kütte, jahutuse, ventilatsiooni, sooja vee, valgustuse ja elektri tootmise, mõõte-, seire- ja juhtimissüsteeme, ning sisetöid.</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102</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6.2. Põhja-Eesti meditsiinilinnaku loomine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84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10 % ehituslepingu mahust on lõpule viidud. </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41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Ehituse edenemine</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0 %</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10 %</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2024</w:t>
            </w:r>
          </w:p>
        </w:tc>
        <w:tc>
          <w:tcPr>
            <w:tcW w:w="3326" w:type="dxa"/>
            <w:tcBorders>
              <w:top w:val="nil"/>
              <w:left w:val="nil"/>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color w:val="006100"/>
              </w:rPr>
            </w:pPr>
            <w:r>
              <w:rPr>
                <w:rFonts w:ascii="Times New Roman" w:hAnsi="Times New Roman"/>
                <w:noProof/>
                <w:color w:val="006100"/>
              </w:rPr>
              <w:t>Eesmärgi 101 all nimetatud 10 % ehituslepingu mahust loetakse saavutatuks siis, kui ehitaja on kinnitanud, et 10 % lepingus nimetatud ehitustöödest on lõpule viidud, hankija on töö vastu võtnud ning võimalikud puudused on kindlaks tehtud ja tähtaeg nende kõrvaldamiseks on kindlaks määratud.</w:t>
            </w:r>
            <w:r>
              <w:rPr>
                <w:rFonts w:ascii="Times New Roman" w:hAnsi="Times New Roman"/>
                <w:noProof/>
              </w:rPr>
              <w:t xml:space="preserve"> </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103</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6.2. Põhja-Eesti meditsiinilinnaku loomine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843" w:type="dxa"/>
            <w:tcBorders>
              <w:top w:val="nil"/>
              <w:left w:val="nil"/>
              <w:bottom w:val="single" w:sz="4" w:space="0" w:color="auto"/>
              <w:right w:val="single" w:sz="4" w:space="0" w:color="auto"/>
            </w:tcBorders>
            <w:shd w:val="clear" w:color="auto" w:fill="C6EFCE"/>
            <w:noWrap/>
          </w:tcPr>
          <w:p>
            <w:pPr>
              <w:spacing w:after="0"/>
              <w:rPr>
                <w:rFonts w:ascii="Times New Roman" w:hAnsi="Times New Roman" w:cs="Times New Roman"/>
                <w:noProof/>
                <w:color w:val="006100"/>
              </w:rPr>
            </w:pPr>
            <w:r>
              <w:rPr>
                <w:rFonts w:ascii="Times New Roman" w:hAnsi="Times New Roman"/>
                <w:noProof/>
                <w:color w:val="006100"/>
              </w:rPr>
              <w:t>50 % ehituslepingu mahust on lõpule viidud.</w:t>
            </w:r>
          </w:p>
          <w:p>
            <w:pPr>
              <w:spacing w:after="0" w:line="240" w:lineRule="auto"/>
              <w:rPr>
                <w:rFonts w:ascii="Times New Roman" w:eastAsia="Times New Roman" w:hAnsi="Times New Roman" w:cs="Times New Roman"/>
                <w:noProof/>
                <w:color w:val="006100"/>
                <w:lang w:eastAsia="en-GB"/>
              </w:rPr>
            </w:pP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41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Ehituse edenemine</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10 %</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50 %</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2025</w:t>
            </w:r>
          </w:p>
        </w:tc>
        <w:tc>
          <w:tcPr>
            <w:tcW w:w="332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Eesmärgi 101 all nimetatud 50 % ehituslepingu mahust loetakse saavutatuks siis, kui ehitaja on kinnitanud, et 50 % lepingus nimetatud ehitustöödest on lõpule viidud, hankija on töö vastu võtnud ning võimalikud puudused on kindlaks tehtud ja tähtaeg nende kõrvaldamiseks on kindlaks määratud. </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 xml:space="preserve">104 </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sz w:val="24"/>
                <w:szCs w:val="24"/>
              </w:rPr>
            </w:pPr>
            <w:r>
              <w:rPr>
                <w:rFonts w:ascii="Times New Roman" w:hAnsi="Times New Roman"/>
                <w:noProof/>
                <w:color w:val="006100"/>
              </w:rPr>
              <w:t>6.2. Põhja-Eesti meditsiinilinnaku loomine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Põhja-Eesti meditsiinilinnakusse seadmete paigaldamise lepingu allkirjastamine, et haiglakompleks saaks tegevust alustada</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Lepingu allkirjastamine</w:t>
            </w:r>
          </w:p>
        </w:tc>
        <w:tc>
          <w:tcPr>
            <w:tcW w:w="141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2025</w:t>
            </w:r>
          </w:p>
        </w:tc>
        <w:tc>
          <w:tcPr>
            <w:tcW w:w="332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Hankija, kes on haigla omanik, sõlmib lepingu haigla varustamiseks kõigi seadmetega, mis on vajalikud haigla tegevuseks pärast ehitustööde lõppu (nt haiglavoodid, meditsiiniseadmed).</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105</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6.2. Põhja-Eesti meditsiinilinnaku loomine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Ehitustööde lõpuleviimine </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Ehitustööde lõpuleviimist tõendav dokument</w:t>
            </w:r>
          </w:p>
        </w:tc>
        <w:tc>
          <w:tcPr>
            <w:tcW w:w="141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2026</w:t>
            </w:r>
          </w:p>
        </w:tc>
        <w:tc>
          <w:tcPr>
            <w:tcW w:w="332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Hankija, kes on haigla omanik, saab töövõtjalt ehitustööde lõpuleviimist tõendava dokumendi. Hankija tõendab, et ta on algatanud menetluse, et väljastada dokument, mis kinnitab, et ehitis on valmis ja vastab asjakohastele normidele. .</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106</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6.3. Tervishoiu esmatasandi tugevdamine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Eesti haigekassa tervishoiuteenuste loetelu eriarstiabile juurdepääsu osa muutva valitsuse akti jõustumine.</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Valitsuse akti muudatuste jõustumine</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 </w:t>
            </w:r>
          </w:p>
        </w:tc>
        <w:tc>
          <w:tcPr>
            <w:tcW w:w="141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2020</w:t>
            </w:r>
          </w:p>
        </w:tc>
        <w:tc>
          <w:tcPr>
            <w:tcW w:w="332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Jõustunud on õigusakti muudatused, millega parandada eriarstiabiteenuste kättesaadavust, ning esmatasandi tervishoius e-konsultatsioonide kasutamist, võimaldades eriarstidel patsiente nõustada, ilma et oleks vaja silmast silma kohtuda.</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107</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6.3. Tervishoiu esmatasandi tugevdamine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Jõustuvad valitsuse akti muudatused, millega muudetakse Eesti haigekassa tervishoiuteenuste loetelu perearstide kulusid ja -teenuseid käsitlevat osa.</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Valitsuse akti muudatuste jõustumine</w:t>
            </w:r>
          </w:p>
        </w:tc>
        <w:tc>
          <w:tcPr>
            <w:tcW w:w="141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2021</w:t>
            </w:r>
          </w:p>
        </w:tc>
        <w:tc>
          <w:tcPr>
            <w:tcW w:w="332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Jõustuvad seadusemuudatused, millega nähakse ette perearstide püsikulude ja -teenuste rahastamine, et eraldada rohkem vahendeid esmatasandi meditsiinipraksistele väljaspool suurlinnapiirkondi, sealhulgas äärealadel, ning suurendatakse patsientide juurdepääsu diagnostika- ja sõeluuringuteenustele.</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108</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6.3. Tervishoiu esmatasandi tugevdamine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Tervishoiuteenuste korraldamise seaduse muudatuste jõustumine </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Seaduse jõustumisele viitav õigusnorm</w:t>
            </w:r>
          </w:p>
        </w:tc>
        <w:tc>
          <w:tcPr>
            <w:tcW w:w="141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2023</w:t>
            </w:r>
          </w:p>
        </w:tc>
        <w:tc>
          <w:tcPr>
            <w:tcW w:w="332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Jõustuvad tervishoiuteenuste korraldamise seaduse muudatused, millega parandatakse patsientide nimistute teenindamist, tagatakse esmatasandi arstiabi järjepidevus ja laiendatakse meditsiiniõdede õigusi patsientidele ravimeid välja kirjutada.</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109</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6.4. E-tervise valitsemisraamistiku uuendamine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E-tervise valitsemisraamistiku ja selle rakenduskava heakskiitmine</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E-tervise valitsemisraamistiku ja selle rakenduskava ettepanekute heakskiitmine „Eesti tervise IKT juhtimisraamistiku“ juhtkomitees.</w:t>
            </w:r>
          </w:p>
        </w:tc>
        <w:tc>
          <w:tcPr>
            <w:tcW w:w="141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2023</w:t>
            </w:r>
          </w:p>
        </w:tc>
        <w:tc>
          <w:tcPr>
            <w:tcW w:w="332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E-tervise valitsemisraamistikku ja rakendusplaani käsitleva ettepaneku heakskiitmine, et ajakohastada e-tervise valitsemisraamistikku ja e-tervishoiuteenuste arendamise koordineerimist.</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110</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6.5. Mitmeotstarbelise meditsiinikopteri võimekuse loomine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Mitmeotstarbelise meditsiinikopteri võimekuse loomise lepingute sõlmimine </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Riigihankelepingute sõlmimine</w:t>
            </w:r>
          </w:p>
        </w:tc>
        <w:tc>
          <w:tcPr>
            <w:tcW w:w="141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2023</w:t>
            </w:r>
          </w:p>
        </w:tc>
        <w:tc>
          <w:tcPr>
            <w:tcW w:w="332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sdt>
              <w:sdtPr>
                <w:rPr>
                  <w:rFonts w:ascii="Times New Roman" w:eastAsia="Times New Roman" w:hAnsi="Times New Roman" w:cs="Times New Roman"/>
                  <w:noProof/>
                  <w:color w:val="006100"/>
                </w:rPr>
                <w:tag w:val="goog_rdk_68"/>
                <w:id w:val="105084787"/>
              </w:sdtPr>
              <w:sdtContent>
                <w:r>
                  <w:rPr>
                    <w:rFonts w:ascii="Times New Roman" w:hAnsi="Times New Roman"/>
                    <w:noProof/>
                    <w:color w:val="006100"/>
                  </w:rPr>
                  <w:t>Eesti Politsei- ja Piirivalveameti</w:t>
                </w:r>
              </w:sdtContent>
            </w:sdt>
            <w:r>
              <w:rPr>
                <w:rFonts w:ascii="Times New Roman" w:hAnsi="Times New Roman"/>
                <w:noProof/>
                <w:color w:val="006100"/>
              </w:rPr>
              <w:t xml:space="preserve"> juhataja allkirjastatud lepingud kiirabikopterite ostmiseks ning helikopterite lennubaaside ja meditsiinikeskuste juurde maandumispaikade rajamiseks. Eriotstarbeliste helikopterite soetamisel valitakse parim tehnoloogia, mis võimaldab järgida põhimõtte „Ei kahjusta oluliselt“ tehnilisi suuniseid (2021/C58/01).</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111</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6.5. Mitmeotstarbelise meditsiinikopteri võimekuse loomine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Siht</w:t>
            </w:r>
          </w:p>
        </w:tc>
        <w:tc>
          <w:tcPr>
            <w:tcW w:w="184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Helikopterite vastuvõtmine </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41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Helikopterite arv</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2025</w:t>
            </w:r>
          </w:p>
        </w:tc>
        <w:tc>
          <w:tcPr>
            <w:tcW w:w="332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sdt>
              <w:sdtPr>
                <w:rPr>
                  <w:rFonts w:ascii="Times New Roman" w:eastAsia="Times New Roman" w:hAnsi="Times New Roman" w:cs="Times New Roman"/>
                  <w:noProof/>
                  <w:color w:val="006100"/>
                </w:rPr>
                <w:tag w:val="goog_rdk_68"/>
                <w:id w:val="372969502"/>
              </w:sdtPr>
              <w:sdtContent>
                <w:r>
                  <w:rPr>
                    <w:rFonts w:ascii="Times New Roman" w:hAnsi="Times New Roman"/>
                    <w:noProof/>
                    <w:color w:val="006100"/>
                  </w:rPr>
                  <w:t>Eesti Politsei- ja Piirivalveamet</w:t>
                </w:r>
              </w:sdtContent>
            </w:sdt>
            <w:r>
              <w:rPr>
                <w:rFonts w:ascii="Times New Roman" w:hAnsi="Times New Roman"/>
                <w:noProof/>
                <w:color w:val="006100"/>
              </w:rPr>
              <w:t xml:space="preserve"> on heaks kiitnud kahe kopteri vastuvõtmise</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112</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6.5. Mitmeotstarbelise meditsiinikopteri võimekuse loomine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Siht </w:t>
            </w:r>
          </w:p>
        </w:tc>
        <w:tc>
          <w:tcPr>
            <w:tcW w:w="184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Ehitatud või laiendatud lennubaaside valmimine </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141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Helikopteri lennubaaside arv</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2026</w:t>
            </w:r>
          </w:p>
        </w:tc>
        <w:tc>
          <w:tcPr>
            <w:tcW w:w="332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Ehitatud/laiendatud on kaks kopterite lennuväebaasi/maandumiskohta ja need on kasutusvalmis, mida tõendab lepingu täitmise ametlik kinnitamine Eesti Politsei- ja Piirivalveameti poolt. </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113</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6.6. Tööturumeetmed noorte tööpuuduse vähendamiseks</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Meedet „Minu esimene töökoht“ tugevdava tervise- ja tööministri käskkirja jõustumine.</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Tervise- ja tööministri käskkirja jõustumine.</w:t>
            </w:r>
          </w:p>
        </w:tc>
        <w:tc>
          <w:tcPr>
            <w:tcW w:w="141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32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Jõustub tervise- ja tööministri käskkiri, milles määratakse kindlaks meetme omadused ja selle rakendamise tingimused, sealhulgas rahastamine ja sihtrühm. Meetme eesmärk on võimaldada töökogemuseta või vähese töökogemusega noortel saada töökogemusi ja parandada oma oskusi tööturul edukaks osalemiseks.</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114</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6.6. Tööturumeetmed noorte tööpuuduse vähendamiseks</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Noortegarantii tegevuskava</w:t>
            </w:r>
            <w:r>
              <w:rPr>
                <w:noProof/>
              </w:rPr>
              <w:t xml:space="preserve"> </w:t>
            </w:r>
          </w:p>
          <w:p>
            <w:pPr>
              <w:jc w:val="center"/>
              <w:rPr>
                <w:rFonts w:ascii="Times New Roman" w:eastAsia="Times New Roman" w:hAnsi="Times New Roman" w:cs="Times New Roman"/>
                <w:noProof/>
                <w:lang w:eastAsia="en-GB"/>
              </w:rPr>
            </w:pP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Valitsus võtab vastu noortegarantii tõhustatud tegevuskava</w:t>
            </w:r>
          </w:p>
        </w:tc>
        <w:tc>
          <w:tcPr>
            <w:tcW w:w="141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32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Valitsus võtab vastu muudetud noortegarantii tegevuskava, et toetada noorte tööhõivet. Tegevuskavas: </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sisalduvad meetmed noorte oskuste parandamiseks,</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nähakse ette tegevused noorte töötuse ennetamiseks ja sellega võitlemiseks, sh tegeledes mittetöötavate ja mitteõppivate noorte probleemiga ja otsides võimalusi selle ennetamiseks,</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määratakse noorte töötuse ennetamisel ja sellega võitlemisel kindlaks peamised osalejad ja nende vastutusala.</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115</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6.6. Tööturumeetmed noorte tööpuuduse vähendamiseks</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Siht </w:t>
            </w:r>
          </w:p>
        </w:tc>
        <w:tc>
          <w:tcPr>
            <w:tcW w:w="184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Meetmes „Minu esimene töökoht“ osalevate noorte arv </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 </w:t>
            </w:r>
          </w:p>
        </w:tc>
        <w:tc>
          <w:tcPr>
            <w:tcW w:w="141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Osalejate arv</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0</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3178</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2025</w:t>
            </w:r>
          </w:p>
        </w:tc>
        <w:tc>
          <w:tcPr>
            <w:tcW w:w="332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Meetmes „Minu esimene töökoht“ on osalenud vähemalt 3 178 noort vanuses 16–29 aastat (meetmega hõlmatute kumulatiivne arv). </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116</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6.7. Töötuskindlustushüvitiste kestuse pikendamine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Tööturuteenuste ja -toetuste seaduse ning töötuskindlustuse seaduse muudatuste jõustumine</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Õigusakti muudatuste jõustumine </w:t>
            </w:r>
          </w:p>
        </w:tc>
        <w:tc>
          <w:tcPr>
            <w:tcW w:w="141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2023</w:t>
            </w:r>
          </w:p>
        </w:tc>
        <w:tc>
          <w:tcPr>
            <w:tcW w:w="332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Seadusemuudatuste jõustumine, et näha ette püsiv mehhanism töötuskindlustushüvitiste kestuse pikendamiseks 60 päeva võrra, eelkõige juhul, kui registreeritud töötuse tase ületab inflatsiooni/palgakasvu mitte kiirendavat töötuse taset märkimisväärsel määral. Pikendamise mehhanism ja märkimisväärne määr, mis ei tohi olla rohkem kui 2 %, määratakse kindlaks dialoogis tööturu osapooltega. </w:t>
            </w:r>
          </w:p>
        </w:tc>
      </w:tr>
      <w:tr>
        <w:trPr>
          <w:cantSplit/>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117</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6.8. Pikaajaline hooldus</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3" w:type="dxa"/>
            <w:tcBorders>
              <w:top w:val="single" w:sz="4" w:space="0" w:color="auto"/>
              <w:left w:val="nil"/>
              <w:bottom w:val="single" w:sz="4" w:space="0" w:color="auto"/>
              <w:right w:val="single" w:sz="4" w:space="0" w:color="auto"/>
            </w:tcBorders>
            <w:shd w:val="clear" w:color="auto" w:fill="C6EFCE"/>
            <w:noWrap/>
          </w:tcPr>
          <w:p>
            <w:pPr>
              <w:pStyle w:val="NormalWeb"/>
              <w:rPr>
                <w:noProof/>
                <w:color w:val="006100"/>
              </w:rPr>
            </w:pPr>
            <w:r>
              <w:rPr>
                <w:noProof/>
                <w:color w:val="006100"/>
                <w:sz w:val="22"/>
                <w:szCs w:val="22"/>
              </w:rPr>
              <w:t>Sotsiaalhoolekande seaduse muudatuste jõustumine</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Õigusakti muudatuste jõustumine</w:t>
            </w:r>
          </w:p>
        </w:tc>
        <w:tc>
          <w:tcPr>
            <w:tcW w:w="1418"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 kv</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326"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Jõustuvad sotsiaalhoolekande seaduse muudatused, millega määratletakse pikaajalise hoolduse mõiste ning kohustatakse kohaliku tasandi ametiasutusi järgima põhimõtet, et inimene peab saama elada võimalikult kaua oma kodus oma tavalises keskkonnas, nii et talle on kättesaadavad piisavad kvaliteetsed teenused.</w:t>
            </w:r>
          </w:p>
        </w:tc>
      </w:tr>
      <w:tr>
        <w:trPr>
          <w:cantSplit/>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118</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6.8. Pikaajaline hooldus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Integreeritud sotsiaal- ja tervishoiuteenuste osutamise tegevuskava </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Tegevuskava vastuvõtmine </w:t>
            </w:r>
          </w:p>
        </w:tc>
        <w:tc>
          <w:tcPr>
            <w:tcW w:w="1418"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326"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Sotsiaalministeerium võtab vastu tegevuskava, milles nähakse ette hoolduse integreerimise mudel, mida rakendada üle terve Eesti, ning määratakse kindlaks süsteemi finantseerimise mudelis osalejate rollid ja vastutus.</w:t>
            </w:r>
          </w:p>
        </w:tc>
      </w:tr>
      <w:tr>
        <w:trPr>
          <w:cantSplit/>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119</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6.8. Pikaajaline hooldus</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Sotsiaalkaitseministri käskkirja jõustumine </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Sotsiaalkaitseministri käskkirja jõustumine</w:t>
            </w:r>
          </w:p>
        </w:tc>
        <w:tc>
          <w:tcPr>
            <w:tcW w:w="1418"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2024</w:t>
            </w:r>
          </w:p>
        </w:tc>
        <w:tc>
          <w:tcPr>
            <w:tcW w:w="3326"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Sotsiaalkaitseministri käskkirjaga määratakse kindlaks kohalike ametiasutuste osutatavate teenuste vorm ja omadused, samuti nende rakendamise tingimused. Et võimaldada väiksema hooldusvajadusega eakamatel inimestel ja puuetega inimestel iseseisvalt toime tulla, peavad reformiga kaasnema investeeringud ja teenusearendus kohalike ametiasutuste poolt.</w:t>
            </w:r>
          </w:p>
        </w:tc>
      </w:tr>
      <w:tr>
        <w:trPr>
          <w:cantSplit/>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120</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6.8. Pikaajaline hooldus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Eesmärk </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Suure hooldusvajadusega laste toetussüsteemi parandamist käsitlevate seadusemuudatuste jõustumine</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Seadusemuudatuste jõustumine </w:t>
            </w:r>
          </w:p>
        </w:tc>
        <w:tc>
          <w:tcPr>
            <w:tcW w:w="1418"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 kv</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2025</w:t>
            </w:r>
          </w:p>
        </w:tc>
        <w:tc>
          <w:tcPr>
            <w:tcW w:w="3326"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Jõustuvad seadusemuudatused, millega nähakse ette suurema hooldusvajadusega laste jaoks mõeldud teenuste ajakohastamine ja integreerimine. Eelkõige on kavas järgmised sammud: </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 hoolduskoormusega perekondade igakülgseks toetamiseks integreeritakse tervise-, haridus-, sotsiaalkaitse- ja tööhõiveteenused, </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 praegust toetussüsteemi lihtsustatakse ja hooldusvajaduste hindamine muudetakse põhjalikumaks, et vanematel oleks kindel kontaktpunkt, kust esialgset nõu ja tuge saada. </w:t>
            </w:r>
          </w:p>
        </w:tc>
      </w:tr>
      <w:tr>
        <w:trPr>
          <w:cantSplit/>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 xml:space="preserve">121 </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6.9. Soolise palgalõhe vähendamine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Heaolu arengukava (2023–2030) vastuvõtmine valitsuses</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Heaolu arengukava vastuvõtmine</w:t>
            </w:r>
          </w:p>
        </w:tc>
        <w:tc>
          <w:tcPr>
            <w:tcW w:w="1418"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 kv</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2024</w:t>
            </w:r>
          </w:p>
        </w:tc>
        <w:tc>
          <w:tcPr>
            <w:tcW w:w="332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Kavas kirjeldatakse meetmeid, millega vähendada soolist palgalõhet. </w:t>
            </w:r>
          </w:p>
        </w:tc>
      </w:tr>
      <w:tr>
        <w:trPr>
          <w:cantSplit/>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122</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6.9. Soolise palgalõhe vähendamine</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Digitaalne soolise palgalõhe töövahend</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Soolise palgalõhe töövahendi prototüübi väljaarendamine.</w:t>
            </w:r>
          </w:p>
        </w:tc>
        <w:tc>
          <w:tcPr>
            <w:tcW w:w="1418"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i/>
                <w:noProof/>
                <w:color w:val="006100"/>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i/>
                <w:noProof/>
                <w:color w:val="006100"/>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i/>
                <w:noProof/>
                <w:color w:val="006100"/>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 kv</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2022</w:t>
            </w:r>
          </w:p>
        </w:tc>
        <w:tc>
          <w:tcPr>
            <w:tcW w:w="3326"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Arendatakse välja soolise palgalõhe töövahendi prototüüp, et varustada tööandjad soolist palgalõhet ja selle eeldatavaid põhjuseid nende organisatsioonis käsitlevate andmete ja teabega, aitamaks neil teha teadlikke valikuid ja võtta tulemuslikke meetmeid võrdse töötasu põhimõtte rakendamiseks ja palgalõhe vähendamiseks.</w:t>
            </w:r>
          </w:p>
        </w:tc>
      </w:tr>
      <w:tr>
        <w:trPr>
          <w:cantSplit/>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 xml:space="preserve">123 </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6.9. Soolise palgalõhe vähendamine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Digitaalne soolise palgalõhe töövahend</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Digitaalse soolise palgalõhe töövahendi kasutuselevõtt</w:t>
            </w:r>
            <w:r>
              <w:rPr>
                <w:rFonts w:ascii="Times New Roman" w:hAnsi="Times New Roman"/>
                <w:noProof/>
              </w:rPr>
              <w:t xml:space="preserve"> </w:t>
            </w:r>
          </w:p>
        </w:tc>
        <w:tc>
          <w:tcPr>
            <w:tcW w:w="1418"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 kv</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2024</w:t>
            </w:r>
          </w:p>
        </w:tc>
        <w:tc>
          <w:tcPr>
            <w:tcW w:w="3326"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Soolise palgalõhe töövahend tehakse tööandjatele kättesaadavaks, et varustada neid andmete ja teabega, mis käsitlevad soolist palgalõhet ja selle eeldatavaid põhjuseid nende organisatsioonis, aitamaks neil teha teadlikke valikuid ja võtta tulemuslikke meetmeid võrdse töötasu põhimõtte rakendamiseks ja palgalõhe vähendamiseks.</w:t>
            </w:r>
          </w:p>
        </w:tc>
      </w:tr>
    </w:tbl>
    <w:p>
      <w:pPr>
        <w:spacing w:before="120" w:after="120" w:line="240" w:lineRule="auto"/>
        <w:jc w:val="both"/>
        <w:rPr>
          <w:rFonts w:ascii="Times New Roman" w:hAnsi="Times New Roman" w:cs="Times New Roman"/>
          <w:noProof/>
          <w:sz w:val="24"/>
          <w:szCs w:val="24"/>
        </w:rPr>
        <w:sectPr>
          <w:headerReference w:type="even" r:id="rId91"/>
          <w:headerReference w:type="default" r:id="rId92"/>
          <w:footerReference w:type="even" r:id="rId93"/>
          <w:footerReference w:type="default" r:id="rId94"/>
          <w:headerReference w:type="first" r:id="rId95"/>
          <w:footerReference w:type="first" r:id="rId96"/>
          <w:pgSz w:w="16839" w:h="11907" w:orient="landscape"/>
          <w:pgMar w:top="720" w:right="720" w:bottom="720" w:left="720" w:header="709" w:footer="709" w:gutter="0"/>
          <w:cols w:space="720"/>
          <w:docGrid w:linePitch="360"/>
        </w:sectPr>
      </w:pPr>
    </w:p>
    <w:p>
      <w:pPr>
        <w:keepNext/>
        <w:tabs>
          <w:tab w:val="left" w:pos="850"/>
        </w:tabs>
        <w:spacing w:before="360" w:after="120" w:line="240" w:lineRule="auto"/>
        <w:ind w:left="850" w:firstLine="1"/>
        <w:jc w:val="both"/>
        <w:outlineLvl w:val="0"/>
        <w:rPr>
          <w:rFonts w:ascii="Times New Roman" w:hAnsi="Times New Roman" w:cs="Times New Roman"/>
          <w:b/>
          <w:bCs/>
          <w:smallCaps/>
          <w:noProof/>
          <w:sz w:val="24"/>
          <w:szCs w:val="24"/>
        </w:rPr>
      </w:pPr>
      <w:r>
        <w:rPr>
          <w:rFonts w:ascii="Times New Roman" w:hAnsi="Times New Roman"/>
          <w:b/>
          <w:bCs/>
          <w:smallCaps/>
          <w:noProof/>
          <w:sz w:val="24"/>
          <w:szCs w:val="24"/>
        </w:rPr>
        <w:t xml:space="preserve">G. Audit ja kontroll </w:t>
      </w:r>
    </w:p>
    <w:p>
      <w:pPr>
        <w:spacing w:before="120" w:after="120" w:line="240" w:lineRule="auto"/>
        <w:rPr>
          <w:rFonts w:ascii="Times New Roman" w:hAnsi="Times New Roman" w:cs="Times New Roman"/>
          <w:noProof/>
          <w:sz w:val="24"/>
        </w:rPr>
      </w:pPr>
    </w:p>
    <w:p>
      <w:pPr>
        <w:spacing w:before="120" w:after="120" w:line="240" w:lineRule="auto"/>
        <w:jc w:val="both"/>
        <w:rPr>
          <w:rFonts w:ascii="Times New Roman" w:hAnsi="Times New Roman" w:cs="Times New Roman"/>
          <w:b/>
          <w:i/>
          <w:noProof/>
          <w:sz w:val="24"/>
          <w:szCs w:val="24"/>
          <w:u w:val="single"/>
        </w:rPr>
      </w:pPr>
      <w:r>
        <w:rPr>
          <w:rFonts w:ascii="Times New Roman" w:hAnsi="Times New Roman"/>
          <w:b/>
          <w:bCs/>
          <w:noProof/>
          <w:sz w:val="24"/>
          <w:szCs w:val="24"/>
          <w:u w:val="single"/>
        </w:rPr>
        <w:t xml:space="preserve">G.1. </w:t>
      </w:r>
      <w:r>
        <w:rPr>
          <w:noProof/>
          <w:u w:val="single"/>
        </w:rPr>
        <w:tab/>
      </w:r>
      <w:r>
        <w:rPr>
          <w:rFonts w:ascii="Times New Roman" w:hAnsi="Times New Roman"/>
          <w:b/>
          <w:bCs/>
          <w:noProof/>
          <w:sz w:val="24"/>
          <w:szCs w:val="24"/>
          <w:u w:val="single"/>
        </w:rPr>
        <w:t>Tagastamatu rahalise toetusega seotud reformide ja investeeringute kirjeldus</w:t>
      </w:r>
    </w:p>
    <w:p>
      <w:pPr>
        <w:spacing w:before="120" w:after="120" w:line="240" w:lineRule="auto"/>
        <w:rPr>
          <w:rFonts w:ascii="Times New Roman" w:hAnsi="Times New Roman" w:cs="Times New Roman"/>
          <w:noProof/>
          <w:sz w:val="24"/>
        </w:rPr>
      </w:pP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Reformi eesmärk on kehtestada õigusraamistik taaste- ja vastupidavuskava rakendamiseks ja järelevalveks. Selles määratakse kindlaks asjaomaste avaliku sektori asutuste roll taastekava rakendamisel ja see, kuidas need asutused oma ülesandeid täidavad.</w:t>
      </w:r>
    </w:p>
    <w:p>
      <w:pPr>
        <w:spacing w:before="120" w:after="120" w:line="240" w:lineRule="auto"/>
        <w:rPr>
          <w:rFonts w:ascii="Times New Roman" w:hAnsi="Times New Roman" w:cs="Times New Roman"/>
          <w:noProof/>
          <w:sz w:val="24"/>
          <w:szCs w:val="24"/>
        </w:rPr>
        <w:sectPr>
          <w:headerReference w:type="even" r:id="rId97"/>
          <w:headerReference w:type="default" r:id="rId98"/>
          <w:footerReference w:type="even" r:id="rId99"/>
          <w:footerReference w:type="default" r:id="rId100"/>
          <w:headerReference w:type="first" r:id="rId101"/>
          <w:footerReference w:type="first" r:id="rId102"/>
          <w:pgSz w:w="11907" w:h="16839"/>
          <w:pgMar w:top="1134" w:right="1418" w:bottom="1134" w:left="1418" w:header="709" w:footer="709" w:gutter="0"/>
          <w:cols w:space="720"/>
          <w:docGrid w:linePitch="360"/>
        </w:sectPr>
      </w:pPr>
      <w:r>
        <w:rPr>
          <w:rFonts w:ascii="Times New Roman" w:hAnsi="Times New Roman"/>
          <w:noProof/>
          <w:sz w:val="24"/>
          <w:szCs w:val="24"/>
        </w:rPr>
        <w:t xml:space="preserve">Reformi rakendamine viiakse lõpule 31. detsembriks 2021. </w:t>
      </w:r>
    </w:p>
    <w:p>
      <w:pPr>
        <w:spacing w:before="120" w:after="120" w:line="240" w:lineRule="auto"/>
        <w:ind w:left="850"/>
        <w:jc w:val="both"/>
        <w:rPr>
          <w:rFonts w:ascii="Times New Roman" w:hAnsi="Times New Roman" w:cs="Times New Roman"/>
          <w:b/>
          <w:bCs/>
          <w:noProof/>
          <w:sz w:val="24"/>
          <w:szCs w:val="24"/>
          <w:u w:val="single"/>
        </w:rPr>
      </w:pPr>
      <w:r>
        <w:rPr>
          <w:rFonts w:ascii="Times New Roman" w:hAnsi="Times New Roman"/>
          <w:b/>
          <w:bCs/>
          <w:noProof/>
          <w:sz w:val="24"/>
          <w:szCs w:val="24"/>
          <w:u w:val="single"/>
        </w:rPr>
        <w:t xml:space="preserve">G.2. </w:t>
      </w:r>
      <w:r>
        <w:rPr>
          <w:noProof/>
          <w:u w:val="single"/>
        </w:rPr>
        <w:tab/>
      </w:r>
      <w:r>
        <w:rPr>
          <w:rFonts w:ascii="Times New Roman" w:hAnsi="Times New Roman"/>
          <w:b/>
          <w:bCs/>
          <w:noProof/>
          <w:sz w:val="24"/>
          <w:szCs w:val="24"/>
          <w:u w:val="single"/>
        </w:rPr>
        <w:t>Tagastamatu rahalise toetuse eesmärgid, sihid, näitajad ning seire ja rakendamise ajakava</w:t>
      </w:r>
    </w:p>
    <w:p>
      <w:pPr>
        <w:spacing w:before="120" w:after="120" w:line="240" w:lineRule="auto"/>
        <w:ind w:left="850"/>
        <w:jc w:val="both"/>
        <w:rPr>
          <w:rFonts w:ascii="Times New Roman" w:hAnsi="Times New Roman" w:cs="Times New Roman"/>
          <w:b/>
          <w:noProof/>
          <w:sz w:val="24"/>
          <w:u w:val="single"/>
        </w:rPr>
      </w:pPr>
    </w:p>
    <w:tbl>
      <w:tblPr>
        <w:tblW w:w="15937" w:type="dxa"/>
        <w:tblInd w:w="-34" w:type="dxa"/>
        <w:tblLayout w:type="fixed"/>
        <w:tblLook w:val="04A0" w:firstRow="1" w:lastRow="0" w:firstColumn="1" w:lastColumn="0" w:noHBand="0" w:noVBand="1"/>
      </w:tblPr>
      <w:tblGrid>
        <w:gridCol w:w="1129"/>
        <w:gridCol w:w="1701"/>
        <w:gridCol w:w="1134"/>
        <w:gridCol w:w="1843"/>
        <w:gridCol w:w="1701"/>
        <w:gridCol w:w="1418"/>
        <w:gridCol w:w="992"/>
        <w:gridCol w:w="992"/>
        <w:gridCol w:w="1134"/>
        <w:gridCol w:w="714"/>
        <w:gridCol w:w="3179"/>
      </w:tblGrid>
      <w:tr>
        <w:trPr>
          <w:trHeight w:val="927"/>
        </w:trPr>
        <w:tc>
          <w:tcPr>
            <w:tcW w:w="112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Järjekorranumber</w:t>
            </w:r>
          </w:p>
        </w:tc>
        <w:tc>
          <w:tcPr>
            <w:tcW w:w="170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Seotud meede (reform või investeering)</w:t>
            </w:r>
          </w:p>
        </w:tc>
        <w:tc>
          <w:tcPr>
            <w:tcW w:w="113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Eesmärk / siht</w:t>
            </w:r>
          </w:p>
        </w:tc>
        <w:tc>
          <w:tcPr>
            <w:tcW w:w="1843"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Nimi</w:t>
            </w:r>
          </w:p>
        </w:tc>
        <w:tc>
          <w:tcPr>
            <w:tcW w:w="170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Kvalitatiivsed näitajad</w:t>
            </w:r>
            <w:r>
              <w:rPr>
                <w:noProof/>
              </w:rPr>
              <w:t xml:space="preserve"> </w:t>
            </w:r>
            <w:r>
              <w:rPr>
                <w:noProof/>
              </w:rPr>
              <w:br/>
            </w:r>
            <w:r>
              <w:rPr>
                <w:rFonts w:ascii="Times New Roman" w:hAnsi="Times New Roman"/>
                <w:b/>
                <w:bCs/>
                <w:noProof/>
                <w:sz w:val="20"/>
                <w:szCs w:val="20"/>
              </w:rPr>
              <w:t>(eesmärkide puhul)</w:t>
            </w:r>
          </w:p>
        </w:tc>
        <w:tc>
          <w:tcPr>
            <w:tcW w:w="3402"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Kvantitatiivsed näitajad</w:t>
            </w:r>
            <w:r>
              <w:rPr>
                <w:noProof/>
              </w:rPr>
              <w:t xml:space="preserve"> </w:t>
            </w:r>
            <w:r>
              <w:rPr>
                <w:noProof/>
              </w:rPr>
              <w:br/>
            </w:r>
            <w:r>
              <w:rPr>
                <w:rFonts w:ascii="Times New Roman" w:hAnsi="Times New Roman"/>
                <w:b/>
                <w:bCs/>
                <w:noProof/>
                <w:sz w:val="20"/>
                <w:szCs w:val="20"/>
              </w:rPr>
              <w:t>(sihtide puhul)</w:t>
            </w:r>
          </w:p>
        </w:tc>
        <w:tc>
          <w:tcPr>
            <w:tcW w:w="1848"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 xml:space="preserve">Lõpuleviimise soovituslik ajakava </w:t>
            </w:r>
          </w:p>
        </w:tc>
        <w:tc>
          <w:tcPr>
            <w:tcW w:w="317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Iga eesmärgi ja sihi kirjeldus</w:t>
            </w:r>
          </w:p>
        </w:tc>
      </w:tr>
      <w:tr>
        <w:trPr>
          <w:trHeight w:val="1013"/>
        </w:trPr>
        <w:tc>
          <w:tcPr>
            <w:tcW w:w="1129"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1843"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1418"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Mõõtühik</w:t>
            </w:r>
          </w:p>
        </w:tc>
        <w:tc>
          <w:tcPr>
            <w:tcW w:w="992"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 xml:space="preserve">Lähtetase </w:t>
            </w:r>
          </w:p>
        </w:tc>
        <w:tc>
          <w:tcPr>
            <w:tcW w:w="992"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 xml:space="preserve">Eesmärk </w:t>
            </w:r>
          </w:p>
        </w:tc>
        <w:tc>
          <w:tcPr>
            <w:tcW w:w="1134"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Kvartal</w:t>
            </w:r>
          </w:p>
        </w:tc>
        <w:tc>
          <w:tcPr>
            <w:tcW w:w="714"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bCs/>
                <w:noProof/>
                <w:sz w:val="20"/>
                <w:szCs w:val="20"/>
              </w:rPr>
              <w:t>Aasta</w:t>
            </w:r>
          </w:p>
        </w:tc>
        <w:tc>
          <w:tcPr>
            <w:tcW w:w="3179"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r>
      <w:tr>
        <w:trPr>
          <w:trHeight w:val="309"/>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sz w:val="24"/>
                <w:szCs w:val="24"/>
              </w:rPr>
              <w:t>124</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Taastekava rakendamine ja järelevalve</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Eesmärk</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Jõustub valitsuse määrus, millega on kehtestatud õigusraamistik Eesti taaste- ja vastupidavuskava rakendamiseks ja järelevalveks.</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sz w:val="24"/>
                <w:szCs w:val="24"/>
              </w:rPr>
            </w:pPr>
            <w:r>
              <w:rPr>
                <w:rFonts w:ascii="Times New Roman" w:hAnsi="Times New Roman"/>
                <w:noProof/>
                <w:color w:val="006100"/>
              </w:rPr>
              <w:t>Valitsuse määruse jõustumine</w:t>
            </w:r>
          </w:p>
        </w:tc>
        <w:tc>
          <w:tcPr>
            <w:tcW w:w="1418"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color w:val="006100"/>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sz w:val="24"/>
                <w:szCs w:val="24"/>
              </w:rPr>
              <w:t>4. kv</w:t>
            </w:r>
          </w:p>
        </w:tc>
        <w:tc>
          <w:tcPr>
            <w:tcW w:w="71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sz w:val="24"/>
                <w:szCs w:val="24"/>
              </w:rPr>
              <w:t>2021</w:t>
            </w:r>
          </w:p>
        </w:tc>
        <w:tc>
          <w:tcPr>
            <w:tcW w:w="3179"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Enne, kui esitatakse esimene maksetaotlus, on jõustunud määrus, millega kehtestatakse õigusraamistik Eesti taaste- ja vastupidavuskava rakendamiseks ja järelevalveks.</w:t>
            </w:r>
          </w:p>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Määruses määratakse kindlaks vähemalt Eesti taaste- ja vastupidavuskava rakendamises osalevad asutused ja nende ülesanded, sealhulgas rahandusministeeriumi, valdkondlike ministeeriumide ja Riigi Tugiteenuste Keskuse ülesanded. </w:t>
            </w:r>
          </w:p>
        </w:tc>
      </w:tr>
    </w:tbl>
    <w:p>
      <w:pPr>
        <w:spacing w:before="120" w:after="120" w:line="240" w:lineRule="auto"/>
        <w:rPr>
          <w:rFonts w:ascii="Times New Roman" w:hAnsi="Times New Roman" w:cs="Times New Roman"/>
          <w:noProof/>
          <w:sz w:val="24"/>
        </w:rPr>
        <w:sectPr>
          <w:headerReference w:type="even" r:id="rId103"/>
          <w:headerReference w:type="default" r:id="rId104"/>
          <w:footerReference w:type="even" r:id="rId105"/>
          <w:footerReference w:type="default" r:id="rId106"/>
          <w:headerReference w:type="first" r:id="rId107"/>
          <w:footerReference w:type="first" r:id="rId108"/>
          <w:pgSz w:w="16839" w:h="11907" w:orient="landscape"/>
          <w:pgMar w:top="720" w:right="720" w:bottom="720" w:left="720" w:header="709" w:footer="709" w:gutter="0"/>
          <w:cols w:space="720"/>
          <w:docGrid w:linePitch="360"/>
        </w:sectPr>
      </w:pPr>
    </w:p>
    <w:p>
      <w:pPr>
        <w:numPr>
          <w:ilvl w:val="0"/>
          <w:numId w:val="23"/>
        </w:numPr>
        <w:spacing w:before="120" w:after="120" w:line="240" w:lineRule="auto"/>
        <w:jc w:val="both"/>
        <w:rPr>
          <w:rFonts w:ascii="Times New Roman" w:hAnsi="Times New Roman" w:cs="Times New Roman"/>
          <w:b/>
          <w:bCs/>
          <w:noProof/>
          <w:sz w:val="24"/>
          <w:szCs w:val="24"/>
        </w:rPr>
      </w:pPr>
      <w:r>
        <w:rPr>
          <w:rFonts w:ascii="Times New Roman" w:hAnsi="Times New Roman"/>
          <w:b/>
          <w:bCs/>
          <w:noProof/>
          <w:sz w:val="24"/>
          <w:szCs w:val="24"/>
        </w:rPr>
        <w:t>Taaste- ja vastupidavuskava hinnanguline kogukulu</w:t>
      </w:r>
    </w:p>
    <w:p>
      <w:pPr>
        <w:spacing w:before="120" w:after="240" w:line="240" w:lineRule="auto"/>
        <w:jc w:val="both"/>
        <w:rPr>
          <w:rFonts w:ascii="Times New Roman" w:hAnsi="Times New Roman" w:cs="Times New Roman"/>
          <w:noProof/>
          <w:sz w:val="24"/>
          <w:szCs w:val="24"/>
        </w:rPr>
      </w:pPr>
      <w:r>
        <w:rPr>
          <w:rFonts w:ascii="Times New Roman" w:hAnsi="Times New Roman"/>
          <w:noProof/>
          <w:sz w:val="24"/>
          <w:szCs w:val="24"/>
        </w:rPr>
        <w:t>Eesti taaste- ja vastupidavuskava hinnanguline kogukulu on 982 490 000 eurot.</w:t>
      </w:r>
    </w:p>
    <w:p>
      <w:pPr>
        <w:pStyle w:val="Heading1"/>
        <w:tabs>
          <w:tab w:val="clear" w:pos="850"/>
        </w:tabs>
        <w:spacing w:before="720" w:after="240"/>
        <w:ind w:left="0" w:firstLine="0"/>
        <w:rPr>
          <w:noProof/>
        </w:rPr>
      </w:pPr>
      <w:r>
        <w:rPr>
          <w:noProof/>
        </w:rPr>
        <w:t xml:space="preserve">2. JAGU: RAHALINE TOETUS </w:t>
      </w:r>
    </w:p>
    <w:p>
      <w:pPr>
        <w:pStyle w:val="NumPar1"/>
        <w:numPr>
          <w:ilvl w:val="0"/>
          <w:numId w:val="41"/>
        </w:numPr>
        <w:rPr>
          <w:b/>
          <w:bCs/>
          <w:noProof/>
        </w:rPr>
      </w:pPr>
      <w:r>
        <w:rPr>
          <w:b/>
          <w:bCs/>
          <w:noProof/>
        </w:rPr>
        <w:t xml:space="preserve">Rahaline toetus </w:t>
      </w:r>
    </w:p>
    <w:p>
      <w:pPr>
        <w:spacing w:before="120" w:after="240" w:line="240" w:lineRule="auto"/>
        <w:jc w:val="both"/>
        <w:rPr>
          <w:rFonts w:ascii="Times New Roman" w:hAnsi="Times New Roman" w:cs="Times New Roman"/>
          <w:noProof/>
          <w:sz w:val="24"/>
          <w:szCs w:val="24"/>
        </w:rPr>
      </w:pPr>
      <w:r>
        <w:rPr>
          <w:rFonts w:ascii="Times New Roman" w:hAnsi="Times New Roman"/>
          <w:noProof/>
          <w:sz w:val="24"/>
          <w:szCs w:val="24"/>
        </w:rPr>
        <w:t>Artikli 2 lõikes 2 osutatud osamaksed korraldatakse järgmiselt.</w:t>
      </w:r>
    </w:p>
    <w:p>
      <w:pPr>
        <w:tabs>
          <w:tab w:val="num" w:pos="850"/>
        </w:tabs>
        <w:spacing w:before="120" w:after="240" w:line="240" w:lineRule="auto"/>
        <w:ind w:left="850" w:hanging="850"/>
        <w:jc w:val="both"/>
        <w:rPr>
          <w:rFonts w:ascii="Times New Roman" w:hAnsi="Times New Roman" w:cs="Times New Roman"/>
          <w:noProof/>
          <w:sz w:val="24"/>
          <w:szCs w:val="24"/>
        </w:rPr>
      </w:pPr>
      <w:r>
        <w:rPr>
          <w:rFonts w:ascii="Times New Roman" w:hAnsi="Times New Roman"/>
          <w:noProof/>
          <w:sz w:val="24"/>
          <w:szCs w:val="24"/>
        </w:rPr>
        <w:t xml:space="preserve">Esimene osamakse (tagastamatu toetus): </w:t>
      </w:r>
    </w:p>
    <w:tbl>
      <w:tblPr>
        <w:tblW w:w="9519" w:type="dxa"/>
        <w:tblInd w:w="113" w:type="dxa"/>
        <w:tblLook w:val="04A0" w:firstRow="1" w:lastRow="0" w:firstColumn="1" w:lastColumn="0" w:noHBand="0" w:noVBand="1"/>
      </w:tblPr>
      <w:tblGrid>
        <w:gridCol w:w="2149"/>
        <w:gridCol w:w="3436"/>
        <w:gridCol w:w="1209"/>
        <w:gridCol w:w="3174"/>
      </w:tblGrid>
      <w:tr>
        <w:trPr>
          <w:cantSplit/>
          <w:trHeight w:val="906"/>
          <w:tblHeader/>
        </w:trPr>
        <w:tc>
          <w:tcPr>
            <w:tcW w:w="18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Järjekorranumber</w:t>
            </w:r>
          </w:p>
        </w:tc>
        <w:tc>
          <w:tcPr>
            <w:tcW w:w="343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Seotud meede (reform või investeering)</w:t>
            </w:r>
          </w:p>
        </w:tc>
        <w:tc>
          <w:tcPr>
            <w:tcW w:w="120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Eesmärk / siht</w:t>
            </w:r>
          </w:p>
        </w:tc>
        <w:tc>
          <w:tcPr>
            <w:tcW w:w="307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Nimi</w:t>
            </w:r>
          </w:p>
        </w:tc>
      </w:tr>
      <w:tr>
        <w:trPr>
          <w:cantSplit/>
          <w:trHeight w:val="990"/>
          <w:tblHeader/>
        </w:trPr>
        <w:tc>
          <w:tcPr>
            <w:tcW w:w="1804"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3436"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120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3070"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r>
      <w:tr>
        <w:trPr>
          <w:cantSplit/>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23</w:t>
            </w:r>
          </w:p>
        </w:tc>
        <w:tc>
          <w:tcPr>
            <w:tcW w:w="3436"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2.1. Ettevõtete rohepööre</w:t>
            </w:r>
          </w:p>
        </w:tc>
        <w:tc>
          <w:tcPr>
            <w:tcW w:w="1209"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3070"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Rohepöörde rakkerühma loomine rohepöörde rakendamiseks ja seireks</w:t>
            </w:r>
          </w:p>
        </w:tc>
      </w:tr>
      <w:tr>
        <w:trPr>
          <w:cantSplit/>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28</w:t>
            </w:r>
          </w:p>
        </w:tc>
        <w:tc>
          <w:tcPr>
            <w:tcW w:w="3436"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2.3. rohetehnoloogiate arendusprogrammid</w:t>
            </w:r>
          </w:p>
        </w:tc>
        <w:tc>
          <w:tcPr>
            <w:tcW w:w="1209"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3070"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Arendusprogrammi kavandamise ja koostamise töörühma moodustamine</w:t>
            </w:r>
          </w:p>
        </w:tc>
      </w:tr>
      <w:tr>
        <w:trPr>
          <w:cantSplit/>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37</w:t>
            </w:r>
          </w:p>
        </w:tc>
        <w:tc>
          <w:tcPr>
            <w:tcW w:w="343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2.6. Rohefond</w:t>
            </w:r>
          </w:p>
        </w:tc>
        <w:tc>
          <w:tcPr>
            <w:tcW w:w="1209"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3070"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Majandus- ja kommunikatsiooniministeeriumi ning SmartCapi vahelise lepingu allakirjutamine</w:t>
            </w:r>
          </w:p>
        </w:tc>
      </w:tr>
      <w:tr>
        <w:trPr>
          <w:cantSplit/>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38</w:t>
            </w:r>
          </w:p>
        </w:tc>
        <w:tc>
          <w:tcPr>
            <w:tcW w:w="3436"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2.6. Rohefond</w:t>
            </w:r>
          </w:p>
        </w:tc>
        <w:tc>
          <w:tcPr>
            <w:tcW w:w="1209"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3070"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Investeerimispoliitika dokumendi vastuvõtmine SmartCapi poolt</w:t>
            </w:r>
          </w:p>
        </w:tc>
      </w:tr>
      <w:tr>
        <w:trPr>
          <w:cantSplit/>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44</w:t>
            </w:r>
          </w:p>
        </w:tc>
        <w:tc>
          <w:tcPr>
            <w:tcW w:w="343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3.1. Andmehalduse ja avaandmete oivakeskuse loomine ja väljaarendamine</w:t>
            </w:r>
          </w:p>
        </w:tc>
        <w:tc>
          <w:tcPr>
            <w:tcW w:w="1209"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3070"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Andmehaldusmeeskonna moodustamine statistikaametis, majandus- ja kommunikatsiooniministeeriumis ning Riigi Infosüsteemi Ametis</w:t>
            </w:r>
          </w:p>
        </w:tc>
      </w:tr>
      <w:tr>
        <w:trPr>
          <w:cantSplit/>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70</w:t>
            </w:r>
          </w:p>
        </w:tc>
        <w:tc>
          <w:tcPr>
            <w:tcW w:w="343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4.4. Energiamajanduses rohepöörde hoogustamine</w:t>
            </w:r>
          </w:p>
        </w:tc>
        <w:tc>
          <w:tcPr>
            <w:tcW w:w="1209"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3070"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Valitsuse otsus investeeringute kohta, mis on vajalikud tuuleparkide riigikaitseliste kõrgusepiirangute tühistamiseks.</w:t>
            </w:r>
          </w:p>
        </w:tc>
      </w:tr>
      <w:tr>
        <w:trPr>
          <w:cantSplit/>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71</w:t>
            </w:r>
          </w:p>
        </w:tc>
        <w:tc>
          <w:tcPr>
            <w:tcW w:w="343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4.4. Energiamajanduses rohepöörde hoogustamine</w:t>
            </w:r>
          </w:p>
        </w:tc>
        <w:tc>
          <w:tcPr>
            <w:tcW w:w="1209"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3070"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Valitsuse otsuse vastuvõtmine, et kiita heaks energiamajanduse arengukava koostamine ning määrata kindlaks vastutajad ja tähtajad.</w:t>
            </w:r>
          </w:p>
        </w:tc>
      </w:tr>
      <w:tr>
        <w:trPr>
          <w:cantSplit/>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74</w:t>
            </w:r>
          </w:p>
        </w:tc>
        <w:tc>
          <w:tcPr>
            <w:tcW w:w="343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4.5. Elektrivõrgu tugevdamise programm taastuvenergia tootmisvõimekuse tõstmiseks ning kliimamuutustega (nt tormid) kohanemiseks</w:t>
            </w:r>
          </w:p>
        </w:tc>
        <w:tc>
          <w:tcPr>
            <w:tcW w:w="1209"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3070"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Võrguinvesteeringute kaasrahastamise lepingu allkirjastamine põhivõrguettevõtjaga</w:t>
            </w:r>
          </w:p>
        </w:tc>
      </w:tr>
      <w:tr>
        <w:trPr>
          <w:cantSplit/>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81</w:t>
            </w:r>
          </w:p>
        </w:tc>
        <w:tc>
          <w:tcPr>
            <w:tcW w:w="343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5.1. Võtame kasutusele ohutu, keskkonnahoidliku, konkurentsivõimelise, vajaduspõhise ja jätkusuutliku transpordi- ja energiataristu</w:t>
            </w:r>
          </w:p>
        </w:tc>
        <w:tc>
          <w:tcPr>
            <w:tcW w:w="1209"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3070"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Transpordi ja liikuvuse arengukava (2021–2035) vastuvõtmine valitsuses</w:t>
            </w:r>
          </w:p>
        </w:tc>
      </w:tr>
      <w:tr>
        <w:trPr>
          <w:cantSplit/>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86</w:t>
            </w:r>
          </w:p>
        </w:tc>
        <w:tc>
          <w:tcPr>
            <w:tcW w:w="343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5.3. Rail Balticu mitmeliigilise ühisterminali ehitamine Tallinnasse</w:t>
            </w:r>
          </w:p>
        </w:tc>
        <w:tc>
          <w:tcPr>
            <w:tcW w:w="1209"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3070"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Lepingu sõlmimine Rail Balticu mitmeliigilise ühisterminali hoone ehitamiseks Tallinnasse</w:t>
            </w:r>
          </w:p>
        </w:tc>
      </w:tr>
      <w:tr>
        <w:trPr>
          <w:cantSplit/>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89</w:t>
            </w:r>
          </w:p>
        </w:tc>
        <w:tc>
          <w:tcPr>
            <w:tcW w:w="343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5.4. Tallinna Vanasadama trammiliini rajamine</w:t>
            </w:r>
          </w:p>
        </w:tc>
        <w:tc>
          <w:tcPr>
            <w:tcW w:w="1209"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3070"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Trammiteede ehitusprojekti lõpuleviimine</w:t>
            </w:r>
          </w:p>
        </w:tc>
      </w:tr>
      <w:tr>
        <w:trPr>
          <w:cantSplit/>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99</w:t>
            </w:r>
          </w:p>
        </w:tc>
        <w:tc>
          <w:tcPr>
            <w:tcW w:w="343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6.2. Põhja-Eesti meditsiinilinnaku loomine</w:t>
            </w:r>
          </w:p>
        </w:tc>
        <w:tc>
          <w:tcPr>
            <w:tcW w:w="1209"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3070"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Põhja-Eesti meditsiinilinnaku projekteerimislepingu allkirjastamine.</w:t>
            </w:r>
          </w:p>
        </w:tc>
      </w:tr>
      <w:tr>
        <w:trPr>
          <w:cantSplit/>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106</w:t>
            </w:r>
          </w:p>
        </w:tc>
        <w:tc>
          <w:tcPr>
            <w:tcW w:w="343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6.3. Tervishoiu esmatasandi tugevdamine</w:t>
            </w:r>
          </w:p>
        </w:tc>
        <w:tc>
          <w:tcPr>
            <w:tcW w:w="1209"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3070"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Eesti haigekassa tervishoiuteenuste loetelu eriarstiabile juurdepääsu osa muutva valitsuse akti jõustumine.</w:t>
            </w:r>
          </w:p>
        </w:tc>
      </w:tr>
      <w:tr>
        <w:trPr>
          <w:cantSplit/>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107</w:t>
            </w:r>
          </w:p>
        </w:tc>
        <w:tc>
          <w:tcPr>
            <w:tcW w:w="343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6.3. Tervishoiu esmatasandi tugevdamine</w:t>
            </w:r>
          </w:p>
        </w:tc>
        <w:tc>
          <w:tcPr>
            <w:tcW w:w="1209"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3070"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Jõustuvad valitsuse akti muudatused, millega muudetakse Eesti haigekassa tervishoiuteenuste loetelu perearstide kulusid ja -teenuseid käsitlevat osa.</w:t>
            </w:r>
          </w:p>
        </w:tc>
      </w:tr>
      <w:tr>
        <w:trPr>
          <w:cantSplit/>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113</w:t>
            </w:r>
          </w:p>
        </w:tc>
        <w:tc>
          <w:tcPr>
            <w:tcW w:w="343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6.6. Tööturumeetmed noorte tööpuuduse vähendamiseks</w:t>
            </w:r>
          </w:p>
        </w:tc>
        <w:tc>
          <w:tcPr>
            <w:tcW w:w="1209"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3070"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Meedet „Minu esimene töökoht“ tugevdava tervise- ja tööministri käskkirja jõustumine.</w:t>
            </w:r>
          </w:p>
        </w:tc>
      </w:tr>
      <w:tr>
        <w:trPr>
          <w:cantSplit/>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124</w:t>
            </w:r>
          </w:p>
        </w:tc>
        <w:tc>
          <w:tcPr>
            <w:tcW w:w="343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Audit ja kontroll</w:t>
            </w:r>
          </w:p>
        </w:tc>
        <w:tc>
          <w:tcPr>
            <w:tcW w:w="1209"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3070"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Jõustub valitsuse määrus, millega on kehtestatud õigusraamistik Eesti taaste- ja vastupidavuskava rakendamiseks ja järelevalveks.</w:t>
            </w:r>
          </w:p>
        </w:tc>
      </w:tr>
      <w:tr>
        <w:trPr>
          <w:cantSplit/>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lang w:eastAsia="en-GB"/>
              </w:rPr>
            </w:pPr>
          </w:p>
        </w:tc>
        <w:tc>
          <w:tcPr>
            <w:tcW w:w="3436"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lang w:eastAsia="en-GB"/>
              </w:rPr>
            </w:pPr>
          </w:p>
        </w:tc>
        <w:tc>
          <w:tcPr>
            <w:tcW w:w="1209"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Osamakse summa</w:t>
            </w:r>
          </w:p>
        </w:tc>
        <w:tc>
          <w:tcPr>
            <w:tcW w:w="3070"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145 394 882 eurot</w:t>
            </w:r>
          </w:p>
        </w:tc>
      </w:tr>
    </w:tbl>
    <w:p>
      <w:pPr>
        <w:spacing w:before="120" w:after="120" w:line="240" w:lineRule="auto"/>
        <w:jc w:val="both"/>
        <w:rPr>
          <w:rFonts w:ascii="Times New Roman" w:hAnsi="Times New Roman" w:cs="Times New Roman"/>
          <w:noProof/>
          <w:sz w:val="24"/>
        </w:rPr>
      </w:pPr>
    </w:p>
    <w:p>
      <w:pPr>
        <w:rPr>
          <w:rFonts w:ascii="Times New Roman" w:hAnsi="Times New Roman" w:cs="Times New Roman"/>
          <w:noProof/>
          <w:sz w:val="24"/>
        </w:rPr>
      </w:pPr>
      <w:r>
        <w:rPr>
          <w:noProof/>
        </w:rPr>
        <w:br w:type="page"/>
      </w:r>
    </w:p>
    <w:p>
      <w:pPr>
        <w:tabs>
          <w:tab w:val="num" w:pos="850"/>
        </w:tabs>
        <w:spacing w:before="120" w:after="240" w:line="240" w:lineRule="auto"/>
        <w:ind w:left="850" w:hanging="850"/>
        <w:jc w:val="both"/>
        <w:rPr>
          <w:rFonts w:ascii="Times New Roman" w:hAnsi="Times New Roman" w:cs="Times New Roman"/>
          <w:noProof/>
          <w:sz w:val="24"/>
          <w:szCs w:val="24"/>
        </w:rPr>
      </w:pPr>
      <w:r>
        <w:rPr>
          <w:rFonts w:ascii="Times New Roman" w:hAnsi="Times New Roman"/>
          <w:noProof/>
          <w:sz w:val="24"/>
          <w:szCs w:val="24"/>
        </w:rPr>
        <w:t xml:space="preserve">Teine osamakse (tagastamatu toetus): </w:t>
      </w:r>
    </w:p>
    <w:tbl>
      <w:tblPr>
        <w:tblW w:w="9955" w:type="dxa"/>
        <w:tblInd w:w="113" w:type="dxa"/>
        <w:tblLayout w:type="fixed"/>
        <w:tblLook w:val="04A0" w:firstRow="1" w:lastRow="0" w:firstColumn="1" w:lastColumn="0" w:noHBand="0" w:noVBand="1"/>
      </w:tblPr>
      <w:tblGrid>
        <w:gridCol w:w="1795"/>
        <w:gridCol w:w="2640"/>
        <w:gridCol w:w="2793"/>
        <w:gridCol w:w="2727"/>
      </w:tblGrid>
      <w:tr>
        <w:trPr>
          <w:cantSplit/>
          <w:trHeight w:val="906"/>
        </w:trPr>
        <w:tc>
          <w:tcPr>
            <w:tcW w:w="179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Järjekorra-number</w:t>
            </w:r>
          </w:p>
        </w:tc>
        <w:tc>
          <w:tcPr>
            <w:tcW w:w="264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Seotud meede (reform või investeering)</w:t>
            </w:r>
          </w:p>
        </w:tc>
        <w:tc>
          <w:tcPr>
            <w:tcW w:w="279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Eesmärk / siht</w:t>
            </w:r>
          </w:p>
        </w:tc>
        <w:tc>
          <w:tcPr>
            <w:tcW w:w="2727"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Nimi</w:t>
            </w:r>
          </w:p>
        </w:tc>
      </w:tr>
      <w:tr>
        <w:trPr>
          <w:cantSplit/>
          <w:trHeight w:val="276"/>
        </w:trPr>
        <w:tc>
          <w:tcPr>
            <w:tcW w:w="1795"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264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2793"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2727"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r>
      <w:tr>
        <w:trPr>
          <w:cantSplit/>
          <w:trHeight w:val="302"/>
        </w:trPr>
        <w:tc>
          <w:tcPr>
            <w:tcW w:w="1795"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w:t>
            </w:r>
          </w:p>
        </w:tc>
        <w:tc>
          <w:tcPr>
            <w:tcW w:w="2640"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1.1. Ettevõtete digipööre</w:t>
            </w:r>
          </w:p>
        </w:tc>
        <w:tc>
          <w:tcPr>
            <w:tcW w:w="2793"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727"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Projektikonkursi ettevalmistamine koos hindamiskriteeriumide ja toetuse andmise tingimustega</w:t>
            </w:r>
          </w:p>
        </w:tc>
      </w:tr>
      <w:tr>
        <w:trPr>
          <w:cantSplit/>
          <w:trHeight w:val="302"/>
        </w:trPr>
        <w:tc>
          <w:tcPr>
            <w:tcW w:w="1795"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w:t>
            </w:r>
          </w:p>
        </w:tc>
        <w:tc>
          <w:tcPr>
            <w:tcW w:w="2640"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1.4. Oskuste reform ettevõtete digipöördeks</w:t>
            </w:r>
          </w:p>
        </w:tc>
        <w:tc>
          <w:tcPr>
            <w:tcW w:w="279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727"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Digioskuste arendamise toetamise tingimusi sisaldavate teiseste õigusaktide jõustumine</w:t>
            </w:r>
          </w:p>
        </w:tc>
      </w:tr>
      <w:tr>
        <w:trPr>
          <w:cantSplit/>
          <w:trHeight w:val="302"/>
        </w:trPr>
        <w:tc>
          <w:tcPr>
            <w:tcW w:w="1795"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16</w:t>
            </w:r>
          </w:p>
        </w:tc>
        <w:tc>
          <w:tcPr>
            <w:tcW w:w="2640"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1.5.1. Ettevõtete konkurentsivõime toetamine välisturgudel</w:t>
            </w:r>
          </w:p>
        </w:tc>
        <w:tc>
          <w:tcPr>
            <w:tcW w:w="279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727"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Strateegiate väljatöötamise ettevalmistamine</w:t>
            </w:r>
          </w:p>
        </w:tc>
      </w:tr>
      <w:tr>
        <w:trPr>
          <w:cantSplit/>
          <w:trHeight w:val="302"/>
        </w:trPr>
        <w:tc>
          <w:tcPr>
            <w:tcW w:w="1795"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19</w:t>
            </w:r>
          </w:p>
        </w:tc>
        <w:tc>
          <w:tcPr>
            <w:tcW w:w="2640"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1.5.2. Ettevõtete konkurentsivõime toetamine välisturgudel - Innovaatilised ettevõtluskeskused peamistel eksporditurgudel</w:t>
            </w:r>
          </w:p>
        </w:tc>
        <w:tc>
          <w:tcPr>
            <w:tcW w:w="279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727"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Ettevalmistav analüüs ettevõtluskeskuste sisustuse ja asukoha kindlaksmääramiseks</w:t>
            </w:r>
          </w:p>
        </w:tc>
      </w:tr>
      <w:tr>
        <w:trPr>
          <w:cantSplit/>
          <w:trHeight w:val="302"/>
        </w:trPr>
        <w:tc>
          <w:tcPr>
            <w:tcW w:w="1795"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21</w:t>
            </w:r>
          </w:p>
        </w:tc>
        <w:tc>
          <w:tcPr>
            <w:tcW w:w="2640"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1.5.3. Ettevõtete konkurentsivõime toetamine välisturgudel - Globaalsed e-ekspordi löögirühmad ja virtuaallavad</w:t>
            </w:r>
          </w:p>
        </w:tc>
        <w:tc>
          <w:tcPr>
            <w:tcW w:w="279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727"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Löögirühmade loomine ja sihtkohtade valimine ülemaailmsete digilähetuste jaoks</w:t>
            </w:r>
          </w:p>
        </w:tc>
      </w:tr>
      <w:tr>
        <w:trPr>
          <w:cantSplit/>
          <w:trHeight w:val="302"/>
        </w:trPr>
        <w:tc>
          <w:tcPr>
            <w:tcW w:w="1795"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25</w:t>
            </w:r>
          </w:p>
        </w:tc>
        <w:tc>
          <w:tcPr>
            <w:tcW w:w="2640"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2.2. Roheoskused ettevõtete rohepöörde toetamiseks</w:t>
            </w:r>
          </w:p>
        </w:tc>
        <w:tc>
          <w:tcPr>
            <w:tcW w:w="2793"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727"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Roheoskuste arendamise toetamise tingimusi sisaldavate teiseste õigusaktide jõustumine</w:t>
            </w:r>
          </w:p>
        </w:tc>
      </w:tr>
      <w:tr>
        <w:trPr>
          <w:cantSplit/>
          <w:trHeight w:val="302"/>
        </w:trPr>
        <w:tc>
          <w:tcPr>
            <w:tcW w:w="1795"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32</w:t>
            </w:r>
          </w:p>
        </w:tc>
        <w:tc>
          <w:tcPr>
            <w:tcW w:w="2640"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2.4. Tootmisettevõtete ärimudelite ajakohastamine</w:t>
            </w:r>
          </w:p>
        </w:tc>
        <w:tc>
          <w:tcPr>
            <w:tcW w:w="279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727"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Toetuse andmise tingimusi sätestava ministri käskkirja jõustumine</w:t>
            </w:r>
          </w:p>
        </w:tc>
      </w:tr>
      <w:tr>
        <w:trPr>
          <w:cantSplit/>
          <w:trHeight w:val="302"/>
        </w:trPr>
        <w:tc>
          <w:tcPr>
            <w:tcW w:w="1795"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34</w:t>
            </w:r>
          </w:p>
        </w:tc>
        <w:tc>
          <w:tcPr>
            <w:tcW w:w="2640"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2.5. Ressursitõhusate rohetehnoloogiate kasutuselevõtt</w:t>
            </w:r>
          </w:p>
        </w:tc>
        <w:tc>
          <w:tcPr>
            <w:tcW w:w="279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727"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Konkursikutse avaldamine</w:t>
            </w:r>
          </w:p>
        </w:tc>
      </w:tr>
      <w:tr>
        <w:trPr>
          <w:cantSplit/>
          <w:trHeight w:val="302"/>
        </w:trPr>
        <w:tc>
          <w:tcPr>
            <w:tcW w:w="1795"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51</w:t>
            </w:r>
          </w:p>
        </w:tc>
        <w:tc>
          <w:tcPr>
            <w:tcW w:w="2640"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3.4. #Bürokrati programm (riikliku virtuaalassistendi platvorm ja ökosüsteem)</w:t>
            </w:r>
          </w:p>
        </w:tc>
        <w:tc>
          <w:tcPr>
            <w:tcW w:w="279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727"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Juurdepääs digitaalsetele avalikele teenustele virtuaalassistendi platvormi kaudu</w:t>
            </w:r>
          </w:p>
        </w:tc>
      </w:tr>
      <w:tr>
        <w:trPr>
          <w:cantSplit/>
          <w:trHeight w:val="302"/>
        </w:trPr>
        <w:tc>
          <w:tcPr>
            <w:tcW w:w="1795"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54</w:t>
            </w:r>
          </w:p>
        </w:tc>
        <w:tc>
          <w:tcPr>
            <w:tcW w:w="2640"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3.5. Digiriigi baasteenuste ümberkorraldamine ning turvaline pilvetaristule üleminek</w:t>
            </w:r>
          </w:p>
        </w:tc>
        <w:tc>
          <w:tcPr>
            <w:tcW w:w="279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727"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Keskselt osutatud / jagatud IT-baasteenuste väljaarendamine</w:t>
            </w:r>
          </w:p>
        </w:tc>
      </w:tr>
      <w:tr>
        <w:trPr>
          <w:cantSplit/>
          <w:trHeight w:val="302"/>
        </w:trPr>
        <w:tc>
          <w:tcPr>
            <w:tcW w:w="1795"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65</w:t>
            </w:r>
          </w:p>
        </w:tc>
        <w:tc>
          <w:tcPr>
            <w:tcW w:w="2640"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4.2. Korterelamute rekonstrueerimise toetamine</w:t>
            </w:r>
          </w:p>
        </w:tc>
        <w:tc>
          <w:tcPr>
            <w:tcW w:w="279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727"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Korterelamute rekonstrueerimistoetuse projektikonkursside väljakuulutamine</w:t>
            </w:r>
          </w:p>
        </w:tc>
      </w:tr>
      <w:tr>
        <w:trPr>
          <w:cantSplit/>
          <w:trHeight w:val="302"/>
        </w:trPr>
        <w:tc>
          <w:tcPr>
            <w:tcW w:w="1795"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68</w:t>
            </w:r>
          </w:p>
        </w:tc>
        <w:tc>
          <w:tcPr>
            <w:tcW w:w="2640"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4.3. Väikeelamute rekonstrueerimise toetamine</w:t>
            </w:r>
          </w:p>
        </w:tc>
        <w:tc>
          <w:tcPr>
            <w:tcW w:w="279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727"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Renoveerimistoetuse projektikonkursside väljakuulutamine</w:t>
            </w:r>
          </w:p>
        </w:tc>
      </w:tr>
      <w:tr>
        <w:trPr>
          <w:cantSplit/>
          <w:trHeight w:val="302"/>
        </w:trPr>
        <w:tc>
          <w:tcPr>
            <w:tcW w:w="1795"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84</w:t>
            </w:r>
          </w:p>
        </w:tc>
        <w:tc>
          <w:tcPr>
            <w:tcW w:w="2640"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5.2. Läänesuunalise Tallinna-Rohuküla raudteeliini uue lõigu rajamine</w:t>
            </w:r>
          </w:p>
        </w:tc>
        <w:tc>
          <w:tcPr>
            <w:tcW w:w="279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727"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Raudtee ehituslepingu sõlmimine raudtee ehitamiseks Turba-Ellamaa ja Ellamaa-Risti lõikudel</w:t>
            </w:r>
          </w:p>
        </w:tc>
      </w:tr>
      <w:tr>
        <w:trPr>
          <w:cantSplit/>
          <w:trHeight w:val="302"/>
        </w:trPr>
        <w:tc>
          <w:tcPr>
            <w:tcW w:w="1795"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90</w:t>
            </w:r>
          </w:p>
        </w:tc>
        <w:tc>
          <w:tcPr>
            <w:tcW w:w="2640"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5.4. Tallinna Vanasadama trammiliini rajamine</w:t>
            </w:r>
          </w:p>
        </w:tc>
        <w:tc>
          <w:tcPr>
            <w:tcW w:w="279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727"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Ehituslepingu sõlmimine</w:t>
            </w:r>
          </w:p>
        </w:tc>
      </w:tr>
      <w:tr>
        <w:trPr>
          <w:cantSplit/>
          <w:trHeight w:val="302"/>
        </w:trPr>
        <w:tc>
          <w:tcPr>
            <w:tcW w:w="1795"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114</w:t>
            </w:r>
          </w:p>
        </w:tc>
        <w:tc>
          <w:tcPr>
            <w:tcW w:w="2640"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6.6. Tööturumeetmed noorte tööpuuduse vähendamiseks</w:t>
            </w:r>
          </w:p>
        </w:tc>
        <w:tc>
          <w:tcPr>
            <w:tcW w:w="279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727"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Noortegarantii tegevuskava</w:t>
            </w:r>
            <w:r>
              <w:rPr>
                <w:noProof/>
              </w:rPr>
              <w:t xml:space="preserve"> </w:t>
            </w:r>
          </w:p>
        </w:tc>
      </w:tr>
      <w:tr>
        <w:trPr>
          <w:cantSplit/>
          <w:trHeight w:val="302"/>
        </w:trPr>
        <w:tc>
          <w:tcPr>
            <w:tcW w:w="1795"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117</w:t>
            </w:r>
          </w:p>
        </w:tc>
        <w:tc>
          <w:tcPr>
            <w:tcW w:w="2640"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6.8. Pikaajaline hooldus </w:t>
            </w:r>
          </w:p>
        </w:tc>
        <w:tc>
          <w:tcPr>
            <w:tcW w:w="2793"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727"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Sotsiaalhoolekande seaduse muudatuste jõustumine</w:t>
            </w:r>
          </w:p>
        </w:tc>
      </w:tr>
      <w:tr>
        <w:trPr>
          <w:cantSplit/>
          <w:trHeight w:val="302"/>
        </w:trPr>
        <w:tc>
          <w:tcPr>
            <w:tcW w:w="1795"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lang w:eastAsia="en-GB"/>
              </w:rPr>
            </w:pPr>
          </w:p>
        </w:tc>
        <w:tc>
          <w:tcPr>
            <w:tcW w:w="2640"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lang w:eastAsia="en-GB"/>
              </w:rPr>
            </w:pPr>
          </w:p>
        </w:tc>
        <w:tc>
          <w:tcPr>
            <w:tcW w:w="2793"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Osamakse summa</w:t>
            </w:r>
          </w:p>
        </w:tc>
        <w:tc>
          <w:tcPr>
            <w:tcW w:w="2727"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145 394 882 eurot</w:t>
            </w:r>
          </w:p>
        </w:tc>
      </w:tr>
    </w:tbl>
    <w:p>
      <w:pPr>
        <w:spacing w:before="120" w:after="120" w:line="240" w:lineRule="auto"/>
        <w:jc w:val="both"/>
        <w:rPr>
          <w:rFonts w:ascii="Times New Roman" w:hAnsi="Times New Roman" w:cs="Times New Roman"/>
          <w:noProof/>
          <w:sz w:val="24"/>
        </w:rPr>
        <w:sectPr>
          <w:headerReference w:type="even" r:id="rId109"/>
          <w:headerReference w:type="default" r:id="rId110"/>
          <w:footerReference w:type="even" r:id="rId111"/>
          <w:footerReference w:type="default" r:id="rId112"/>
          <w:headerReference w:type="first" r:id="rId113"/>
          <w:footerReference w:type="first" r:id="rId114"/>
          <w:pgSz w:w="11907" w:h="16839"/>
          <w:pgMar w:top="1134" w:right="1417" w:bottom="1134" w:left="1417" w:header="709" w:footer="709" w:gutter="0"/>
          <w:cols w:space="720"/>
          <w:docGrid w:linePitch="360"/>
        </w:sectPr>
      </w:pPr>
    </w:p>
    <w:p>
      <w:pPr>
        <w:tabs>
          <w:tab w:val="num" w:pos="850"/>
        </w:tabs>
        <w:spacing w:before="120" w:after="240" w:line="240" w:lineRule="auto"/>
        <w:ind w:left="850" w:hanging="850"/>
        <w:jc w:val="both"/>
        <w:rPr>
          <w:rFonts w:ascii="Times New Roman" w:hAnsi="Times New Roman" w:cs="Times New Roman"/>
          <w:noProof/>
          <w:sz w:val="24"/>
          <w:szCs w:val="24"/>
        </w:rPr>
      </w:pPr>
      <w:r>
        <w:rPr>
          <w:rFonts w:ascii="Times New Roman" w:hAnsi="Times New Roman"/>
          <w:noProof/>
          <w:sz w:val="24"/>
          <w:szCs w:val="24"/>
        </w:rPr>
        <w:t xml:space="preserve">Kolmas osamakse (tagastamatu toetus): </w:t>
      </w:r>
    </w:p>
    <w:tbl>
      <w:tblPr>
        <w:tblW w:w="9955" w:type="dxa"/>
        <w:tblInd w:w="113" w:type="dxa"/>
        <w:tblLook w:val="04A0" w:firstRow="1" w:lastRow="0" w:firstColumn="1" w:lastColumn="0" w:noHBand="0" w:noVBand="1"/>
      </w:tblPr>
      <w:tblGrid>
        <w:gridCol w:w="2149"/>
        <w:gridCol w:w="3006"/>
        <w:gridCol w:w="2153"/>
        <w:gridCol w:w="2647"/>
      </w:tblGrid>
      <w:tr>
        <w:trPr>
          <w:cantSplit/>
          <w:trHeight w:val="906"/>
          <w:tblHeader/>
        </w:trPr>
        <w:tc>
          <w:tcPr>
            <w:tcW w:w="214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Järjekorra-number</w:t>
            </w:r>
          </w:p>
        </w:tc>
        <w:tc>
          <w:tcPr>
            <w:tcW w:w="300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Seotud meede (reform või investeering)</w:t>
            </w:r>
          </w:p>
        </w:tc>
        <w:tc>
          <w:tcPr>
            <w:tcW w:w="215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Eesmärk / siht</w:t>
            </w:r>
          </w:p>
        </w:tc>
        <w:tc>
          <w:tcPr>
            <w:tcW w:w="2647"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Nimi</w:t>
            </w:r>
          </w:p>
        </w:tc>
      </w:tr>
      <w:tr>
        <w:trPr>
          <w:cantSplit/>
          <w:trHeight w:val="990"/>
          <w:tblHeader/>
        </w:trPr>
        <w:tc>
          <w:tcPr>
            <w:tcW w:w="214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3006"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2153"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2647"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w:t>
            </w:r>
          </w:p>
        </w:tc>
        <w:tc>
          <w:tcPr>
            <w:tcW w:w="3006"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1.3. E-veoselehe teenuse arendamine</w:t>
            </w:r>
          </w:p>
        </w:tc>
        <w:tc>
          <w:tcPr>
            <w:tcW w:w="2153"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vAlign w:val="bottom"/>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Elektroonilise kaubaveoteabe (eFTI) platvormide arendamine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24</w:t>
            </w:r>
          </w:p>
        </w:tc>
        <w:tc>
          <w:tcPr>
            <w:tcW w:w="3006"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2.1. Ettevõtete rohepööre</w:t>
            </w:r>
          </w:p>
        </w:tc>
        <w:tc>
          <w:tcPr>
            <w:tcW w:w="2153"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vAlign w:val="bottom"/>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Ringmajanduse tegevuskava vastuvõtmine rohepöörde rakkerühmas</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41</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2.7. Tingimuste ja võimaluste loomine taastuvenergial põhinevate rohelise vesiniku tehnoloogiate kasutuselevõtuks</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vAlign w:val="bottom"/>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Toetuse andmise tingimusi sätestava ministri käskkirja jõustumine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47</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3.2. Eraisikutele sündmusteenuste ja etteaimavate teenuste väljaarendamine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vAlign w:val="bottom"/>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Eraisikute elusündmusteenuste ja/või etteaimavate teenuste käivitamine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49</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3.3. Ettevõtja sündmusteenuste ja digivärava väljaarendamine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vAlign w:val="bottom"/>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Ärisündmustel põhinevate teenuste ja digivärava rakendamisele kaasa aitavate IT-arenduste kasutuselevõtt</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63</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4.1. Energiatõhustamise soodustamine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vAlign w:val="bottom"/>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Koostöölepingu sõlmimine, et sätestada SA Kredex / Enterprise Eesti ja maakondlike arenduskeskuste vahelise koostöö tingimused.</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76</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4.6. Tööstusalades elektritootmisseadmete kasutuselevõtu hoogustamise programm</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vAlign w:val="bottom"/>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Projektikonkursi väljakuulutamine tööstusaladel energiatootmise hoogustamiseks</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78</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4.7. Energiasalvestuse pilootprogramm</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vAlign w:val="bottom"/>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Energiasalvestuse pilootprogrammi projektikonkursi väljakuulutamine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82</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5.1. Võtame kasutusele ohutu, keskkonnahoidliku, konkurentsivõimelise, vajaduspõhise ja jätkusuutliku transpordi- ja energiataristu</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Transpordi ja liikuvuse arengukava (2021–2035) keskkonnasõbraliku ja säästliku transpordi arendamise rakendusplaani vastuvõtmine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92</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5.5. KOVide investeeringud jalgratta- ja/või jalgteedesse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Konkurss toetuse saamiseks</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95</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6.1. Eesti tervishoiukorralduse terviklik muutmine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Tervishoiutöötajate nappuse leevendamise strateegilise raamistiku heakskiitmine </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96</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6.1. Eesti tervishoiukorralduse terviklik muutmine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Tervishoiuteenuste korraldamise seadust käsitleva tervise- ja tööministri käskkirja jõustumine, et parandada arstide, õdede ja proviisorite kulude hüvitamise süsteemi.</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108</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6.3. Tervishoiu esmatasandi tugevdamine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Tervishoiuteenuste korraldamise seaduse muudatuste jõustumine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109</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6.4. E-tervise valitsemisraamistiku uuendamine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E-tervise valitsemisraamistiku ja selle rakenduskava heakskiitmine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116</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6.7. Töötuskindlustushüvitise kestuse pikendamine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Tööturuteenuste ja -toetuste seaduse ning töötuskindlustuse seaduse muudatuste jõustumine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118</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6.8. Pikaajaline hooldus </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Integreeritud sotsiaal- ja tervishoiuteenuste osutamise tegevuskava</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122</w:t>
            </w:r>
          </w:p>
        </w:tc>
        <w:tc>
          <w:tcPr>
            <w:tcW w:w="3006"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6.9. Soolise palgalõhe vähendamine</w:t>
            </w:r>
          </w:p>
        </w:tc>
        <w:tc>
          <w:tcPr>
            <w:tcW w:w="2153"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Digitaalne soolise palgalõhe töövahend</w:t>
            </w:r>
          </w:p>
        </w:tc>
      </w:tr>
      <w:tr>
        <w:trPr>
          <w:cantSplit/>
          <w:trHeight w:val="302"/>
        </w:trPr>
        <w:tc>
          <w:tcPr>
            <w:tcW w:w="2149"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lang w:eastAsia="en-GB"/>
              </w:rPr>
            </w:pPr>
          </w:p>
        </w:tc>
        <w:tc>
          <w:tcPr>
            <w:tcW w:w="3006"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lang w:eastAsia="en-GB"/>
              </w:rPr>
            </w:pPr>
          </w:p>
        </w:tc>
        <w:tc>
          <w:tcPr>
            <w:tcW w:w="2153"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Osamakse summa</w:t>
            </w:r>
          </w:p>
        </w:tc>
        <w:tc>
          <w:tcPr>
            <w:tcW w:w="2647"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145 394 882 eurot</w:t>
            </w:r>
          </w:p>
        </w:tc>
      </w:tr>
    </w:tbl>
    <w:p>
      <w:pPr>
        <w:spacing w:before="120" w:after="120" w:line="240" w:lineRule="auto"/>
        <w:jc w:val="both"/>
        <w:rPr>
          <w:rFonts w:ascii="Times New Roman" w:hAnsi="Times New Roman" w:cs="Times New Roman"/>
          <w:noProof/>
          <w:sz w:val="24"/>
        </w:rPr>
      </w:pPr>
    </w:p>
    <w:p>
      <w:pPr>
        <w:tabs>
          <w:tab w:val="num" w:pos="850"/>
        </w:tabs>
        <w:spacing w:before="120" w:after="240" w:line="240" w:lineRule="auto"/>
        <w:ind w:left="850" w:hanging="850"/>
        <w:jc w:val="both"/>
        <w:rPr>
          <w:rFonts w:ascii="Times New Roman" w:hAnsi="Times New Roman" w:cs="Times New Roman"/>
          <w:noProof/>
          <w:sz w:val="24"/>
          <w:szCs w:val="24"/>
        </w:rPr>
      </w:pPr>
      <w:r>
        <w:rPr>
          <w:rFonts w:ascii="Times New Roman" w:hAnsi="Times New Roman"/>
          <w:noProof/>
          <w:sz w:val="24"/>
          <w:szCs w:val="24"/>
        </w:rPr>
        <w:t xml:space="preserve">Neljas osamakse (tagastamatu toetus): </w:t>
      </w:r>
    </w:p>
    <w:tbl>
      <w:tblPr>
        <w:tblW w:w="9955" w:type="dxa"/>
        <w:tblInd w:w="113" w:type="dxa"/>
        <w:tblLook w:val="04A0" w:firstRow="1" w:lastRow="0" w:firstColumn="1" w:lastColumn="0" w:noHBand="0" w:noVBand="1"/>
      </w:tblPr>
      <w:tblGrid>
        <w:gridCol w:w="2149"/>
        <w:gridCol w:w="3006"/>
        <w:gridCol w:w="2153"/>
        <w:gridCol w:w="2647"/>
      </w:tblGrid>
      <w:tr>
        <w:trPr>
          <w:cantSplit/>
          <w:trHeight w:val="906"/>
          <w:tblHeader/>
        </w:trPr>
        <w:tc>
          <w:tcPr>
            <w:tcW w:w="214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Järjekorra-number</w:t>
            </w:r>
          </w:p>
        </w:tc>
        <w:tc>
          <w:tcPr>
            <w:tcW w:w="300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Seotud meede (reform või investeering)</w:t>
            </w:r>
          </w:p>
        </w:tc>
        <w:tc>
          <w:tcPr>
            <w:tcW w:w="215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Eesmärk / siht</w:t>
            </w:r>
          </w:p>
        </w:tc>
        <w:tc>
          <w:tcPr>
            <w:tcW w:w="2647"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Nimi</w:t>
            </w:r>
          </w:p>
        </w:tc>
      </w:tr>
      <w:tr>
        <w:trPr>
          <w:cantSplit/>
          <w:trHeight w:val="990"/>
          <w:tblHeader/>
        </w:trPr>
        <w:tc>
          <w:tcPr>
            <w:tcW w:w="214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3006"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2153"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2647"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w:t>
            </w:r>
          </w:p>
        </w:tc>
        <w:tc>
          <w:tcPr>
            <w:tcW w:w="3006"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1.1. Ettevõtete digipööre</w:t>
            </w:r>
          </w:p>
        </w:tc>
        <w:tc>
          <w:tcPr>
            <w:tcW w:w="2153"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Toetuste määramine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12</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1.4. Oskuste reform ettevõtete digipöördeks</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Koolitustele registreerumine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14</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1.4. Oskuste reform ettevõtete digipöördeks</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Oskuste täiendamise ja ümberõppe uute moodulite arv </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17</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1.5.1. Ettevõtete konkurentsivõime toetamine välisturgudel</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Uuringute tellimine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26</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2.2. Roheoskused ettevõtete rohepöörde toetamiseks</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Oskuste täiendamise ja ümberõppemoodulite arv</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29</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2.3. Rohetehnoloogiate arendusprogrammid</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Rohetehnoloogiate arendusprogrammi käivitamine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35</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2.5. Ressursitõhusate rohetehnoloogiate kasutuselevõtt</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Projektikonkursi tulemusel sõlmitud lepingute arv </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55</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3.5. Digiriigi baasteenuste ümberkorraldamine ning turvaline pilvetaristule üleminek</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Riikliku privaatpilvetaristu kasutuselevõtt avaliku sektori asutuste poolt</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56</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3.5. Digiriigi baasteenuste ümberkorraldamine ning turvaline pilvetaristule üleminek</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Pilvetaristu laiendamine andmesaatkonnale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61</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3.8. Väga suure läbilaskevõimega lairibavõrkude ehitamine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Väga suure läbilaskevõimega lairibavõrgu kasutuselevõtt uutes kohtades</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91</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5.4. Tallinna Vanasadama trammiliini rajamine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Uus trammiliin toimib</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97</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6.1. Eesti tervishoiukorralduse terviklik muutmine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Vastuvõtt õenduse erialale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100</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6.2. Põhja-Eesti meditsiinilinnaku loomine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Põhja-Eesti meditsiinilinnaku kaevetööde-, veevarustus- ja elektrivarustuslepingu ning raudbetoonelementide hankimise lepingu allkirjastamine </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101</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6.2. Põhja-Eesti meditsiinilinnaku loomine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Põhja-Eesti meditsiinilinnaku ehituslepingu allkirjastamine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110</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6.5. Mitmeotstarbelise meditsiinikopteri võimekuse loomine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Mitmeotstarbelise meditsiinikopteri võimekuse loomise lepingute sõlmimine </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121</w:t>
            </w:r>
          </w:p>
        </w:tc>
        <w:tc>
          <w:tcPr>
            <w:tcW w:w="3006"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6.9. Soolise palgalõhe vähendamine</w:t>
            </w:r>
          </w:p>
        </w:tc>
        <w:tc>
          <w:tcPr>
            <w:tcW w:w="2153"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Heaolu arengukava (2023–2030) vastuvõtmine valitsuses</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123</w:t>
            </w:r>
          </w:p>
        </w:tc>
        <w:tc>
          <w:tcPr>
            <w:tcW w:w="3006"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6.9. Soolise palgalõhe vähendamine</w:t>
            </w:r>
          </w:p>
        </w:tc>
        <w:tc>
          <w:tcPr>
            <w:tcW w:w="2153"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Digitaalne soolise palgalõhe töövahend</w:t>
            </w:r>
          </w:p>
        </w:tc>
      </w:tr>
      <w:tr>
        <w:trPr>
          <w:cantSplit/>
          <w:trHeight w:val="302"/>
        </w:trPr>
        <w:tc>
          <w:tcPr>
            <w:tcW w:w="2149"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lang w:eastAsia="en-GB"/>
              </w:rPr>
            </w:pPr>
          </w:p>
        </w:tc>
        <w:tc>
          <w:tcPr>
            <w:tcW w:w="3006"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lang w:eastAsia="en-GB"/>
              </w:rPr>
            </w:pPr>
          </w:p>
        </w:tc>
        <w:tc>
          <w:tcPr>
            <w:tcW w:w="2153"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Osamakse summa</w:t>
            </w:r>
          </w:p>
        </w:tc>
        <w:tc>
          <w:tcPr>
            <w:tcW w:w="2647"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145 394 882 eurot</w:t>
            </w:r>
          </w:p>
        </w:tc>
      </w:tr>
    </w:tbl>
    <w:p>
      <w:pPr>
        <w:spacing w:before="120" w:after="120" w:line="240" w:lineRule="auto"/>
        <w:jc w:val="both"/>
        <w:rPr>
          <w:rFonts w:ascii="Times New Roman" w:hAnsi="Times New Roman" w:cs="Times New Roman"/>
          <w:noProof/>
          <w:sz w:val="24"/>
        </w:rPr>
      </w:pPr>
    </w:p>
    <w:p>
      <w:pPr>
        <w:keepNext/>
        <w:tabs>
          <w:tab w:val="num" w:pos="850"/>
        </w:tabs>
        <w:spacing w:before="120" w:after="240" w:line="240" w:lineRule="auto"/>
        <w:ind w:left="851" w:hanging="851"/>
        <w:jc w:val="both"/>
        <w:rPr>
          <w:rFonts w:ascii="Times New Roman" w:hAnsi="Times New Roman" w:cs="Times New Roman"/>
          <w:noProof/>
          <w:sz w:val="24"/>
          <w:szCs w:val="24"/>
        </w:rPr>
      </w:pPr>
      <w:r>
        <w:rPr>
          <w:rFonts w:ascii="Times New Roman" w:hAnsi="Times New Roman"/>
          <w:noProof/>
          <w:sz w:val="24"/>
          <w:szCs w:val="24"/>
        </w:rPr>
        <w:t xml:space="preserve">Viies osamakse (tagastamatu toetus): </w:t>
      </w:r>
    </w:p>
    <w:tbl>
      <w:tblPr>
        <w:tblW w:w="9955" w:type="dxa"/>
        <w:tblInd w:w="113" w:type="dxa"/>
        <w:tblLook w:val="04A0" w:firstRow="1" w:lastRow="0" w:firstColumn="1" w:lastColumn="0" w:noHBand="0" w:noVBand="1"/>
      </w:tblPr>
      <w:tblGrid>
        <w:gridCol w:w="2149"/>
        <w:gridCol w:w="3006"/>
        <w:gridCol w:w="2153"/>
        <w:gridCol w:w="2647"/>
      </w:tblGrid>
      <w:tr>
        <w:trPr>
          <w:cantSplit/>
          <w:trHeight w:val="906"/>
          <w:tblHeader/>
        </w:trPr>
        <w:tc>
          <w:tcPr>
            <w:tcW w:w="214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b/>
                <w:bCs/>
                <w:noProof/>
                <w:sz w:val="24"/>
                <w:szCs w:val="24"/>
              </w:rPr>
              <w:t>Järjekorra-number</w:t>
            </w:r>
          </w:p>
        </w:tc>
        <w:tc>
          <w:tcPr>
            <w:tcW w:w="300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Seotud meede (reform või investeering)</w:t>
            </w:r>
          </w:p>
        </w:tc>
        <w:tc>
          <w:tcPr>
            <w:tcW w:w="215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Eesmärk / siht</w:t>
            </w:r>
          </w:p>
        </w:tc>
        <w:tc>
          <w:tcPr>
            <w:tcW w:w="2647"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Nimi</w:t>
            </w:r>
          </w:p>
        </w:tc>
      </w:tr>
      <w:tr>
        <w:trPr>
          <w:cantSplit/>
          <w:trHeight w:val="990"/>
          <w:tblHeader/>
        </w:trPr>
        <w:tc>
          <w:tcPr>
            <w:tcW w:w="214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jc w:val="center"/>
              <w:rPr>
                <w:rFonts w:ascii="Times New Roman" w:eastAsia="Times New Roman" w:hAnsi="Times New Roman" w:cs="Times New Roman"/>
                <w:noProof/>
                <w:color w:val="006100"/>
                <w:lang w:eastAsia="en-GB"/>
              </w:rPr>
            </w:pPr>
          </w:p>
        </w:tc>
        <w:tc>
          <w:tcPr>
            <w:tcW w:w="3006"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2153"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2647"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w:t>
            </w:r>
          </w:p>
        </w:tc>
        <w:tc>
          <w:tcPr>
            <w:tcW w:w="3006"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1.2. E-ehituse arendamine</w:t>
            </w:r>
          </w:p>
        </w:tc>
        <w:tc>
          <w:tcPr>
            <w:tcW w:w="2153"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Ehitusalase digitehnoloogia kasutamise rahvusvaheliste standardite ja parimate tavade juurutamine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1.3. E-veoselehe teenuse arendamine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E-veoselehe (eCMR) liidese arendustööd</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15</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1.4. Oskuste reform ettevõtete digipöördeks</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IKT-spetsialistide kvalifikatsioonistandardite läbivaatamine.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39</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2.6. Rohefond</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Riskikapitalifondidesse tehtud investeeringute või ettevõtetesse tehtud omakapitaliinvesteeringute maht </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42</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2.7. Tingimuste ja võimaluste loomine taastuvenergial põhinevate rohelise vesiniku tehnoloogiate kasutuselevõtuks</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Tehnoloogiad ja seadmed terviklike rohevesiniku väärtusahelate loomiseks</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57</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3.5. Digiriigi baasteenuste ümberkorraldamine ning turvaline pilvetaristule üleminek</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Elutähtsate süsteemide üleviimine pilvelahendusega andmesaatkonda</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58</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3.5. Digiriigi baasteenuste ümberkorraldamine ning turvaline pilvetaristule üleminek</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Riigiasutuste infosüsteemide keskne turvatestimine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59</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3.6. Rahapesu ja terrorismi rahastamise strateegilise analüüsi uuele tasemele viimine Eestis</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Rahapesu ja terrorismi rahastamise tõkestamise seaduse muudatuse ning muude strateegilise analüüsi keskuse jaoks vajalike seadusandlike, halduslike ja lepinguliste muudatuste jõustumine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64</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4.1. Energiatõhustamise soodustamine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Kasutusele on võetud digitaalsed vahendid, millega hõlbustada juurdepääsu rekonstrueerimist käsitlevale teabele, sealhulgas visualiseerida rekonstrueerimise tulemusi ja hinnata rekonstrueerimiskulusid. </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66</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4.2. Korterelamute rekonstrueerimise toetamine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Suurema energiatõhususega eluruumid</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69</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4.3. Väikeelamute rekonstrueerimise toetamine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Suurema energiatõhususega eluruumid</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72</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4.4. Energiamajanduses rohepöörde hoogustamine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Asjaomaste esmaste ja/või teiseste õigusaktide jõustumine ja juhendmaterjalide avaldamine, et leevendada taastuvenergia tootmisseadmete ja energiasalvestusseadmete rajamise tõkkeid. </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85</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5.2. Läänesuunalise Tallinna-Rohuküla raudteeliini uue lõigu rajamine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Uue raudtee väljaehitamine (liiklusvalmis)</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87</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5.3. Rail Balticu mitmeliigilise ühisterminali ehitamine Tallinnasse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Terminalihoone aluse tunneli lõpuleviimine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94</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6.1. Eesti tervishoiukorralduse terviklik muutmine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Haiglavõrgu arengukava käsitleva valitsuse määruse jõustumine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102</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6.2. Põhja-Eesti meditsiinilinnaku loomine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10 % ehituslepingu mahust on lõpule viidud. </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111</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6.5. Mitmeotstarbelise meditsiinikopteri võimekuse loomine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Helikopterite vastuvõtmine </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119</w:t>
            </w:r>
          </w:p>
        </w:tc>
        <w:tc>
          <w:tcPr>
            <w:tcW w:w="3006"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6.8. Pikaajaline hooldus </w:t>
            </w:r>
          </w:p>
        </w:tc>
        <w:tc>
          <w:tcPr>
            <w:tcW w:w="2153"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Sotsiaalkaitseministri käskkirja jõustumine </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120</w:t>
            </w:r>
          </w:p>
        </w:tc>
        <w:tc>
          <w:tcPr>
            <w:tcW w:w="3006"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6.8. Pikaajaline hooldus </w:t>
            </w:r>
          </w:p>
        </w:tc>
        <w:tc>
          <w:tcPr>
            <w:tcW w:w="2153"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Suure hooldusvajadusega laste toetussüsteemi parandamist käsitlevate seadusemuudatuste jõustumine</w:t>
            </w:r>
          </w:p>
        </w:tc>
      </w:tr>
      <w:tr>
        <w:trPr>
          <w:cantSplit/>
          <w:trHeight w:val="302"/>
        </w:trPr>
        <w:tc>
          <w:tcPr>
            <w:tcW w:w="2149"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lang w:eastAsia="en-GB"/>
              </w:rPr>
            </w:pPr>
          </w:p>
        </w:tc>
        <w:tc>
          <w:tcPr>
            <w:tcW w:w="3006"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lang w:eastAsia="en-GB"/>
              </w:rPr>
            </w:pPr>
          </w:p>
        </w:tc>
        <w:tc>
          <w:tcPr>
            <w:tcW w:w="2153"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Osamakse summa</w:t>
            </w:r>
          </w:p>
        </w:tc>
        <w:tc>
          <w:tcPr>
            <w:tcW w:w="2647"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145 394 882 eurot</w:t>
            </w:r>
          </w:p>
        </w:tc>
      </w:tr>
    </w:tbl>
    <w:p>
      <w:pPr>
        <w:spacing w:before="120" w:after="120" w:line="240" w:lineRule="auto"/>
        <w:jc w:val="both"/>
        <w:rPr>
          <w:rFonts w:ascii="Times New Roman" w:hAnsi="Times New Roman" w:cs="Times New Roman"/>
          <w:noProof/>
          <w:sz w:val="24"/>
        </w:rPr>
      </w:pPr>
    </w:p>
    <w:p>
      <w:pPr>
        <w:keepNext/>
        <w:tabs>
          <w:tab w:val="num" w:pos="850"/>
        </w:tabs>
        <w:spacing w:before="120" w:after="240" w:line="240" w:lineRule="auto"/>
        <w:ind w:left="851" w:hanging="851"/>
        <w:jc w:val="both"/>
        <w:rPr>
          <w:rFonts w:ascii="Times New Roman" w:hAnsi="Times New Roman" w:cs="Times New Roman"/>
          <w:noProof/>
          <w:sz w:val="24"/>
          <w:szCs w:val="24"/>
        </w:rPr>
      </w:pPr>
      <w:r>
        <w:rPr>
          <w:rFonts w:ascii="Times New Roman" w:hAnsi="Times New Roman"/>
          <w:noProof/>
          <w:sz w:val="24"/>
          <w:szCs w:val="24"/>
        </w:rPr>
        <w:t xml:space="preserve">Kuues osamakse (tagastamatu toetus): </w:t>
      </w:r>
    </w:p>
    <w:tbl>
      <w:tblPr>
        <w:tblW w:w="9955" w:type="dxa"/>
        <w:tblInd w:w="113" w:type="dxa"/>
        <w:tblLook w:val="04A0" w:firstRow="1" w:lastRow="0" w:firstColumn="1" w:lastColumn="0" w:noHBand="0" w:noVBand="1"/>
      </w:tblPr>
      <w:tblGrid>
        <w:gridCol w:w="2149"/>
        <w:gridCol w:w="3006"/>
        <w:gridCol w:w="2153"/>
        <w:gridCol w:w="2647"/>
      </w:tblGrid>
      <w:tr>
        <w:trPr>
          <w:cantSplit/>
          <w:trHeight w:val="906"/>
          <w:tblHeader/>
        </w:trPr>
        <w:tc>
          <w:tcPr>
            <w:tcW w:w="214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Järjekorra-number</w:t>
            </w:r>
          </w:p>
        </w:tc>
        <w:tc>
          <w:tcPr>
            <w:tcW w:w="300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Seotud meede (reform või investeering)</w:t>
            </w:r>
          </w:p>
        </w:tc>
        <w:tc>
          <w:tcPr>
            <w:tcW w:w="215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Eesmärk / siht</w:t>
            </w:r>
          </w:p>
        </w:tc>
        <w:tc>
          <w:tcPr>
            <w:tcW w:w="2647"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Nimi</w:t>
            </w:r>
          </w:p>
        </w:tc>
      </w:tr>
      <w:tr>
        <w:trPr>
          <w:cantSplit/>
          <w:trHeight w:val="405"/>
          <w:tblHeader/>
        </w:trPr>
        <w:tc>
          <w:tcPr>
            <w:tcW w:w="214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3006"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2153"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2647"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w:t>
            </w:r>
          </w:p>
        </w:tc>
        <w:tc>
          <w:tcPr>
            <w:tcW w:w="3006"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1.1. Ettevõtete digipööre</w:t>
            </w:r>
          </w:p>
        </w:tc>
        <w:tc>
          <w:tcPr>
            <w:tcW w:w="2153"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Toetuste määramine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1.2. E-ehituse arendamine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Avalike teenuste kättesaadavus e-ehituse platvormil</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1.2. E-ehituse arendamine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Arendus- ja prototüüpimisprojektide lõpuleviimine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1.3. E-veoselehe teenuse arendamine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Lõpetatud projektide arv kokku</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33</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2.4. Tootmisettevõtete ärimudelite ajakohastamine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Toetatud projektide arv</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45</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3.1. Andmehalduse ja avaandmete oivakeskuse loomine ja väljaarendamine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Andmekvaliteedi parandamise projektide lõpuleviimine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46</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3.1. Andmehalduse ja avaandmete oivakeskuse loomine ja väljaarendamine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Andmekogumite avaldamine riiklikus avaandmete teabeväravas</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48</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3.2. Eraisikutele sündmusteenuste ja etteaimavate teenuste väljaarendamine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Eraisikute sündmusteenuste ja/või etteaimavate teenuste käivitamine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50</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3.3. Ettevõtja sündmusteenuste ja digivärava väljaarendamine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Ärisündmustel põhinevate teenuste ja digivärava rakendamisele kaasa aitavate IT-arenduste kasutuselevõtt </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52</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3.4. #Bürokrati programm (riikliku virtuaalassistendi platvorm ja ökosüsteem)</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Bürokrati virtuaalassistendi kasutuselevõtt digitaalseid avalikke teenuseid pakkuvates teeninduskeskkondades</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53</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3.4. #Bürokrati programm (riikliku virtuaalassistendi platvorm ja ökosüsteem)</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Juurdepääs digitaalsetele avalikele teenustele virtuaalassistendi platvormi kaudu</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62</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3.8. Väga suure läbilaskevõimega lairibavõrkude ehitamine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Väga suure läbilaskevõimega lairibavõrgu kasutuselevõtt uutes kohtades</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73</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4.4. Energiamajanduses rohepöörde hoogustamine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Energiamajanduse arengukava vastuvõtmine valitsuses </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93</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5.5. KOVide investeeringud jalgratta- ja/või jalgteedesse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Jalgratta- ja/või jalgteede taristu on valmis.</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103</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6.2. Põhja-Eesti meditsiinilinnaku loomine</w:t>
            </w:r>
          </w:p>
        </w:tc>
        <w:tc>
          <w:tcPr>
            <w:tcW w:w="215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vAlign w:val="center"/>
          </w:tcPr>
          <w:p>
            <w:pPr>
              <w:spacing w:after="0"/>
              <w:rPr>
                <w:rFonts w:ascii="Times New Roman" w:eastAsia="Times New Roman" w:hAnsi="Times New Roman" w:cs="Times New Roman"/>
                <w:noProof/>
                <w:color w:val="006100"/>
              </w:rPr>
            </w:pPr>
            <w:r>
              <w:rPr>
                <w:rFonts w:ascii="Times New Roman" w:hAnsi="Times New Roman"/>
                <w:noProof/>
                <w:color w:val="006100"/>
              </w:rPr>
              <w:t>50 % ehituslepingu mahust on lõpule viidud.</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104</w:t>
            </w:r>
          </w:p>
        </w:tc>
        <w:tc>
          <w:tcPr>
            <w:tcW w:w="3006"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6.2. Põhja-Eesti meditsiinilinnaku loomine</w:t>
            </w:r>
          </w:p>
        </w:tc>
        <w:tc>
          <w:tcPr>
            <w:tcW w:w="2153"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647"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Põhja-Eesti meditsiinilinnakusse seadmete paigaldamise lepingu allkirjastamine, et haiglakompleks saaks tegevust alustada</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115</w:t>
            </w:r>
          </w:p>
        </w:tc>
        <w:tc>
          <w:tcPr>
            <w:tcW w:w="3006"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6.6. Tööturumeetmed noorte tööpuuduse vähendamiseks</w:t>
            </w:r>
          </w:p>
        </w:tc>
        <w:tc>
          <w:tcPr>
            <w:tcW w:w="2153"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647"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Meetmes „Minu esimene töökoht“ osalevate noorte arv </w:t>
            </w:r>
          </w:p>
        </w:tc>
      </w:tr>
      <w:tr>
        <w:trPr>
          <w:cantSplit/>
          <w:trHeight w:val="302"/>
        </w:trPr>
        <w:tc>
          <w:tcPr>
            <w:tcW w:w="2149"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lang w:eastAsia="en-GB"/>
              </w:rPr>
            </w:pPr>
          </w:p>
        </w:tc>
        <w:tc>
          <w:tcPr>
            <w:tcW w:w="3006"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lang w:eastAsia="en-GB"/>
              </w:rPr>
            </w:pPr>
          </w:p>
        </w:tc>
        <w:tc>
          <w:tcPr>
            <w:tcW w:w="2153"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Osamakse summa</w:t>
            </w:r>
          </w:p>
        </w:tc>
        <w:tc>
          <w:tcPr>
            <w:tcW w:w="2647"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145 394 882 eurot</w:t>
            </w:r>
          </w:p>
        </w:tc>
      </w:tr>
    </w:tbl>
    <w:p>
      <w:pPr>
        <w:spacing w:before="120" w:after="120" w:line="240" w:lineRule="auto"/>
        <w:jc w:val="both"/>
        <w:rPr>
          <w:rFonts w:ascii="Times New Roman" w:hAnsi="Times New Roman" w:cs="Times New Roman"/>
          <w:noProof/>
          <w:sz w:val="24"/>
        </w:rPr>
      </w:pPr>
    </w:p>
    <w:p>
      <w:pPr>
        <w:keepNext/>
        <w:tabs>
          <w:tab w:val="num" w:pos="850"/>
        </w:tabs>
        <w:spacing w:before="120" w:after="240" w:line="240" w:lineRule="auto"/>
        <w:ind w:left="851" w:hanging="851"/>
        <w:jc w:val="both"/>
        <w:rPr>
          <w:rFonts w:ascii="Times New Roman" w:hAnsi="Times New Roman" w:cs="Times New Roman"/>
          <w:noProof/>
          <w:sz w:val="24"/>
          <w:szCs w:val="24"/>
        </w:rPr>
      </w:pPr>
      <w:r>
        <w:rPr>
          <w:rFonts w:ascii="Times New Roman" w:hAnsi="Times New Roman"/>
          <w:noProof/>
          <w:sz w:val="24"/>
          <w:szCs w:val="24"/>
        </w:rPr>
        <w:t xml:space="preserve">Seitsmes osamakse (tagastamatu toetus): </w:t>
      </w:r>
    </w:p>
    <w:tbl>
      <w:tblPr>
        <w:tblW w:w="9967" w:type="dxa"/>
        <w:tblInd w:w="113" w:type="dxa"/>
        <w:tblLook w:val="04A0" w:firstRow="1" w:lastRow="0" w:firstColumn="1" w:lastColumn="0" w:noHBand="0" w:noVBand="1"/>
      </w:tblPr>
      <w:tblGrid>
        <w:gridCol w:w="2149"/>
        <w:gridCol w:w="3006"/>
        <w:gridCol w:w="2213"/>
        <w:gridCol w:w="2599"/>
      </w:tblGrid>
      <w:tr>
        <w:trPr>
          <w:cantSplit/>
          <w:trHeight w:val="906"/>
          <w:tblHeader/>
        </w:trPr>
        <w:tc>
          <w:tcPr>
            <w:tcW w:w="214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Järjekorra-number</w:t>
            </w:r>
          </w:p>
        </w:tc>
        <w:tc>
          <w:tcPr>
            <w:tcW w:w="300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Seotud meede (reform või investeering)</w:t>
            </w:r>
          </w:p>
        </w:tc>
        <w:tc>
          <w:tcPr>
            <w:tcW w:w="22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Eesmärk / siht</w:t>
            </w:r>
          </w:p>
        </w:tc>
        <w:tc>
          <w:tcPr>
            <w:tcW w:w="2599"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Nimi</w:t>
            </w:r>
          </w:p>
        </w:tc>
      </w:tr>
      <w:tr>
        <w:trPr>
          <w:cantSplit/>
          <w:trHeight w:val="990"/>
          <w:tblHeader/>
        </w:trPr>
        <w:tc>
          <w:tcPr>
            <w:tcW w:w="214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3006"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2213"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c>
          <w:tcPr>
            <w:tcW w:w="2599"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4"/>
                <w:szCs w:val="24"/>
                <w:lang w:eastAsia="en-GB"/>
              </w:rPr>
            </w:pP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w:t>
            </w:r>
          </w:p>
        </w:tc>
        <w:tc>
          <w:tcPr>
            <w:tcW w:w="3006"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1.3. E-veoselehe teenuse arendamine</w:t>
            </w:r>
          </w:p>
        </w:tc>
        <w:tc>
          <w:tcPr>
            <w:tcW w:w="2213"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599"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E-veoselehtede väljatöötamise ja kasutuselevõtu järelhindamine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13</w:t>
            </w:r>
          </w:p>
        </w:tc>
        <w:tc>
          <w:tcPr>
            <w:tcW w:w="3006"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1.4. Oskuste reform ettevõtete digipöördeks</w:t>
            </w:r>
          </w:p>
        </w:tc>
        <w:tc>
          <w:tcPr>
            <w:tcW w:w="2213"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599"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Koolituste lõpuleviimine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18</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1.5.1. Ettevõtete konkurentsivõime toetamine välisturgudel</w:t>
            </w:r>
          </w:p>
        </w:tc>
        <w:tc>
          <w:tcPr>
            <w:tcW w:w="221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59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Riigi- ja regioonipõhiste ekspordistrateegiate arv</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20</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1.5.2. Ettevõtete konkurentsivõime toetamine välisturgudel - Innovaatilised ettevõtluskeskused peamistel eksporditurgudel</w:t>
            </w:r>
          </w:p>
        </w:tc>
        <w:tc>
          <w:tcPr>
            <w:tcW w:w="221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59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Avatud ettevõtluskeskuste arv</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22</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1.5.3. Ettevõtete konkurentsivõime toetamine välisturgudel - Globaalsed e-ekspordi löögirühmad ja virtuaallavad</w:t>
            </w:r>
          </w:p>
        </w:tc>
        <w:tc>
          <w:tcPr>
            <w:tcW w:w="221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59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Globaalsete löögirühmade lähetuste arv ja nende suurürituste arv, kus Eesti on virtuaallavade kaudu esindatud</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27</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2.2. Roheoskused ettevõtete rohepöörde toetamiseks</w:t>
            </w:r>
          </w:p>
        </w:tc>
        <w:tc>
          <w:tcPr>
            <w:tcW w:w="221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59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Oskuste täiendamise ja ümberõppeprogrammides osalevad inimesed</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30</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2.3. Rohetehnoloogiate arendusprogrammid</w:t>
            </w:r>
          </w:p>
        </w:tc>
        <w:tc>
          <w:tcPr>
            <w:tcW w:w="221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59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Rohetehnoloogiate arendusprogrammi kaudu toetatavate klastrite arv </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31</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2.3. Rohetehnoloogiate arendusprogrammid</w:t>
            </w:r>
          </w:p>
        </w:tc>
        <w:tc>
          <w:tcPr>
            <w:tcW w:w="221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59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Rohetehnoloogiate arendusprogrammi kaudu toetust ja erainvesteeringuid saanud idufirmade arv </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36</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2.5. Ressursitõhusate rohetehnoloogiate kasutuselevõtt</w:t>
            </w:r>
          </w:p>
        </w:tc>
        <w:tc>
          <w:tcPr>
            <w:tcW w:w="221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59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Lõpetatud projektide arv</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40</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2.6. Rohefond</w:t>
            </w:r>
          </w:p>
        </w:tc>
        <w:tc>
          <w:tcPr>
            <w:tcW w:w="221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59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Riskikapitalifondidesse tehtud investeeringute või ettevõtetesse tehtud omakapitaliinvesteeringute maht</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43</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2.7. Tingimuste ja võimaluste loomine taastuvenergial põhinevate rohelise vesiniku tehnoloogiate kasutuselevõtuks</w:t>
            </w:r>
          </w:p>
        </w:tc>
        <w:tc>
          <w:tcPr>
            <w:tcW w:w="221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59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Taastuvatel energiaallikatel põhinevatele rohevesiniku tehnoloogiatele eraldatud toetused moodustavad vähemalt 49,49 miljonit eurot</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60</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3.7. Rahapesu ja terrorismi rahastamise reaalaja strateegilise analüüsi süsteem</w:t>
            </w:r>
          </w:p>
        </w:tc>
        <w:tc>
          <w:tcPr>
            <w:tcW w:w="221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59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Strateegilise analüüsi keskuse jaoks uue reaalajas kasutatava IKT analüüsisüsteemi väljatöötamine ja selle üleandmine rahapesu andmebüroole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67</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4.2. Korterelamute rekonstrueerimise toetamine</w:t>
            </w:r>
          </w:p>
        </w:tc>
        <w:tc>
          <w:tcPr>
            <w:tcW w:w="221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59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Kasvuhoonegaaside heite hinnanguline vähenemine aastas</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75</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4.5. Elektrivõrgu tugevdamise programm taastuvenergia tootmisvõimekuse tõstmiseks ning kliimamuutustega (nt tormid) kohanemiseks</w:t>
            </w:r>
          </w:p>
        </w:tc>
        <w:tc>
          <w:tcPr>
            <w:tcW w:w="221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59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Täiendav taastuvenergia liitumisvõimsus, mis on loodud investeeringutega ülekandevõrku.</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77</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4.6. Tööstusalades elektritootmisseadmete kasutuselevõtu hoogustamise programm</w:t>
            </w:r>
          </w:p>
        </w:tc>
        <w:tc>
          <w:tcPr>
            <w:tcW w:w="221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59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Tööstusaladel või nende läheduses toimuva taastuvenergia tootmise jaoks on elektrivõrgus loodud täiendav liitumisvõimsus.</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79</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4.7. Energiasalvestuse pilootprogramm</w:t>
            </w:r>
          </w:p>
        </w:tc>
        <w:tc>
          <w:tcPr>
            <w:tcW w:w="221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59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Investeeringutoetusest tulenev täiendav soojussalvestusvõimsus </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80</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4.7. Energiasalvestuse pilootprogramm</w:t>
            </w:r>
          </w:p>
        </w:tc>
        <w:tc>
          <w:tcPr>
            <w:tcW w:w="221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59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Investeeringutoetusest tulenev täiendav elektrisalvestusvõimsus </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83</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5.1. Võtame kasutusele ohutu, keskkonnahoidliku, konkurentsivõimelise, vajaduspõhise ja jätkusuutliku transpordi- ja energiataristu</w:t>
            </w:r>
          </w:p>
        </w:tc>
        <w:tc>
          <w:tcPr>
            <w:tcW w:w="221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59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Transpordi ja liikuvuse arengukava (2021–2035) rakendamine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88</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5.3. Rail Balticu mitmeliigilise ühisterminali ehitamine Tallinnasse</w:t>
            </w:r>
          </w:p>
        </w:tc>
        <w:tc>
          <w:tcPr>
            <w:tcW w:w="221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59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Uue raudteejaama valmimine</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98</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6.1. Eesti tervishoiukorralduse terviklik muutmine</w:t>
            </w:r>
          </w:p>
        </w:tc>
        <w:tc>
          <w:tcPr>
            <w:tcW w:w="221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59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Jõustub ministri määrus, millega muudetakse sotsiaalministeeriumi ja Tartu Ülikooli vahelist lepingut arstide nappuse kohta teatavatel erialadel.</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105</w:t>
            </w:r>
          </w:p>
        </w:tc>
        <w:tc>
          <w:tcPr>
            <w:tcW w:w="3006"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6.2. Põhja-Eesti meditsiinilinnaku loomine</w:t>
            </w:r>
          </w:p>
        </w:tc>
        <w:tc>
          <w:tcPr>
            <w:tcW w:w="2213"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Eesmärk</w:t>
            </w:r>
          </w:p>
        </w:tc>
        <w:tc>
          <w:tcPr>
            <w:tcW w:w="2599"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 xml:space="preserve">Ehitustööde lõpuleviimine </w:t>
            </w:r>
          </w:p>
        </w:tc>
      </w:tr>
      <w:tr>
        <w:trPr>
          <w:cantSplit/>
          <w:trHeight w:val="302"/>
        </w:trPr>
        <w:tc>
          <w:tcPr>
            <w:tcW w:w="2149"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112</w:t>
            </w:r>
          </w:p>
        </w:tc>
        <w:tc>
          <w:tcPr>
            <w:tcW w:w="3006"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6.5. Mitmeotstarbelise meditsiinikopteri võimekuse loomine</w:t>
            </w:r>
          </w:p>
        </w:tc>
        <w:tc>
          <w:tcPr>
            <w:tcW w:w="2213"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rPr>
            </w:pPr>
            <w:r>
              <w:rPr>
                <w:rFonts w:ascii="Times New Roman" w:hAnsi="Times New Roman"/>
                <w:noProof/>
                <w:color w:val="006100"/>
              </w:rPr>
              <w:t>Siht</w:t>
            </w:r>
          </w:p>
        </w:tc>
        <w:tc>
          <w:tcPr>
            <w:tcW w:w="2599"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Ehitatud või laiendatud lennubaaside valmimine</w:t>
            </w:r>
          </w:p>
        </w:tc>
      </w:tr>
      <w:tr>
        <w:trPr>
          <w:cantSplit/>
          <w:trHeight w:val="302"/>
        </w:trPr>
        <w:tc>
          <w:tcPr>
            <w:tcW w:w="2149"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lang w:eastAsia="en-GB"/>
              </w:rPr>
            </w:pPr>
          </w:p>
        </w:tc>
        <w:tc>
          <w:tcPr>
            <w:tcW w:w="3006"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lang w:eastAsia="en-GB"/>
              </w:rPr>
            </w:pPr>
          </w:p>
        </w:tc>
        <w:tc>
          <w:tcPr>
            <w:tcW w:w="2213"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Osamakse summa</w:t>
            </w:r>
          </w:p>
        </w:tc>
        <w:tc>
          <w:tcPr>
            <w:tcW w:w="2599"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rPr>
            </w:pPr>
            <w:r>
              <w:rPr>
                <w:rFonts w:ascii="Times New Roman" w:hAnsi="Times New Roman"/>
                <w:noProof/>
                <w:color w:val="006100"/>
              </w:rPr>
              <w:t>96 929 921 eurot</w:t>
            </w:r>
          </w:p>
        </w:tc>
      </w:tr>
    </w:tbl>
    <w:p>
      <w:pPr>
        <w:spacing w:before="120" w:after="120" w:line="240" w:lineRule="auto"/>
        <w:jc w:val="both"/>
        <w:rPr>
          <w:rFonts w:ascii="Times New Roman" w:hAnsi="Times New Roman" w:cs="Times New Roman"/>
          <w:noProof/>
          <w:sz w:val="24"/>
        </w:rPr>
      </w:pPr>
    </w:p>
    <w:p>
      <w:pPr>
        <w:pStyle w:val="Heading1"/>
        <w:tabs>
          <w:tab w:val="clear" w:pos="850"/>
        </w:tabs>
        <w:ind w:left="0" w:firstLine="0"/>
        <w:rPr>
          <w:noProof/>
        </w:rPr>
      </w:pPr>
      <w:r>
        <w:rPr>
          <w:noProof/>
        </w:rPr>
        <w:t>3. JAGU: TÄIENDAV KORD</w:t>
      </w:r>
    </w:p>
    <w:p>
      <w:pPr>
        <w:pStyle w:val="NumPar1"/>
        <w:numPr>
          <w:ilvl w:val="0"/>
          <w:numId w:val="43"/>
        </w:numPr>
        <w:ind w:left="850"/>
        <w:rPr>
          <w:b/>
          <w:bCs/>
          <w:noProof/>
        </w:rPr>
      </w:pPr>
      <w:r>
        <w:rPr>
          <w:b/>
          <w:bCs/>
          <w:noProof/>
        </w:rPr>
        <w:t>Taaste- ja vastupidavuskava seire ja rakendamise kord</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Eesti taaste- ja vastupidavuskava seire ja rakendamine toimub vastavalt järgmisele korrale.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Taaste- ja vastupidavuskava üldise koordineerimise, järelevalve ja rakendamise tagavad rahandusministeerium juhtiva ministeeriumina ja Riigi Tugiteenuste Keskus. Riigi Tugiteenistuse Keskus tegutseb korraldusasutusena. Järelevalve ja hindamisega seotud ülesandeid täidab rahandusministeeriumi riigieelarve osakond koostöös Riigi Tugiteenuste Keskusega.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Valdkondlikud ministeeriumid ja asutused täidavad neile taastekava rakendamisel määratud kohustusi. Ministeeriumite talitused toetavad nende pädevusse kuuluvate projektide edenemise järelevalvet ning teevad tihedat koostööd Riigi Tugiteenuste Keskusega ja rahandusministeeriumiga. Et registreerida kõik kava rakendamise ja järelevalvega seotud andmed, kasutatakse olemasolevat struktuurifondide operatiivsüsteemi (SFOS).</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sz w:val="24"/>
          <w:szCs w:val="24"/>
        </w:rPr>
        <w:t xml:space="preserve">Auditeerimisasutusena tegutseb rahandusministeeriumi finantskontrolli osakond, mis auditeerib loodud juhtimis- ja kontrollisüsteeme korrapäraselt. </w:t>
      </w:r>
      <w:r>
        <w:rPr>
          <w:rFonts w:ascii="Times New Roman" w:hAnsi="Times New Roman"/>
          <w:noProof/>
          <w:color w:val="000000"/>
          <w:sz w:val="24"/>
          <w:szCs w:val="24"/>
          <w:shd w:val="clear" w:color="auto" w:fill="FFFFFF"/>
        </w:rPr>
        <w:t>Samuti koostab see kokkuvõtte maksetaotlustega seoses tehtud audititest. Auditeerimisasutus haldab ka pettusevastase koordineerimise talitust.</w:t>
      </w:r>
    </w:p>
    <w:p>
      <w:pPr>
        <w:widowControl w:val="0"/>
        <w:spacing w:after="120" w:line="240" w:lineRule="auto"/>
        <w:ind w:right="1"/>
        <w:jc w:val="both"/>
        <w:rPr>
          <w:rFonts w:ascii="Times New Roman" w:hAnsi="Times New Roman" w:cs="Times New Roman"/>
          <w:noProof/>
          <w:sz w:val="24"/>
          <w:szCs w:val="24"/>
        </w:rPr>
      </w:pPr>
      <w:r>
        <w:rPr>
          <w:rFonts w:ascii="Times New Roman" w:hAnsi="Times New Roman"/>
          <w:noProof/>
          <w:sz w:val="24"/>
          <w:szCs w:val="24"/>
        </w:rPr>
        <w:t xml:space="preserve">Kõik riiklikud ja välised allikad kantakse koos valdkondlike programmide eelarvesse, mis võimaldab teostada läbipaistvat järelevalvet valdkondliku rahastamise üle ning teha kindlaks riskid ja vältida topeltrahastamist. </w:t>
      </w:r>
    </w:p>
    <w:p>
      <w:pPr>
        <w:spacing w:before="120" w:after="120" w:line="240" w:lineRule="auto"/>
        <w:ind w:left="850"/>
        <w:jc w:val="both"/>
        <w:rPr>
          <w:rFonts w:ascii="Times New Roman" w:hAnsi="Times New Roman" w:cs="Times New Roman"/>
          <w:noProof/>
          <w:sz w:val="24"/>
        </w:rPr>
      </w:pPr>
    </w:p>
    <w:p>
      <w:pPr>
        <w:pStyle w:val="NumPar1"/>
        <w:numPr>
          <w:ilvl w:val="0"/>
          <w:numId w:val="43"/>
        </w:numPr>
        <w:ind w:left="850"/>
        <w:rPr>
          <w:b/>
          <w:bCs/>
          <w:noProof/>
        </w:rPr>
      </w:pPr>
      <w:r>
        <w:rPr>
          <w:b/>
          <w:bCs/>
          <w:noProof/>
        </w:rPr>
        <w:t>Komisjonile vajalikele alusandmetele täieliku juurdepääsu andmise kord</w:t>
      </w:r>
    </w:p>
    <w:p>
      <w:pPr>
        <w:spacing w:before="120" w:after="120" w:line="240" w:lineRule="auto"/>
        <w:jc w:val="both"/>
        <w:rPr>
          <w:rFonts w:ascii="Times New Roman" w:hAnsi="Times New Roman" w:cs="Times New Roman"/>
          <w:noProof/>
          <w:sz w:val="23"/>
          <w:szCs w:val="23"/>
          <w:highlight w:val="yellow"/>
        </w:rPr>
      </w:pPr>
      <w:r>
        <w:rPr>
          <w:rFonts w:ascii="Times New Roman" w:hAnsi="Times New Roman"/>
          <w:noProof/>
          <w:sz w:val="24"/>
          <w:szCs w:val="24"/>
        </w:rPr>
        <w:t>Riigi Tugiteenuste Keskus kui korraldusasutus vastutab Euroopa Komisjonile maksetaotluste esitamise eest ja koostab vahendite haldamise kinnituse, millega tõendab, et vahendeid on kasutatud ettenähtud otstarbel, teave on täielik, täpne ja usaldusväärne ning kontrollisüsteem annab vajaliku kindluse. Lisaks tagab järelevalve ja hindamise ka rahandusministeerium koostöös Riigi Tugiteenuste Keskusega.</w:t>
      </w:r>
      <w:r>
        <w:rPr>
          <w:rFonts w:ascii="Times New Roman" w:hAnsi="Times New Roman"/>
          <w:noProof/>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Kava rakendamise ja järelevalvega seotud andmeid säilitatakse olemasolevas ühtses infosüsteemis – struktuurifondide operatiivsüsteemis (SFOS). Struktuurifondide operatiivsüsteemi on kohandatud vastavaks andmete kogumist, eduaruandeid ja maksetaotlusi käsitlevatele nõuetele, mis on sätestatud määruses (EL) 2021/241, sealhulgas selleks, et koguda näitajaid ja muud teavet, mis on vajalik eesmärkide ja sihtide saavutamise tõendamiseks ja nende kohta aru andmiseks. Struktuurifondide operatiivsüsteemi kasutavad kõik taastekava rakendamises osalejad. Struktuurifondide operatiivsüsteemis sisalduvat teavet taastekava edenemise ja tulemuste kohta, samuti tuvastatud puuduste ja kõigi võetud parandusmeetmete kohta ajakohastatakse pidevalt. </w:t>
      </w:r>
    </w:p>
    <w:p>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szCs w:val="24"/>
        </w:rPr>
        <w:t>Kooskõlas määruse (EL) nr 2021/241 artikli 24 lõikega 2 esitab Eesti pärast käesoleva lisa punktis 2.1 esitatud eesmärkide ja sihtide täitmist komisjonile asjakohaselt põhjendatud taotluse, et rahaline toetus välja makstaks. Eesti tagab, et komisjonil on taotluse korral täielik juurdepääs asjaomastele alusandmetele, mis kinnitavad maksetaotluses esitatud põhjendusi, nii maksetaotlusele määruse (EL) nr 2021/241 artikli 24 lõike 3 kohase hinnangu andmiseks kui ka auditeerimise ja kontrolli eesmärgil.</w:t>
      </w:r>
    </w:p>
    <w:p>
      <w:pPr>
        <w:spacing w:before="120" w:after="120" w:line="240" w:lineRule="auto"/>
        <w:jc w:val="center"/>
        <w:rPr>
          <w:noProof/>
        </w:rPr>
      </w:pPr>
    </w:p>
    <w:sectPr>
      <w:headerReference w:type="even" r:id="rId115"/>
      <w:headerReference w:type="default" r:id="rId116"/>
      <w:footerReference w:type="even" r:id="rId117"/>
      <w:footerReference w:type="default" r:id="rId118"/>
      <w:headerReference w:type="first" r:id="rId119"/>
      <w:footerReference w:type="first" r:id="rId12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Arial" w:hAnsi="Arial" w:cs="Arial"/>
        <w:b/>
        <w:szCs w:val="24"/>
      </w:rPr>
    </w:pPr>
    <w:r>
      <w:fldChar w:fldCharType="begin"/>
    </w:r>
    <w:r>
      <w:instrText xml:space="preserve"> PAGE  \* MERGEFORMAT </w:instrText>
    </w:r>
    <w:r>
      <w:fldChar w:fldCharType="separate"/>
    </w:r>
    <w:r>
      <w:rPr>
        <w:noProof/>
      </w:rPr>
      <w:t>18</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35811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21</w:t>
        </w:r>
        <w: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21382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31</w:t>
        </w:r>
        <w:r>
          <w:fldChar w:fldCharType="end"/>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98256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33</w:t>
        </w:r>
        <w:r>
          <w:fldChar w:fldCharType="end"/>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43232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42</w:t>
        </w:r>
        <w:r>
          <w:fldChar w:fldCharType="end"/>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66834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45</w:t>
        </w:r>
        <w:r>
          <w:fldChar w:fldCharType="end"/>
        </w:r>
      </w:p>
    </w:sdtContent>
  </w:sdt>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7447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57</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29122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59</w:t>
        </w:r>
        <w:r>
          <w:fldChar w:fldCharType="end"/>
        </w:r>
      </w:p>
    </w:sdtContent>
  </w:sdt>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42861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64</w:t>
        </w:r>
        <w:r>
          <w:fldChar w:fldCharType="end"/>
        </w:r>
      </w:p>
    </w:sdtContent>
  </w:sdt>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52027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68</w:t>
        </w:r>
        <w:r>
          <w:fldChar w:fldCharType="end"/>
        </w:r>
      </w:p>
    </w:sdtContent>
  </w:sdt>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9421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82</w:t>
        </w:r>
        <w:r>
          <w:fldChar w:fldCharType="end"/>
        </w:r>
      </w:p>
    </w:sdtContent>
  </w:sdt>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7067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83</w:t>
        </w:r>
        <w:r>
          <w:fldChar w:fldCharType="end"/>
        </w:r>
      </w:p>
    </w:sdtContent>
  </w:sdt>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85796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84</w:t>
        </w:r>
        <w:r>
          <w:fldChar w:fldCharType="end"/>
        </w:r>
      </w:p>
    </w:sdtContent>
  </w:sdt>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83416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0209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88</w:t>
        </w:r>
        <w:r>
          <w:fldChar w:fldCharType="end"/>
        </w:r>
      </w:p>
    </w:sdtContent>
  </w:sdt>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52299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98</w:t>
        </w:r>
        <w:r>
          <w:fldChar w:fldCharType="end"/>
        </w:r>
      </w:p>
    </w:sdtContent>
  </w:sdt>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64061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7</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84" w:hanging="284"/>
      </w:pPr>
      <w:r>
        <w:rPr>
          <w:rStyle w:val="FootnoteReference"/>
        </w:rPr>
        <w:footnoteRef/>
      </w:r>
      <w:r>
        <w:tab/>
        <w:t>Välja arvatud käesoleva meetme kohased elektri- ja/või soojusenergia tootmise ning maagaasi ülekande- ja jaotustaristuga seotud projektid, mis vastavad põhimõtte „Ei kahjusta oluliselt“ tehniliste suuniste (2021/C58/01) III lisas sätestatud tingimustele.</w:t>
      </w:r>
    </w:p>
  </w:footnote>
  <w:footnote w:id="3">
    <w:p>
      <w:pPr>
        <w:pStyle w:val="FootnoteText"/>
        <w:ind w:left="284" w:hanging="284"/>
      </w:pPr>
      <w:r>
        <w:rPr>
          <w:rStyle w:val="FootnoteReference"/>
        </w:rPr>
        <w:footnoteRef/>
      </w:r>
      <w:r>
        <w:tab/>
        <w:t>Kui toetatava tegevuse prognoositav kasvuhoonegaaside heide ei ole asjaomasest võrdlusalusest oluliselt madalam,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4">
    <w:p>
      <w:pPr>
        <w:pStyle w:val="FootnoteText"/>
        <w:ind w:left="284" w:hanging="284"/>
        <w:rPr>
          <w:rFonts w:eastAsia="Times New Roman"/>
        </w:rPr>
      </w:pPr>
      <w:r>
        <w:rPr>
          <w:rStyle w:val="FootnoteReference"/>
        </w:rPr>
        <w:footnoteRef/>
      </w:r>
      <w:r>
        <w:tab/>
        <w:t>Välistamist ei kohaldata meetme tegevuste suhtes, mis toimuvad üksnes ringlussevõetamatute ohtlike jäätmete töötlemisega tegelevates jaamades, ega olemasolevate jaamade suhtes, kui meetme tegevuste eesmärk on suurendada energiatõhusust, koguda heitgaase ladustamiseks või kasutamiseks või taaskasutada põletustuhas leiduvaid materjale, tingimusel et need tegevused ei suurenda jaamade jäätmetöötlusvõimsust ega pikenda nende kasutusiga; tõendid selle kohta tuleb esitada iga jaama kohta eraldi.</w:t>
      </w:r>
    </w:p>
  </w:footnote>
  <w:footnote w:id="5">
    <w:p>
      <w:pPr>
        <w:pStyle w:val="FootnoteText"/>
        <w:ind w:left="284" w:hanging="284"/>
      </w:pPr>
      <w:r>
        <w:rPr>
          <w:rStyle w:val="FootnoteReference"/>
        </w:rPr>
        <w:footnoteRef/>
      </w:r>
      <w:r>
        <w:tab/>
        <w:t>Välistamist ei kohaldata meetme tegevuste suhtes, mis toimuvad olemasolevates mehhaanilis-bioloogilise töötlemise jaamades, kus nende tegevuste eesmärk on suurendada energiatõhusust või moderniseerida eraldatud jäätmete ringlussevõttu biojäätmete kompostimiseks ja biojäätmete anaeroobseks lagundamiseks, tingimusel et need tegevused ei suurenda jaamade jäätmetöötlusvõimsust ega pikenda nende kasutusiga; tõendid selle kohta tuleb esitada iga jaama kohta eraldi.</w:t>
      </w:r>
    </w:p>
  </w:footnote>
  <w:footnote w:id="6">
    <w:p>
      <w:pPr>
        <w:pStyle w:val="FootnoteText"/>
        <w:ind w:left="284" w:hanging="284"/>
      </w:pPr>
      <w:r>
        <w:rPr>
          <w:rStyle w:val="FootnoteReference"/>
        </w:rPr>
        <w:footnoteRef/>
      </w:r>
      <w:r>
        <w:tab/>
        <w:t>Välja arvatud käesoleva meetme kohased elektri- ja/või soojusenergia tootmise ning maagaasi ülekande- ja jaotustaristuga seotud projektid, mis vastavad põhimõtte „Ei kahjusta oluliselt“ tehniliste suuniste (2021/C58/01) III lisas sätestatud tingimustele.</w:t>
      </w:r>
    </w:p>
  </w:footnote>
  <w:footnote w:id="7">
    <w:p>
      <w:pPr>
        <w:pStyle w:val="FootnoteText"/>
        <w:ind w:left="284" w:hanging="284"/>
      </w:pPr>
      <w:r>
        <w:rPr>
          <w:rStyle w:val="FootnoteReference"/>
        </w:rPr>
        <w:footnoteRef/>
      </w:r>
      <w:r>
        <w:tab/>
        <w:t>Kui toetatava tegevuse prognoositav kasvuhoonegaaside heide ei ole asjaomasest võrdlusalusest oluliselt madalam,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8">
    <w:p>
      <w:pPr>
        <w:pStyle w:val="FootnoteText"/>
        <w:ind w:left="284" w:hanging="284"/>
        <w:rPr>
          <w:rFonts w:eastAsia="Times New Roman"/>
        </w:rPr>
      </w:pPr>
      <w:r>
        <w:rPr>
          <w:rStyle w:val="FootnoteReference"/>
        </w:rPr>
        <w:footnoteRef/>
      </w:r>
      <w:r>
        <w:tab/>
        <w:t>Välistamist ei kohaldata meetme tegevuste suhtes, mis toimuvad üksnes ringlussevõetamatute ohtlike jäätmete töötlemisega tegelevates jaamades, ega olemasolevate jaamade suhtes, kui meetme tegevuste eesmärk on suurendada energiatõhusust, koguda heitgaase ladustamiseks või kasutamiseks või taaskasutada põletustuhas leiduvaid materjale, tingimusel et need tegevused ei suurenda jaamade jäätmetöötlusvõimsust ega pikenda nende kasutusiga; tõendid selle kohta tuleb esitada iga jaama kohta eraldi.</w:t>
      </w:r>
    </w:p>
  </w:footnote>
  <w:footnote w:id="9">
    <w:p>
      <w:pPr>
        <w:pStyle w:val="FootnoteText"/>
        <w:ind w:left="284" w:hanging="284"/>
      </w:pPr>
      <w:r>
        <w:rPr>
          <w:rStyle w:val="FootnoteReference"/>
        </w:rPr>
        <w:footnoteRef/>
      </w:r>
      <w:r>
        <w:tab/>
        <w:t>Välistamist ei kohaldata meetme tegevuste suhtes, mis toimuvad olemasolevates mehhaanilis-bioloogilise töötlemise jaamades, kus nende tegevuste eesmärk on suurendada energiatõhusust või moderniseerida eraldatud jäätmete ringlussevõttu biojäätmete kompostimiseks ja biojäätmete anaeroobseks lagundamiseks, tingimusel et need tegevused ei suurenda jaamade jäätmetöötlusvõimsust ega pikenda nende kasutusiga; tõendid selle kohta tuleb esitada iga jaama kohta eraldi.</w:t>
      </w:r>
    </w:p>
  </w:footnote>
  <w:footnote w:id="10">
    <w:p>
      <w:pPr>
        <w:pStyle w:val="FootnoteText"/>
        <w:ind w:left="284" w:hanging="284"/>
      </w:pPr>
      <w:r>
        <w:rPr>
          <w:rStyle w:val="FootnoteReference"/>
        </w:rPr>
        <w:footnoteRef/>
      </w:r>
      <w:r>
        <w:tab/>
        <w:t>Välja arvatud käesoleva meetme kohased elektri- ja/või soojusenergia tootmise ning maagaasi ülekande- ja jaotustaristuga seotud projektid, mis vastavad põhimõtte „Ei kahjusta oluliselt“ tehniliste suuniste (2021/C58/01) III lisas sätestatud tingimustele.</w:t>
      </w:r>
    </w:p>
  </w:footnote>
  <w:footnote w:id="11">
    <w:p>
      <w:pPr>
        <w:pStyle w:val="FootnoteText"/>
        <w:ind w:left="284" w:hanging="284"/>
      </w:pPr>
      <w:r>
        <w:rPr>
          <w:rStyle w:val="FootnoteReference"/>
        </w:rPr>
        <w:footnoteRef/>
      </w:r>
      <w:r>
        <w:tab/>
        <w:t>Kui toetatava tegevuse prognoositav kasvuhoonegaaside heide ei ole asjaomasest võrdlusalusest oluliselt madalam,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12">
    <w:p>
      <w:pPr>
        <w:spacing w:after="0" w:line="240" w:lineRule="auto"/>
        <w:ind w:left="284" w:hanging="284"/>
        <w:rPr>
          <w:rFonts w:ascii="Times New Roman" w:eastAsia="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Välistamist ei kohaldata meetme tegevuste suhtes, mis toimuvad üksnes ringlussevõetamatute ohtlike jäätmete töötlemisega tegelevates jaamades, ega olemasolevate jaamade suhtes, kui meetme tegevuste eesmärk on suurendada energiatõhusust, koguda heitgaase ladustamiseks või kasutamiseks või taaskasutada põletustuhas leiduvaid materjale, tingimusel et need tegevused ei suurenda jaamade jäätmetöötlusvõimsust ega pikenda nende kasutusiga; tõendid selle kohta tuleb esitada iga jaama kohta eraldi.</w:t>
      </w:r>
    </w:p>
  </w:footnote>
  <w:footnote w:id="13">
    <w:p>
      <w:pPr>
        <w:pStyle w:val="FootnoteText"/>
        <w:ind w:left="284" w:hanging="284"/>
      </w:pPr>
      <w:r>
        <w:rPr>
          <w:rStyle w:val="FootnoteReference"/>
        </w:rPr>
        <w:footnoteRef/>
      </w:r>
      <w:r>
        <w:tab/>
        <w:t>Välistamist ei kohaldata meetme tegevuste suhtes, mis toimuvad olemasolevates mehhaanilis-bioloogilise töötlemise jaamades, kus nende tegevuste eesmärk on suurendada energiatõhusust või moderniseerida eraldatud jäätmete ringlussevõttu biojäätmete kompostimiseks ja biojäätmete anaeroobseks lagundamiseks, tingimusel et need tegevused ei suurenda jaamade jäätmetöötlusvõimsust ega pikenda nende kasutusiga; tõendid selle kohta tuleb esitada iga jaama kohta eraldi.</w:t>
      </w:r>
    </w:p>
  </w:footnote>
  <w:footnote w:id="14">
    <w:p>
      <w:pPr>
        <w:pStyle w:val="FootnoteText"/>
        <w:ind w:left="284" w:hanging="284"/>
      </w:pPr>
      <w:r>
        <w:rPr>
          <w:rStyle w:val="FootnoteReference"/>
        </w:rPr>
        <w:footnoteRef/>
      </w:r>
      <w:r>
        <w:tab/>
        <w:t>Välja arvatud käesoleva meetme kohased elektri- ja/või soojusenergia tootmise ning maagaasi ülekande- ja jaotustaristuga seotud projektid, mis vastavad põhimõtte „Ei kahjusta oluliselt“ tehniliste suuniste (2021/C58/01) III lisas sätestatud tingimustele.</w:t>
      </w:r>
    </w:p>
  </w:footnote>
  <w:footnote w:id="15">
    <w:p>
      <w:pPr>
        <w:pStyle w:val="FootnoteText"/>
        <w:ind w:left="284" w:hanging="284"/>
      </w:pPr>
      <w:r>
        <w:rPr>
          <w:rStyle w:val="FootnoteReference"/>
        </w:rPr>
        <w:footnoteRef/>
      </w:r>
      <w:r>
        <w:tab/>
        <w:t>Kui toetatava tegevuse prognoositav kasvuhoonegaaside heide ei ole asjaomasest võrdlusalusest oluliselt madalam,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16">
    <w:p>
      <w:pPr>
        <w:pStyle w:val="FootnoteText"/>
        <w:ind w:left="284" w:hanging="284"/>
      </w:pPr>
      <w:r>
        <w:rPr>
          <w:rStyle w:val="FootnoteReference"/>
        </w:rPr>
        <w:footnoteRef/>
      </w:r>
      <w:r>
        <w:tab/>
        <w:t>Välistamist ei kohaldata meetme tegevuste suhtes, mis toimuvad üksnes ringlussevõetamatute ohtlike jäätmete töötlemisega tegelevates jaamades, ega olemasolevate jaamade suhtes, kui meetme tegevuste eesmärk on suurendada energiatõhusust, koguda heitgaase ladustamiseks või kasutamiseks või taaskasutada põletustuhas leiduvaid materjale, tingimusel et need tegevused ei suurenda jaamade jäätmetöötlusvõimsust ega pikenda nende kasutusiga; tõendid selle kohta tuleb esitada iga jaama kohta eraldi.</w:t>
      </w:r>
    </w:p>
  </w:footnote>
  <w:footnote w:id="17">
    <w:p>
      <w:pPr>
        <w:pStyle w:val="FootnoteText"/>
        <w:ind w:left="284" w:hanging="284"/>
      </w:pPr>
      <w:r>
        <w:rPr>
          <w:rStyle w:val="FootnoteReference"/>
        </w:rPr>
        <w:footnoteRef/>
      </w:r>
      <w:r>
        <w:tab/>
        <w:t>Välistamist ei kohaldata meetme tegevuste suhtes, mis toimuvad olemasolevates mehhaanilis-bioloogilise töötlemise jaamades, kus nende tegevuste eesmärk on suurendada energiatõhusust või moderniseerida eraldatud jäätmete ringlussevõttu biojäätmete kompostimiseks ja biojäätmete anaeroobseks lagundamiseks, tingimusel et need tegevused ei suurenda jaamade jäätmetöötlusvõimsust ega pikenda nende kasutusiga; tõendid selle kohta tuleb esitada iga jaama kohta eraldi.</w:t>
      </w:r>
    </w:p>
  </w:footnote>
  <w:footnote w:id="18">
    <w:p>
      <w:pPr>
        <w:pStyle w:val="FootnoteText"/>
        <w:ind w:left="284" w:hanging="284"/>
      </w:pPr>
      <w:r>
        <w:rPr>
          <w:rStyle w:val="FootnoteReference"/>
        </w:rPr>
        <w:footnoteRef/>
      </w:r>
      <w:r>
        <w:tab/>
        <w:t>Välja arvatud käesoleva meetme kohased elektri- ja/või soojusenergia tootmise ning maagaasi ülekande- ja jaotustaristuga seotud projektid, mis vastavad põhimõtte „Ei kahjusta oluliselt“ tehniliste suuniste (2021/C58/01) III lisas sätestatud tingimustele.</w:t>
      </w:r>
    </w:p>
  </w:footnote>
  <w:footnote w:id="19">
    <w:p>
      <w:pPr>
        <w:pStyle w:val="FootnoteText"/>
        <w:ind w:left="284" w:hanging="284"/>
      </w:pPr>
      <w:r>
        <w:rPr>
          <w:rStyle w:val="FootnoteReference"/>
        </w:rPr>
        <w:footnoteRef/>
      </w:r>
      <w:r>
        <w:tab/>
        <w:t>Kui toetatava tegevuse prognoositav kasvuhoonegaaside heide ei ole asjaomasest võrdlusalusest oluliselt madalam,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20">
    <w:p>
      <w:pPr>
        <w:pStyle w:val="FootnoteText"/>
        <w:ind w:left="284" w:hanging="284"/>
        <w:rPr>
          <w:rFonts w:eastAsia="Times New Roman"/>
        </w:rPr>
      </w:pPr>
      <w:r>
        <w:rPr>
          <w:rStyle w:val="FootnoteReference"/>
        </w:rPr>
        <w:footnoteRef/>
      </w:r>
      <w:r>
        <w:tab/>
        <w:t>Välistamist ei kohaldata meetme tegevuste suhtes, mis toimuvad üksnes ringlussevõetamatute ohtlike jäätmete töötlemisega tegelevates jaamades, ega olemasolevate jaamade suhtes, kui meetme tegevuste eesmärk on suurendada energiatõhusust, koguda heitgaase ladustamiseks või kasutamiseks või taaskasutada põletustuhas leiduvaid materjale, tingimusel et need tegevused ei suurenda jaamade jäätmetöötlusvõimsust ega pikenda nende kasutusiga; tõendid selle kohta tuleb esitada iga jaama kohta eraldi.</w:t>
      </w:r>
    </w:p>
  </w:footnote>
  <w:footnote w:id="21">
    <w:p>
      <w:pPr>
        <w:pStyle w:val="FootnoteText"/>
        <w:ind w:left="284" w:hanging="284"/>
      </w:pPr>
      <w:r>
        <w:rPr>
          <w:rStyle w:val="FootnoteReference"/>
        </w:rPr>
        <w:footnoteRef/>
      </w:r>
      <w:r>
        <w:tab/>
        <w:t>Välistamist ei kohaldata meetme tegevuste suhtes, mis toimuvad olemasolevates mehhaanilis-bioloogilise töötlemise jaamades, kus nende tegevuste eesmärk on suurendada energiatõhusust või moderniseerida eraldatud jäätmete ringlussevõttu biojäätmete kompostimiseks ja biojäätmete anaeroobseks lagundamiseks, tingimusel et need tegevused ei suurenda jaamade jäätmetöötlusvõimsust ega pikenda nende kasutusiga; tõendid selle kohta tuleb esitada iga jaama kohta eraldi.</w:t>
      </w:r>
    </w:p>
  </w:footnote>
  <w:footnote w:id="22">
    <w:p>
      <w:pPr>
        <w:pStyle w:val="FootnoteText"/>
        <w:ind w:left="284" w:hanging="284"/>
      </w:pPr>
      <w:r>
        <w:rPr>
          <w:rStyle w:val="FootnoteReference"/>
        </w:rPr>
        <w:footnoteRef/>
      </w:r>
      <w:r>
        <w:tab/>
        <w:t>Välja arvatud käesoleva meetme kohased elektri- ja/või soojusenergia tootmise ning maagaasi ülekande- ja jaotustaristuga seotud projektid, mis vastavad põhimõtte „Ei kahjusta oluliselt“ tehniliste suuniste (2021/C58/01) III lisas sätestatud tingimustele.</w:t>
      </w:r>
    </w:p>
  </w:footnote>
  <w:footnote w:id="23">
    <w:p>
      <w:pPr>
        <w:pStyle w:val="FootnoteText"/>
        <w:ind w:left="284" w:hanging="284"/>
      </w:pPr>
      <w:r>
        <w:rPr>
          <w:rStyle w:val="FootnoteReference"/>
        </w:rPr>
        <w:footnoteRef/>
      </w:r>
      <w:r>
        <w:tab/>
        <w:t>Kui toetatava tegevuse prognoositav kasvuhoonegaaside heide ei ole asjaomasest võrdlusalusest oluliselt madalam,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24">
    <w:p>
      <w:pPr>
        <w:pStyle w:val="FootnoteText"/>
        <w:ind w:left="284" w:hanging="284"/>
        <w:rPr>
          <w:rFonts w:eastAsia="Times New Roman"/>
        </w:rPr>
      </w:pPr>
      <w:r>
        <w:rPr>
          <w:rStyle w:val="FootnoteReference"/>
        </w:rPr>
        <w:footnoteRef/>
      </w:r>
      <w:r>
        <w:tab/>
        <w:t>Välistamist ei kohaldata meetme tegevuste suhtes, mis toimuvad üksnes ringlussevõetamatute ohtlike jäätmete töötlemisega tegelevates jaamades, ega olemasolevate jaamade suhtes, kui meetme tegevuste eesmärk on suurendada energiatõhusust, koguda heitgaase ladustamiseks või kasutamiseks või taaskasutada põletustuhas leiduvaid materjale, tingimusel et need tegevused ei suurenda jaamade jäätmetöötlusvõimsust ega pikenda nende kasutusiga; tõendid selle kohta tuleb esitada iga jaama kohta eraldi.</w:t>
      </w:r>
    </w:p>
  </w:footnote>
  <w:footnote w:id="25">
    <w:p>
      <w:pPr>
        <w:pStyle w:val="FootnoteText"/>
        <w:ind w:left="284" w:hanging="284"/>
      </w:pPr>
      <w:r>
        <w:rPr>
          <w:rStyle w:val="FootnoteReference"/>
        </w:rPr>
        <w:footnoteRef/>
      </w:r>
      <w:r>
        <w:tab/>
        <w:t>Välistamist ei kohaldata meetme tegevuste suhtes, mis toimuvad olemasolevates mehhaanilis-bioloogilise töötlemise jaamades, kus nende tegevuste eesmärk on suurendada energiatõhusust või moderniseerida eraldatud jäätmete ringlussevõttu biojäätmete kompostimiseks ja biojäätmete anaeroobseks lagundamiseks, tingimusel et need tegevused ei suurenda jaamade jäätmetöötlusvõimsust ega pikenda nende kasutusiga; tõendid selle kohta tuleb esitada iga jaama kohta eraldi.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6D6568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B76FBE4"/>
    <w:lvl w:ilvl="0">
      <w:start w:val="1"/>
      <w:numFmt w:val="decimal"/>
      <w:pStyle w:val="ListNumber3"/>
      <w:lvlText w:val="%1."/>
      <w:lvlJc w:val="left"/>
      <w:pPr>
        <w:tabs>
          <w:tab w:val="num" w:pos="926"/>
        </w:tabs>
        <w:ind w:left="926" w:hanging="360"/>
      </w:pPr>
    </w:lvl>
  </w:abstractNum>
  <w:abstractNum w:abstractNumId="2">
    <w:nsid w:val="FFFFFF7F"/>
    <w:multiLevelType w:val="singleLevel"/>
    <w:tmpl w:val="EF6A5B44"/>
    <w:lvl w:ilvl="0">
      <w:start w:val="1"/>
      <w:numFmt w:val="decimal"/>
      <w:pStyle w:val="ListNumber2"/>
      <w:lvlText w:val="%1."/>
      <w:lvlJc w:val="left"/>
      <w:pPr>
        <w:tabs>
          <w:tab w:val="num" w:pos="643"/>
        </w:tabs>
        <w:ind w:left="643" w:hanging="360"/>
      </w:pPr>
    </w:lvl>
  </w:abstractNum>
  <w:abstractNum w:abstractNumId="3">
    <w:nsid w:val="FFFFFF81"/>
    <w:multiLevelType w:val="singleLevel"/>
    <w:tmpl w:val="7168214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BC045F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4EC618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0268B58"/>
    <w:lvl w:ilvl="0">
      <w:start w:val="1"/>
      <w:numFmt w:val="decimal"/>
      <w:pStyle w:val="ListNumber"/>
      <w:lvlText w:val="%1."/>
      <w:lvlJc w:val="left"/>
      <w:pPr>
        <w:tabs>
          <w:tab w:val="num" w:pos="360"/>
        </w:tabs>
        <w:ind w:left="360" w:hanging="360"/>
      </w:pPr>
    </w:lvl>
  </w:abstractNum>
  <w:abstractNum w:abstractNumId="7">
    <w:nsid w:val="FFFFFF89"/>
    <w:multiLevelType w:val="singleLevel"/>
    <w:tmpl w:val="D31E9FD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1704564"/>
    <w:multiLevelType w:val="hybridMultilevel"/>
    <w:tmpl w:val="1E9A5DAC"/>
    <w:lvl w:ilvl="0" w:tplc="1DF00B42">
      <w:start w:val="1"/>
      <w:numFmt w:val="lowerRoman"/>
      <w:lvlText w:val="(%1)"/>
      <w:lvlJc w:val="left"/>
      <w:pPr>
        <w:ind w:left="1210" w:hanging="360"/>
      </w:pPr>
      <w:rPr>
        <w:rFonts w:hint="default"/>
        <w:color w:val="auto"/>
        <w:sz w:val="24"/>
        <w:szCs w:val="24"/>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9">
    <w:nsid w:val="17AD740F"/>
    <w:multiLevelType w:val="hybridMultilevel"/>
    <w:tmpl w:val="643CD414"/>
    <w:lvl w:ilvl="0" w:tplc="02CA6F66">
      <w:start w:val="1"/>
      <w:numFmt w:val="lowerRoman"/>
      <w:lvlText w:val="(%1)"/>
      <w:lvlJc w:val="left"/>
      <w:pPr>
        <w:ind w:left="1210" w:hanging="360"/>
      </w:pPr>
      <w:rPr>
        <w:rFonts w:hint="default"/>
        <w:color w:val="auto"/>
        <w:sz w:val="24"/>
        <w:szCs w:val="24"/>
      </w:rPr>
    </w:lvl>
    <w:lvl w:ilvl="1" w:tplc="08090003">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0">
    <w:nsid w:val="1B0073AA"/>
    <w:multiLevelType w:val="hybridMultilevel"/>
    <w:tmpl w:val="451EF0F0"/>
    <w:lvl w:ilvl="0" w:tplc="A13C19E2">
      <w:start w:val="1"/>
      <w:numFmt w:val="decimal"/>
      <w:lvlText w:val="6.%1."/>
      <w:lvlJc w:val="left"/>
      <w:pPr>
        <w:ind w:left="15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nsid w:val="21167C04"/>
    <w:multiLevelType w:val="hybridMultilevel"/>
    <w:tmpl w:val="1E9A5DAC"/>
    <w:lvl w:ilvl="0" w:tplc="1DF00B42">
      <w:start w:val="1"/>
      <w:numFmt w:val="lowerRoman"/>
      <w:lvlText w:val="(%1)"/>
      <w:lvlJc w:val="left"/>
      <w:pPr>
        <w:ind w:left="1210" w:hanging="360"/>
      </w:pPr>
      <w:rPr>
        <w:rFonts w:hint="default"/>
        <w:color w:val="auto"/>
        <w:sz w:val="24"/>
        <w:szCs w:val="24"/>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3">
    <w:nsid w:val="22E44180"/>
    <w:multiLevelType w:val="multilevel"/>
    <w:tmpl w:val="63EE4112"/>
    <w:name w:val="NumPar"/>
    <w:lvl w:ilvl="0">
      <w:start w:val="1"/>
      <w:numFmt w:val="decimal"/>
      <w:lvlRestart w:val="0"/>
      <w:pStyle w:val="NumPar1"/>
      <w:lvlText w:val="%1."/>
      <w:lvlJc w:val="left"/>
      <w:pPr>
        <w:tabs>
          <w:tab w:val="num" w:pos="1418"/>
        </w:tabs>
        <w:ind w:left="1418" w:hanging="850"/>
      </w:pPr>
      <w:rPr>
        <w:color w:val="auto"/>
      </w:r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89170F6"/>
    <w:multiLevelType w:val="hybridMultilevel"/>
    <w:tmpl w:val="B088C3AA"/>
    <w:lvl w:ilvl="0" w:tplc="61CE7A64">
      <w:start w:val="1"/>
      <w:numFmt w:val="lowerRoman"/>
      <w:lvlText w:val="(%1)"/>
      <w:lvlJc w:val="left"/>
      <w:pPr>
        <w:ind w:left="720" w:hanging="360"/>
      </w:pPr>
      <w:rPr>
        <w:rFonts w:hint="default"/>
        <w:color w:val="auto"/>
        <w:sz w:val="24"/>
        <w:szCs w:val="1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7">
    <w:nsid w:val="2DD02FBB"/>
    <w:multiLevelType w:val="hybridMultilevel"/>
    <w:tmpl w:val="CFF80B60"/>
    <w:lvl w:ilvl="0" w:tplc="08090011">
      <w:start w:val="1"/>
      <w:numFmt w:val="decimal"/>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8">
    <w:nsid w:val="2DDF7462"/>
    <w:multiLevelType w:val="hybridMultilevel"/>
    <w:tmpl w:val="0CBE3288"/>
    <w:lvl w:ilvl="0" w:tplc="1FC4075E">
      <w:start w:val="1"/>
      <w:numFmt w:val="decimal"/>
      <w:lvlText w:val="5.%1."/>
      <w:lvlJc w:val="left"/>
      <w:pPr>
        <w:ind w:left="15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0511E65"/>
    <w:multiLevelType w:val="hybridMultilevel"/>
    <w:tmpl w:val="D840B508"/>
    <w:lvl w:ilvl="0" w:tplc="82FA4DBE">
      <w:start w:val="1"/>
      <w:numFmt w:val="decimal"/>
      <w:lvlText w:val="2.%1."/>
      <w:lvlJc w:val="left"/>
      <w:pPr>
        <w:ind w:left="15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1D42C54"/>
    <w:multiLevelType w:val="hybridMultilevel"/>
    <w:tmpl w:val="0DCA42B4"/>
    <w:lvl w:ilvl="0" w:tplc="CF1E5C86">
      <w:start w:val="1"/>
      <w:numFmt w:val="decimal"/>
      <w:lvlText w:val="3.%1."/>
      <w:lvlJc w:val="left"/>
      <w:pPr>
        <w:ind w:left="15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4E42091C"/>
    <w:multiLevelType w:val="hybridMultilevel"/>
    <w:tmpl w:val="E84EBCBA"/>
    <w:lvl w:ilvl="0" w:tplc="0718640A">
      <w:start w:val="1"/>
      <w:numFmt w:val="decimal"/>
      <w:lvlText w:val="1.%1."/>
      <w:lvlJc w:val="left"/>
      <w:pPr>
        <w:ind w:left="1571" w:hanging="360"/>
      </w:pPr>
      <w:rPr>
        <w:rFonts w:hint="default"/>
      </w:rPr>
    </w:lvl>
    <w:lvl w:ilvl="1" w:tplc="BC767820">
      <w:start w:val="1"/>
      <w:numFmt w:val="decimal"/>
      <w:lvlText w:val="1.5.%2."/>
      <w:lvlJc w:val="left"/>
      <w:pPr>
        <w:ind w:left="2291" w:hanging="360"/>
      </w:pPr>
      <w:rPr>
        <w:rFonts w:hint="default"/>
      </w:r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6">
    <w:nsid w:val="58393B53"/>
    <w:multiLevelType w:val="hybridMultilevel"/>
    <w:tmpl w:val="1920432E"/>
    <w:lvl w:ilvl="0" w:tplc="1D76A52C">
      <w:start w:val="1"/>
      <w:numFmt w:val="lowerRoman"/>
      <w:lvlText w:val="%1."/>
      <w:lvlJc w:val="left"/>
      <w:pPr>
        <w:ind w:left="1211" w:hanging="360"/>
      </w:pPr>
      <w:rPr>
        <w:rFonts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27">
    <w:nsid w:val="5ACB6842"/>
    <w:multiLevelType w:val="hybridMultilevel"/>
    <w:tmpl w:val="4E3A75D8"/>
    <w:lvl w:ilvl="0" w:tplc="040A506A">
      <w:start w:val="1"/>
      <w:numFmt w:val="decimal"/>
      <w:lvlText w:val="7.%1."/>
      <w:lvlJc w:val="left"/>
      <w:pPr>
        <w:ind w:left="15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AF83696"/>
    <w:multiLevelType w:val="hybridMultilevel"/>
    <w:tmpl w:val="EB34F030"/>
    <w:lvl w:ilvl="0" w:tplc="02CA6F66">
      <w:start w:val="1"/>
      <w:numFmt w:val="lowerRoman"/>
      <w:lvlText w:val="(%1)"/>
      <w:lvlJc w:val="left"/>
      <w:pPr>
        <w:ind w:left="1210" w:hanging="360"/>
      </w:pPr>
      <w:rPr>
        <w:rFonts w:hint="default"/>
        <w:color w:val="auto"/>
        <w:sz w:val="24"/>
        <w:szCs w:val="24"/>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2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0">
    <w:nsid w:val="5B7864FF"/>
    <w:multiLevelType w:val="hybridMultilevel"/>
    <w:tmpl w:val="35DA7180"/>
    <w:lvl w:ilvl="0" w:tplc="DF2E714E">
      <w:start w:val="1"/>
      <w:numFmt w:val="decimal"/>
      <w:lvlText w:val="4.%1."/>
      <w:lvlJc w:val="left"/>
      <w:pPr>
        <w:ind w:left="15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nsid w:val="5CAD2962"/>
    <w:multiLevelType w:val="hybridMultilevel"/>
    <w:tmpl w:val="AFD8723A"/>
    <w:lvl w:ilvl="0" w:tplc="740A244E">
      <w:start w:val="6"/>
      <w:numFmt w:val="bullet"/>
      <w:lvlText w:val="-"/>
      <w:lvlJc w:val="left"/>
      <w:pPr>
        <w:ind w:left="1210" w:hanging="360"/>
      </w:pPr>
      <w:rPr>
        <w:rFonts w:ascii="Times New Roman" w:eastAsiaTheme="minorHAnsi" w:hAnsi="Times New Roman" w:cs="Times New Roman" w:hint="default"/>
        <w:color w:val="auto"/>
        <w:sz w:val="18"/>
        <w:szCs w:val="18"/>
      </w:rPr>
    </w:lvl>
    <w:lvl w:ilvl="1" w:tplc="08090003">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34">
    <w:nsid w:val="61844F8C"/>
    <w:multiLevelType w:val="multilevel"/>
    <w:tmpl w:val="DD42EF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7">
    <w:nsid w:val="689056CD"/>
    <w:multiLevelType w:val="hybridMultilevel"/>
    <w:tmpl w:val="29E9AE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6C636A4A"/>
    <w:multiLevelType w:val="hybridMultilevel"/>
    <w:tmpl w:val="26722D46"/>
    <w:lvl w:ilvl="0" w:tplc="61CE7A64">
      <w:start w:val="1"/>
      <w:numFmt w:val="lowerRoman"/>
      <w:lvlText w:val="(%1)"/>
      <w:lvlJc w:val="left"/>
      <w:pPr>
        <w:ind w:left="1210" w:hanging="360"/>
      </w:pPr>
      <w:rPr>
        <w:rFonts w:hint="default"/>
        <w:color w:val="auto"/>
        <w:sz w:val="24"/>
        <w:szCs w:val="18"/>
      </w:rPr>
    </w:lvl>
    <w:lvl w:ilvl="1" w:tplc="04090019">
      <w:start w:val="1"/>
      <w:numFmt w:val="lowerLetter"/>
      <w:lvlText w:val="%2."/>
      <w:lvlJc w:val="left"/>
      <w:pPr>
        <w:ind w:left="1930" w:hanging="360"/>
      </w:pPr>
    </w:lvl>
    <w:lvl w:ilvl="2" w:tplc="24E4944E">
      <w:start w:val="2"/>
      <w:numFmt w:val="lowerLetter"/>
      <w:lvlText w:val="%3)"/>
      <w:lvlJc w:val="left"/>
      <w:pPr>
        <w:ind w:left="2830" w:hanging="360"/>
      </w:pPr>
      <w:rPr>
        <w:rFonts w:ascii="Times New Roman" w:eastAsia="Times New Roman" w:hAnsi="Times New Roman" w:cs="Times New Roman" w:hint="default"/>
        <w:sz w:val="24"/>
      </w:r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9">
    <w:nsid w:val="78070458"/>
    <w:multiLevelType w:val="hybridMultilevel"/>
    <w:tmpl w:val="26722D46"/>
    <w:lvl w:ilvl="0" w:tplc="61CE7A64">
      <w:start w:val="1"/>
      <w:numFmt w:val="lowerRoman"/>
      <w:lvlText w:val="(%1)"/>
      <w:lvlJc w:val="left"/>
      <w:pPr>
        <w:ind w:left="1210" w:hanging="360"/>
      </w:pPr>
      <w:rPr>
        <w:rFonts w:hint="default"/>
        <w:color w:val="auto"/>
        <w:sz w:val="24"/>
        <w:szCs w:val="18"/>
      </w:rPr>
    </w:lvl>
    <w:lvl w:ilvl="1" w:tplc="04090019">
      <w:start w:val="1"/>
      <w:numFmt w:val="lowerLetter"/>
      <w:lvlText w:val="%2."/>
      <w:lvlJc w:val="left"/>
      <w:pPr>
        <w:ind w:left="1930" w:hanging="360"/>
      </w:pPr>
    </w:lvl>
    <w:lvl w:ilvl="2" w:tplc="24E4944E">
      <w:start w:val="2"/>
      <w:numFmt w:val="lowerLetter"/>
      <w:lvlText w:val="%3)"/>
      <w:lvlJc w:val="left"/>
      <w:pPr>
        <w:ind w:left="2830" w:hanging="360"/>
      </w:pPr>
      <w:rPr>
        <w:rFonts w:ascii="Times New Roman" w:eastAsia="Times New Roman" w:hAnsi="Times New Roman" w:cs="Times New Roman" w:hint="default"/>
        <w:sz w:val="24"/>
      </w:r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2"/>
  </w:num>
  <w:num w:numId="2">
    <w:abstractNumId w:val="21"/>
  </w:num>
  <w:num w:numId="3">
    <w:abstractNumId w:val="36"/>
  </w:num>
  <w:num w:numId="4">
    <w:abstractNumId w:val="16"/>
  </w:num>
  <w:num w:numId="5">
    <w:abstractNumId w:val="22"/>
  </w:num>
  <w:num w:numId="6">
    <w:abstractNumId w:val="13"/>
  </w:num>
  <w:num w:numId="7">
    <w:abstractNumId w:val="35"/>
  </w:num>
  <w:num w:numId="8">
    <w:abstractNumId w:val="11"/>
  </w:num>
  <w:num w:numId="9">
    <w:abstractNumId w:val="23"/>
  </w:num>
  <w:num w:numId="10">
    <w:abstractNumId w:val="29"/>
  </w:num>
  <w:num w:numId="11">
    <w:abstractNumId w:val="31"/>
  </w:num>
  <w:num w:numId="12">
    <w:abstractNumId w:val="15"/>
  </w:num>
  <w:num w:numId="13">
    <w:abstractNumId w:val="25"/>
  </w:num>
  <w:num w:numId="14">
    <w:abstractNumId w:val="40"/>
  </w:num>
  <w:num w:numId="15">
    <w:abstractNumId w:val="7"/>
  </w:num>
  <w:num w:numId="16">
    <w:abstractNumId w:val="5"/>
  </w:num>
  <w:num w:numId="17">
    <w:abstractNumId w:val="4"/>
  </w:num>
  <w:num w:numId="18">
    <w:abstractNumId w:val="3"/>
  </w:num>
  <w:num w:numId="19">
    <w:abstractNumId w:val="6"/>
  </w:num>
  <w:num w:numId="20">
    <w:abstractNumId w:val="2"/>
  </w:num>
  <w:num w:numId="21">
    <w:abstractNumId w:val="1"/>
  </w:num>
  <w:num w:numId="22">
    <w:abstractNumId w:val="0"/>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33"/>
  </w:num>
  <w:num w:numId="28">
    <w:abstractNumId w:val="8"/>
  </w:num>
  <w:num w:numId="29">
    <w:abstractNumId w:val="24"/>
  </w:num>
  <w:num w:numId="30">
    <w:abstractNumId w:val="19"/>
  </w:num>
  <w:num w:numId="31">
    <w:abstractNumId w:val="20"/>
  </w:num>
  <w:num w:numId="32">
    <w:abstractNumId w:val="30"/>
  </w:num>
  <w:num w:numId="33">
    <w:abstractNumId w:val="18"/>
  </w:num>
  <w:num w:numId="34">
    <w:abstractNumId w:val="10"/>
  </w:num>
  <w:num w:numId="35">
    <w:abstractNumId w:val="38"/>
  </w:num>
  <w:num w:numId="36">
    <w:abstractNumId w:val="12"/>
  </w:num>
  <w:num w:numId="37">
    <w:abstractNumId w:val="17"/>
  </w:num>
  <w:num w:numId="38">
    <w:abstractNumId w:val="26"/>
  </w:num>
  <w:num w:numId="39">
    <w:abstractNumId w:val="9"/>
  </w:num>
  <w:num w:numId="40">
    <w:abstractNumId w:val="27"/>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37"/>
  </w:num>
  <w:num w:numId="46">
    <w:abstractNumId w:val="35"/>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num>
  <w:num w:numId="49">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järgmise dokumendi juurde:"/>
    <w:docVar w:name="LW_ANNEX_NBR_FIRST" w:val="1"/>
    <w:docVar w:name="LW_ANNEX_NBR_LAST" w:val="1"/>
    <w:docVar w:name="LW_ANNEX_UNIQUE" w:val="1"/>
    <w:docVar w:name="LW_CORRIGENDUM" w:val="&lt;UNUSED&gt;"/>
    <w:docVar w:name="LW_COVERPAGE_EXISTS" w:val="True"/>
    <w:docVar w:name="LW_COVERPAGE_GUID" w:val="6497A002-61C4-4F22-B5CB-524B3A394672"/>
    <w:docVar w:name="LW_COVERPAGE_TYPE" w:val="1"/>
    <w:docVar w:name="LW_CROSSREFERENCE" w:val="{SWD(2021) 285 final}"/>
    <w:docVar w:name="LW_DocType" w:val="NORMAL"/>
    <w:docVar w:name="LW_EMISSION" w:val="5.10.2021"/>
    <w:docVar w:name="LW_EMISSION_ISODATE" w:val="2021-10-05"/>
    <w:docVar w:name="LW_EMISSION_LOCATION" w:val="BRX"/>
    <w:docVar w:name="LW_EMISSION_PREFIX" w:val="Brüssel,"/>
    <w:docVar w:name="LW_EMISSION_SUFFIX" w:val=" "/>
    <w:docVar w:name="LW_ID_DOCTYPE_NONLW" w:val="CP-036"/>
    <w:docVar w:name="LW_LANGUE" w:val="ET"/>
    <w:docVar w:name="LW_LEVEL_OF_SENSITIVITY" w:val="Standard treatment"/>
    <w:docVar w:name="LW_NOM.INST" w:val="EUROOPA KOMISJON"/>
    <w:docVar w:name="LW_NOM.INST_JOINTDOC" w:val="&lt;EMPTY&gt;"/>
    <w:docVar w:name="LW_OBJETACTEPRINCIPAL.CP" w:val="Eesti taaste- ja vastupidavuskavale antud hinnangu heakskiitmise kohta"/>
    <w:docVar w:name="LW_PART_NBR" w:val="1"/>
    <w:docVar w:name="LW_PART_NBR_TOTAL" w:val="1"/>
    <w:docVar w:name="LW_REF.INST.NEW" w:val="COM"/>
    <w:docVar w:name="LW_REF.INST.NEW_ADOPTED" w:val="final"/>
    <w:docVar w:name="LW_REF.INST.NEW_TEXT" w:val="(2021) 6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LISA_x000b_"/>
    <w:docVar w:name="LW_TYPEACTEPRINCIPAL.CP" w:val="Ettepanek: Nõukogu rakendusotsus"/>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tabs>
        <w:tab w:val="num" w:pos="850"/>
      </w:tabs>
      <w:spacing w:before="360" w:after="120" w:line="240" w:lineRule="auto"/>
      <w:ind w:left="850" w:hanging="850"/>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Text1"/>
    <w:link w:val="Heading2Char"/>
    <w:uiPriority w:val="9"/>
    <w:unhideWhenUsed/>
    <w:qFormat/>
    <w:pPr>
      <w:keepNext/>
      <w:tabs>
        <w:tab w:val="num" w:pos="850"/>
      </w:tabs>
      <w:spacing w:before="120" w:after="120" w:line="240" w:lineRule="auto"/>
      <w:ind w:left="850" w:hanging="850"/>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unhideWhenUsed/>
    <w:qFormat/>
    <w:pPr>
      <w:keepNext/>
      <w:tabs>
        <w:tab w:val="num" w:pos="850"/>
      </w:tabs>
      <w:spacing w:before="120" w:after="120" w:line="240" w:lineRule="auto"/>
      <w:ind w:left="850" w:hanging="850"/>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unhideWhenUsed/>
    <w:qFormat/>
    <w:pPr>
      <w:keepNext/>
      <w:tabs>
        <w:tab w:val="num" w:pos="850"/>
      </w:tabs>
      <w:spacing w:before="120" w:after="120" w:line="240" w:lineRule="auto"/>
      <w:ind w:left="850" w:hanging="850"/>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rPr>
      <w:rFonts w:ascii="Times New Roman" w:eastAsiaTheme="majorEastAsia" w:hAnsi="Times New Roman" w:cs="Times New Roman"/>
      <w:bCs/>
      <w:iCs/>
      <w:sz w:val="24"/>
    </w:rPr>
  </w:style>
  <w:style w:type="numbering" w:customStyle="1" w:styleId="NoList1">
    <w:name w:val="No List1"/>
    <w:next w:val="NoList"/>
    <w:uiPriority w:val="99"/>
    <w:semiHidden/>
    <w:unhideWhenUsed/>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pPr>
      <w:spacing w:after="160" w:line="259" w:lineRule="auto"/>
      <w:ind w:left="720"/>
      <w:contextualSpacing/>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rPr>
      <w:lang w:val="et-EE"/>
    </w:rPr>
  </w:style>
  <w:style w:type="character" w:styleId="IntenseEmphasis">
    <w:name w:val="Intense Emphasis"/>
    <w:basedOn w:val="DefaultParagraphFont"/>
    <w:uiPriority w:val="21"/>
    <w:qFormat/>
    <w:rPr>
      <w:i/>
      <w:iCs/>
      <w:color w:val="4F81BD" w:themeColor="accent1"/>
    </w:rPr>
  </w:style>
  <w:style w:type="paragraph" w:styleId="BalloonText">
    <w:name w:val="Balloon Text"/>
    <w:basedOn w:val="Normal"/>
    <w:link w:val="BalloonTextChar"/>
    <w:uiPriority w:val="99"/>
    <w:semiHidden/>
    <w:unhideWhenUsed/>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Bullet">
    <w:name w:val="List Bullet"/>
    <w:basedOn w:val="Normal"/>
    <w:uiPriority w:val="99"/>
    <w:unhideWhenUsed/>
    <w:pPr>
      <w:numPr>
        <w:numId w:val="15"/>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pPr>
      <w:numPr>
        <w:numId w:val="16"/>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pPr>
      <w:numPr>
        <w:numId w:val="17"/>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pPr>
      <w:numPr>
        <w:numId w:val="18"/>
      </w:numPr>
      <w:spacing w:before="120" w:after="120" w:line="240" w:lineRule="auto"/>
      <w:contextualSpacing/>
      <w:jc w:val="both"/>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hAnsi="Times New Roman" w:cs="Times New Roman"/>
      <w:sz w:val="24"/>
    </w:rPr>
  </w:style>
  <w:style w:type="table" w:styleId="TableGrid">
    <w:name w:val="Table Grid"/>
    <w:basedOn w:val="TableNormal"/>
    <w:uiPriority w:val="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et-EE" w:eastAsia="fr-FR"/>
    </w:rPr>
  </w:style>
  <w:style w:type="character" w:styleId="Hyperlink">
    <w:name w:val="Hyperlink"/>
    <w:basedOn w:val="DefaultParagraphFont"/>
    <w:uiPriority w:val="99"/>
    <w:unhideWhenUsed/>
    <w:rPr>
      <w:color w:val="0000FF"/>
      <w:u w:val="single"/>
    </w:rPr>
  </w:style>
  <w:style w:type="character" w:styleId="HTMLCite">
    <w:name w:val="HTML Cite"/>
    <w:basedOn w:val="DefaultParagraphFont"/>
    <w:uiPriority w:val="99"/>
    <w:semiHidden/>
    <w:unhideWhenUsed/>
    <w:rPr>
      <w:i/>
      <w:iCs/>
    </w:rPr>
  </w:style>
  <w:style w:type="character" w:customStyle="1" w:styleId="acopre">
    <w:name w:val="acopre"/>
    <w:basedOn w:val="DefaultParagraphFont"/>
  </w:style>
  <w:style w:type="character" w:styleId="Emphasis">
    <w:name w:val="Emphasis"/>
    <w:basedOn w:val="DefaultParagraphFont"/>
    <w:uiPriority w:val="20"/>
    <w:qFormat/>
    <w:rPr>
      <w:i/>
      <w:iCs/>
    </w:rPr>
  </w:style>
  <w:style w:type="character" w:customStyle="1" w:styleId="lo8sbd">
    <w:name w:val="lo8sbd"/>
    <w:basedOn w:val="DefaultParagraphFont"/>
  </w:style>
  <w:style w:type="paragraph" w:customStyle="1" w:styleId="s1fapd">
    <w:name w:val="s1fapd"/>
    <w:basedOn w:val="Normal"/>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urvib">
    <w:name w:val="wurvib"/>
    <w:basedOn w:val="DefaultParagraphFont"/>
  </w:style>
  <w:style w:type="character" w:customStyle="1" w:styleId="dyjrff">
    <w:name w:val="dyjrff"/>
    <w:basedOn w:val="DefaultParagraphFont"/>
  </w:style>
  <w:style w:type="character" w:customStyle="1" w:styleId="glpvmc">
    <w:name w:val="glpvmc"/>
    <w:basedOn w:val="DefaultParagraphFont"/>
  </w:style>
  <w:style w:type="character" w:customStyle="1" w:styleId="f">
    <w:name w:val="f"/>
    <w:basedOn w:val="DefaultParagraphFont"/>
  </w:style>
  <w:style w:type="character" w:customStyle="1" w:styleId="mfmhoc">
    <w:name w:val="mfmhoc"/>
    <w:basedOn w:val="DefaultParagraphFont"/>
  </w:style>
  <w:style w:type="character" w:customStyle="1" w:styleId="q8lrlc">
    <w:name w:val="q8lrlc"/>
    <w:basedOn w:val="DefaultParagraphFont"/>
  </w:style>
  <w:style w:type="character" w:customStyle="1" w:styleId="b4gxfc">
    <w:name w:val="b4gxfc"/>
    <w:basedOn w:val="DefaultParagraphFont"/>
  </w:style>
  <w:style w:type="character" w:customStyle="1" w:styleId="jlqj4b">
    <w:name w:val="jlqj4b"/>
    <w:basedOn w:val="DefaultParagraphFont"/>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hgkelc">
    <w:name w:val="hgkelc"/>
    <w:basedOn w:val="DefaultParagraphFont"/>
  </w:style>
  <w:style w:type="character" w:customStyle="1" w:styleId="y2iqfc">
    <w:name w:val="y2iqfc"/>
    <w:basedOn w:val="DefaultParagraphFont"/>
  </w:style>
  <w:style w:type="paragraph" w:customStyle="1" w:styleId="Bodytext211">
    <w:name w:val="Body text|211"/>
    <w:basedOn w:val="Normal"/>
    <w:link w:val="Bodytext2"/>
    <w:qFormat/>
    <w:pPr>
      <w:widowControl w:val="0"/>
      <w:shd w:val="clear" w:color="auto" w:fill="FFFFFF"/>
      <w:spacing w:before="400" w:after="100" w:line="244" w:lineRule="exact"/>
      <w:ind w:hanging="380"/>
    </w:pPr>
    <w:rPr>
      <w:rFonts w:ascii="Calibri" w:eastAsia="Calibri" w:hAnsi="Calibri" w:cs="Calibri"/>
      <w:color w:val="000000"/>
      <w:sz w:val="20"/>
      <w:szCs w:val="20"/>
      <w:lang w:eastAsia="fr-FR" w:bidi="fr-FR"/>
    </w:rPr>
  </w:style>
  <w:style w:type="character" w:customStyle="1" w:styleId="Bodytext2">
    <w:name w:val="Body text|2_"/>
    <w:basedOn w:val="DefaultParagraphFont"/>
    <w:link w:val="Bodytext211"/>
    <w:rPr>
      <w:rFonts w:ascii="Calibri" w:eastAsia="Calibri" w:hAnsi="Calibri" w:cs="Calibri"/>
      <w:color w:val="000000"/>
      <w:sz w:val="20"/>
      <w:szCs w:val="20"/>
      <w:shd w:val="clear" w:color="auto" w:fill="FFFFFF"/>
      <w:lang w:val="et-EE" w:eastAsia="fr-FR" w:bidi="fr-FR"/>
    </w:rPr>
  </w:style>
  <w:style w:type="character" w:customStyle="1" w:styleId="Bodytext2Italic">
    <w:name w:val="Body text|2 + Italic"/>
    <w:basedOn w:val="Bodytext2"/>
    <w:semiHidden/>
    <w:unhideWhenUsed/>
    <w:rPr>
      <w:rFonts w:ascii="Calibri" w:eastAsia="Calibri" w:hAnsi="Calibri" w:cs="Calibri"/>
      <w:i/>
      <w:iCs/>
      <w:color w:val="000000"/>
      <w:spacing w:val="0"/>
      <w:w w:val="100"/>
      <w:position w:val="0"/>
      <w:sz w:val="20"/>
      <w:szCs w:val="20"/>
      <w:shd w:val="clear" w:color="auto" w:fill="FFFFFF"/>
      <w:lang w:val="et-EE" w:eastAsia="fr-FR" w:bidi="fr-FR"/>
    </w:rPr>
  </w:style>
  <w:style w:type="character" w:customStyle="1" w:styleId="Bodytext20">
    <w:name w:val="Body text|20"/>
    <w:basedOn w:val="Bodytext2"/>
    <w:semiHidden/>
    <w:unhideWhenUsed/>
    <w:rPr>
      <w:rFonts w:ascii="Calibri" w:eastAsia="Calibri" w:hAnsi="Calibri" w:cs="Calibri"/>
      <w:color w:val="000000"/>
      <w:spacing w:val="0"/>
      <w:w w:val="100"/>
      <w:position w:val="0"/>
      <w:sz w:val="20"/>
      <w:szCs w:val="20"/>
      <w:u w:val="single"/>
      <w:shd w:val="clear" w:color="auto" w:fill="FFFFFF"/>
      <w:lang w:val="et-EE" w:eastAsia="fr-FR" w:bidi="fr-FR"/>
    </w:rPr>
  </w:style>
  <w:style w:type="character" w:customStyle="1" w:styleId="Footnote1">
    <w:name w:val="Footnote|1_"/>
    <w:basedOn w:val="DefaultParagraphFont"/>
    <w:link w:val="Footnote11"/>
    <w:rPr>
      <w:rFonts w:ascii="Calibri" w:eastAsia="Calibri" w:hAnsi="Calibri" w:cs="Calibri"/>
      <w:sz w:val="15"/>
      <w:szCs w:val="15"/>
      <w:shd w:val="clear" w:color="auto" w:fill="FFFFFF"/>
    </w:rPr>
  </w:style>
  <w:style w:type="character" w:customStyle="1" w:styleId="Footnote10">
    <w:name w:val="Footnote|1"/>
    <w:basedOn w:val="Footnote1"/>
    <w:semiHidden/>
    <w:unhideWhenUsed/>
    <w:rPr>
      <w:rFonts w:ascii="Calibri" w:eastAsia="Calibri" w:hAnsi="Calibri" w:cs="Calibri"/>
      <w:color w:val="0563C1"/>
      <w:spacing w:val="0"/>
      <w:w w:val="100"/>
      <w:position w:val="0"/>
      <w:sz w:val="15"/>
      <w:szCs w:val="15"/>
      <w:u w:val="single"/>
      <w:shd w:val="clear" w:color="auto" w:fill="FFFFFF"/>
      <w:lang w:val="et-EE" w:eastAsia="fr-FR" w:bidi="fr-FR"/>
    </w:rPr>
  </w:style>
  <w:style w:type="paragraph" w:customStyle="1" w:styleId="Footnote11">
    <w:name w:val="Footnote|11"/>
    <w:basedOn w:val="Normal"/>
    <w:link w:val="Footnote1"/>
    <w:qFormat/>
    <w:pPr>
      <w:widowControl w:val="0"/>
      <w:shd w:val="clear" w:color="auto" w:fill="FFFFFF"/>
      <w:spacing w:after="0" w:line="197" w:lineRule="exact"/>
      <w:jc w:val="both"/>
    </w:pPr>
    <w:rPr>
      <w:rFonts w:ascii="Calibri" w:eastAsia="Calibri" w:hAnsi="Calibri" w:cs="Calibri"/>
      <w:sz w:val="15"/>
      <w:szCs w:val="15"/>
    </w:rPr>
  </w:style>
  <w:style w:type="character" w:customStyle="1" w:styleId="Footnote3">
    <w:name w:val="Footnote|3_"/>
    <w:basedOn w:val="DefaultParagraphFont"/>
    <w:link w:val="Footnote30"/>
    <w:rPr>
      <w:rFonts w:ascii="Calibri" w:eastAsia="Calibri" w:hAnsi="Calibri" w:cs="Calibri"/>
      <w:i/>
      <w:iCs/>
      <w:sz w:val="15"/>
      <w:szCs w:val="15"/>
      <w:shd w:val="clear" w:color="auto" w:fill="FFFFFF"/>
    </w:rPr>
  </w:style>
  <w:style w:type="character" w:customStyle="1" w:styleId="Footnote3NotItalic">
    <w:name w:val="Footnote|3 + Not Italic"/>
    <w:basedOn w:val="Footnote3"/>
    <w:semiHidden/>
    <w:unhideWhenUsed/>
    <w:rPr>
      <w:rFonts w:ascii="Calibri" w:eastAsia="Calibri" w:hAnsi="Calibri" w:cs="Calibri"/>
      <w:i/>
      <w:iCs/>
      <w:color w:val="000000"/>
      <w:spacing w:val="0"/>
      <w:w w:val="100"/>
      <w:position w:val="0"/>
      <w:sz w:val="15"/>
      <w:szCs w:val="15"/>
      <w:shd w:val="clear" w:color="auto" w:fill="FFFFFF"/>
      <w:lang w:val="et-EE" w:eastAsia="fr-FR" w:bidi="fr-FR"/>
    </w:rPr>
  </w:style>
  <w:style w:type="paragraph" w:customStyle="1" w:styleId="Footnote30">
    <w:name w:val="Footnote|3"/>
    <w:basedOn w:val="Normal"/>
    <w:link w:val="Footnote3"/>
    <w:pPr>
      <w:widowControl w:val="0"/>
      <w:shd w:val="clear" w:color="auto" w:fill="FFFFFF"/>
      <w:spacing w:after="0" w:line="192" w:lineRule="exact"/>
      <w:jc w:val="both"/>
    </w:pPr>
    <w:rPr>
      <w:rFonts w:ascii="Calibri" w:eastAsia="Calibri" w:hAnsi="Calibri" w:cs="Calibri"/>
      <w:i/>
      <w:iCs/>
      <w:sz w:val="15"/>
      <w:szCs w:val="15"/>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link w:val="FootnoteTextChar"/>
    <w:uiPriority w:val="99"/>
    <w:unhideWhenUsed/>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paragraph" w:styleId="TOCHeading">
    <w:name w:val="TOC Heading"/>
    <w:basedOn w:val="Normal"/>
    <w:next w:val="Normal"/>
    <w:uiPriority w:val="39"/>
    <w:semiHidden/>
    <w:unhideWhenUsed/>
    <w:qFormat/>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
    <w:pPr>
      <w:spacing w:before="120" w:after="120" w:line="240" w:lineRule="auto"/>
      <w:ind w:left="850"/>
      <w:jc w:val="both"/>
    </w:pPr>
    <w:rPr>
      <w:rFonts w:ascii="Times New Roman" w:hAnsi="Times New Roman" w:cs="Times New Roman"/>
      <w:sz w:val="24"/>
    </w:rPr>
  </w:style>
  <w:style w:type="paragraph" w:customStyle="1" w:styleId="Text2">
    <w:name w:val="Text 2"/>
    <w:basedOn w:val="Normal"/>
    <w:pPr>
      <w:spacing w:before="120" w:after="120" w:line="240" w:lineRule="auto"/>
      <w:ind w:left="1417"/>
      <w:jc w:val="both"/>
    </w:pPr>
    <w:rPr>
      <w:rFonts w:ascii="Times New Roman" w:hAnsi="Times New Roman" w:cs="Times New Roman"/>
      <w:sz w:val="24"/>
    </w:rPr>
  </w:style>
  <w:style w:type="paragraph" w:customStyle="1" w:styleId="Text3">
    <w:name w:val="Text 3"/>
    <w:basedOn w:val="Normal"/>
    <w:pPr>
      <w:spacing w:before="120" w:after="120" w:line="240" w:lineRule="auto"/>
      <w:ind w:left="1984"/>
      <w:jc w:val="both"/>
    </w:pPr>
    <w:rPr>
      <w:rFonts w:ascii="Times New Roman" w:hAnsi="Times New Roman" w:cs="Times New Roman"/>
      <w:sz w:val="24"/>
    </w:rPr>
  </w:style>
  <w:style w:type="paragraph" w:customStyle="1" w:styleId="Text4">
    <w:name w:val="Text 4"/>
    <w:basedOn w:val="Normal"/>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pPr>
      <w:spacing w:before="120" w:after="120" w:line="240" w:lineRule="auto"/>
      <w:jc w:val="center"/>
    </w:pPr>
    <w:rPr>
      <w:rFonts w:ascii="Times New Roman" w:hAnsi="Times New Roman" w:cs="Times New Roman"/>
      <w:sz w:val="24"/>
    </w:rPr>
  </w:style>
  <w:style w:type="paragraph" w:customStyle="1" w:styleId="NormalLeft">
    <w:name w:val="Normal Left"/>
    <w:basedOn w:val="Normal"/>
    <w:pPr>
      <w:spacing w:before="120" w:after="120" w:line="240" w:lineRule="auto"/>
    </w:pPr>
    <w:rPr>
      <w:rFonts w:ascii="Times New Roman" w:hAnsi="Times New Roman" w:cs="Times New Roman"/>
      <w:sz w:val="24"/>
    </w:rPr>
  </w:style>
  <w:style w:type="paragraph" w:customStyle="1" w:styleId="NormalRight">
    <w:name w:val="Normal Right"/>
    <w:basedOn w:val="Normal"/>
    <w:pPr>
      <w:spacing w:before="120" w:after="120" w:line="240" w:lineRule="auto"/>
      <w:jc w:val="right"/>
    </w:pPr>
    <w:rPr>
      <w:rFonts w:ascii="Times New Roman" w:hAnsi="Times New Roman" w:cs="Times New Roman"/>
      <w:sz w:val="24"/>
    </w:rPr>
  </w:style>
  <w:style w:type="paragraph" w:customStyle="1" w:styleId="QuotedText">
    <w:name w:val="Quoted Text"/>
    <w:basedOn w:val="Normal"/>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pPr>
      <w:numPr>
        <w:numId w:val="6"/>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pPr>
      <w:numPr>
        <w:ilvl w:val="1"/>
        <w:numId w:val="6"/>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pPr>
      <w:numPr>
        <w:ilvl w:val="2"/>
        <w:numId w:val="6"/>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pPr>
      <w:numPr>
        <w:ilvl w:val="3"/>
        <w:numId w:val="6"/>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hAnsi="Times New Roman" w:cs="Times New Roman"/>
      <w:b/>
      <w:sz w:val="24"/>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8"/>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8"/>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8"/>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8"/>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8"/>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8"/>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8"/>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8"/>
      </w:numPr>
      <w:spacing w:before="120" w:after="120" w:line="240" w:lineRule="auto"/>
      <w:jc w:val="both"/>
    </w:pPr>
    <w:rPr>
      <w:rFonts w:ascii="Times New Roman" w:hAnsi="Times New Roman" w:cs="Times New Roman"/>
      <w:sz w:val="24"/>
    </w:rPr>
  </w:style>
  <w:style w:type="paragraph" w:customStyle="1" w:styleId="Bullet0">
    <w:name w:val="Bullet 0"/>
    <w:basedOn w:val="Normal"/>
    <w:pPr>
      <w:numPr>
        <w:numId w:val="9"/>
      </w:numPr>
      <w:spacing w:before="120" w:after="120" w:line="240" w:lineRule="auto"/>
      <w:jc w:val="both"/>
    </w:pPr>
    <w:rPr>
      <w:rFonts w:ascii="Times New Roman" w:hAnsi="Times New Roman" w:cs="Times New Roman"/>
      <w:sz w:val="24"/>
    </w:rPr>
  </w:style>
  <w:style w:type="paragraph" w:customStyle="1" w:styleId="Bullet1">
    <w:name w:val="Bullet 1"/>
    <w:basedOn w:val="Normal"/>
    <w:pPr>
      <w:numPr>
        <w:numId w:val="10"/>
      </w:numPr>
      <w:spacing w:before="120" w:after="120" w:line="240" w:lineRule="auto"/>
      <w:jc w:val="both"/>
    </w:pPr>
    <w:rPr>
      <w:rFonts w:ascii="Times New Roman" w:hAnsi="Times New Roman" w:cs="Times New Roman"/>
      <w:sz w:val="24"/>
    </w:rPr>
  </w:style>
  <w:style w:type="paragraph" w:customStyle="1" w:styleId="Bullet2">
    <w:name w:val="Bullet 2"/>
    <w:basedOn w:val="Normal"/>
    <w:pPr>
      <w:numPr>
        <w:numId w:val="11"/>
      </w:numPr>
      <w:spacing w:before="120" w:after="120" w:line="240" w:lineRule="auto"/>
      <w:jc w:val="both"/>
    </w:pPr>
    <w:rPr>
      <w:rFonts w:ascii="Times New Roman" w:hAnsi="Times New Roman" w:cs="Times New Roman"/>
      <w:sz w:val="24"/>
    </w:rPr>
  </w:style>
  <w:style w:type="paragraph" w:customStyle="1" w:styleId="Bullet3">
    <w:name w:val="Bullet 3"/>
    <w:basedOn w:val="Normal"/>
    <w:pPr>
      <w:numPr>
        <w:numId w:val="12"/>
      </w:numPr>
      <w:spacing w:before="120" w:after="120" w:line="240" w:lineRule="auto"/>
      <w:jc w:val="both"/>
    </w:pPr>
    <w:rPr>
      <w:rFonts w:ascii="Times New Roman" w:hAnsi="Times New Roman" w:cs="Times New Roman"/>
      <w:sz w:val="24"/>
    </w:rPr>
  </w:style>
  <w:style w:type="paragraph" w:customStyle="1" w:styleId="Bullet4">
    <w:name w:val="Bullet 4"/>
    <w:basedOn w:val="Normal"/>
    <w:pPr>
      <w:numPr>
        <w:numId w:val="13"/>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pPr>
      <w:spacing w:after="0" w:line="240" w:lineRule="auto"/>
    </w:pPr>
    <w:rPr>
      <w:rFonts w:ascii="Arial" w:hAnsi="Arial" w:cs="Arial"/>
      <w:sz w:val="24"/>
    </w:rPr>
  </w:style>
  <w:style w:type="paragraph" w:customStyle="1" w:styleId="Emission">
    <w:name w:val="Emission"/>
    <w:basedOn w:val="Normal"/>
    <w:next w:val="Rfrenceinstitutionnelle"/>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pPr>
      <w:spacing w:after="240" w:line="240" w:lineRule="auto"/>
      <w:ind w:left="5103"/>
    </w:pPr>
    <w:rPr>
      <w:rFonts w:ascii="Times New Roman" w:hAnsi="Times New Roman" w:cs="Times New Roman"/>
      <w:sz w:val="24"/>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Annexetitreexpos">
    <w:name w:val="Annexe titre (exposé)"/>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pPr>
      <w:numPr>
        <w:numId w:val="14"/>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pPr>
      <w:spacing w:after="240" w:line="240" w:lineRule="auto"/>
    </w:pPr>
    <w:rPr>
      <w:rFonts w:ascii="Times New Roman" w:hAnsi="Times New Roman" w:cs="Times New Roman"/>
      <w:sz w:val="24"/>
    </w:rPr>
  </w:style>
  <w:style w:type="paragraph" w:customStyle="1" w:styleId="Datedadoption">
    <w:name w:val="Date d'adoption"/>
    <w:basedOn w:val="Normal"/>
    <w:next w:val="IntrtEEE"/>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hAnsi="Times New Roman" w:cs="Times New Roman"/>
      <w:sz w:val="24"/>
    </w:rPr>
  </w:style>
  <w:style w:type="paragraph" w:customStyle="1" w:styleId="Statut">
    <w:name w:val="Statut"/>
    <w:basedOn w:val="Normal"/>
    <w:next w:val="Typedudocument"/>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hAnsi="Times New Roman" w:cs="Times New Roman"/>
      <w:sz w:val="24"/>
    </w:rPr>
  </w:style>
  <w:style w:type="paragraph" w:styleId="Caption">
    <w:name w:val="caption"/>
    <w:basedOn w:val="Normal"/>
    <w:next w:val="Normal"/>
    <w:uiPriority w:val="35"/>
    <w:semiHidden/>
    <w:unhideWhenUsed/>
    <w:qFormat/>
    <w:pPr>
      <w:spacing w:line="240" w:lineRule="auto"/>
      <w:jc w:val="both"/>
    </w:pPr>
    <w:rPr>
      <w:rFonts w:ascii="Times New Roman" w:hAnsi="Times New Roman" w:cs="Times New Roman"/>
      <w:i/>
      <w:iCs/>
      <w:color w:val="1F497D" w:themeColor="text2"/>
      <w:sz w:val="18"/>
      <w:szCs w:val="18"/>
    </w:rPr>
  </w:style>
  <w:style w:type="paragraph" w:styleId="TableofFigures">
    <w:name w:val="table of figures"/>
    <w:basedOn w:val="Normal"/>
    <w:next w:val="Normal"/>
    <w:uiPriority w:val="99"/>
    <w:semiHidden/>
    <w:unhideWhenUsed/>
    <w:pPr>
      <w:spacing w:before="120" w:after="0" w:line="240" w:lineRule="auto"/>
      <w:jc w:val="both"/>
    </w:pPr>
    <w:rPr>
      <w:rFonts w:ascii="Times New Roman" w:hAnsi="Times New Roman" w:cs="Times New Roman"/>
      <w:sz w:val="24"/>
    </w:rPr>
  </w:style>
  <w:style w:type="paragraph" w:styleId="ListNumber">
    <w:name w:val="List Number"/>
    <w:basedOn w:val="Normal"/>
    <w:uiPriority w:val="99"/>
    <w:semiHidden/>
    <w:unhideWhenUsed/>
    <w:pPr>
      <w:numPr>
        <w:numId w:val="19"/>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iPriority w:val="99"/>
    <w:semiHidden/>
    <w:unhideWhenUsed/>
    <w:pPr>
      <w:numPr>
        <w:numId w:val="20"/>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iPriority w:val="99"/>
    <w:semiHidden/>
    <w:unhideWhenUsed/>
    <w:pPr>
      <w:numPr>
        <w:numId w:val="21"/>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iPriority w:val="99"/>
    <w:semiHidden/>
    <w:unhideWhenUsed/>
    <w:pPr>
      <w:numPr>
        <w:numId w:val="22"/>
      </w:numPr>
      <w:spacing w:before="120" w:after="120" w:line="240" w:lineRule="auto"/>
      <w:contextualSpacing/>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numbering" w:customStyle="1" w:styleId="NoList2">
    <w:name w:val="No List2"/>
    <w:next w:val="NoList"/>
    <w:uiPriority w:val="99"/>
    <w:semiHidden/>
    <w:unhideWhenUsed/>
  </w:style>
  <w:style w:type="paragraph" w:customStyle="1" w:styleId="Bodytext21">
    <w:name w:val="Body text|2"/>
    <w:basedOn w:val="Normal"/>
    <w:pPr>
      <w:widowControl w:val="0"/>
      <w:shd w:val="clear" w:color="auto" w:fill="FFFFFF"/>
      <w:spacing w:before="280" w:after="280" w:line="317" w:lineRule="exact"/>
      <w:ind w:hanging="740"/>
      <w:jc w:val="both"/>
    </w:pPr>
  </w:style>
  <w:style w:type="character" w:customStyle="1" w:styleId="Bodytext2115ptItalic">
    <w:name w:val="Body text|2 + 11.5 pt;Italic"/>
    <w:basedOn w:val="Bodytext2"/>
    <w:semiHidden/>
    <w:unhideWhenUsed/>
    <w:rPr>
      <w:rFonts w:ascii="Times New Roman" w:eastAsia="Times New Roman" w:hAnsi="Times New Roman" w:cs="Times New Roman"/>
      <w:b w:val="0"/>
      <w:i/>
      <w:smallCaps w:val="0"/>
      <w:strike w:val="0"/>
      <w:color w:val="000000"/>
      <w:position w:val="0"/>
      <w:sz w:val="23"/>
      <w:szCs w:val="20"/>
      <w:u w:val="none"/>
      <w:shd w:val="clear" w:color="auto" w:fill="FFFFFF"/>
      <w:lang w:val="et-EE" w:eastAsia="fr-FR" w:bidi="fr-FR"/>
    </w:rPr>
  </w:style>
  <w:style w:type="character" w:customStyle="1" w:styleId="Heading32">
    <w:name w:val="Heading #3|2_"/>
    <w:basedOn w:val="DefaultParagraphFont"/>
    <w:link w:val="Heading320"/>
    <w:rPr>
      <w:shd w:val="clear" w:color="auto" w:fill="FFFFFF"/>
    </w:rPr>
  </w:style>
  <w:style w:type="paragraph" w:customStyle="1" w:styleId="Heading320">
    <w:name w:val="Heading #3|2"/>
    <w:basedOn w:val="Normal"/>
    <w:link w:val="Heading32"/>
    <w:pPr>
      <w:widowControl w:val="0"/>
      <w:shd w:val="clear" w:color="auto" w:fill="FFFFFF"/>
      <w:spacing w:before="540" w:after="340" w:line="244" w:lineRule="exact"/>
      <w:jc w:val="both"/>
      <w:outlineLvl w:val="2"/>
    </w:pPr>
  </w:style>
  <w:style w:type="character" w:customStyle="1" w:styleId="Bodytext2Calibri9pt">
    <w:name w:val="Body text|2 + Calibri;9 pt"/>
    <w:basedOn w:val="Bodytext2"/>
    <w:semiHidden/>
    <w:unhideWhenUsed/>
    <w:rPr>
      <w:rFonts w:ascii="Calibri" w:eastAsia="Calibri" w:hAnsi="Calibri" w:cs="Calibri"/>
      <w:b w:val="0"/>
      <w:i w:val="0"/>
      <w:smallCaps w:val="0"/>
      <w:strike w:val="0"/>
      <w:color w:val="31073B"/>
      <w:position w:val="0"/>
      <w:sz w:val="18"/>
      <w:szCs w:val="20"/>
      <w:u w:val="none"/>
      <w:shd w:val="clear" w:color="auto" w:fill="FFFFFF"/>
      <w:lang w:val="et-EE" w:eastAsia="fr-FR" w:bidi="fr-FR"/>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212">
    <w:name w:val="Body text|212"/>
    <w:basedOn w:val="Normal"/>
    <w:pPr>
      <w:widowControl w:val="0"/>
      <w:shd w:val="clear" w:color="auto" w:fill="FFFFFF"/>
      <w:spacing w:before="280" w:after="280" w:line="317" w:lineRule="exact"/>
      <w:ind w:hanging="74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tabs>
        <w:tab w:val="num" w:pos="850"/>
      </w:tabs>
      <w:spacing w:before="360" w:after="120" w:line="240" w:lineRule="auto"/>
      <w:ind w:left="850" w:hanging="850"/>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Text1"/>
    <w:link w:val="Heading2Char"/>
    <w:uiPriority w:val="9"/>
    <w:unhideWhenUsed/>
    <w:qFormat/>
    <w:pPr>
      <w:keepNext/>
      <w:tabs>
        <w:tab w:val="num" w:pos="850"/>
      </w:tabs>
      <w:spacing w:before="120" w:after="120" w:line="240" w:lineRule="auto"/>
      <w:ind w:left="850" w:hanging="850"/>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unhideWhenUsed/>
    <w:qFormat/>
    <w:pPr>
      <w:keepNext/>
      <w:tabs>
        <w:tab w:val="num" w:pos="850"/>
      </w:tabs>
      <w:spacing w:before="120" w:after="120" w:line="240" w:lineRule="auto"/>
      <w:ind w:left="850" w:hanging="850"/>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unhideWhenUsed/>
    <w:qFormat/>
    <w:pPr>
      <w:keepNext/>
      <w:tabs>
        <w:tab w:val="num" w:pos="850"/>
      </w:tabs>
      <w:spacing w:before="120" w:after="120" w:line="240" w:lineRule="auto"/>
      <w:ind w:left="850" w:hanging="850"/>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rPr>
      <w:rFonts w:ascii="Times New Roman" w:eastAsiaTheme="majorEastAsia" w:hAnsi="Times New Roman" w:cs="Times New Roman"/>
      <w:bCs/>
      <w:iCs/>
      <w:sz w:val="24"/>
    </w:rPr>
  </w:style>
  <w:style w:type="numbering" w:customStyle="1" w:styleId="NoList1">
    <w:name w:val="No List1"/>
    <w:next w:val="NoList"/>
    <w:uiPriority w:val="99"/>
    <w:semiHidden/>
    <w:unhideWhenUsed/>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pPr>
      <w:spacing w:after="160" w:line="259" w:lineRule="auto"/>
      <w:ind w:left="720"/>
      <w:contextualSpacing/>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rPr>
      <w:lang w:val="et-EE"/>
    </w:rPr>
  </w:style>
  <w:style w:type="character" w:styleId="IntenseEmphasis">
    <w:name w:val="Intense Emphasis"/>
    <w:basedOn w:val="DefaultParagraphFont"/>
    <w:uiPriority w:val="21"/>
    <w:qFormat/>
    <w:rPr>
      <w:i/>
      <w:iCs/>
      <w:color w:val="4F81BD" w:themeColor="accent1"/>
    </w:rPr>
  </w:style>
  <w:style w:type="paragraph" w:styleId="BalloonText">
    <w:name w:val="Balloon Text"/>
    <w:basedOn w:val="Normal"/>
    <w:link w:val="BalloonTextChar"/>
    <w:uiPriority w:val="99"/>
    <w:semiHidden/>
    <w:unhideWhenUsed/>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Bullet">
    <w:name w:val="List Bullet"/>
    <w:basedOn w:val="Normal"/>
    <w:uiPriority w:val="99"/>
    <w:unhideWhenUsed/>
    <w:pPr>
      <w:numPr>
        <w:numId w:val="15"/>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pPr>
      <w:numPr>
        <w:numId w:val="16"/>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pPr>
      <w:numPr>
        <w:numId w:val="17"/>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pPr>
      <w:numPr>
        <w:numId w:val="18"/>
      </w:numPr>
      <w:spacing w:before="120" w:after="120" w:line="240" w:lineRule="auto"/>
      <w:contextualSpacing/>
      <w:jc w:val="both"/>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hAnsi="Times New Roman" w:cs="Times New Roman"/>
      <w:sz w:val="24"/>
    </w:rPr>
  </w:style>
  <w:style w:type="table" w:styleId="TableGrid">
    <w:name w:val="Table Grid"/>
    <w:basedOn w:val="TableNormal"/>
    <w:uiPriority w:val="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et-EE" w:eastAsia="fr-FR"/>
    </w:rPr>
  </w:style>
  <w:style w:type="character" w:styleId="Hyperlink">
    <w:name w:val="Hyperlink"/>
    <w:basedOn w:val="DefaultParagraphFont"/>
    <w:uiPriority w:val="99"/>
    <w:unhideWhenUsed/>
    <w:rPr>
      <w:color w:val="0000FF"/>
      <w:u w:val="single"/>
    </w:rPr>
  </w:style>
  <w:style w:type="character" w:styleId="HTMLCite">
    <w:name w:val="HTML Cite"/>
    <w:basedOn w:val="DefaultParagraphFont"/>
    <w:uiPriority w:val="99"/>
    <w:semiHidden/>
    <w:unhideWhenUsed/>
    <w:rPr>
      <w:i/>
      <w:iCs/>
    </w:rPr>
  </w:style>
  <w:style w:type="character" w:customStyle="1" w:styleId="acopre">
    <w:name w:val="acopre"/>
    <w:basedOn w:val="DefaultParagraphFont"/>
  </w:style>
  <w:style w:type="character" w:styleId="Emphasis">
    <w:name w:val="Emphasis"/>
    <w:basedOn w:val="DefaultParagraphFont"/>
    <w:uiPriority w:val="20"/>
    <w:qFormat/>
    <w:rPr>
      <w:i/>
      <w:iCs/>
    </w:rPr>
  </w:style>
  <w:style w:type="character" w:customStyle="1" w:styleId="lo8sbd">
    <w:name w:val="lo8sbd"/>
    <w:basedOn w:val="DefaultParagraphFont"/>
  </w:style>
  <w:style w:type="paragraph" w:customStyle="1" w:styleId="s1fapd">
    <w:name w:val="s1fapd"/>
    <w:basedOn w:val="Normal"/>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urvib">
    <w:name w:val="wurvib"/>
    <w:basedOn w:val="DefaultParagraphFont"/>
  </w:style>
  <w:style w:type="character" w:customStyle="1" w:styleId="dyjrff">
    <w:name w:val="dyjrff"/>
    <w:basedOn w:val="DefaultParagraphFont"/>
  </w:style>
  <w:style w:type="character" w:customStyle="1" w:styleId="glpvmc">
    <w:name w:val="glpvmc"/>
    <w:basedOn w:val="DefaultParagraphFont"/>
  </w:style>
  <w:style w:type="character" w:customStyle="1" w:styleId="f">
    <w:name w:val="f"/>
    <w:basedOn w:val="DefaultParagraphFont"/>
  </w:style>
  <w:style w:type="character" w:customStyle="1" w:styleId="mfmhoc">
    <w:name w:val="mfmhoc"/>
    <w:basedOn w:val="DefaultParagraphFont"/>
  </w:style>
  <w:style w:type="character" w:customStyle="1" w:styleId="q8lrlc">
    <w:name w:val="q8lrlc"/>
    <w:basedOn w:val="DefaultParagraphFont"/>
  </w:style>
  <w:style w:type="character" w:customStyle="1" w:styleId="b4gxfc">
    <w:name w:val="b4gxfc"/>
    <w:basedOn w:val="DefaultParagraphFont"/>
  </w:style>
  <w:style w:type="character" w:customStyle="1" w:styleId="jlqj4b">
    <w:name w:val="jlqj4b"/>
    <w:basedOn w:val="DefaultParagraphFont"/>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hgkelc">
    <w:name w:val="hgkelc"/>
    <w:basedOn w:val="DefaultParagraphFont"/>
  </w:style>
  <w:style w:type="character" w:customStyle="1" w:styleId="y2iqfc">
    <w:name w:val="y2iqfc"/>
    <w:basedOn w:val="DefaultParagraphFont"/>
  </w:style>
  <w:style w:type="paragraph" w:customStyle="1" w:styleId="Bodytext211">
    <w:name w:val="Body text|211"/>
    <w:basedOn w:val="Normal"/>
    <w:link w:val="Bodytext2"/>
    <w:qFormat/>
    <w:pPr>
      <w:widowControl w:val="0"/>
      <w:shd w:val="clear" w:color="auto" w:fill="FFFFFF"/>
      <w:spacing w:before="400" w:after="100" w:line="244" w:lineRule="exact"/>
      <w:ind w:hanging="380"/>
    </w:pPr>
    <w:rPr>
      <w:rFonts w:ascii="Calibri" w:eastAsia="Calibri" w:hAnsi="Calibri" w:cs="Calibri"/>
      <w:color w:val="000000"/>
      <w:sz w:val="20"/>
      <w:szCs w:val="20"/>
      <w:lang w:eastAsia="fr-FR" w:bidi="fr-FR"/>
    </w:rPr>
  </w:style>
  <w:style w:type="character" w:customStyle="1" w:styleId="Bodytext2">
    <w:name w:val="Body text|2_"/>
    <w:basedOn w:val="DefaultParagraphFont"/>
    <w:link w:val="Bodytext211"/>
    <w:rPr>
      <w:rFonts w:ascii="Calibri" w:eastAsia="Calibri" w:hAnsi="Calibri" w:cs="Calibri"/>
      <w:color w:val="000000"/>
      <w:sz w:val="20"/>
      <w:szCs w:val="20"/>
      <w:shd w:val="clear" w:color="auto" w:fill="FFFFFF"/>
      <w:lang w:val="et-EE" w:eastAsia="fr-FR" w:bidi="fr-FR"/>
    </w:rPr>
  </w:style>
  <w:style w:type="character" w:customStyle="1" w:styleId="Bodytext2Italic">
    <w:name w:val="Body text|2 + Italic"/>
    <w:basedOn w:val="Bodytext2"/>
    <w:semiHidden/>
    <w:unhideWhenUsed/>
    <w:rPr>
      <w:rFonts w:ascii="Calibri" w:eastAsia="Calibri" w:hAnsi="Calibri" w:cs="Calibri"/>
      <w:i/>
      <w:iCs/>
      <w:color w:val="000000"/>
      <w:spacing w:val="0"/>
      <w:w w:val="100"/>
      <w:position w:val="0"/>
      <w:sz w:val="20"/>
      <w:szCs w:val="20"/>
      <w:shd w:val="clear" w:color="auto" w:fill="FFFFFF"/>
      <w:lang w:val="et-EE" w:eastAsia="fr-FR" w:bidi="fr-FR"/>
    </w:rPr>
  </w:style>
  <w:style w:type="character" w:customStyle="1" w:styleId="Bodytext20">
    <w:name w:val="Body text|20"/>
    <w:basedOn w:val="Bodytext2"/>
    <w:semiHidden/>
    <w:unhideWhenUsed/>
    <w:rPr>
      <w:rFonts w:ascii="Calibri" w:eastAsia="Calibri" w:hAnsi="Calibri" w:cs="Calibri"/>
      <w:color w:val="000000"/>
      <w:spacing w:val="0"/>
      <w:w w:val="100"/>
      <w:position w:val="0"/>
      <w:sz w:val="20"/>
      <w:szCs w:val="20"/>
      <w:u w:val="single"/>
      <w:shd w:val="clear" w:color="auto" w:fill="FFFFFF"/>
      <w:lang w:val="et-EE" w:eastAsia="fr-FR" w:bidi="fr-FR"/>
    </w:rPr>
  </w:style>
  <w:style w:type="character" w:customStyle="1" w:styleId="Footnote1">
    <w:name w:val="Footnote|1_"/>
    <w:basedOn w:val="DefaultParagraphFont"/>
    <w:link w:val="Footnote11"/>
    <w:rPr>
      <w:rFonts w:ascii="Calibri" w:eastAsia="Calibri" w:hAnsi="Calibri" w:cs="Calibri"/>
      <w:sz w:val="15"/>
      <w:szCs w:val="15"/>
      <w:shd w:val="clear" w:color="auto" w:fill="FFFFFF"/>
    </w:rPr>
  </w:style>
  <w:style w:type="character" w:customStyle="1" w:styleId="Footnote10">
    <w:name w:val="Footnote|1"/>
    <w:basedOn w:val="Footnote1"/>
    <w:semiHidden/>
    <w:unhideWhenUsed/>
    <w:rPr>
      <w:rFonts w:ascii="Calibri" w:eastAsia="Calibri" w:hAnsi="Calibri" w:cs="Calibri"/>
      <w:color w:val="0563C1"/>
      <w:spacing w:val="0"/>
      <w:w w:val="100"/>
      <w:position w:val="0"/>
      <w:sz w:val="15"/>
      <w:szCs w:val="15"/>
      <w:u w:val="single"/>
      <w:shd w:val="clear" w:color="auto" w:fill="FFFFFF"/>
      <w:lang w:val="et-EE" w:eastAsia="fr-FR" w:bidi="fr-FR"/>
    </w:rPr>
  </w:style>
  <w:style w:type="paragraph" w:customStyle="1" w:styleId="Footnote11">
    <w:name w:val="Footnote|11"/>
    <w:basedOn w:val="Normal"/>
    <w:link w:val="Footnote1"/>
    <w:qFormat/>
    <w:pPr>
      <w:widowControl w:val="0"/>
      <w:shd w:val="clear" w:color="auto" w:fill="FFFFFF"/>
      <w:spacing w:after="0" w:line="197" w:lineRule="exact"/>
      <w:jc w:val="both"/>
    </w:pPr>
    <w:rPr>
      <w:rFonts w:ascii="Calibri" w:eastAsia="Calibri" w:hAnsi="Calibri" w:cs="Calibri"/>
      <w:sz w:val="15"/>
      <w:szCs w:val="15"/>
    </w:rPr>
  </w:style>
  <w:style w:type="character" w:customStyle="1" w:styleId="Footnote3">
    <w:name w:val="Footnote|3_"/>
    <w:basedOn w:val="DefaultParagraphFont"/>
    <w:link w:val="Footnote30"/>
    <w:rPr>
      <w:rFonts w:ascii="Calibri" w:eastAsia="Calibri" w:hAnsi="Calibri" w:cs="Calibri"/>
      <w:i/>
      <w:iCs/>
      <w:sz w:val="15"/>
      <w:szCs w:val="15"/>
      <w:shd w:val="clear" w:color="auto" w:fill="FFFFFF"/>
    </w:rPr>
  </w:style>
  <w:style w:type="character" w:customStyle="1" w:styleId="Footnote3NotItalic">
    <w:name w:val="Footnote|3 + Not Italic"/>
    <w:basedOn w:val="Footnote3"/>
    <w:semiHidden/>
    <w:unhideWhenUsed/>
    <w:rPr>
      <w:rFonts w:ascii="Calibri" w:eastAsia="Calibri" w:hAnsi="Calibri" w:cs="Calibri"/>
      <w:i/>
      <w:iCs/>
      <w:color w:val="000000"/>
      <w:spacing w:val="0"/>
      <w:w w:val="100"/>
      <w:position w:val="0"/>
      <w:sz w:val="15"/>
      <w:szCs w:val="15"/>
      <w:shd w:val="clear" w:color="auto" w:fill="FFFFFF"/>
      <w:lang w:val="et-EE" w:eastAsia="fr-FR" w:bidi="fr-FR"/>
    </w:rPr>
  </w:style>
  <w:style w:type="paragraph" w:customStyle="1" w:styleId="Footnote30">
    <w:name w:val="Footnote|3"/>
    <w:basedOn w:val="Normal"/>
    <w:link w:val="Footnote3"/>
    <w:pPr>
      <w:widowControl w:val="0"/>
      <w:shd w:val="clear" w:color="auto" w:fill="FFFFFF"/>
      <w:spacing w:after="0" w:line="192" w:lineRule="exact"/>
      <w:jc w:val="both"/>
    </w:pPr>
    <w:rPr>
      <w:rFonts w:ascii="Calibri" w:eastAsia="Calibri" w:hAnsi="Calibri" w:cs="Calibri"/>
      <w:i/>
      <w:iCs/>
      <w:sz w:val="15"/>
      <w:szCs w:val="15"/>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link w:val="FootnoteTextChar"/>
    <w:uiPriority w:val="99"/>
    <w:unhideWhenUsed/>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paragraph" w:styleId="TOCHeading">
    <w:name w:val="TOC Heading"/>
    <w:basedOn w:val="Normal"/>
    <w:next w:val="Normal"/>
    <w:uiPriority w:val="39"/>
    <w:semiHidden/>
    <w:unhideWhenUsed/>
    <w:qFormat/>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
    <w:pPr>
      <w:spacing w:before="120" w:after="120" w:line="240" w:lineRule="auto"/>
      <w:ind w:left="850"/>
      <w:jc w:val="both"/>
    </w:pPr>
    <w:rPr>
      <w:rFonts w:ascii="Times New Roman" w:hAnsi="Times New Roman" w:cs="Times New Roman"/>
      <w:sz w:val="24"/>
    </w:rPr>
  </w:style>
  <w:style w:type="paragraph" w:customStyle="1" w:styleId="Text2">
    <w:name w:val="Text 2"/>
    <w:basedOn w:val="Normal"/>
    <w:pPr>
      <w:spacing w:before="120" w:after="120" w:line="240" w:lineRule="auto"/>
      <w:ind w:left="1417"/>
      <w:jc w:val="both"/>
    </w:pPr>
    <w:rPr>
      <w:rFonts w:ascii="Times New Roman" w:hAnsi="Times New Roman" w:cs="Times New Roman"/>
      <w:sz w:val="24"/>
    </w:rPr>
  </w:style>
  <w:style w:type="paragraph" w:customStyle="1" w:styleId="Text3">
    <w:name w:val="Text 3"/>
    <w:basedOn w:val="Normal"/>
    <w:pPr>
      <w:spacing w:before="120" w:after="120" w:line="240" w:lineRule="auto"/>
      <w:ind w:left="1984"/>
      <w:jc w:val="both"/>
    </w:pPr>
    <w:rPr>
      <w:rFonts w:ascii="Times New Roman" w:hAnsi="Times New Roman" w:cs="Times New Roman"/>
      <w:sz w:val="24"/>
    </w:rPr>
  </w:style>
  <w:style w:type="paragraph" w:customStyle="1" w:styleId="Text4">
    <w:name w:val="Text 4"/>
    <w:basedOn w:val="Normal"/>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pPr>
      <w:spacing w:before="120" w:after="120" w:line="240" w:lineRule="auto"/>
      <w:jc w:val="center"/>
    </w:pPr>
    <w:rPr>
      <w:rFonts w:ascii="Times New Roman" w:hAnsi="Times New Roman" w:cs="Times New Roman"/>
      <w:sz w:val="24"/>
    </w:rPr>
  </w:style>
  <w:style w:type="paragraph" w:customStyle="1" w:styleId="NormalLeft">
    <w:name w:val="Normal Left"/>
    <w:basedOn w:val="Normal"/>
    <w:pPr>
      <w:spacing w:before="120" w:after="120" w:line="240" w:lineRule="auto"/>
    </w:pPr>
    <w:rPr>
      <w:rFonts w:ascii="Times New Roman" w:hAnsi="Times New Roman" w:cs="Times New Roman"/>
      <w:sz w:val="24"/>
    </w:rPr>
  </w:style>
  <w:style w:type="paragraph" w:customStyle="1" w:styleId="NormalRight">
    <w:name w:val="Normal Right"/>
    <w:basedOn w:val="Normal"/>
    <w:pPr>
      <w:spacing w:before="120" w:after="120" w:line="240" w:lineRule="auto"/>
      <w:jc w:val="right"/>
    </w:pPr>
    <w:rPr>
      <w:rFonts w:ascii="Times New Roman" w:hAnsi="Times New Roman" w:cs="Times New Roman"/>
      <w:sz w:val="24"/>
    </w:rPr>
  </w:style>
  <w:style w:type="paragraph" w:customStyle="1" w:styleId="QuotedText">
    <w:name w:val="Quoted Text"/>
    <w:basedOn w:val="Normal"/>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pPr>
      <w:numPr>
        <w:numId w:val="6"/>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pPr>
      <w:numPr>
        <w:ilvl w:val="1"/>
        <w:numId w:val="6"/>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pPr>
      <w:numPr>
        <w:ilvl w:val="2"/>
        <w:numId w:val="6"/>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pPr>
      <w:numPr>
        <w:ilvl w:val="3"/>
        <w:numId w:val="6"/>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hAnsi="Times New Roman" w:cs="Times New Roman"/>
      <w:b/>
      <w:sz w:val="24"/>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8"/>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8"/>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8"/>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8"/>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8"/>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8"/>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8"/>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8"/>
      </w:numPr>
      <w:spacing w:before="120" w:after="120" w:line="240" w:lineRule="auto"/>
      <w:jc w:val="both"/>
    </w:pPr>
    <w:rPr>
      <w:rFonts w:ascii="Times New Roman" w:hAnsi="Times New Roman" w:cs="Times New Roman"/>
      <w:sz w:val="24"/>
    </w:rPr>
  </w:style>
  <w:style w:type="paragraph" w:customStyle="1" w:styleId="Bullet0">
    <w:name w:val="Bullet 0"/>
    <w:basedOn w:val="Normal"/>
    <w:pPr>
      <w:numPr>
        <w:numId w:val="9"/>
      </w:numPr>
      <w:spacing w:before="120" w:after="120" w:line="240" w:lineRule="auto"/>
      <w:jc w:val="both"/>
    </w:pPr>
    <w:rPr>
      <w:rFonts w:ascii="Times New Roman" w:hAnsi="Times New Roman" w:cs="Times New Roman"/>
      <w:sz w:val="24"/>
    </w:rPr>
  </w:style>
  <w:style w:type="paragraph" w:customStyle="1" w:styleId="Bullet1">
    <w:name w:val="Bullet 1"/>
    <w:basedOn w:val="Normal"/>
    <w:pPr>
      <w:numPr>
        <w:numId w:val="10"/>
      </w:numPr>
      <w:spacing w:before="120" w:after="120" w:line="240" w:lineRule="auto"/>
      <w:jc w:val="both"/>
    </w:pPr>
    <w:rPr>
      <w:rFonts w:ascii="Times New Roman" w:hAnsi="Times New Roman" w:cs="Times New Roman"/>
      <w:sz w:val="24"/>
    </w:rPr>
  </w:style>
  <w:style w:type="paragraph" w:customStyle="1" w:styleId="Bullet2">
    <w:name w:val="Bullet 2"/>
    <w:basedOn w:val="Normal"/>
    <w:pPr>
      <w:numPr>
        <w:numId w:val="11"/>
      </w:numPr>
      <w:spacing w:before="120" w:after="120" w:line="240" w:lineRule="auto"/>
      <w:jc w:val="both"/>
    </w:pPr>
    <w:rPr>
      <w:rFonts w:ascii="Times New Roman" w:hAnsi="Times New Roman" w:cs="Times New Roman"/>
      <w:sz w:val="24"/>
    </w:rPr>
  </w:style>
  <w:style w:type="paragraph" w:customStyle="1" w:styleId="Bullet3">
    <w:name w:val="Bullet 3"/>
    <w:basedOn w:val="Normal"/>
    <w:pPr>
      <w:numPr>
        <w:numId w:val="12"/>
      </w:numPr>
      <w:spacing w:before="120" w:after="120" w:line="240" w:lineRule="auto"/>
      <w:jc w:val="both"/>
    </w:pPr>
    <w:rPr>
      <w:rFonts w:ascii="Times New Roman" w:hAnsi="Times New Roman" w:cs="Times New Roman"/>
      <w:sz w:val="24"/>
    </w:rPr>
  </w:style>
  <w:style w:type="paragraph" w:customStyle="1" w:styleId="Bullet4">
    <w:name w:val="Bullet 4"/>
    <w:basedOn w:val="Normal"/>
    <w:pPr>
      <w:numPr>
        <w:numId w:val="13"/>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pPr>
      <w:spacing w:after="0" w:line="240" w:lineRule="auto"/>
    </w:pPr>
    <w:rPr>
      <w:rFonts w:ascii="Arial" w:hAnsi="Arial" w:cs="Arial"/>
      <w:sz w:val="24"/>
    </w:rPr>
  </w:style>
  <w:style w:type="paragraph" w:customStyle="1" w:styleId="Emission">
    <w:name w:val="Emission"/>
    <w:basedOn w:val="Normal"/>
    <w:next w:val="Rfrenceinstitutionnelle"/>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pPr>
      <w:spacing w:after="240" w:line="240" w:lineRule="auto"/>
      <w:ind w:left="5103"/>
    </w:pPr>
    <w:rPr>
      <w:rFonts w:ascii="Times New Roman" w:hAnsi="Times New Roman" w:cs="Times New Roman"/>
      <w:sz w:val="24"/>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Annexetitreexpos">
    <w:name w:val="Annexe titre (exposé)"/>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pPr>
      <w:numPr>
        <w:numId w:val="14"/>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pPr>
      <w:spacing w:after="240" w:line="240" w:lineRule="auto"/>
    </w:pPr>
    <w:rPr>
      <w:rFonts w:ascii="Times New Roman" w:hAnsi="Times New Roman" w:cs="Times New Roman"/>
      <w:sz w:val="24"/>
    </w:rPr>
  </w:style>
  <w:style w:type="paragraph" w:customStyle="1" w:styleId="Datedadoption">
    <w:name w:val="Date d'adoption"/>
    <w:basedOn w:val="Normal"/>
    <w:next w:val="IntrtEEE"/>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hAnsi="Times New Roman" w:cs="Times New Roman"/>
      <w:sz w:val="24"/>
    </w:rPr>
  </w:style>
  <w:style w:type="paragraph" w:customStyle="1" w:styleId="Statut">
    <w:name w:val="Statut"/>
    <w:basedOn w:val="Normal"/>
    <w:next w:val="Typedudocument"/>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hAnsi="Times New Roman" w:cs="Times New Roman"/>
      <w:sz w:val="24"/>
    </w:rPr>
  </w:style>
  <w:style w:type="paragraph" w:styleId="Caption">
    <w:name w:val="caption"/>
    <w:basedOn w:val="Normal"/>
    <w:next w:val="Normal"/>
    <w:uiPriority w:val="35"/>
    <w:semiHidden/>
    <w:unhideWhenUsed/>
    <w:qFormat/>
    <w:pPr>
      <w:spacing w:line="240" w:lineRule="auto"/>
      <w:jc w:val="both"/>
    </w:pPr>
    <w:rPr>
      <w:rFonts w:ascii="Times New Roman" w:hAnsi="Times New Roman" w:cs="Times New Roman"/>
      <w:i/>
      <w:iCs/>
      <w:color w:val="1F497D" w:themeColor="text2"/>
      <w:sz w:val="18"/>
      <w:szCs w:val="18"/>
    </w:rPr>
  </w:style>
  <w:style w:type="paragraph" w:styleId="TableofFigures">
    <w:name w:val="table of figures"/>
    <w:basedOn w:val="Normal"/>
    <w:next w:val="Normal"/>
    <w:uiPriority w:val="99"/>
    <w:semiHidden/>
    <w:unhideWhenUsed/>
    <w:pPr>
      <w:spacing w:before="120" w:after="0" w:line="240" w:lineRule="auto"/>
      <w:jc w:val="both"/>
    </w:pPr>
    <w:rPr>
      <w:rFonts w:ascii="Times New Roman" w:hAnsi="Times New Roman" w:cs="Times New Roman"/>
      <w:sz w:val="24"/>
    </w:rPr>
  </w:style>
  <w:style w:type="paragraph" w:styleId="ListNumber">
    <w:name w:val="List Number"/>
    <w:basedOn w:val="Normal"/>
    <w:uiPriority w:val="99"/>
    <w:semiHidden/>
    <w:unhideWhenUsed/>
    <w:pPr>
      <w:numPr>
        <w:numId w:val="19"/>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iPriority w:val="99"/>
    <w:semiHidden/>
    <w:unhideWhenUsed/>
    <w:pPr>
      <w:numPr>
        <w:numId w:val="20"/>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iPriority w:val="99"/>
    <w:semiHidden/>
    <w:unhideWhenUsed/>
    <w:pPr>
      <w:numPr>
        <w:numId w:val="21"/>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iPriority w:val="99"/>
    <w:semiHidden/>
    <w:unhideWhenUsed/>
    <w:pPr>
      <w:numPr>
        <w:numId w:val="22"/>
      </w:numPr>
      <w:spacing w:before="120" w:after="120" w:line="240" w:lineRule="auto"/>
      <w:contextualSpacing/>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numbering" w:customStyle="1" w:styleId="NoList2">
    <w:name w:val="No List2"/>
    <w:next w:val="NoList"/>
    <w:uiPriority w:val="99"/>
    <w:semiHidden/>
    <w:unhideWhenUsed/>
  </w:style>
  <w:style w:type="paragraph" w:customStyle="1" w:styleId="Bodytext21">
    <w:name w:val="Body text|2"/>
    <w:basedOn w:val="Normal"/>
    <w:pPr>
      <w:widowControl w:val="0"/>
      <w:shd w:val="clear" w:color="auto" w:fill="FFFFFF"/>
      <w:spacing w:before="280" w:after="280" w:line="317" w:lineRule="exact"/>
      <w:ind w:hanging="740"/>
      <w:jc w:val="both"/>
    </w:pPr>
  </w:style>
  <w:style w:type="character" w:customStyle="1" w:styleId="Bodytext2115ptItalic">
    <w:name w:val="Body text|2 + 11.5 pt;Italic"/>
    <w:basedOn w:val="Bodytext2"/>
    <w:semiHidden/>
    <w:unhideWhenUsed/>
    <w:rPr>
      <w:rFonts w:ascii="Times New Roman" w:eastAsia="Times New Roman" w:hAnsi="Times New Roman" w:cs="Times New Roman"/>
      <w:b w:val="0"/>
      <w:i/>
      <w:smallCaps w:val="0"/>
      <w:strike w:val="0"/>
      <w:color w:val="000000"/>
      <w:position w:val="0"/>
      <w:sz w:val="23"/>
      <w:szCs w:val="20"/>
      <w:u w:val="none"/>
      <w:shd w:val="clear" w:color="auto" w:fill="FFFFFF"/>
      <w:lang w:val="et-EE" w:eastAsia="fr-FR" w:bidi="fr-FR"/>
    </w:rPr>
  </w:style>
  <w:style w:type="character" w:customStyle="1" w:styleId="Heading32">
    <w:name w:val="Heading #3|2_"/>
    <w:basedOn w:val="DefaultParagraphFont"/>
    <w:link w:val="Heading320"/>
    <w:rPr>
      <w:shd w:val="clear" w:color="auto" w:fill="FFFFFF"/>
    </w:rPr>
  </w:style>
  <w:style w:type="paragraph" w:customStyle="1" w:styleId="Heading320">
    <w:name w:val="Heading #3|2"/>
    <w:basedOn w:val="Normal"/>
    <w:link w:val="Heading32"/>
    <w:pPr>
      <w:widowControl w:val="0"/>
      <w:shd w:val="clear" w:color="auto" w:fill="FFFFFF"/>
      <w:spacing w:before="540" w:after="340" w:line="244" w:lineRule="exact"/>
      <w:jc w:val="both"/>
      <w:outlineLvl w:val="2"/>
    </w:pPr>
  </w:style>
  <w:style w:type="character" w:customStyle="1" w:styleId="Bodytext2Calibri9pt">
    <w:name w:val="Body text|2 + Calibri;9 pt"/>
    <w:basedOn w:val="Bodytext2"/>
    <w:semiHidden/>
    <w:unhideWhenUsed/>
    <w:rPr>
      <w:rFonts w:ascii="Calibri" w:eastAsia="Calibri" w:hAnsi="Calibri" w:cs="Calibri"/>
      <w:b w:val="0"/>
      <w:i w:val="0"/>
      <w:smallCaps w:val="0"/>
      <w:strike w:val="0"/>
      <w:color w:val="31073B"/>
      <w:position w:val="0"/>
      <w:sz w:val="18"/>
      <w:szCs w:val="20"/>
      <w:u w:val="none"/>
      <w:shd w:val="clear" w:color="auto" w:fill="FFFFFF"/>
      <w:lang w:val="et-EE" w:eastAsia="fr-FR" w:bidi="fr-FR"/>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212">
    <w:name w:val="Body text|212"/>
    <w:basedOn w:val="Normal"/>
    <w:pPr>
      <w:widowControl w:val="0"/>
      <w:shd w:val="clear" w:color="auto" w:fill="FFFFFF"/>
      <w:spacing w:before="280" w:after="280" w:line="317" w:lineRule="exact"/>
      <w:ind w:hanging="7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14131">
      <w:bodyDiv w:val="1"/>
      <w:marLeft w:val="0"/>
      <w:marRight w:val="0"/>
      <w:marTop w:val="0"/>
      <w:marBottom w:val="0"/>
      <w:divBdr>
        <w:top w:val="none" w:sz="0" w:space="0" w:color="auto"/>
        <w:left w:val="none" w:sz="0" w:space="0" w:color="auto"/>
        <w:bottom w:val="none" w:sz="0" w:space="0" w:color="auto"/>
        <w:right w:val="none" w:sz="0" w:space="0" w:color="auto"/>
      </w:divBdr>
    </w:div>
    <w:div w:id="492645334">
      <w:bodyDiv w:val="1"/>
      <w:marLeft w:val="0"/>
      <w:marRight w:val="0"/>
      <w:marTop w:val="0"/>
      <w:marBottom w:val="0"/>
      <w:divBdr>
        <w:top w:val="none" w:sz="0" w:space="0" w:color="auto"/>
        <w:left w:val="none" w:sz="0" w:space="0" w:color="auto"/>
        <w:bottom w:val="none" w:sz="0" w:space="0" w:color="auto"/>
        <w:right w:val="none" w:sz="0" w:space="0" w:color="auto"/>
      </w:divBdr>
    </w:div>
    <w:div w:id="660743112">
      <w:bodyDiv w:val="1"/>
      <w:marLeft w:val="0"/>
      <w:marRight w:val="0"/>
      <w:marTop w:val="0"/>
      <w:marBottom w:val="0"/>
      <w:divBdr>
        <w:top w:val="none" w:sz="0" w:space="0" w:color="auto"/>
        <w:left w:val="none" w:sz="0" w:space="0" w:color="auto"/>
        <w:bottom w:val="none" w:sz="0" w:space="0" w:color="auto"/>
        <w:right w:val="none" w:sz="0" w:space="0" w:color="auto"/>
      </w:divBdr>
    </w:div>
    <w:div w:id="891114691">
      <w:bodyDiv w:val="1"/>
      <w:marLeft w:val="0"/>
      <w:marRight w:val="0"/>
      <w:marTop w:val="0"/>
      <w:marBottom w:val="0"/>
      <w:divBdr>
        <w:top w:val="none" w:sz="0" w:space="0" w:color="auto"/>
        <w:left w:val="none" w:sz="0" w:space="0" w:color="auto"/>
        <w:bottom w:val="none" w:sz="0" w:space="0" w:color="auto"/>
        <w:right w:val="none" w:sz="0" w:space="0" w:color="auto"/>
      </w:divBdr>
    </w:div>
    <w:div w:id="904754796">
      <w:bodyDiv w:val="1"/>
      <w:marLeft w:val="0"/>
      <w:marRight w:val="0"/>
      <w:marTop w:val="0"/>
      <w:marBottom w:val="0"/>
      <w:divBdr>
        <w:top w:val="none" w:sz="0" w:space="0" w:color="auto"/>
        <w:left w:val="none" w:sz="0" w:space="0" w:color="auto"/>
        <w:bottom w:val="none" w:sz="0" w:space="0" w:color="auto"/>
        <w:right w:val="none" w:sz="0" w:space="0" w:color="auto"/>
      </w:divBdr>
    </w:div>
    <w:div w:id="996498073">
      <w:bodyDiv w:val="1"/>
      <w:marLeft w:val="0"/>
      <w:marRight w:val="0"/>
      <w:marTop w:val="0"/>
      <w:marBottom w:val="0"/>
      <w:divBdr>
        <w:top w:val="none" w:sz="0" w:space="0" w:color="auto"/>
        <w:left w:val="none" w:sz="0" w:space="0" w:color="auto"/>
        <w:bottom w:val="none" w:sz="0" w:space="0" w:color="auto"/>
        <w:right w:val="none" w:sz="0" w:space="0" w:color="auto"/>
      </w:divBdr>
    </w:div>
    <w:div w:id="1248734622">
      <w:bodyDiv w:val="1"/>
      <w:marLeft w:val="0"/>
      <w:marRight w:val="0"/>
      <w:marTop w:val="0"/>
      <w:marBottom w:val="0"/>
      <w:divBdr>
        <w:top w:val="none" w:sz="0" w:space="0" w:color="auto"/>
        <w:left w:val="none" w:sz="0" w:space="0" w:color="auto"/>
        <w:bottom w:val="none" w:sz="0" w:space="0" w:color="auto"/>
        <w:right w:val="none" w:sz="0" w:space="0" w:color="auto"/>
      </w:divBdr>
    </w:div>
    <w:div w:id="1635988575">
      <w:bodyDiv w:val="1"/>
      <w:marLeft w:val="0"/>
      <w:marRight w:val="0"/>
      <w:marTop w:val="0"/>
      <w:marBottom w:val="0"/>
      <w:divBdr>
        <w:top w:val="none" w:sz="0" w:space="0" w:color="auto"/>
        <w:left w:val="none" w:sz="0" w:space="0" w:color="auto"/>
        <w:bottom w:val="none" w:sz="0" w:space="0" w:color="auto"/>
        <w:right w:val="none" w:sz="0" w:space="0" w:color="auto"/>
      </w:divBdr>
    </w:div>
    <w:div w:id="196938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117" Type="http://schemas.openxmlformats.org/officeDocument/2006/relationships/footer" Target="footer52.xml"/><Relationship Id="rId21" Type="http://schemas.openxmlformats.org/officeDocument/2006/relationships/footer" Target="footer4.xml"/><Relationship Id="rId42" Type="http://schemas.openxmlformats.org/officeDocument/2006/relationships/footer" Target="footer15.xml"/><Relationship Id="rId47" Type="http://schemas.openxmlformats.org/officeDocument/2006/relationships/header" Target="header18.xml"/><Relationship Id="rId63" Type="http://schemas.openxmlformats.org/officeDocument/2006/relationships/footer" Target="footer25.xml"/><Relationship Id="rId68" Type="http://schemas.openxmlformats.org/officeDocument/2006/relationships/header" Target="header29.xml"/><Relationship Id="rId84" Type="http://schemas.openxmlformats.org/officeDocument/2006/relationships/footer" Target="footer36.xml"/><Relationship Id="rId89" Type="http://schemas.openxmlformats.org/officeDocument/2006/relationships/header" Target="header39.xml"/><Relationship Id="rId112" Type="http://schemas.openxmlformats.org/officeDocument/2006/relationships/footer" Target="footer50.xml"/><Relationship Id="rId16" Type="http://schemas.openxmlformats.org/officeDocument/2006/relationships/footer" Target="footer2.xml"/><Relationship Id="rId107" Type="http://schemas.openxmlformats.org/officeDocument/2006/relationships/header" Target="header48.xml"/><Relationship Id="rId11" Type="http://schemas.openxmlformats.org/officeDocument/2006/relationships/endnotes" Target="endnotes.xml"/><Relationship Id="rId32" Type="http://schemas.openxmlformats.org/officeDocument/2006/relationships/header" Target="header11.xml"/><Relationship Id="rId37" Type="http://schemas.openxmlformats.org/officeDocument/2006/relationships/header" Target="header13.xml"/><Relationship Id="rId53" Type="http://schemas.openxmlformats.org/officeDocument/2006/relationships/header" Target="header21.xml"/><Relationship Id="rId58" Type="http://schemas.openxmlformats.org/officeDocument/2006/relationships/footer" Target="footer23.xml"/><Relationship Id="rId74" Type="http://schemas.openxmlformats.org/officeDocument/2006/relationships/header" Target="header32.xml"/><Relationship Id="rId79" Type="http://schemas.openxmlformats.org/officeDocument/2006/relationships/header" Target="header34.xml"/><Relationship Id="rId102" Type="http://schemas.openxmlformats.org/officeDocument/2006/relationships/footer" Target="footer45.xml"/><Relationship Id="rId5" Type="http://schemas.openxmlformats.org/officeDocument/2006/relationships/numbering" Target="numbering.xml"/><Relationship Id="rId61" Type="http://schemas.openxmlformats.org/officeDocument/2006/relationships/header" Target="header25.xml"/><Relationship Id="rId82" Type="http://schemas.openxmlformats.org/officeDocument/2006/relationships/footer" Target="footer35.xml"/><Relationship Id="rId90" Type="http://schemas.openxmlformats.org/officeDocument/2006/relationships/footer" Target="footer39.xml"/><Relationship Id="rId95" Type="http://schemas.openxmlformats.org/officeDocument/2006/relationships/header" Target="header42.xml"/><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18.xml"/><Relationship Id="rId56" Type="http://schemas.openxmlformats.org/officeDocument/2006/relationships/header" Target="header23.xml"/><Relationship Id="rId64" Type="http://schemas.openxmlformats.org/officeDocument/2006/relationships/footer" Target="footer26.xml"/><Relationship Id="rId69" Type="http://schemas.openxmlformats.org/officeDocument/2006/relationships/footer" Target="footer28.xml"/><Relationship Id="rId77" Type="http://schemas.openxmlformats.org/officeDocument/2006/relationships/header" Target="header33.xml"/><Relationship Id="rId100" Type="http://schemas.openxmlformats.org/officeDocument/2006/relationships/footer" Target="footer44.xml"/><Relationship Id="rId105" Type="http://schemas.openxmlformats.org/officeDocument/2006/relationships/footer" Target="footer46.xml"/><Relationship Id="rId113" Type="http://schemas.openxmlformats.org/officeDocument/2006/relationships/header" Target="header51.xml"/><Relationship Id="rId118" Type="http://schemas.openxmlformats.org/officeDocument/2006/relationships/footer" Target="footer53.xml"/><Relationship Id="rId8" Type="http://schemas.openxmlformats.org/officeDocument/2006/relationships/settings" Target="settings.xml"/><Relationship Id="rId51" Type="http://schemas.openxmlformats.org/officeDocument/2006/relationships/footer" Target="footer19.xml"/><Relationship Id="rId72" Type="http://schemas.openxmlformats.org/officeDocument/2006/relationships/footer" Target="footer30.xml"/><Relationship Id="rId80" Type="http://schemas.openxmlformats.org/officeDocument/2006/relationships/header" Target="header35.xml"/><Relationship Id="rId85" Type="http://schemas.openxmlformats.org/officeDocument/2006/relationships/header" Target="header37.xml"/><Relationship Id="rId93" Type="http://schemas.openxmlformats.org/officeDocument/2006/relationships/footer" Target="footer40.xml"/><Relationship Id="rId98" Type="http://schemas.openxmlformats.org/officeDocument/2006/relationships/header" Target="header44.xml"/><Relationship Id="rId12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header" Target="header14.xml"/><Relationship Id="rId46" Type="http://schemas.openxmlformats.org/officeDocument/2006/relationships/footer" Target="footer17.xml"/><Relationship Id="rId59" Type="http://schemas.openxmlformats.org/officeDocument/2006/relationships/header" Target="header24.xml"/><Relationship Id="rId67" Type="http://schemas.openxmlformats.org/officeDocument/2006/relationships/header" Target="header28.xml"/><Relationship Id="rId103" Type="http://schemas.openxmlformats.org/officeDocument/2006/relationships/header" Target="header46.xml"/><Relationship Id="rId108" Type="http://schemas.openxmlformats.org/officeDocument/2006/relationships/footer" Target="footer48.xml"/><Relationship Id="rId116" Type="http://schemas.openxmlformats.org/officeDocument/2006/relationships/header" Target="header53.xml"/><Relationship Id="rId20" Type="http://schemas.openxmlformats.org/officeDocument/2006/relationships/header" Target="header5.xml"/><Relationship Id="rId41" Type="http://schemas.openxmlformats.org/officeDocument/2006/relationships/header" Target="header15.xml"/><Relationship Id="rId54" Type="http://schemas.openxmlformats.org/officeDocument/2006/relationships/footer" Target="footer21.xml"/><Relationship Id="rId62" Type="http://schemas.openxmlformats.org/officeDocument/2006/relationships/header" Target="header26.xml"/><Relationship Id="rId70" Type="http://schemas.openxmlformats.org/officeDocument/2006/relationships/footer" Target="footer29.xml"/><Relationship Id="rId75" Type="http://schemas.openxmlformats.org/officeDocument/2006/relationships/footer" Target="footer31.xml"/><Relationship Id="rId83" Type="http://schemas.openxmlformats.org/officeDocument/2006/relationships/header" Target="header36.xml"/><Relationship Id="rId88" Type="http://schemas.openxmlformats.org/officeDocument/2006/relationships/footer" Target="footer38.xml"/><Relationship Id="rId91" Type="http://schemas.openxmlformats.org/officeDocument/2006/relationships/header" Target="header40.xml"/><Relationship Id="rId96" Type="http://schemas.openxmlformats.org/officeDocument/2006/relationships/footer" Target="footer42.xml"/><Relationship Id="rId111" Type="http://schemas.openxmlformats.org/officeDocument/2006/relationships/footer" Target="footer4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19.xml"/><Relationship Id="rId57" Type="http://schemas.openxmlformats.org/officeDocument/2006/relationships/footer" Target="footer22.xml"/><Relationship Id="rId106" Type="http://schemas.openxmlformats.org/officeDocument/2006/relationships/footer" Target="footer47.xml"/><Relationship Id="rId114" Type="http://schemas.openxmlformats.org/officeDocument/2006/relationships/footer" Target="footer51.xml"/><Relationship Id="rId119" Type="http://schemas.openxmlformats.org/officeDocument/2006/relationships/header" Target="header54.xml"/><Relationship Id="rId10" Type="http://schemas.openxmlformats.org/officeDocument/2006/relationships/footnotes" Target="footnotes.xml"/><Relationship Id="rId31" Type="http://schemas.openxmlformats.org/officeDocument/2006/relationships/header" Target="header10.xml"/><Relationship Id="rId44" Type="http://schemas.openxmlformats.org/officeDocument/2006/relationships/header" Target="header17.xml"/><Relationship Id="rId52" Type="http://schemas.openxmlformats.org/officeDocument/2006/relationships/footer" Target="footer20.xml"/><Relationship Id="rId60" Type="http://schemas.openxmlformats.org/officeDocument/2006/relationships/footer" Target="footer24.xml"/><Relationship Id="rId65" Type="http://schemas.openxmlformats.org/officeDocument/2006/relationships/header" Target="header27.xml"/><Relationship Id="rId73" Type="http://schemas.openxmlformats.org/officeDocument/2006/relationships/header" Target="header31.xml"/><Relationship Id="rId78" Type="http://schemas.openxmlformats.org/officeDocument/2006/relationships/footer" Target="footer33.xml"/><Relationship Id="rId81" Type="http://schemas.openxmlformats.org/officeDocument/2006/relationships/footer" Target="footer34.xml"/><Relationship Id="rId86" Type="http://schemas.openxmlformats.org/officeDocument/2006/relationships/header" Target="header38.xml"/><Relationship Id="rId94" Type="http://schemas.openxmlformats.org/officeDocument/2006/relationships/footer" Target="footer41.xml"/><Relationship Id="rId99" Type="http://schemas.openxmlformats.org/officeDocument/2006/relationships/footer" Target="footer43.xml"/><Relationship Id="rId101" Type="http://schemas.openxmlformats.org/officeDocument/2006/relationships/header" Target="header45.xml"/><Relationship Id="rId12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footer" Target="footer13.xml"/><Relationship Id="rId109" Type="http://schemas.openxmlformats.org/officeDocument/2006/relationships/header" Target="header49.xml"/><Relationship Id="rId34" Type="http://schemas.openxmlformats.org/officeDocument/2006/relationships/footer" Target="footer11.xml"/><Relationship Id="rId50" Type="http://schemas.openxmlformats.org/officeDocument/2006/relationships/header" Target="header20.xml"/><Relationship Id="rId55" Type="http://schemas.openxmlformats.org/officeDocument/2006/relationships/header" Target="header22.xml"/><Relationship Id="rId76" Type="http://schemas.openxmlformats.org/officeDocument/2006/relationships/footer" Target="footer32.xml"/><Relationship Id="rId97" Type="http://schemas.openxmlformats.org/officeDocument/2006/relationships/header" Target="header43.xml"/><Relationship Id="rId104" Type="http://schemas.openxmlformats.org/officeDocument/2006/relationships/header" Target="header47.xml"/><Relationship Id="rId120" Type="http://schemas.openxmlformats.org/officeDocument/2006/relationships/footer" Target="footer54.xml"/><Relationship Id="rId7" Type="http://schemas.microsoft.com/office/2007/relationships/stylesWithEffects" Target="stylesWithEffects.xml"/><Relationship Id="rId71" Type="http://schemas.openxmlformats.org/officeDocument/2006/relationships/header" Target="header30.xml"/><Relationship Id="rId92" Type="http://schemas.openxmlformats.org/officeDocument/2006/relationships/header" Target="header41.xml"/><Relationship Id="rId2" Type="http://schemas.openxmlformats.org/officeDocument/2006/relationships/customXml" Target="../customXml/item2.xml"/><Relationship Id="rId29" Type="http://schemas.openxmlformats.org/officeDocument/2006/relationships/header" Target="header9.xml"/><Relationship Id="rId24" Type="http://schemas.openxmlformats.org/officeDocument/2006/relationships/footer" Target="footer6.xml"/><Relationship Id="rId40" Type="http://schemas.openxmlformats.org/officeDocument/2006/relationships/footer" Target="footer14.xml"/><Relationship Id="rId45" Type="http://schemas.openxmlformats.org/officeDocument/2006/relationships/footer" Target="footer16.xml"/><Relationship Id="rId66" Type="http://schemas.openxmlformats.org/officeDocument/2006/relationships/footer" Target="footer27.xml"/><Relationship Id="rId87" Type="http://schemas.openxmlformats.org/officeDocument/2006/relationships/footer" Target="footer37.xml"/><Relationship Id="rId110" Type="http://schemas.openxmlformats.org/officeDocument/2006/relationships/header" Target="header50.xml"/><Relationship Id="rId115" Type="http://schemas.openxmlformats.org/officeDocument/2006/relationships/header" Target="header5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ARES_DATE_TRANSFERRED xmlns="C5632321-C579-4E2A-A002-7848F9627D28" xsi:nil="true"/>
    <EC_Collab_Reference xmlns="C5632321-C579-4E2A-A002-7848F9627D28" xsi:nil="true"/>
    <EC_Collab_DocumentLanguage xmlns="C5632321-C579-4E2A-A002-7848F9627D28">EN</EC_Collab_DocumentLanguage>
    <_Status xmlns="http://schemas.microsoft.com/sharepoint/v3/fields">Not Started</_Status>
    <EC_ARES_TRANSFERRED_BY xmlns="C5632321-C579-4E2A-A002-7848F9627D28" xsi:nil="true"/>
    <EC_Collab_Status xmlns="C5632321-C579-4E2A-A002-7848F9627D28">Not Started</EC_Collab_Status>
    <EC_ARES_NUMBER xmlns="C5632321-C579-4E2A-A002-7848F9627D28">
      <Url xsi:nil="true"/>
      <Description xsi:nil="true"/>
    </EC_ARES_NUMBER>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E9679C39F18B0F4F8EFADD18C13A58DF" ma:contentTypeVersion="0" ma:contentTypeDescription="Create a new document in this library." ma:contentTypeScope="" ma:versionID="168af61e3b2241a688074742bae0abf2">
  <xsd:schema xmlns:xsd="http://www.w3.org/2001/XMLSchema" xmlns:xs="http://www.w3.org/2001/XMLSchema" xmlns:p="http://schemas.microsoft.com/office/2006/metadata/properties" xmlns:ns2="http://schemas.microsoft.com/sharepoint/v3/fields" xmlns:ns3="C5632321-C579-4E2A-A002-7848F9627D28" targetNamespace="http://schemas.microsoft.com/office/2006/metadata/properties" ma:root="true" ma:fieldsID="f050c23af913fc701687a21e63000510" ns2:_="" ns3:_="">
    <xsd:import namespace="http://schemas.microsoft.com/sharepoint/v3/fields"/>
    <xsd:import namespace="C5632321-C579-4E2A-A002-7848F9627D28"/>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5632321-C579-4E2A-A002-7848F9627D2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format="Dropdow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format="Dropdown"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99CE4-7532-49E3-B3BB-B4AC9DEF53ED}">
  <ds:schemaRefs>
    <ds:schemaRef ds:uri="http://schemas.microsoft.com/sharepoint/v3/contenttype/forms"/>
  </ds:schemaRefs>
</ds:datastoreItem>
</file>

<file path=customXml/itemProps2.xml><?xml version="1.0" encoding="utf-8"?>
<ds:datastoreItem xmlns:ds="http://schemas.openxmlformats.org/officeDocument/2006/customXml" ds:itemID="{01A9E490-FEF9-40F7-8618-9C5888841B46}">
  <ds:schemaRefs>
    <ds:schemaRef ds:uri="http://schemas.microsoft.com/office/2006/metadata/properties"/>
    <ds:schemaRef ds:uri="http://schemas.microsoft.com/office/infopath/2007/PartnerControls"/>
    <ds:schemaRef ds:uri="C5632321-C579-4E2A-A002-7848F9627D28"/>
    <ds:schemaRef ds:uri="http://schemas.microsoft.com/sharepoint/v3/fields"/>
  </ds:schemaRefs>
</ds:datastoreItem>
</file>

<file path=customXml/itemProps3.xml><?xml version="1.0" encoding="utf-8"?>
<ds:datastoreItem xmlns:ds="http://schemas.openxmlformats.org/officeDocument/2006/customXml" ds:itemID="{71B7F1B5-3210-437E-83F1-A1B82B1F5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5632321-C579-4E2A-A002-7848F9627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8F82EA-9ABD-457B-9694-5D96C444D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20781</Words>
  <Characters>118453</Characters>
  <Application>Microsoft Office Word</Application>
  <DocSecurity>0</DocSecurity>
  <Lines>987</Lines>
  <Paragraphs>277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DUBUSSE Christine (TAXUD)</dc:creator>
  <cp:keywords/>
  <dc:description/>
  <cp:lastModifiedBy>DIGIT/C6</cp:lastModifiedBy>
  <cp:revision>21</cp:revision>
  <dcterms:created xsi:type="dcterms:W3CDTF">2021-10-04T10:47:00Z</dcterms:created>
  <dcterms:modified xsi:type="dcterms:W3CDTF">2021-10-04T16:24:00Z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7.0.1, Build 20200226</vt:lpwstr>
  </property>
  <property fmtid="{D5CDD505-2E9C-101B-9397-08002B2CF9AE}" pid="11" name="Created using">
    <vt:lpwstr>LW 7.0.1, Build 20190916</vt:lpwstr>
  </property>
  <property fmtid="{D5CDD505-2E9C-101B-9397-08002B2CF9AE}" pid="12" name="_LW_INVALIDATED__LW_INVALIDATED__LW_INVALIDATED_ContentTypeId">
    <vt:lpwstr>0x010100258AA79CEB83498886A3A0868112325000E9679C39F18B0F4F8EFADD18C13A58DF</vt:lpwstr>
  </property>
  <property fmtid="{D5CDD505-2E9C-101B-9397-08002B2CF9AE}" pid="13" name="_LW_INVALIDATED__LW_INVALIDATED_ContentTypeId">
    <vt:lpwstr>0x010100258AA79CEB83498886A3A0868112325000E9679C39F18B0F4F8EFADD18C13A58DF</vt:lpwstr>
  </property>
</Properties>
</file>