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44BD69E-9352-48DA-9426-F55173BDF7F0" style="width:455.25pt;height:32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numPr>
          <w:ilvl w:val="0"/>
          <w:numId w:val="7"/>
        </w:numPr>
        <w:spacing w:after="160" w:line="240" w:lineRule="auto"/>
        <w:contextualSpacing/>
        <w:jc w:val="both"/>
        <w:rPr>
          <w:rFonts w:ascii="Times New Roman" w:eastAsia="Calibri" w:hAnsi="Times New Roman" w:cs="Times New Roman"/>
          <w:b/>
          <w:noProof/>
          <w:sz w:val="24"/>
          <w:szCs w:val="24"/>
        </w:rPr>
      </w:pPr>
      <w:bookmarkStart w:id="1" w:name="_GoBack"/>
      <w:bookmarkEnd w:id="1"/>
      <w:r>
        <w:rPr>
          <w:rFonts w:ascii="Times New Roman" w:hAnsi="Times New Roman"/>
          <w:b/>
          <w:noProof/>
          <w:sz w:val="24"/>
          <w:szCs w:val="24"/>
        </w:rPr>
        <w:lastRenderedPageBreak/>
        <w:t xml:space="preserve">ВЪВЕДЕНИЕ </w:t>
      </w:r>
    </w:p>
    <w:p>
      <w:pPr>
        <w:spacing w:after="160" w:line="240" w:lineRule="auto"/>
        <w:ind w:left="720"/>
        <w:contextualSpacing/>
        <w:jc w:val="both"/>
        <w:rPr>
          <w:rFonts w:ascii="Times New Roman" w:eastAsia="Calibri" w:hAnsi="Times New Roman" w:cs="Times New Roman"/>
          <w:b/>
          <w:noProof/>
          <w:sz w:val="24"/>
          <w:szCs w:val="24"/>
        </w:rPr>
      </w:pPr>
    </w:p>
    <w:p>
      <w:pPr>
        <w:tabs>
          <w:tab w:val="left" w:pos="426"/>
        </w:tabs>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С приемането през септември 2020 г. на Новия пакт Комисията предложи ново начало с помощта на всеобхватен пакет, осигуряващ стабилна и балансирана система за миграция и убежище, която е в състояние да посрещне бъдещите предизвикателства. Той се основава на значително засилване на работата, извършена във връзка с миграцията през последните години. Това доведе до инвестиции и оперативна подкрепа за изпитващите натиск държави членки, до нови инструменти за по-силна външна граница и по-ефективни агенции на ЕС, както и по-задълбочено сътрудничество с ключови външни партньори с цел постигане на свързаните с миграцията цели на ЕС по маршрутите като цяло, а също и до нови развития в законодателството. </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В Пакта е изложена подробна пътна карта</w:t>
      </w:r>
      <w:r>
        <w:rPr>
          <w:rFonts w:ascii="Times New Roman" w:eastAsia="Calibri" w:hAnsi="Times New Roman" w:cs="Times New Roman"/>
          <w:noProof/>
          <w:sz w:val="24"/>
          <w:szCs w:val="24"/>
          <w:vertAlign w:val="superscript"/>
        </w:rPr>
        <w:footnoteReference w:id="1"/>
      </w:r>
      <w:r>
        <w:rPr>
          <w:rFonts w:ascii="Times New Roman" w:hAnsi="Times New Roman"/>
          <w:noProof/>
          <w:sz w:val="24"/>
          <w:szCs w:val="24"/>
        </w:rPr>
        <w:t xml:space="preserve"> на важните стъпки. Много от тях са приложени или по тях е постигнат напредък през последната година, но работата все още не е приключила.</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Бързо променящите се миграционни ситуации могат да доведат до сериозен натиск върху външната граница на ЕС. Всяка държава членка, независимо от географското си положение, може да бъде изправена пред сложни предизвикателства, свързани с миграцията. Понякога това се дължи на факта, че уязвими лица напускат своите домове поради конфликт, изменение на климата, по свързани с демографията причини, нарушения на правата на човека или липса на достъп до основни нужди. Но винаги съществува риск от нови предизвикателства. Ярък пример за това са скорошните спонсорирани от държавата миграционни движения, при които Беларус използва миграцията като политически инструмент за дестабилизиране на Европейския съюз и неговите държави членки. През 2021 г. по установените маршрути, като маршрута през Централното Средиземноморие, се наблюдават нови увеличения. Кризата в Афганистан може допълнително да увеличи риска от принудително разселване, миграционни потоци в региона и контрабанда на мигранти към ЕС. Тя предизвика също големи усилия на световно ниво за борба с кризата чрез изпращане на хуманитарна подкрепа</w:t>
      </w:r>
      <w:r>
        <w:rPr>
          <w:rFonts w:ascii="Times New Roman" w:eastAsia="Calibri" w:hAnsi="Times New Roman" w:cs="Times New Roman"/>
          <w:noProof/>
          <w:sz w:val="24"/>
          <w:szCs w:val="24"/>
          <w:vertAlign w:val="superscript"/>
          <w:lang w:val="en-IE"/>
        </w:rPr>
        <w:footnoteReference w:id="2"/>
      </w:r>
      <w:r>
        <w:rPr>
          <w:rFonts w:ascii="Times New Roman" w:hAnsi="Times New Roman"/>
          <w:noProof/>
          <w:sz w:val="24"/>
          <w:szCs w:val="24"/>
        </w:rPr>
        <w:t xml:space="preserve"> на място, евакуация и презаселване на нуждаещите се от международна закрила, както и подкрепа за съседните на Афганистан държави, които приемат бежанци. ЕС и държавите членки следва да изиграят пълноценно своята роля чрез пакета за подкрепа на Афганистан, обявен в речта за състоянието на Съюза на председателя Фон дер Лайен, както в близко бъдеще, така и с оглед на средносрочните до дългосрочните нужди.</w:t>
      </w:r>
    </w:p>
    <w:p>
      <w:pPr>
        <w:spacing w:after="16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Тези събития показват, че категоричната необходимост от устойчива европейска рамка за убежището и миграцията, продължава да е по-силно изразена от всякога. Тази обща рамка трябва да може да посрещне многобройните предизвикателства, пред които е изправен ЕС: да се осигурят сигурност, яснота и достойни условия за пристигащите в ЕС мъже, жени и деца; да се укрепи капацитетът на ЕС за ефективно управление на неговите граници; да се води борба с контрабандата на мигранти; да се намали броят на </w:t>
      </w:r>
      <w:r>
        <w:rPr>
          <w:rFonts w:ascii="Times New Roman" w:hAnsi="Times New Roman"/>
          <w:noProof/>
          <w:color w:val="000000"/>
          <w:sz w:val="24"/>
          <w:szCs w:val="24"/>
        </w:rPr>
        <w:lastRenderedPageBreak/>
        <w:t xml:space="preserve">незаконните маршрути и да се осигурят по-ефективни връщания в тясно сътрудничество с партньорските държави на произход, транзитно преминаване и местоназначение; както и да се насърчат устойчиви и безопасни законни пътища. Тази рамка следва да покаже на гражданите, че миграцията е нормална и управляема част от съвременния живот, с която можем да се справим, като работим заедно по ефективен и хуманен начин. </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На равнището на ЕС все още има недовършени задачи, както вътрешни, така и външни. Въпреки че е изключително важно да се постигне напредък по външните задачи, той трябва да бъде допълнен от напредък във вътрешен план, за да бъде завършена цялостната политика на ЕС в областта на миграцията и убежището. Преди всичко това означава да приключи законодателната работа по предложенията по линия на Новия пакт за миграцията и убежището</w:t>
      </w:r>
      <w:r>
        <w:rPr>
          <w:rFonts w:ascii="Times New Roman" w:eastAsia="Calibri" w:hAnsi="Times New Roman" w:cs="Times New Roman"/>
          <w:noProof/>
          <w:sz w:val="24"/>
          <w:szCs w:val="24"/>
          <w:vertAlign w:val="superscript"/>
        </w:rPr>
        <w:footnoteReference w:id="3"/>
      </w:r>
      <w:r>
        <w:rPr>
          <w:rFonts w:ascii="Times New Roman" w:hAnsi="Times New Roman"/>
          <w:noProof/>
          <w:sz w:val="24"/>
          <w:szCs w:val="24"/>
        </w:rPr>
        <w:t>. Друг ключов градивен елемент ще бъде поставен чрез предприемане на действия по линия на Стратегията за Шенгенското пространство, оповестена през юни 2021 г.</w:t>
      </w:r>
      <w:r>
        <w:rPr>
          <w:rFonts w:ascii="Times New Roman" w:eastAsia="Calibri" w:hAnsi="Times New Roman" w:cs="Times New Roman"/>
          <w:noProof/>
          <w:sz w:val="24"/>
          <w:szCs w:val="24"/>
          <w:vertAlign w:val="superscript"/>
        </w:rPr>
        <w:footnoteReference w:id="4"/>
      </w:r>
      <w:r>
        <w:rPr>
          <w:rFonts w:ascii="Times New Roman" w:hAnsi="Times New Roman"/>
          <w:noProof/>
          <w:sz w:val="24"/>
          <w:szCs w:val="24"/>
        </w:rPr>
        <w:t xml:space="preserve"> През следващите месеци Комисията ще предложи останалите инициативи, очертани в пътната карта.</w:t>
      </w:r>
    </w:p>
    <w:p>
      <w:pPr>
        <w:spacing w:after="0" w:line="240" w:lineRule="auto"/>
        <w:jc w:val="both"/>
        <w:rPr>
          <w:rFonts w:ascii="Times New Roman" w:eastAsia="Calibri" w:hAnsi="Times New Roman" w:cs="Times New Roman"/>
          <w:b/>
          <w:noProof/>
          <w:sz w:val="24"/>
          <w:szCs w:val="24"/>
        </w:rPr>
      </w:pPr>
      <w:r>
        <w:rPr>
          <w:rFonts w:ascii="Times New Roman" w:hAnsi="Times New Roman"/>
          <w:b/>
          <w:noProof/>
          <w:sz w:val="24"/>
          <w:szCs w:val="24"/>
        </w:rPr>
        <w:t xml:space="preserve">В настоящия доклад се прави равносметка на постигнатия напредък и ключовите развития в политиката за миграцията и убежището през последната година и половина, очертан е контекстът, в който се работи за постигане на напредък, набелязани са основните предизвикателства и са изтъкнати перспективите за напредък, като също така са определени действията, които ще доведат до по-стабилна, жизнеспособна и справедлива политика за миграцията и убежището. </w:t>
      </w:r>
    </w:p>
    <w:p>
      <w:pPr>
        <w:spacing w:after="0" w:line="240" w:lineRule="auto"/>
        <w:jc w:val="both"/>
        <w:rPr>
          <w:rFonts w:ascii="Times New Roman" w:eastAsia="Calibri" w:hAnsi="Times New Roman" w:cs="Times New Roman"/>
          <w:noProof/>
          <w:sz w:val="24"/>
        </w:rPr>
      </w:pPr>
    </w:p>
    <w:p>
      <w:pPr>
        <w:numPr>
          <w:ilvl w:val="0"/>
          <w:numId w:val="7"/>
        </w:numPr>
        <w:spacing w:before="120" w:after="240" w:line="240" w:lineRule="auto"/>
        <w:ind w:left="714" w:hanging="357"/>
        <w:jc w:val="both"/>
        <w:rPr>
          <w:rFonts w:ascii="Times New Roman" w:eastAsia="Calibri" w:hAnsi="Times New Roman" w:cs="Times New Roman"/>
          <w:b/>
          <w:noProof/>
          <w:sz w:val="24"/>
          <w:szCs w:val="24"/>
        </w:rPr>
      </w:pPr>
      <w:r>
        <w:rPr>
          <w:rFonts w:ascii="Times New Roman" w:hAnsi="Times New Roman"/>
          <w:b/>
          <w:noProof/>
          <w:sz w:val="24"/>
          <w:szCs w:val="24"/>
        </w:rPr>
        <w:t>АКТУАЛНО СЪСТОЯНИЕ НА КЛЮЧОВИТЕ МАРШРУТИ</w:t>
      </w:r>
    </w:p>
    <w:p>
      <w:pPr>
        <w:spacing w:after="120" w:line="240" w:lineRule="auto"/>
        <w:jc w:val="both"/>
        <w:rPr>
          <w:rFonts w:ascii="Times New Roman" w:hAnsi="Times New Roman"/>
          <w:noProof/>
          <w:sz w:val="24"/>
          <w:szCs w:val="24"/>
        </w:rPr>
      </w:pPr>
      <w:r>
        <w:rPr>
          <w:rFonts w:ascii="Times New Roman" w:hAnsi="Times New Roman"/>
          <w:noProof/>
          <w:sz w:val="24"/>
          <w:szCs w:val="24"/>
        </w:rPr>
        <w:t>Като цяло общият брой на незаконните мигранти по всички маршрути остава значително по-нисък от нивата преди кризата от 2015 г. — дори като се вземе предвид въздействието на пандемията, която доведе до спад в цялата активност през периода 2020—2021 г. При все това броят на пристигащите започна да се покачва, като броят на случаите на незаконно преминаване на границата по всички външни граници на ЕС през деветте месеца на 2021 г. достигна около 120 000 в сравнение с почти 77 000 за същия период на 2020 г. и малко над 91 000 за същия период на 2019 г.</w:t>
      </w:r>
    </w:p>
    <w:p>
      <w:pPr>
        <w:rPr>
          <w:rFonts w:ascii="Times New Roman" w:hAnsi="Times New Roman"/>
          <w:noProof/>
          <w:sz w:val="24"/>
          <w:szCs w:val="24"/>
        </w:rPr>
      </w:pPr>
      <w:r>
        <w:rPr>
          <w:rFonts w:ascii="Times New Roman" w:hAnsi="Times New Roman"/>
          <w:noProof/>
          <w:sz w:val="24"/>
          <w:szCs w:val="24"/>
        </w:rPr>
        <w:br w:type="page"/>
      </w:r>
    </w:p>
    <w:p>
      <w:pPr>
        <w:spacing w:after="160" w:line="240" w:lineRule="auto"/>
        <w:jc w:val="center"/>
        <w:rPr>
          <w:rFonts w:ascii="Times New Roman" w:eastAsia="Times New Roman" w:hAnsi="Times New Roman" w:cs="Times New Roman"/>
          <w:i/>
          <w:noProof/>
          <w:sz w:val="24"/>
          <w:szCs w:val="24"/>
        </w:rPr>
      </w:pPr>
      <w:r>
        <w:rPr>
          <w:rFonts w:ascii="Times New Roman" w:hAnsi="Times New Roman"/>
          <w:i/>
          <w:noProof/>
          <w:sz w:val="24"/>
          <w:szCs w:val="24"/>
        </w:rPr>
        <w:t>Незаконно преминаване на границата по трите основни маршрута (източник: Frontex)</w:t>
      </w:r>
    </w:p>
    <w:p>
      <w:pPr>
        <w:tabs>
          <w:tab w:val="left" w:pos="6521"/>
        </w:tabs>
        <w:spacing w:after="120" w:line="240" w:lineRule="auto"/>
        <w:jc w:val="center"/>
        <w:rPr>
          <w:rFonts w:ascii="Times New Roman" w:eastAsia="Calibri" w:hAnsi="Times New Roman" w:cs="Times New Roman"/>
          <w:noProof/>
        </w:rPr>
      </w:pPr>
      <w:r>
        <w:rPr>
          <w:noProof/>
          <w:lang w:val="en-GB" w:eastAsia="en-GB"/>
        </w:rPr>
        <w:drawing>
          <wp:inline distT="0" distB="0" distL="0" distR="0">
            <wp:extent cx="5868035" cy="30829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68035" cy="3082925"/>
                    </a:xfrm>
                    <a:prstGeom prst="rect">
                      <a:avLst/>
                    </a:prstGeom>
                  </pic:spPr>
                </pic:pic>
              </a:graphicData>
            </a:graphic>
          </wp:inline>
        </w:drawing>
      </w:r>
    </w:p>
    <w:p>
      <w:pPr>
        <w:spacing w:after="120" w:line="240" w:lineRule="auto"/>
        <w:jc w:val="both"/>
        <w:rPr>
          <w:rFonts w:ascii="Calibri" w:eastAsia="Times New Roman" w:hAnsi="Calibri" w:cs="Times New Roman"/>
          <w:noProof/>
          <w:sz w:val="16"/>
          <w:szCs w:val="16"/>
        </w:rPr>
      </w:pPr>
      <w:r>
        <w:rPr>
          <w:rFonts w:ascii="Times New Roman" w:hAnsi="Times New Roman"/>
          <w:noProof/>
          <w:sz w:val="24"/>
          <w:szCs w:val="24"/>
        </w:rPr>
        <w:t xml:space="preserve">През 2021 г. от всички маршрути най-голямо увеличение (+82  %) се наблюдава за </w:t>
      </w:r>
      <w:r>
        <w:rPr>
          <w:rFonts w:ascii="Times New Roman" w:hAnsi="Times New Roman"/>
          <w:b/>
          <w:bCs/>
          <w:noProof/>
          <w:sz w:val="24"/>
          <w:szCs w:val="24"/>
        </w:rPr>
        <w:t>Централното Средиземноморие</w:t>
      </w:r>
      <w:r>
        <w:rPr>
          <w:rFonts w:ascii="Times New Roman" w:hAnsi="Times New Roman"/>
          <w:noProof/>
          <w:sz w:val="24"/>
          <w:szCs w:val="24"/>
        </w:rPr>
        <w:t xml:space="preserve">. Въпреки че общият брой на пристигащите в </w:t>
      </w:r>
      <w:r>
        <w:rPr>
          <w:rFonts w:ascii="Times New Roman" w:hAnsi="Times New Roman"/>
          <w:b/>
          <w:noProof/>
          <w:sz w:val="24"/>
          <w:szCs w:val="24"/>
        </w:rPr>
        <w:t xml:space="preserve">Малта </w:t>
      </w:r>
      <w:r>
        <w:rPr>
          <w:rFonts w:ascii="Times New Roman" w:hAnsi="Times New Roman"/>
          <w:noProof/>
          <w:sz w:val="24"/>
          <w:szCs w:val="24"/>
        </w:rPr>
        <w:t>през 2021 г.</w:t>
      </w:r>
      <w:r>
        <w:rPr>
          <w:rFonts w:ascii="Times New Roman" w:hAnsi="Times New Roman"/>
          <w:b/>
          <w:noProof/>
          <w:sz w:val="24"/>
          <w:szCs w:val="24"/>
        </w:rPr>
        <w:t xml:space="preserve"> </w:t>
      </w:r>
      <w:r>
        <w:rPr>
          <w:rFonts w:ascii="Times New Roman" w:hAnsi="Times New Roman"/>
          <w:noProof/>
          <w:sz w:val="24"/>
          <w:szCs w:val="24"/>
        </w:rPr>
        <w:t>е</w:t>
      </w:r>
      <w:r>
        <w:rPr>
          <w:rFonts w:ascii="Times New Roman" w:hAnsi="Times New Roman"/>
          <w:b/>
          <w:noProof/>
          <w:sz w:val="24"/>
          <w:szCs w:val="24"/>
        </w:rPr>
        <w:t xml:space="preserve"> </w:t>
      </w:r>
      <w:r>
        <w:rPr>
          <w:rFonts w:ascii="Times New Roman" w:hAnsi="Times New Roman"/>
          <w:noProof/>
          <w:sz w:val="24"/>
          <w:szCs w:val="24"/>
        </w:rPr>
        <w:t xml:space="preserve">470, което представлява намаление от 78 % спрямо същия период на 2020 г., това следва да се разглежда в контекста на рязкото нарастване на броя на пристигащите в </w:t>
      </w:r>
      <w:r>
        <w:rPr>
          <w:rFonts w:ascii="Times New Roman" w:hAnsi="Times New Roman"/>
          <w:b/>
          <w:noProof/>
          <w:sz w:val="24"/>
          <w:szCs w:val="24"/>
        </w:rPr>
        <w:t>Италия</w:t>
      </w:r>
      <w:r>
        <w:rPr>
          <w:rFonts w:ascii="Times New Roman" w:hAnsi="Times New Roman"/>
          <w:noProof/>
          <w:sz w:val="24"/>
          <w:szCs w:val="24"/>
        </w:rPr>
        <w:t>, където общият брой на пристигащите е над 41 000, като почти половината от тях са от Либия. Миграцията от Тунис също остава висока в сравнение с предходните години, съставлявайки почти 40 % от незаконните мигранти, пристигащи в Италия досега през тази година. Друга значима тенденция е увеличеният брой на пристигащите директно в Италия, за разлика от свалените на суша лица вследствие на издирвателни и спасителни операции.</w:t>
      </w:r>
      <w:r>
        <w:rPr>
          <w:rFonts w:ascii="Calibri" w:hAnsi="Calibri"/>
          <w:noProof/>
          <w:sz w:val="16"/>
          <w:szCs w:val="16"/>
        </w:rPr>
        <w:t xml:space="preserve">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Общият брой на пристигащите в </w:t>
      </w:r>
      <w:r>
        <w:rPr>
          <w:rFonts w:ascii="Times New Roman" w:hAnsi="Times New Roman"/>
          <w:b/>
          <w:noProof/>
          <w:sz w:val="24"/>
          <w:szCs w:val="24"/>
        </w:rPr>
        <w:t>Испания</w:t>
      </w:r>
      <w:r>
        <w:rPr>
          <w:rFonts w:ascii="Times New Roman" w:hAnsi="Times New Roman"/>
          <w:noProof/>
          <w:sz w:val="24"/>
          <w:szCs w:val="24"/>
        </w:rPr>
        <w:t xml:space="preserve"> през 2021 г. е 25 852 (към 19 септември 2021 г.), което е с 54 % повече спрямо същия период на 2020 г. Това се дължи най-вече на факта, че броят на пристигащите на Канарските острови е над два пъти по-голям. Алжир, следвана от Мароко, е основната държава на заминаване на мигрантите, които пристигат в континентална Испания по маршрута през Западното Средиземноморие. Мароко, Мавритания и Сенегал са основните държави на заминаване по атлантическия маршрут към Канарските острови.</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По </w:t>
      </w:r>
      <w:r>
        <w:rPr>
          <w:rFonts w:ascii="Times New Roman" w:hAnsi="Times New Roman"/>
          <w:b/>
          <w:bCs/>
          <w:noProof/>
          <w:sz w:val="24"/>
          <w:szCs w:val="24"/>
        </w:rPr>
        <w:t>маршрута през Източното Средиземноморие</w:t>
      </w:r>
      <w:r>
        <w:rPr>
          <w:rFonts w:ascii="Times New Roman" w:hAnsi="Times New Roman"/>
          <w:noProof/>
          <w:sz w:val="24"/>
          <w:szCs w:val="24"/>
        </w:rPr>
        <w:t xml:space="preserve"> общият брой през 2021 г. е по-нисък от миналата година, като досега през 2021 г. се наблюдава значително намаление от 58 % на пристигащите в Гърция. От друга страна, през 2021 г. се наблюдава увеличение с около 47 % на пристигащите в Кипър, както и сериозно увеличение с 208 % на пристигащите директно от Турция в Италия, като броят на пристигащите от Турция в Италия през 2021 г. е 6 175 спрямо 2 007 през 2020 г.</w:t>
      </w:r>
    </w:p>
    <w:p>
      <w:pPr>
        <w:pStyle w:val="Briefingheading3"/>
        <w:rPr>
          <w:rFonts w:ascii="Times New Roman" w:hAnsi="Times New Roman"/>
          <w:b w:val="0"/>
          <w:i w:val="0"/>
          <w:noProof/>
          <w:sz w:val="24"/>
          <w:szCs w:val="24"/>
        </w:rPr>
      </w:pPr>
      <w:r>
        <w:rPr>
          <w:rFonts w:ascii="Times New Roman" w:hAnsi="Times New Roman"/>
          <w:b w:val="0"/>
          <w:i w:val="0"/>
          <w:noProof/>
          <w:sz w:val="24"/>
          <w:szCs w:val="24"/>
        </w:rPr>
        <w:t xml:space="preserve">Към днешната дата през 2021 г. в </w:t>
      </w:r>
      <w:r>
        <w:rPr>
          <w:rFonts w:ascii="Times New Roman" w:hAnsi="Times New Roman"/>
          <w:i w:val="0"/>
          <w:noProof/>
          <w:sz w:val="24"/>
          <w:szCs w:val="24"/>
        </w:rPr>
        <w:t>Кипър</w:t>
      </w:r>
      <w:r>
        <w:rPr>
          <w:rFonts w:ascii="Times New Roman" w:hAnsi="Times New Roman"/>
          <w:b w:val="0"/>
          <w:i w:val="0"/>
          <w:noProof/>
          <w:sz w:val="24"/>
          <w:szCs w:val="24"/>
        </w:rPr>
        <w:t xml:space="preserve"> са отчетени 6 026 пристигащи в контролираните от правителството зони — 5 413 след преминаване през демаркационната линия и 613 директно с лодка — в сравнение с около 4 100 пристигащи през демаркационната линия и с лодка през същия период на миналата година, като 5 400 пристигащи са регистрирани през демаркационната линия и 496 с лодка директно до контролираните от правителството на Кипър зони, идващи от </w:t>
      </w:r>
      <w:r>
        <w:rPr>
          <w:rFonts w:ascii="Times New Roman" w:hAnsi="Times New Roman"/>
          <w:b w:val="0"/>
          <w:bCs/>
          <w:i w:val="0"/>
          <w:noProof/>
          <w:sz w:val="24"/>
          <w:szCs w:val="24"/>
        </w:rPr>
        <w:t>Ливан, Сирия или Турция</w:t>
      </w:r>
      <w:r>
        <w:rPr>
          <w:rFonts w:ascii="Times New Roman" w:hAnsi="Times New Roman"/>
          <w:b w:val="0"/>
          <w:i w:val="0"/>
          <w:noProof/>
          <w:sz w:val="24"/>
          <w:szCs w:val="24"/>
        </w:rPr>
        <w:t xml:space="preserve"> (334 от Турция).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Обезпокоително развитие е превръщането на миграцията в инструмент за политически цели по различните външни граници на ЕС</w:t>
      </w:r>
      <w:r>
        <w:rPr>
          <w:rFonts w:ascii="Times New Roman" w:eastAsia="Calibri" w:hAnsi="Times New Roman" w:cs="Times New Roman"/>
          <w:noProof/>
          <w:sz w:val="24"/>
          <w:szCs w:val="24"/>
          <w:vertAlign w:val="superscript"/>
        </w:rPr>
        <w:footnoteReference w:id="5"/>
      </w:r>
      <w:r>
        <w:rPr>
          <w:rFonts w:ascii="Times New Roman" w:hAnsi="Times New Roman"/>
          <w:noProof/>
          <w:sz w:val="24"/>
          <w:szCs w:val="24"/>
        </w:rPr>
        <w:t xml:space="preserve">. Най-забележителният пример обаче дойде през юни 2021 г., когато </w:t>
      </w:r>
      <w:r>
        <w:rPr>
          <w:rFonts w:ascii="Times New Roman" w:hAnsi="Times New Roman"/>
          <w:b/>
          <w:noProof/>
          <w:sz w:val="24"/>
          <w:szCs w:val="24"/>
        </w:rPr>
        <w:t xml:space="preserve">Беларус </w:t>
      </w:r>
      <w:r>
        <w:rPr>
          <w:rFonts w:ascii="Times New Roman" w:hAnsi="Times New Roman"/>
          <w:noProof/>
          <w:sz w:val="24"/>
          <w:szCs w:val="24"/>
        </w:rPr>
        <w:t xml:space="preserve">организира спонсорирана от държавата контрабанда на мигранти в ЕС. Това последва политически сътресения в Беларус и международната реакция на принудителното приземяване на пътнически самолет в Минск. Организирани бяха полети и вътрешни пътувания, за да се улесни транзитното преминаване на мигрантите първо до Литва, а след това до Латвия и Полша, като по-голямата част от тях са граждани на Ирак. Незаконно пристигащите в Литва през 2021 г. са над петдесет пъти повече от пристигащите през 2020 г. В Полша и Латвия също се наблюдава голямо увеличение на случаите на незаконно преминаване на границата от Беларус.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 резултат на съгласуваните усилия на равнището на ЕС (вж. по-долу) броят на ежедневните незаконно пристигащи рязко е намалял, но миграционният натиск от Беларус продължава.</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Друг нагледен пример за необходимостта да се обръща постоянно внимание на променящите се модели е увеличеният брой на преминаващите от ЕС към Обединеното кралство през Ламанша. До септември 2021 г. 13 500 лица са регистрирани като предприели това преминаване в сравнение с 8 500 за цялата 2020 г.</w:t>
      </w:r>
    </w:p>
    <w:p>
      <w:pPr>
        <w:spacing w:after="24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По отношение на незаконно пристигащите в ЕС от </w:t>
      </w:r>
      <w:r>
        <w:rPr>
          <w:rFonts w:ascii="Times New Roman" w:hAnsi="Times New Roman"/>
          <w:b/>
          <w:noProof/>
          <w:sz w:val="24"/>
          <w:szCs w:val="24"/>
        </w:rPr>
        <w:t xml:space="preserve">Афганистан </w:t>
      </w:r>
      <w:r>
        <w:rPr>
          <w:rFonts w:ascii="Times New Roman" w:hAnsi="Times New Roman"/>
          <w:noProof/>
          <w:sz w:val="24"/>
          <w:szCs w:val="24"/>
        </w:rPr>
        <w:t xml:space="preserve">не се наблюдава значителна промяна след скорошното сътресение. Въпреки това ЕС и държавите членки показаха решимост да се поучат от миналия опит, като работят координирано за справяне с хуманитарното предизвикателство, както и готовност за потенциални миграционни движения и нови рискове за сигурността. </w:t>
      </w:r>
    </w:p>
    <w:tbl>
      <w:tblPr>
        <w:tblStyle w:val="TableGrid"/>
        <w:tblW w:w="0" w:type="auto"/>
        <w:tblLook w:val="04A0" w:firstRow="1" w:lastRow="0" w:firstColumn="1" w:lastColumn="0" w:noHBand="0" w:noVBand="1"/>
      </w:tblPr>
      <w:tblGrid>
        <w:gridCol w:w="9457"/>
      </w:tblGrid>
      <w:tr>
        <w:tc>
          <w:tcPr>
            <w:tcW w:w="9457" w:type="dxa"/>
          </w:tcPr>
          <w:p>
            <w:pPr>
              <w:spacing w:after="120"/>
              <w:jc w:val="both"/>
              <w:rPr>
                <w:rFonts w:ascii="Times New Roman" w:eastAsia="Calibri" w:hAnsi="Times New Roman" w:cs="Times New Roman"/>
                <w:noProof/>
              </w:rPr>
            </w:pPr>
            <w:r>
              <w:rPr>
                <w:rFonts w:ascii="Times New Roman" w:hAnsi="Times New Roman"/>
                <w:b/>
                <w:i/>
                <w:noProof/>
              </w:rPr>
              <w:t>Ситуацията в Афганистан — незабавната реакция на ЕС</w:t>
            </w:r>
          </w:p>
          <w:p>
            <w:pPr>
              <w:spacing w:after="120"/>
              <w:jc w:val="both"/>
              <w:textAlignment w:val="center"/>
              <w:rPr>
                <w:rFonts w:ascii="Times New Roman" w:eastAsia="Calibri" w:hAnsi="Times New Roman" w:cs="Times New Roman"/>
                <w:noProof/>
              </w:rPr>
            </w:pPr>
            <w:r>
              <w:rPr>
                <w:rFonts w:ascii="Times New Roman" w:hAnsi="Times New Roman"/>
                <w:noProof/>
              </w:rPr>
              <w:t xml:space="preserve">След драматичните събития в Афганистан политическата ситуация и ситуацията от гледна точка на сигурността остават в голяма степен нестабилни. Около </w:t>
            </w:r>
            <w:r>
              <w:rPr>
                <w:rFonts w:ascii="Times New Roman" w:hAnsi="Times New Roman"/>
                <w:b/>
                <w:noProof/>
              </w:rPr>
              <w:t>635 000 афганистанци са били вътрешно разселени</w:t>
            </w:r>
            <w:r>
              <w:rPr>
                <w:rFonts w:ascii="Times New Roman" w:hAnsi="Times New Roman"/>
                <w:noProof/>
              </w:rPr>
              <w:t xml:space="preserve"> само през тази година, а по направените изчисления повече от 2 милиона регистрирани бежанци вече са приети в региона заедно с 3 милиона нерегистрирани бежанци. В ход са редица действия на ЕС.</w:t>
            </w:r>
          </w:p>
          <w:p>
            <w:pPr>
              <w:numPr>
                <w:ilvl w:val="0"/>
                <w:numId w:val="10"/>
              </w:numPr>
              <w:spacing w:after="120"/>
              <w:ind w:left="284" w:hanging="284"/>
              <w:jc w:val="both"/>
              <w:rPr>
                <w:rFonts w:ascii="Calibri" w:eastAsia="Calibri" w:hAnsi="Calibri" w:cs="Times New Roman"/>
                <w:noProof/>
              </w:rPr>
            </w:pPr>
            <w:r>
              <w:rPr>
                <w:rFonts w:ascii="Times New Roman" w:hAnsi="Times New Roman"/>
                <w:noProof/>
              </w:rPr>
              <w:t xml:space="preserve">Сред </w:t>
            </w:r>
            <w:r>
              <w:rPr>
                <w:rFonts w:ascii="Times New Roman" w:hAnsi="Times New Roman"/>
                <w:b/>
                <w:noProof/>
              </w:rPr>
              <w:t>евакуираните</w:t>
            </w:r>
            <w:r>
              <w:rPr>
                <w:rFonts w:ascii="Times New Roman" w:hAnsi="Times New Roman"/>
                <w:noProof/>
              </w:rPr>
              <w:t xml:space="preserve"> бяха целият местен персонал на ЕС и лицата на издръжка, както и значителен брой лица, поддържащи тесни контакти с ЕС или държавите членки. Държавите членки следва да използват пълноценно наличните възможности за посрещане на непосредствените нужди на евакуираните афганистанци, включително чрез използване на неизразходваните суми в рамките на съществуващите национални програми. Необходимо е по-нататъшно сътрудничество за продължаване на евакуацията на най-нуждаещите се от закрила афганистанци, по-специално на тези, чийто живот е изложен на риск, като например защитниците на правата на човека, съдиите и специалистите от съдебната система, журналистите и активистите на гражданското общество.</w:t>
            </w:r>
          </w:p>
          <w:p>
            <w:pPr>
              <w:numPr>
                <w:ilvl w:val="0"/>
                <w:numId w:val="10"/>
              </w:numPr>
              <w:spacing w:after="120"/>
              <w:ind w:left="284" w:hanging="284"/>
              <w:jc w:val="both"/>
              <w:textAlignment w:val="center"/>
              <w:rPr>
                <w:rFonts w:ascii="Times New Roman" w:eastAsia="Calibri" w:hAnsi="Times New Roman" w:cs="Times New Roman"/>
                <w:noProof/>
              </w:rPr>
            </w:pPr>
            <w:r>
              <w:rPr>
                <w:rFonts w:ascii="Times New Roman" w:hAnsi="Times New Roman"/>
                <w:b/>
                <w:noProof/>
              </w:rPr>
              <w:t>Партньорите на ЕС в хуманитарната област</w:t>
            </w:r>
            <w:r>
              <w:rPr>
                <w:rFonts w:ascii="Times New Roman" w:hAnsi="Times New Roman"/>
                <w:noProof/>
              </w:rPr>
              <w:t xml:space="preserve"> продължават да работят на място, когато ситуацията от гледна точка на сигурността го позволява. Предоставената помощ включва медицинско обслужване, раздаване на храна, спешно осигуряване на вода и създаване на санитарно-хигиенни условия, както и бърза реакция по отношение на новоразселените лица. По време на проведената на 13 септември </w:t>
            </w:r>
            <w:r>
              <w:rPr>
                <w:rFonts w:ascii="Times New Roman" w:hAnsi="Times New Roman"/>
                <w:b/>
                <w:noProof/>
              </w:rPr>
              <w:t>среща на високо равнище на министрите на държави от ООН във връзка с хуманитарната ситуация в Афганистан</w:t>
            </w:r>
            <w:r>
              <w:rPr>
                <w:rFonts w:ascii="Times New Roman" w:hAnsi="Times New Roman"/>
                <w:noProof/>
              </w:rPr>
              <w:t xml:space="preserve"> ЕС и неговите държави членки обявиха общ ангажимент на стойност 677 милиона евро. Това включва хуманитарна помощ от ЕС в размер на над 200 милиона евро през 2021 г. </w:t>
            </w:r>
          </w:p>
          <w:p>
            <w:pPr>
              <w:numPr>
                <w:ilvl w:val="0"/>
                <w:numId w:val="10"/>
              </w:numPr>
              <w:spacing w:after="120"/>
              <w:ind w:left="284" w:hanging="284"/>
              <w:jc w:val="both"/>
              <w:rPr>
                <w:rFonts w:ascii="Times New Roman" w:eastAsia="Calibri" w:hAnsi="Times New Roman" w:cs="Times New Roman"/>
                <w:noProof/>
              </w:rPr>
            </w:pPr>
            <w:r>
              <w:rPr>
                <w:rFonts w:ascii="Times New Roman" w:hAnsi="Times New Roman"/>
                <w:noProof/>
              </w:rPr>
              <w:t xml:space="preserve">На 7 октомври ще се проведе </w:t>
            </w:r>
            <w:r>
              <w:rPr>
                <w:rFonts w:ascii="Times New Roman" w:hAnsi="Times New Roman"/>
                <w:b/>
                <w:noProof/>
              </w:rPr>
              <w:t>форум на високо равнище на ЕС, насочен към осигуряването на закрила на изложените на риск афганистанци,</w:t>
            </w:r>
            <w:r>
              <w:rPr>
                <w:rFonts w:ascii="Times New Roman" w:hAnsi="Times New Roman"/>
                <w:noProof/>
              </w:rPr>
              <w:t xml:space="preserve"> на който ще се съберат министрите на външните работи и министрите на вътрешните работи, за да обсъдят всеобхватни устойчиви решения за афганистанците, които най-много се нуждаят от международна закрила. Те включват усилия на ЕС за презаселване в бъдеще, както и законни пътища, допълващи тези усилия, като събиране на семейството, общностно спонсориране или приемане за обучение или работа, с допълнителна финансова подкрепа от ЕС, която да съответства на политическите ангажименти и усилията на държавите членки в посока интеграция. На този форум следва да се обърне специално внимание на афганистанските защитници на правата на човека, съдиите и специалистите от съдебната система, журналистите и активистите на гражданското общество, чийто живот е застрашен. </w:t>
            </w:r>
          </w:p>
          <w:p>
            <w:pPr>
              <w:numPr>
                <w:ilvl w:val="0"/>
                <w:numId w:val="10"/>
              </w:numPr>
              <w:spacing w:after="120"/>
              <w:ind w:left="284" w:hanging="284"/>
              <w:jc w:val="both"/>
              <w:rPr>
                <w:rFonts w:ascii="Times New Roman" w:eastAsia="Calibri" w:hAnsi="Times New Roman" w:cs="Times New Roman"/>
                <w:noProof/>
              </w:rPr>
            </w:pPr>
            <w:r>
              <w:rPr>
                <w:rFonts w:ascii="Times New Roman" w:hAnsi="Times New Roman"/>
                <w:bCs/>
                <w:iCs/>
                <w:noProof/>
              </w:rPr>
              <w:t xml:space="preserve">В съответствие със заключенията на Съвета от 21 септември 2021 г. ЕС ще инициира също </w:t>
            </w:r>
            <w:r>
              <w:rPr>
                <w:rFonts w:ascii="Times New Roman" w:hAnsi="Times New Roman"/>
                <w:b/>
                <w:bCs/>
                <w:iCs/>
                <w:noProof/>
              </w:rPr>
              <w:t xml:space="preserve">регионална политическа платформа </w:t>
            </w:r>
            <w:r>
              <w:rPr>
                <w:rFonts w:ascii="Times New Roman" w:hAnsi="Times New Roman"/>
                <w:bCs/>
                <w:iCs/>
                <w:noProof/>
              </w:rPr>
              <w:t>за сътрудничество с преките съседи на Афганистан, за да помогне за предотвратяване на разпространяването на отрицателните последици в региона, и ще подкрепи икономическата устойчивост и регионалното икономическо сътрудничество, както и хуманитарните нужди и нуждите от закрила.</w:t>
            </w:r>
          </w:p>
          <w:p>
            <w:pPr>
              <w:numPr>
                <w:ilvl w:val="0"/>
                <w:numId w:val="10"/>
              </w:numPr>
              <w:spacing w:after="120"/>
              <w:ind w:left="284" w:hanging="284"/>
              <w:jc w:val="both"/>
              <w:rPr>
                <w:rFonts w:ascii="Times New Roman" w:eastAsia="Calibri" w:hAnsi="Times New Roman" w:cs="Times New Roman"/>
                <w:noProof/>
              </w:rPr>
            </w:pPr>
            <w:r>
              <w:rPr>
                <w:rFonts w:ascii="Times New Roman" w:hAnsi="Times New Roman"/>
                <w:noProof/>
              </w:rPr>
              <w:t xml:space="preserve">За да се гарантира, че ситуацията в Афганистан няма да доведе до нови заплахи за сигурността за гражданите на ЕС, е разработен План за действие за борба с тероризма за Афганистан, който е представен на Постоянния комитет на ЕС по вътрешната сигурност (COSI). В едно от препоръчаните действия Постоянният комитет по вътрешната сигурност се призовава да одобри протокол, в който се определя процедура на три нива за засилени проверки за сигурност на всички лица, преминаващи или преминали външните граници на ЕС след събитията в Афганистан, което ще даде възможност да се извършват навременни, еднакви и засилени </w:t>
            </w:r>
            <w:r>
              <w:rPr>
                <w:rFonts w:ascii="Times New Roman" w:hAnsi="Times New Roman"/>
                <w:b/>
                <w:noProof/>
              </w:rPr>
              <w:t xml:space="preserve">проверки за сигурност </w:t>
            </w:r>
            <w:r>
              <w:rPr>
                <w:rFonts w:ascii="Times New Roman" w:hAnsi="Times New Roman"/>
                <w:noProof/>
              </w:rPr>
              <w:t xml:space="preserve">с подкрепата на агенциите на ЕС, за да се откриват лицата, които биха могли да представляват риск за вътрешната сигурност на ЕС. </w:t>
            </w:r>
          </w:p>
          <w:p>
            <w:pPr>
              <w:spacing w:after="120"/>
              <w:jc w:val="both"/>
              <w:rPr>
                <w:rFonts w:ascii="Times New Roman" w:eastAsia="Calibri" w:hAnsi="Times New Roman" w:cs="Times New Roman"/>
                <w:noProof/>
                <w:sz w:val="24"/>
                <w:szCs w:val="24"/>
              </w:rPr>
            </w:pPr>
            <w:r>
              <w:rPr>
                <w:rFonts w:ascii="Times New Roman" w:hAnsi="Times New Roman"/>
                <w:noProof/>
              </w:rPr>
              <w:t>В съответствие със заключенията на Европейския съвет от 24 и 25 юни Комисията заедно с върховния представител представи план за действие за миграцията в отговор на събитията в Афганистан, в който бяха определени незабавни действия на ЕС в близкото бъдеще, отразяващи изявлението, прието от министрите на извънредното заседание на Съвета по правосъдие и вътрешни работи, проведено на 31 август. По-нататък в настоящия доклад е описана работата на ЕС по действията в средносрочен и по-дългосрочен план в отговор на изявлението.</w:t>
            </w:r>
          </w:p>
        </w:tc>
      </w:tr>
    </w:tbl>
    <w:p>
      <w:pPr>
        <w:numPr>
          <w:ilvl w:val="0"/>
          <w:numId w:val="7"/>
        </w:numPr>
        <w:spacing w:before="360" w:after="160" w:line="240" w:lineRule="auto"/>
        <w:ind w:left="714" w:hanging="357"/>
        <w:rPr>
          <w:rFonts w:ascii="Times New Roman" w:eastAsia="Calibri" w:hAnsi="Times New Roman" w:cs="Times New Roman"/>
          <w:noProof/>
          <w:sz w:val="24"/>
          <w:szCs w:val="24"/>
        </w:rPr>
      </w:pPr>
      <w:r>
        <w:rPr>
          <w:rFonts w:ascii="Times New Roman" w:hAnsi="Times New Roman"/>
          <w:b/>
          <w:noProof/>
          <w:sz w:val="24"/>
          <w:szCs w:val="24"/>
        </w:rPr>
        <w:t>УПРАВЛЕНИЕ НА МИГРАЦИЯТА В ЕС</w:t>
      </w:r>
    </w:p>
    <w:p>
      <w:pPr>
        <w:spacing w:after="160" w:line="240" w:lineRule="auto"/>
        <w:rPr>
          <w:rFonts w:ascii="Times New Roman" w:eastAsia="Calibri" w:hAnsi="Times New Roman" w:cs="Times New Roman"/>
          <w:b/>
          <w:i/>
          <w:noProof/>
          <w:sz w:val="24"/>
          <w:szCs w:val="24"/>
        </w:rPr>
      </w:pPr>
      <w:r>
        <w:rPr>
          <w:rFonts w:ascii="Times New Roman" w:hAnsi="Times New Roman"/>
          <w:b/>
          <w:i/>
          <w:noProof/>
          <w:sz w:val="24"/>
          <w:szCs w:val="24"/>
        </w:rPr>
        <w:t>Въздействие на COVID-19 върху управлението на миграцията</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През 2020 г. пандемията от COVID-19 оказа сериозно въздействие върху пристигащите мигранти, както законни, така и незаконни, и постави няколко нови предизвикателства пред управлението на миграцията: в същото време пандемията показа, че чуждестранните работници играят ключова роля в икономиката на ЕС и че тези законни пътища за миграция са изключително важни. </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ЕС също беше усетено намаляването по целия свят на </w:t>
      </w:r>
      <w:r>
        <w:rPr>
          <w:rFonts w:ascii="Times New Roman" w:hAnsi="Times New Roman"/>
          <w:b/>
          <w:noProof/>
          <w:sz w:val="24"/>
          <w:szCs w:val="24"/>
        </w:rPr>
        <w:t>заявленията за издаване на виза</w:t>
      </w:r>
      <w:r>
        <w:rPr>
          <w:rFonts w:ascii="Times New Roman" w:hAnsi="Times New Roman"/>
          <w:noProof/>
          <w:sz w:val="24"/>
          <w:szCs w:val="24"/>
        </w:rPr>
        <w:t>, като през 2020 г. в държавите членки са подадени 2,9 милиона заявления за издаване на виза за краткосрочно пребиваване, което е с 83 % по-малко, отколкото през 2019 г. Няколко държави членки приеха мерки, с които да гарантират, че гражданите на трети държави, които не могат да напуснат ЕС поради наложените ограничения за пътуване, няма да попаднат в категорията на незаконните мигранти. Поради пандемията временно спря регистрацията на нови</w:t>
      </w:r>
      <w:r>
        <w:rPr>
          <w:rFonts w:ascii="Times New Roman" w:hAnsi="Times New Roman"/>
          <w:b/>
          <w:noProof/>
          <w:sz w:val="24"/>
          <w:szCs w:val="24"/>
        </w:rPr>
        <w:t xml:space="preserve"> молби за предоставяне на убежище</w:t>
      </w:r>
      <w:r>
        <w:rPr>
          <w:rFonts w:ascii="Times New Roman" w:hAnsi="Times New Roman"/>
          <w:noProof/>
          <w:sz w:val="24"/>
          <w:szCs w:val="24"/>
        </w:rPr>
        <w:t>. Подадените през 2020 г. 485 000</w:t>
      </w:r>
      <w:r>
        <w:rPr>
          <w:rFonts w:ascii="Times New Roman" w:hAnsi="Times New Roman"/>
          <w:b/>
          <w:i/>
          <w:noProof/>
          <w:sz w:val="24"/>
          <w:szCs w:val="24"/>
        </w:rPr>
        <w:t xml:space="preserve"> </w:t>
      </w:r>
      <w:r>
        <w:rPr>
          <w:rFonts w:ascii="Times New Roman" w:hAnsi="Times New Roman"/>
          <w:noProof/>
          <w:sz w:val="24"/>
          <w:szCs w:val="24"/>
        </w:rPr>
        <w:t>молби за международна закрила в държавите от ЕС+</w:t>
      </w:r>
      <w:r>
        <w:rPr>
          <w:rFonts w:ascii="Times New Roman" w:eastAsia="Calibri" w:hAnsi="Times New Roman" w:cs="Times New Roman"/>
          <w:noProof/>
          <w:sz w:val="24"/>
          <w:szCs w:val="24"/>
          <w:vertAlign w:val="superscript"/>
        </w:rPr>
        <w:footnoteReference w:id="6"/>
      </w:r>
      <w:r>
        <w:rPr>
          <w:rFonts w:ascii="Times New Roman" w:hAnsi="Times New Roman"/>
          <w:noProof/>
          <w:sz w:val="24"/>
          <w:szCs w:val="24"/>
        </w:rPr>
        <w:t xml:space="preserve"> са с около една трета по-малко от молбите, подадени през 2019 г., а общият брой на молбите, подадени през 2021 г., остава под нивата отпреди пандемията</w:t>
      </w:r>
      <w:r>
        <w:rPr>
          <w:rFonts w:ascii="Times New Roman" w:eastAsia="Calibri" w:hAnsi="Times New Roman" w:cs="Times New Roman"/>
          <w:noProof/>
          <w:sz w:val="24"/>
          <w:szCs w:val="24"/>
          <w:vertAlign w:val="superscript"/>
        </w:rPr>
        <w:footnoteReference w:id="7"/>
      </w:r>
      <w:r>
        <w:rPr>
          <w:rFonts w:ascii="Times New Roman" w:hAnsi="Times New Roman"/>
          <w:noProof/>
          <w:sz w:val="24"/>
          <w:szCs w:val="24"/>
        </w:rPr>
        <w:t xml:space="preserve">, въпреки че в някои държави членки се наблюдават увеличения. Също така поради пандемията по-малко лица, търсещи убежище, са били насочени към </w:t>
      </w:r>
      <w:r>
        <w:rPr>
          <w:rFonts w:ascii="Times New Roman" w:hAnsi="Times New Roman"/>
          <w:b/>
          <w:noProof/>
          <w:sz w:val="24"/>
          <w:szCs w:val="24"/>
        </w:rPr>
        <w:t>дъблинската система</w:t>
      </w:r>
      <w:r>
        <w:rPr>
          <w:rFonts w:ascii="Times New Roman" w:hAnsi="Times New Roman"/>
          <w:noProof/>
          <w:sz w:val="24"/>
          <w:szCs w:val="24"/>
        </w:rPr>
        <w:t xml:space="preserve"> за прехвърляне към компетентната държава членка, като броят от 2019 г. до 2020 г. намалява наполовина</w:t>
      </w:r>
      <w:r>
        <w:rPr>
          <w:rFonts w:ascii="Times New Roman" w:eastAsia="Calibri" w:hAnsi="Times New Roman" w:cs="Times New Roman"/>
          <w:noProof/>
          <w:sz w:val="24"/>
          <w:szCs w:val="24"/>
          <w:vertAlign w:val="superscript"/>
        </w:rPr>
        <w:footnoteReference w:id="8"/>
      </w:r>
      <w:r>
        <w:rPr>
          <w:rFonts w:ascii="Times New Roman" w:hAnsi="Times New Roman"/>
          <w:noProof/>
          <w:sz w:val="24"/>
          <w:szCs w:val="24"/>
        </w:rPr>
        <w:t>. През 2021 г. продължава тенденцията на нисък брой на прехвърлянията.</w:t>
      </w:r>
    </w:p>
    <w:p>
      <w:pPr>
        <w:spacing w:after="160" w:line="240" w:lineRule="auto"/>
        <w:jc w:val="center"/>
        <w:rPr>
          <w:rFonts w:ascii="Times New Roman" w:eastAsia="Calibri" w:hAnsi="Times New Roman" w:cs="Times New Roman"/>
          <w:i/>
          <w:noProof/>
          <w:sz w:val="24"/>
          <w:szCs w:val="24"/>
        </w:rPr>
      </w:pPr>
      <w:r>
        <w:rPr>
          <w:rFonts w:ascii="Times New Roman" w:hAnsi="Times New Roman"/>
          <w:i/>
          <w:noProof/>
          <w:sz w:val="24"/>
          <w:szCs w:val="24"/>
        </w:rPr>
        <w:t>Молби за предоставяне на убежище за 2020 г. и 2021 г. в ЕС+ (източник: EASO)</w:t>
      </w:r>
    </w:p>
    <w:p>
      <w:pPr>
        <w:spacing w:after="160" w:line="240" w:lineRule="auto"/>
        <w:jc w:val="center"/>
        <w:rPr>
          <w:rFonts w:ascii="Times New Roman" w:eastAsia="Calibri" w:hAnsi="Times New Roman" w:cs="Times New Roman"/>
          <w:noProof/>
        </w:rPr>
      </w:pPr>
      <w:r>
        <w:rPr>
          <w:rFonts w:ascii="Times New Roman" w:hAnsi="Times New Roman"/>
          <w:noProof/>
          <w:lang w:val="en-GB" w:eastAsia="en-GB"/>
        </w:rPr>
        <w:drawing>
          <wp:inline distT="0" distB="0" distL="0" distR="0">
            <wp:extent cx="4969126" cy="2260600"/>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72818" cy="2262280"/>
                    </a:xfrm>
                    <a:prstGeom prst="rect">
                      <a:avLst/>
                    </a:prstGeom>
                  </pic:spPr>
                </pic:pic>
              </a:graphicData>
            </a:graphic>
          </wp:inline>
        </w:drawing>
      </w:r>
    </w:p>
    <w:p>
      <w:pPr>
        <w:spacing w:after="160" w:line="240" w:lineRule="auto"/>
        <w:jc w:val="both"/>
        <w:rPr>
          <w:rFonts w:ascii="Times New Roman" w:eastAsia="Calibri" w:hAnsi="Times New Roman" w:cs="Times New Roman"/>
          <w:noProof/>
        </w:rPr>
      </w:pPr>
      <w:r>
        <w:rPr>
          <w:rFonts w:ascii="Times New Roman" w:hAnsi="Times New Roman"/>
          <w:noProof/>
          <w:sz w:val="24"/>
          <w:szCs w:val="24"/>
        </w:rPr>
        <w:t xml:space="preserve">Ограниченията за пътуване, въведени с цел ограничаване на пандемията, също затрудниха успешното извършване на </w:t>
      </w:r>
      <w:r>
        <w:rPr>
          <w:rFonts w:ascii="Times New Roman" w:hAnsi="Times New Roman"/>
          <w:b/>
          <w:bCs/>
          <w:noProof/>
          <w:sz w:val="24"/>
          <w:szCs w:val="24"/>
        </w:rPr>
        <w:t>връщанията</w:t>
      </w:r>
      <w:r>
        <w:rPr>
          <w:rFonts w:ascii="Times New Roman" w:hAnsi="Times New Roman"/>
          <w:noProof/>
          <w:sz w:val="24"/>
          <w:szCs w:val="24"/>
        </w:rPr>
        <w:t>. Броят на издадените от държавите членки решения за връщане през 2020 г. е намалял с 19 % в сравнение с 2019 г., но ефективните връщания в трети държави са намалели повече от наполовина</w:t>
      </w:r>
      <w:r>
        <w:rPr>
          <w:rFonts w:ascii="Times New Roman" w:eastAsia="Calibri" w:hAnsi="Times New Roman" w:cs="Times New Roman"/>
          <w:noProof/>
          <w:sz w:val="24"/>
          <w:szCs w:val="24"/>
          <w:vertAlign w:val="superscript"/>
        </w:rPr>
        <w:footnoteReference w:id="9"/>
      </w:r>
      <w:r>
        <w:rPr>
          <w:rFonts w:ascii="Times New Roman" w:hAnsi="Times New Roman"/>
          <w:noProof/>
          <w:sz w:val="24"/>
          <w:szCs w:val="24"/>
        </w:rPr>
        <w:t>. Процентът на връщанията е паднал под 18 % за 2020 г. в сравнение с 29 % за 2019 г. С постепенното премахване на ограниченията операциите по връщане започват да се възобновяват. Някои държави обаче продължават да поддържат въведените по време на пандемията ограничения. Турция спря операциите по връщане от Гърция през март 2020 г. поради пандемията и ЕС ще продължи да настоява Турция да възобнови връщанията в съответствие с ангажимента, поет съгласно изявлението на ЕС и Турция.</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През този период Комисията се стремеше да помага на държавите членки да сведат до минимум въздействието на пандемията. Това включваше предоставяне на насоки</w:t>
      </w:r>
      <w:r>
        <w:rPr>
          <w:rFonts w:ascii="Times New Roman" w:eastAsia="Calibri" w:hAnsi="Times New Roman" w:cs="Times New Roman"/>
          <w:noProof/>
          <w:sz w:val="24"/>
          <w:szCs w:val="24"/>
          <w:vertAlign w:val="superscript"/>
        </w:rPr>
        <w:footnoteReference w:id="10"/>
      </w:r>
      <w:r>
        <w:rPr>
          <w:rFonts w:ascii="Times New Roman" w:hAnsi="Times New Roman"/>
          <w:noProof/>
          <w:sz w:val="24"/>
          <w:szCs w:val="24"/>
        </w:rPr>
        <w:t>, практическа подкрепа от агенции и споделяне на най-добри практики в области като провеждане на интервюта от разстояние и на процедури онлайн</w:t>
      </w:r>
      <w:r>
        <w:rPr>
          <w:rFonts w:ascii="Times New Roman" w:eastAsia="Calibri" w:hAnsi="Times New Roman" w:cs="Times New Roman"/>
          <w:noProof/>
          <w:sz w:val="24"/>
          <w:szCs w:val="24"/>
          <w:vertAlign w:val="superscript"/>
        </w:rPr>
        <w:footnoteReference w:id="11"/>
      </w:r>
      <w:r>
        <w:rPr>
          <w:rFonts w:ascii="Times New Roman" w:hAnsi="Times New Roman"/>
          <w:noProof/>
          <w:sz w:val="24"/>
          <w:szCs w:val="24"/>
        </w:rPr>
        <w:t>. Правилата за финансиране също бяха променени, за да се сведат до минимум рисковете от забавяне и да се адаптират изискванията за контрол и одит така, че да се създаде възможност за стъпки като тези, при които по-широко се използват цифрови доказателства</w:t>
      </w:r>
      <w:r>
        <w:rPr>
          <w:rFonts w:ascii="Times New Roman" w:eastAsia="Calibri" w:hAnsi="Times New Roman" w:cs="Times New Roman"/>
          <w:noProof/>
          <w:sz w:val="24"/>
          <w:szCs w:val="24"/>
          <w:vertAlign w:val="superscript"/>
        </w:rPr>
        <w:footnoteReference w:id="12"/>
      </w:r>
      <w:r>
        <w:rPr>
          <w:rFonts w:ascii="Times New Roman" w:hAnsi="Times New Roman"/>
          <w:noProof/>
          <w:sz w:val="24"/>
          <w:szCs w:val="24"/>
        </w:rPr>
        <w:t xml:space="preserve">. Финансирането също беше насочвано към конкретни нужди, като бяха отпуснати безвъзмездни средства в размер на 25,3 милиона евро за укрепване на капацитета на Гърция за справяне с COVID-19 в центровете за приемане на бежанци и обществените болници, допълнени също така от подкрепа по линия на </w:t>
      </w:r>
      <w:r>
        <w:rPr>
          <w:rFonts w:ascii="Times New Roman" w:hAnsi="Times New Roman"/>
          <w:b/>
          <w:noProof/>
          <w:sz w:val="24"/>
          <w:szCs w:val="24"/>
        </w:rPr>
        <w:t>Механизма за гражданска защита на Съюза</w:t>
      </w:r>
      <w:r>
        <w:rPr>
          <w:rFonts w:ascii="Times New Roman" w:hAnsi="Times New Roman"/>
          <w:noProof/>
          <w:sz w:val="24"/>
          <w:szCs w:val="24"/>
        </w:rPr>
        <w:t xml:space="preserve"> с финансов принос от 14 държави членки.</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Като цяло натрупаният от пандемията опит подчерта още веднъж значението на това да бъде изготвен един по-модерен и съгласуван подход към управлението на миграцията. Своевременното споделяне на информация се оказа изключително важно, а подробният план на ЕС за подготвеност и кризи в областта на миграцията</w:t>
      </w:r>
      <w:r>
        <w:rPr>
          <w:rFonts w:ascii="Times New Roman" w:eastAsia="Calibri" w:hAnsi="Times New Roman" w:cs="Times New Roman"/>
          <w:noProof/>
          <w:sz w:val="24"/>
          <w:szCs w:val="24"/>
          <w:vertAlign w:val="superscript"/>
        </w:rPr>
        <w:footnoteReference w:id="13"/>
      </w:r>
      <w:r>
        <w:rPr>
          <w:rFonts w:ascii="Times New Roman" w:hAnsi="Times New Roman"/>
          <w:noProof/>
          <w:sz w:val="24"/>
          <w:szCs w:val="24"/>
        </w:rPr>
        <w:t xml:space="preserve"> се доказа като ценна платформа за обмен на информация за действията, предприети в отговор на пандемията.</w:t>
      </w:r>
    </w:p>
    <w:p>
      <w:pPr>
        <w:spacing w:after="160" w:line="240" w:lineRule="auto"/>
        <w:rPr>
          <w:rFonts w:ascii="Times New Roman" w:eastAsia="Calibri" w:hAnsi="Times New Roman" w:cs="Times New Roman"/>
          <w:b/>
          <w:i/>
          <w:noProof/>
          <w:sz w:val="24"/>
          <w:szCs w:val="24"/>
        </w:rPr>
      </w:pPr>
      <w:r>
        <w:rPr>
          <w:rFonts w:ascii="Times New Roman" w:hAnsi="Times New Roman"/>
          <w:b/>
          <w:i/>
          <w:noProof/>
          <w:sz w:val="24"/>
          <w:szCs w:val="24"/>
        </w:rPr>
        <w:t>Управление на границите и Frontex</w:t>
      </w:r>
    </w:p>
    <w:p>
      <w:pPr>
        <w:keepLines/>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С влизането в сила през декември 2019 г. на </w:t>
      </w:r>
      <w:r>
        <w:rPr>
          <w:rFonts w:ascii="Times New Roman" w:hAnsi="Times New Roman"/>
          <w:b/>
          <w:bCs/>
          <w:noProof/>
          <w:sz w:val="24"/>
          <w:szCs w:val="24"/>
        </w:rPr>
        <w:t xml:space="preserve">Регламента за европейската гранична и брегова охрана </w:t>
      </w:r>
      <w:r>
        <w:rPr>
          <w:rFonts w:ascii="Times New Roman" w:hAnsi="Times New Roman"/>
          <w:noProof/>
          <w:sz w:val="24"/>
          <w:szCs w:val="24"/>
        </w:rPr>
        <w:t xml:space="preserve"> беше направена голяма стъпка напред в управлението на границите и беше даден истински пример за европейска интеграция в областта на управлението на външните граници. От 1 януари 2021 г. бяха разположени успешно първите екипи на постоянния корпус на европейската гранична и брегова охрана.</w:t>
      </w:r>
    </w:p>
    <w:p>
      <w:pPr>
        <w:spacing w:after="160" w:line="240" w:lineRule="auto"/>
        <w:jc w:val="both"/>
        <w:rPr>
          <w:rFonts w:ascii="Times New Roman" w:eastAsia="Calibri" w:hAnsi="Times New Roman" w:cs="Times New Roman"/>
          <w:noProof/>
        </w:rPr>
      </w:pPr>
      <w:r>
        <w:rPr>
          <w:rFonts w:ascii="Times New Roman" w:hAnsi="Times New Roman"/>
          <w:noProof/>
          <w:sz w:val="24"/>
          <w:szCs w:val="24"/>
        </w:rPr>
        <w:t>Въпреки това е необходимо да се ускорят набирането и обучението на персонала на постоянния корпус. Към днешна дата са разположени три четвърти от редовния персонал от 700 души, които се предвиждаше да бъдат разположени до януари 2021 г. Следва да бъдат положени допълнителни усилия, за да се постигне заложената за 2021 г. цел, както и да се осигури набирането на допълнителния редовен персонал от 500 души, предвиден за 2022 г. Също така трябва да се ускори командироването на гранични и други служители от държавите членки. Броят на персонала, предоставен на Агенцията от държавите членки, все още изостава от целите, договорени в Регламента. Най-късно до 2027 г. Агенцията следва да може да мобилизира 10 000 души оперативен персонал за постоянния корпус. Резерв за бързо реагиране (т.е. категория 4 на постоянния корпус) от 1 500 служители ще бъде на разположение до 2024 г.</w:t>
      </w:r>
      <w:r>
        <w:rPr>
          <w:rFonts w:ascii="Times New Roman" w:eastAsia="Calibri" w:hAnsi="Times New Roman" w:cs="Times New Roman"/>
          <w:noProof/>
          <w:sz w:val="24"/>
          <w:szCs w:val="24"/>
          <w:vertAlign w:val="superscript"/>
        </w:rPr>
        <w:footnoteReference w:id="14"/>
      </w:r>
      <w:r>
        <w:rPr>
          <w:rFonts w:ascii="Times New Roman" w:hAnsi="Times New Roman"/>
          <w:noProof/>
          <w:sz w:val="24"/>
          <w:szCs w:val="24"/>
        </w:rPr>
        <w:t>, за да се гарантира ефективната подкрепа от страна на Агенцията за държавите членки в трудни ситуации и до пълното достигане на капацитета на постоянния корпус.</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Продължават да са безспорни значението и добавената стойност на оперативната подкрепа на Frontex, предоставяна на държавите членки, засегнати от незаконна миграция. Последните събития по границата с Беларус потвърдиха силната необходимост от новия мандат на Frontex за целите както на подготвеността, така и на капацитета за реагиране, необходим за предприемане на незабавни оперативни действия. В рамките на </w:t>
      </w:r>
      <w:r>
        <w:rPr>
          <w:rFonts w:ascii="Times New Roman" w:hAnsi="Times New Roman"/>
          <w:b/>
          <w:noProof/>
          <w:sz w:val="24"/>
          <w:szCs w:val="24"/>
        </w:rPr>
        <w:t>текущите оперативни дейности</w:t>
      </w:r>
      <w:r>
        <w:rPr>
          <w:rFonts w:ascii="Times New Roman" w:hAnsi="Times New Roman"/>
          <w:noProof/>
          <w:sz w:val="24"/>
          <w:szCs w:val="24"/>
        </w:rPr>
        <w:t>, голям брой гранична и брегова охрана, експерти и оборудване са разположени понастоящем в Гърция, Италия, Испания, България, Румъния, Литва и държавите от Западните Балкани</w:t>
      </w:r>
      <w:r>
        <w:rPr>
          <w:rFonts w:ascii="Times New Roman" w:eastAsia="Calibri" w:hAnsi="Times New Roman" w:cs="Times New Roman"/>
          <w:noProof/>
          <w:sz w:val="24"/>
          <w:szCs w:val="24"/>
          <w:vertAlign w:val="superscript"/>
        </w:rPr>
        <w:footnoteReference w:id="15"/>
      </w:r>
      <w:r>
        <w:rPr>
          <w:rFonts w:ascii="Times New Roman" w:hAnsi="Times New Roman"/>
          <w:noProof/>
          <w:sz w:val="24"/>
          <w:szCs w:val="24"/>
        </w:rPr>
        <w:t xml:space="preserve">. </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Комисията прие много сериозно твърденията за неподходящо поведение на европейската гранична и брегова охрана по външните граници на ЕС. Въпреки че е важно да се защитава външната граница, изключително важно е всички взети мерки да бъдат пропорционални, необходими и да отстояват основните права и ценности, включително правото на убежище.</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През 2021 г. </w:t>
      </w:r>
      <w:r>
        <w:rPr>
          <w:rFonts w:ascii="Times New Roman" w:hAnsi="Times New Roman"/>
          <w:b/>
          <w:noProof/>
          <w:sz w:val="24"/>
          <w:szCs w:val="24"/>
        </w:rPr>
        <w:t>дейностите и процедурите на Агенцията</w:t>
      </w:r>
      <w:r>
        <w:rPr>
          <w:rFonts w:ascii="Times New Roman" w:hAnsi="Times New Roman"/>
          <w:noProof/>
          <w:sz w:val="24"/>
          <w:szCs w:val="24"/>
        </w:rPr>
        <w:t xml:space="preserve"> бяха разгледани от няколко контролни органа на ЕС, по-конкретно работната група за контрол на Frontex към комисията по граждански свободи, правосъдие и вътрешни работи (LIBE) в Европейския парламент, Европейския омбудсман, Европейската сметна палата и работната група на управителния съвет на Frontex по основните права и правните оперативни аспекти на операциите. Въпреки че не беше потвърдено нарушение на правата на човека от страна на персонала на Frontex, съответните контролни органи посочиха различни пропуски и направиха препоръки за подобрения. Понастоящем Агенцията работи по тези препоръки. </w:t>
      </w:r>
    </w:p>
    <w:p>
      <w:pPr>
        <w:spacing w:after="160" w:line="240" w:lineRule="auto"/>
        <w:jc w:val="both"/>
        <w:rPr>
          <w:rFonts w:ascii="Times New Roman" w:eastAsia="Calibri" w:hAnsi="Times New Roman" w:cs="Times New Roman"/>
          <w:noProof/>
        </w:rPr>
      </w:pPr>
      <w:r>
        <w:rPr>
          <w:rFonts w:ascii="Times New Roman" w:hAnsi="Times New Roman"/>
          <w:noProof/>
          <w:sz w:val="24"/>
          <w:szCs w:val="24"/>
        </w:rPr>
        <w:t xml:space="preserve">Комисията приветства засилената рамка на Агенцията за </w:t>
      </w:r>
      <w:r>
        <w:rPr>
          <w:rFonts w:ascii="Times New Roman" w:hAnsi="Times New Roman"/>
          <w:b/>
          <w:noProof/>
          <w:sz w:val="24"/>
          <w:szCs w:val="24"/>
        </w:rPr>
        <w:t>наблюдение на правата на човека</w:t>
      </w:r>
      <w:r>
        <w:rPr>
          <w:rFonts w:ascii="Times New Roman" w:hAnsi="Times New Roman"/>
          <w:noProof/>
          <w:sz w:val="24"/>
          <w:szCs w:val="24"/>
        </w:rPr>
        <w:t xml:space="preserve"> и назначаването на служителя на Frontex по въпросите на основните права, който встъпи в длъжност на 1 юни 2021 г. В момента той се подпомага от 20 от общо 40 наблюдатели на основните права. Сега Агенцията следва изцяло да приложи тази рамка и бързо да наеме на работа останалите 20 наблюдатели на основните права.</w:t>
      </w:r>
    </w:p>
    <w:p>
      <w:pPr>
        <w:spacing w:after="160" w:line="240" w:lineRule="auto"/>
        <w:jc w:val="both"/>
        <w:rPr>
          <w:rFonts w:ascii="Times New Roman" w:eastAsia="Calibri" w:hAnsi="Times New Roman" w:cs="Times New Roman"/>
          <w:noProof/>
          <w:sz w:val="24"/>
          <w:szCs w:val="24"/>
        </w:rPr>
      </w:pPr>
      <w:r>
        <w:rPr>
          <w:rFonts w:ascii="Times New Roman" w:hAnsi="Times New Roman"/>
          <w:b/>
          <w:noProof/>
          <w:sz w:val="24"/>
          <w:szCs w:val="24"/>
        </w:rPr>
        <w:t xml:space="preserve">Сътрудничеството на Frontex с партньори в трети държави </w:t>
      </w:r>
      <w:r>
        <w:rPr>
          <w:rFonts w:ascii="Times New Roman" w:hAnsi="Times New Roman"/>
          <w:noProof/>
          <w:sz w:val="24"/>
          <w:szCs w:val="24"/>
        </w:rPr>
        <w:t>сега включва споразумения за статуса с Албания, Черна гора и Сърбия</w:t>
      </w:r>
      <w:r>
        <w:rPr>
          <w:rFonts w:ascii="Times New Roman" w:eastAsia="Calibri" w:hAnsi="Times New Roman" w:cs="Times New Roman"/>
          <w:noProof/>
          <w:sz w:val="24"/>
          <w:szCs w:val="24"/>
          <w:vertAlign w:val="superscript"/>
          <w:lang w:val="en-US"/>
        </w:rPr>
        <w:footnoteReference w:id="16"/>
      </w:r>
      <w:r>
        <w:rPr>
          <w:rFonts w:ascii="Times New Roman" w:hAnsi="Times New Roman"/>
          <w:noProof/>
          <w:sz w:val="24"/>
          <w:szCs w:val="24"/>
        </w:rPr>
        <w:t>, като предстои подписване на споразумение за статуса със Северна Македония. През януари 2019 г. беше парафирано споразумение за статуса с Босна и Херцеговина, но то все още не е подписано от Босна и Херцеговина. За да ускори допълнително сътрудничеството с партньорските държави, до края на 2021 г. Комисията ще приеме модел на работна договореност и модел на споразумение за статуса, за да очертае сътрудничеството на Frontex с трети държави</w:t>
      </w:r>
      <w:r>
        <w:rPr>
          <w:rFonts w:ascii="Times New Roman" w:eastAsia="Times New Roman" w:hAnsi="Times New Roman" w:cs="Times New Roman"/>
          <w:noProof/>
          <w:sz w:val="24"/>
          <w:szCs w:val="24"/>
          <w:vertAlign w:val="superscript"/>
          <w:lang w:val="en-IE"/>
        </w:rPr>
        <w:footnoteReference w:id="17"/>
      </w:r>
      <w:r>
        <w:rPr>
          <w:rFonts w:ascii="Times New Roman" w:hAnsi="Times New Roman"/>
          <w:noProof/>
          <w:sz w:val="24"/>
          <w:szCs w:val="24"/>
        </w:rPr>
        <w:t>. Предвижда се новият модел на споразумение за статуса да приведе в действие възможността за извършване на съвместни операции по границите между трети държави. От 2020 г. са одобрени работни договорености между Frontex и Република Гвинея и Грузия и са преразгледани работните договорености с Албания, като се създава възможност за структурирано сътрудничество между Агенцията и тези държави</w:t>
      </w:r>
      <w:r>
        <w:rPr>
          <w:rFonts w:ascii="Times New Roman" w:eastAsia="Calibri" w:hAnsi="Times New Roman" w:cs="Times New Roman"/>
          <w:noProof/>
          <w:sz w:val="24"/>
          <w:szCs w:val="24"/>
          <w:vertAlign w:val="superscript"/>
          <w:lang w:val="en-US"/>
        </w:rPr>
        <w:footnoteReference w:id="18"/>
      </w:r>
      <w:r>
        <w:rPr>
          <w:rFonts w:ascii="Times New Roman" w:hAnsi="Times New Roman"/>
          <w:noProof/>
          <w:sz w:val="24"/>
          <w:szCs w:val="24"/>
        </w:rPr>
        <w:t xml:space="preserve">. </w:t>
      </w:r>
    </w:p>
    <w:p>
      <w:pPr>
        <w:spacing w:after="160" w:line="240" w:lineRule="auto"/>
        <w:jc w:val="both"/>
        <w:rPr>
          <w:rFonts w:ascii="Calibri" w:eastAsia="Calibri" w:hAnsi="Calibri" w:cs="Times New Roman"/>
          <w:noProof/>
        </w:rPr>
      </w:pPr>
      <w:r>
        <w:rPr>
          <w:rFonts w:ascii="Times New Roman" w:hAnsi="Times New Roman"/>
          <w:noProof/>
          <w:sz w:val="24"/>
          <w:szCs w:val="24"/>
        </w:rPr>
        <w:t xml:space="preserve">Скорошното създаване на специален отдел по </w:t>
      </w:r>
      <w:r>
        <w:rPr>
          <w:rFonts w:ascii="Times New Roman" w:hAnsi="Times New Roman"/>
          <w:b/>
          <w:noProof/>
          <w:sz w:val="24"/>
          <w:szCs w:val="24"/>
        </w:rPr>
        <w:t xml:space="preserve">връщането </w:t>
      </w:r>
      <w:r>
        <w:rPr>
          <w:rFonts w:ascii="Times New Roman" w:hAnsi="Times New Roman"/>
          <w:noProof/>
          <w:sz w:val="24"/>
          <w:szCs w:val="24"/>
        </w:rPr>
        <w:t>и бъдещото назначаване на заместник изпълнителен директор, отговарящ за връщането, ще увеличат капацитета на Агенцията да предоставя подкрепа на държавите членки във всички области, свързани с връщането, обратното приемане и реинтеграцията</w:t>
      </w:r>
      <w:r>
        <w:rPr>
          <w:rFonts w:ascii="Times New Roman" w:hAnsi="Times New Roman"/>
          <w:noProof/>
        </w:rPr>
        <w:t>.</w:t>
      </w:r>
      <w:r>
        <w:rPr>
          <w:rFonts w:ascii="Calibri" w:hAnsi="Calibri"/>
          <w:noProof/>
        </w:rPr>
        <w:t xml:space="preserve"> </w:t>
      </w:r>
      <w:r>
        <w:rPr>
          <w:rFonts w:ascii="Times New Roman" w:hAnsi="Times New Roman"/>
          <w:noProof/>
          <w:sz w:val="24"/>
          <w:szCs w:val="24"/>
        </w:rPr>
        <w:t xml:space="preserve">Координаторът по въпросите на връщането, който скоро ще бъде назначен, ще насърчава координацията и съгласуваността на практиките на държавите членки, свързани с връщанията, ще гарантира, че те са в съответствие с процесите на обратно приемане, и ще насърчава прилагането на мерки за солидарност в областта на връщанията, като действа като посредник в контекста на спонсориране на връщането. Координаторът по въпросите на връщането ще ръководи мрежа на високо равнище от представители на държавите членки и ще работи в тясно сътрудничество със заместник изпълнителния директор на Frontex, отговарящ за връщането. </w:t>
      </w:r>
    </w:p>
    <w:p>
      <w:pPr>
        <w:spacing w:after="160" w:line="240" w:lineRule="auto"/>
        <w:jc w:val="both"/>
        <w:rPr>
          <w:rFonts w:ascii="Times New Roman" w:eastAsia="Calibri" w:hAnsi="Times New Roman" w:cs="Times New Roman"/>
          <w:noProof/>
        </w:rPr>
      </w:pPr>
      <w:r>
        <w:rPr>
          <w:rFonts w:ascii="Times New Roman" w:hAnsi="Times New Roman"/>
          <w:noProof/>
          <w:sz w:val="24"/>
          <w:szCs w:val="24"/>
        </w:rPr>
        <w:t>Въпреки ограниченията, въведени поради пандемията, броят на извършените от Frontex операции по връщане се връща на нивата си отпреди COVID-19. Досега през 2021 г. Frontex е координирала 232 операции по връщане, предприети от държавите членки, чрез чартърни полети до 28 държави извън ЕС, връщащи почти 8 000 граждани на трети държави. Като цяло това е двойно увеличение на дейността, извършена през 2020 г.</w:t>
      </w:r>
      <w:r>
        <w:rPr>
          <w:rFonts w:ascii="Times New Roman" w:eastAsia="Calibri" w:hAnsi="Times New Roman" w:cs="Times New Roman"/>
          <w:noProof/>
          <w:sz w:val="24"/>
          <w:szCs w:val="24"/>
          <w:vertAlign w:val="superscript"/>
        </w:rPr>
        <w:footnoteReference w:id="19"/>
      </w:r>
      <w:r>
        <w:rPr>
          <w:rFonts w:ascii="Times New Roman" w:hAnsi="Times New Roman"/>
          <w:noProof/>
          <w:sz w:val="24"/>
          <w:szCs w:val="24"/>
        </w:rPr>
        <w:t xml:space="preserve"> Frontex подкрепя също доброволното връщане и доброволното напускане, като за 2021 г., към 5 септември, са извършени 2 741 подпомогнати от Frontex връщания, всички от които с редовни полети. </w:t>
      </w:r>
    </w:p>
    <w:p>
      <w:pPr>
        <w:spacing w:after="16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Последните събития по външните граници потвърдиха съществената роля на Frontex в подпомагането на държавите членки и в насърчаването, координирането и допринасянето за развитието на общо интегрирано управление на границите на ЕС. Силната, ефективна и добре функционираща европейска гранична и брегова охрана трябва да бъде обща цел на ЕС и Европейският парламент, Съветът и Комисията трябва да гарантират, че Агенцията е отговорна и ефективна. Държавите членки също имат ключова роля, чрез управителния съвет, в осигуряването на добро и разумно управление и на пълна прозрачност на Агенцията, които стават все по-важни с увеличаването на отговорностите на Агенцията.</w:t>
      </w:r>
    </w:p>
    <w:p>
      <w:pPr>
        <w:spacing w:after="16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Комисията ще продължи да работи с Frontex и нейния управителен съвет, за да гарантира, че в рамките на Агенцията се спазват съответните принципи на взаимозависимост и взаимоограничаване, за да се подсили културата на прозрачност и отчетност и да се гарантира зачитането на основните права. Дългогодишните усилия на Комисията в посока правилно изпълнение на мандата на Агенцията ще продължат.</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И накрая, до края на 2021 г. Комисията ще представи за обсъждане документ за политиката, с който се започва цикълът на многогодишната стратегическа политика, който ще направлява дискусиите относно европейското интегрирано управление на границите на равнището на ЕС през следващите пет години.</w:t>
      </w:r>
    </w:p>
    <w:p>
      <w:pPr>
        <w:spacing w:after="160" w:line="240" w:lineRule="auto"/>
        <w:rPr>
          <w:rFonts w:ascii="Times New Roman" w:eastAsia="Calibri" w:hAnsi="Times New Roman" w:cs="Times New Roman"/>
          <w:b/>
          <w:i/>
          <w:noProof/>
          <w:sz w:val="24"/>
          <w:szCs w:val="24"/>
        </w:rPr>
      </w:pPr>
      <w:r>
        <w:rPr>
          <w:rFonts w:ascii="Times New Roman" w:hAnsi="Times New Roman"/>
          <w:b/>
          <w:i/>
          <w:noProof/>
          <w:sz w:val="24"/>
          <w:szCs w:val="24"/>
        </w:rPr>
        <w:t>Убежище и оперативна подкрепа, предоставяна от Европейската служба за подкрепа в областта на убежището</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През 2020 г бяха отбелязани 10 години, откакто Европейската служба за подкрепа в областта на убежището (EASO) започна да функционира в пълна степен. EASO предоставя оперативна подкрепа на подложените на натиск държави членки в съответствие с двустранните оперативни планове, които службата е сключила със седем държави членки (Кипър, Гърция, Италия, Малта, Испания, Литва и Латвия). Понастоящем в тези операции на EASO са включени 1 007 експерти и персонал. Помощта се адаптира към нуждите на всяка държава членка и може да обхваща подкрепа за ускоряване на обработката на молбите за предоставяне на убежище или за националните системи за приемане, за да се гарантира, че стандартите отговарят на изискванията на достиженията на правото на ЕС в областта на убежището.</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Недостигът на експерти, изпратени от държавите членки, остава предизвикателство и пречи на EASO да изпълнява ролята си пълноценно. Държавите членки се насърчават да увеличат броя на експертите, изпратени да участват в операциите на EASO.</w:t>
      </w:r>
    </w:p>
    <w:p>
      <w:pPr>
        <w:spacing w:after="160" w:line="240" w:lineRule="auto"/>
        <w:jc w:val="both"/>
        <w:rPr>
          <w:rFonts w:ascii="Times New Roman" w:eastAsia="Calibri" w:hAnsi="Times New Roman" w:cs="Times New Roman"/>
          <w:noProof/>
        </w:rPr>
      </w:pPr>
      <w:r>
        <w:rPr>
          <w:rFonts w:ascii="Times New Roman" w:hAnsi="Times New Roman"/>
          <w:noProof/>
          <w:sz w:val="24"/>
          <w:szCs w:val="24"/>
        </w:rPr>
        <w:t xml:space="preserve">Вече е постигнато споразумение за нов, подсилен мандат за нова </w:t>
      </w:r>
      <w:r>
        <w:rPr>
          <w:rFonts w:ascii="Times New Roman" w:hAnsi="Times New Roman"/>
          <w:b/>
          <w:noProof/>
          <w:sz w:val="24"/>
          <w:szCs w:val="24"/>
        </w:rPr>
        <w:t>Агенция на Европейския съюз в областта на убежището.</w:t>
      </w:r>
      <w:r>
        <w:rPr>
          <w:rFonts w:ascii="Times New Roman" w:hAnsi="Times New Roman"/>
          <w:b/>
          <w:noProof/>
          <w:color w:val="000000"/>
          <w:sz w:val="24"/>
          <w:szCs w:val="24"/>
        </w:rPr>
        <w:t xml:space="preserve"> </w:t>
      </w:r>
      <w:r>
        <w:rPr>
          <w:rFonts w:ascii="Times New Roman" w:hAnsi="Times New Roman"/>
          <w:noProof/>
          <w:color w:val="000000"/>
          <w:sz w:val="24"/>
          <w:szCs w:val="24"/>
        </w:rPr>
        <w:t>Това следва да предостави възможност за влизане в сила до края на годината.</w:t>
      </w:r>
      <w:r>
        <w:rPr>
          <w:rFonts w:ascii="Times New Roman" w:hAnsi="Times New Roman"/>
          <w:noProof/>
          <w:sz w:val="24"/>
          <w:szCs w:val="24"/>
        </w:rPr>
        <w:t xml:space="preserve"> Подсилената агенция ще допринесе за по-ефективни и последователни системи за предоставяне на убежище чрез по-голяма оперативна и техническа подкрепа за държавите членки и общи оперативни стандарти, показатели, насоки и най-добри практики, които да помагат за прилагането на правото на ЕС в областта на убежището. Това ще означава и по-добро наблюдение на системите на държавите членки за предоставяне на убежище и за приемане, за да се гарантират по-последователни практики, както и ще доведе до въвеждането на допълнителни гаранции и мерки за гарантиране на спазването на основните права. С новия мандат също така се създава резерв от 500 експерти от държавите членки в областта на убежището, които ще бъдат на разположение на Агенцията незабавно при необходимост. Приносът на всяка държава членка към резерва е посочен в Регламента за новия мандат.</w:t>
      </w:r>
    </w:p>
    <w:p>
      <w:pPr>
        <w:spacing w:after="160" w:line="240" w:lineRule="auto"/>
        <w:rPr>
          <w:rFonts w:ascii="Times New Roman" w:eastAsia="Calibri" w:hAnsi="Times New Roman" w:cs="Times New Roman"/>
          <w:b/>
          <w:i/>
          <w:noProof/>
          <w:sz w:val="24"/>
          <w:szCs w:val="24"/>
        </w:rPr>
      </w:pPr>
      <w:r>
        <w:rPr>
          <w:rFonts w:ascii="Times New Roman" w:hAnsi="Times New Roman"/>
          <w:b/>
          <w:i/>
          <w:noProof/>
          <w:sz w:val="24"/>
          <w:szCs w:val="24"/>
        </w:rPr>
        <w:t>Пряка подкрепа за държавите членки, изправени пред миграционни предизвикателства</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През последните шест години Комисията предоставя постоянна оперативна, техническа и финансова подкрепа на най-засегнатите от незаконната миграция държави членки. Финансирането от ЕС е жизненоважно и увеличените ресурси, договорени за миграционната и граничната политика през следващия период на финансиране, са доказателство за ефективността на тази солидарност.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Подкрепата се предоставя в различни форми. В някои случаи, като например в Гърция, благодарение на дългосрочната подкрепа са създадени нови работни структури и стабилна и устойчива основа за сътрудничество.</w:t>
      </w:r>
    </w:p>
    <w:p>
      <w:pPr>
        <w:spacing w:after="120" w:line="240" w:lineRule="auto"/>
        <w:jc w:val="both"/>
        <w:rPr>
          <w:rFonts w:ascii="Times New Roman" w:eastAsia="Times New Roman" w:hAnsi="Times New Roman" w:cs="Times New Roman"/>
          <w:bCs/>
          <w:noProof/>
          <w:sz w:val="24"/>
          <w:szCs w:val="24"/>
        </w:rPr>
      </w:pPr>
    </w:p>
    <w:tbl>
      <w:tblPr>
        <w:tblStyle w:val="TableGrid"/>
        <w:tblW w:w="0" w:type="auto"/>
        <w:tblLook w:val="04A0" w:firstRow="1" w:lastRow="0" w:firstColumn="1" w:lastColumn="0" w:noHBand="0" w:noVBand="1"/>
      </w:tblPr>
      <w:tblGrid>
        <w:gridCol w:w="9457"/>
      </w:tblGrid>
      <w:tr>
        <w:tc>
          <w:tcPr>
            <w:tcW w:w="9457" w:type="dxa"/>
          </w:tcPr>
          <w:p>
            <w:pPr>
              <w:spacing w:after="120"/>
              <w:ind w:left="426" w:hanging="284"/>
              <w:rPr>
                <w:rFonts w:ascii="Times New Roman" w:eastAsia="Calibri" w:hAnsi="Times New Roman" w:cs="Times New Roman"/>
                <w:b/>
                <w:i/>
                <w:noProof/>
              </w:rPr>
            </w:pPr>
            <w:r>
              <w:rPr>
                <w:rFonts w:ascii="Times New Roman" w:hAnsi="Times New Roman"/>
                <w:b/>
                <w:i/>
                <w:noProof/>
              </w:rPr>
              <w:t>Подкрепа от ЕС за Гърция</w:t>
            </w:r>
          </w:p>
          <w:p>
            <w:pPr>
              <w:spacing w:after="120"/>
              <w:jc w:val="both"/>
              <w:rPr>
                <w:rFonts w:ascii="Times New Roman" w:eastAsia="Calibri" w:hAnsi="Times New Roman" w:cs="Times New Roman"/>
                <w:noProof/>
              </w:rPr>
            </w:pPr>
            <w:r>
              <w:rPr>
                <w:rFonts w:ascii="Times New Roman" w:hAnsi="Times New Roman"/>
                <w:noProof/>
              </w:rPr>
              <w:t xml:space="preserve">От миграционната криза през 2015 г. досега ЕС е предоставил значителна оперативна и финансова подкрепа на Гърция. </w:t>
            </w:r>
          </w:p>
          <w:p>
            <w:pPr>
              <w:numPr>
                <w:ilvl w:val="0"/>
                <w:numId w:val="6"/>
              </w:numPr>
              <w:spacing w:after="120"/>
              <w:ind w:left="425" w:hanging="357"/>
              <w:jc w:val="both"/>
              <w:rPr>
                <w:rFonts w:ascii="Times New Roman" w:eastAsia="Calibri" w:hAnsi="Times New Roman" w:cs="Times New Roman"/>
                <w:noProof/>
              </w:rPr>
            </w:pPr>
            <w:r>
              <w:rPr>
                <w:rFonts w:ascii="Times New Roman" w:hAnsi="Times New Roman"/>
                <w:b/>
                <w:noProof/>
              </w:rPr>
              <w:t>Финансирането от Съюза</w:t>
            </w:r>
            <w:r>
              <w:rPr>
                <w:rFonts w:ascii="Times New Roman" w:hAnsi="Times New Roman"/>
                <w:noProof/>
              </w:rPr>
              <w:t xml:space="preserve"> възлиза на над 3,3 милиарда евро. Това финансиране помогна за подобряване на капацитета за приемане, условията на живот и медицинските грижи за бежанците и мигрантите, както и за ускоряване на процедурите за предоставяне на убежище, за увеличаване на връщанията и за подобряване на защитата на границата. Благодарение на него имаше възможност да се обърне допълнително внимание на най-уязвимите лица, като ненавършилите пълнолетие лица без придружител. За първи път от 2016 г. насам броят на мигрантите, които се намират на Егейските острови, е намалял до приблизително 5 000 в сравнение с 30 000 през юни 2020 г.</w:t>
            </w:r>
          </w:p>
          <w:p>
            <w:pPr>
              <w:numPr>
                <w:ilvl w:val="0"/>
                <w:numId w:val="6"/>
              </w:numPr>
              <w:spacing w:after="120"/>
              <w:ind w:left="425" w:hanging="357"/>
              <w:jc w:val="both"/>
              <w:rPr>
                <w:rFonts w:ascii="Times New Roman" w:eastAsia="Calibri" w:hAnsi="Times New Roman" w:cs="Times New Roman"/>
                <w:noProof/>
              </w:rPr>
            </w:pPr>
            <w:r>
              <w:rPr>
                <w:rFonts w:ascii="Times New Roman" w:hAnsi="Times New Roman"/>
                <w:noProof/>
              </w:rPr>
              <w:t xml:space="preserve">След пожарите през септември 2020 г., които унищожиха </w:t>
            </w:r>
            <w:r>
              <w:rPr>
                <w:rFonts w:ascii="Times New Roman" w:hAnsi="Times New Roman"/>
                <w:b/>
                <w:noProof/>
              </w:rPr>
              <w:t>центъра за приемане и установяване на самоличността „Мориа“ на Лесбос</w:t>
            </w:r>
            <w:r>
              <w:rPr>
                <w:rFonts w:ascii="Times New Roman" w:hAnsi="Times New Roman"/>
                <w:noProof/>
              </w:rPr>
              <w:t>, Комисията действа незабавно, за да предложи подкрепа и защита. Тя финансира незабавното прехвърляне на ненавършилите пълнолетие лица без придружител в континенталната част, като над 8 400 бежанци и уязвими мигранти вече са прехвърлени от Лесбос в континенталната част. Също толкова важни са и мащабните строителни дейности, които бяха изпълнени, за да се гарантира, че временният център Mavrovouni ще бъде подготвен за експлоатация през зимата.</w:t>
            </w:r>
          </w:p>
          <w:p>
            <w:pPr>
              <w:numPr>
                <w:ilvl w:val="0"/>
                <w:numId w:val="6"/>
              </w:numPr>
              <w:spacing w:after="120"/>
              <w:ind w:left="425" w:hanging="357"/>
              <w:jc w:val="both"/>
              <w:rPr>
                <w:rFonts w:ascii="Times New Roman" w:eastAsia="Calibri" w:hAnsi="Times New Roman" w:cs="Times New Roman"/>
                <w:noProof/>
              </w:rPr>
            </w:pPr>
            <w:r>
              <w:rPr>
                <w:rFonts w:ascii="Times New Roman" w:hAnsi="Times New Roman"/>
                <w:noProof/>
              </w:rPr>
              <w:t>В допълнение към приноса по двустранна линия 14 държави</w:t>
            </w:r>
            <w:r>
              <w:rPr>
                <w:rFonts w:ascii="Times New Roman" w:eastAsia="Calibri" w:hAnsi="Times New Roman" w:cs="Times New Roman"/>
                <w:noProof/>
                <w:vertAlign w:val="superscript"/>
              </w:rPr>
              <w:footnoteReference w:id="20"/>
            </w:r>
            <w:r>
              <w:rPr>
                <w:rFonts w:ascii="Times New Roman" w:hAnsi="Times New Roman"/>
                <w:noProof/>
              </w:rPr>
              <w:t xml:space="preserve"> проявиха солидарност към Гърция, като след пожара изпратиха помощ чрез </w:t>
            </w:r>
            <w:r>
              <w:rPr>
                <w:rFonts w:ascii="Times New Roman" w:hAnsi="Times New Roman"/>
                <w:b/>
                <w:noProof/>
              </w:rPr>
              <w:t>Механизма за гражданска защита на Съюза</w:t>
            </w:r>
            <w:r>
              <w:rPr>
                <w:rFonts w:ascii="Times New Roman" w:hAnsi="Times New Roman"/>
                <w:noProof/>
              </w:rPr>
              <w:t>. ЕС координира доставката на над 171 000 средства за подслон и съфинансира техния транспорт до Гърция.</w:t>
            </w:r>
          </w:p>
          <w:p>
            <w:pPr>
              <w:numPr>
                <w:ilvl w:val="0"/>
                <w:numId w:val="6"/>
              </w:numPr>
              <w:spacing w:after="120"/>
              <w:ind w:left="425" w:hanging="357"/>
              <w:jc w:val="both"/>
              <w:rPr>
                <w:rFonts w:ascii="Times New Roman" w:eastAsia="Calibri" w:hAnsi="Times New Roman" w:cs="Times New Roman"/>
                <w:noProof/>
              </w:rPr>
            </w:pPr>
            <w:r>
              <w:rPr>
                <w:rFonts w:ascii="Times New Roman" w:hAnsi="Times New Roman"/>
                <w:noProof/>
              </w:rPr>
              <w:t xml:space="preserve">През септември 2020 г. сътрудничеството навлезе в нова фаза с новата </w:t>
            </w:r>
            <w:r>
              <w:rPr>
                <w:rFonts w:ascii="Times New Roman" w:hAnsi="Times New Roman"/>
                <w:b/>
                <w:noProof/>
              </w:rPr>
              <w:t>европейска работна група за управление на миграцията</w:t>
            </w:r>
            <w:r>
              <w:rPr>
                <w:rFonts w:ascii="Times New Roman" w:hAnsi="Times New Roman"/>
                <w:noProof/>
              </w:rPr>
              <w:t xml:space="preserve">. Работната група работи в тясно сътрудничество с гръцките органи и агенциите на ЕС с цел създаване на нови многоцелеви центрове за приемане и установяване на самоличността и с цел подобряване на условията на приемане в съответствие с правото и стандартите на Съюза. Безвъзмездни средства в размер на 276 милиона евро подпомагат изграждането на центрове за приемане на пет гръцки острова, включително изграждането на ново мащабно съоръжение на Лесбос. Новият център в Самос беше открит на 18 септември 2021 г. Центровете на Кос и Лерос ще бъдат открити до края на 2021 г., а строителните дейности за центъра в Лесбос ще започнат през есента. </w:t>
            </w:r>
          </w:p>
          <w:p>
            <w:pPr>
              <w:numPr>
                <w:ilvl w:val="0"/>
                <w:numId w:val="6"/>
              </w:numPr>
              <w:ind w:left="425" w:hanging="357"/>
              <w:jc w:val="both"/>
              <w:rPr>
                <w:rFonts w:ascii="Times New Roman" w:eastAsia="Calibri" w:hAnsi="Times New Roman" w:cs="Times New Roman"/>
                <w:noProof/>
                <w:sz w:val="24"/>
                <w:szCs w:val="24"/>
              </w:rPr>
            </w:pPr>
            <w:r>
              <w:rPr>
                <w:rFonts w:ascii="Times New Roman" w:hAnsi="Times New Roman"/>
                <w:noProof/>
              </w:rPr>
              <w:t xml:space="preserve">Ключова част от работата ще бъде разработван от Комисията и гръцките органи независим и надежден </w:t>
            </w:r>
            <w:r>
              <w:rPr>
                <w:rFonts w:ascii="Times New Roman" w:hAnsi="Times New Roman"/>
                <w:b/>
                <w:bCs/>
                <w:noProof/>
              </w:rPr>
              <w:t>механизъм за наблюдение</w:t>
            </w:r>
            <w:r>
              <w:rPr>
                <w:rFonts w:ascii="Times New Roman" w:hAnsi="Times New Roman"/>
                <w:noProof/>
              </w:rPr>
              <w:t>, който ще помогне за предотвратяване на нарушенията на основните права по границите и ще гарантира, че са налице процедури за ефективно разследване на всички твърдения за такива нарушения. Следва да бъдат предприети мерки за целия ЕС чрез предложението на Комисията относно Регламента за скрининга, за да се създаде за всички държави членки независим механизъм за наблюдение по външните граници.</w:t>
            </w:r>
          </w:p>
        </w:tc>
      </w:tr>
    </w:tbl>
    <w:p>
      <w:pPr>
        <w:spacing w:before="160"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През лятото в Хърватия беше приведен в действие независим механизъм за наблюдение на границата, с който се цели увеличаване на прозрачността на разследванията и гарантиране на пълното спазване на основните права. </w:t>
      </w:r>
    </w:p>
    <w:p>
      <w:pPr>
        <w:spacing w:before="160"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Подкрепата от ЕС беше предоставена и под формата на бърз отговор на бързо променящата се ситуация. При скорошното внезапно увеличение на случаите на незаконно преминаване на границата от Беларус ЕС предостави комбинация от оперативна, финансова и дипломатическа подкрепа за рекордно кратко време с цел справяне с неочакваната криза на източната външна граница на ЕС. </w:t>
      </w:r>
    </w:p>
    <w:tbl>
      <w:tblPr>
        <w:tblStyle w:val="TableGrid"/>
        <w:tblW w:w="0" w:type="auto"/>
        <w:tblLook w:val="04A0" w:firstRow="1" w:lastRow="0" w:firstColumn="1" w:lastColumn="0" w:noHBand="0" w:noVBand="1"/>
      </w:tblPr>
      <w:tblGrid>
        <w:gridCol w:w="9457"/>
      </w:tblGrid>
      <w:tr>
        <w:tc>
          <w:tcPr>
            <w:tcW w:w="9457" w:type="dxa"/>
          </w:tcPr>
          <w:p>
            <w:pPr>
              <w:spacing w:after="120"/>
              <w:rPr>
                <w:rFonts w:ascii="Times New Roman" w:eastAsia="Calibri" w:hAnsi="Times New Roman" w:cs="Times New Roman"/>
                <w:i/>
                <w:noProof/>
              </w:rPr>
            </w:pPr>
            <w:r>
              <w:rPr>
                <w:rFonts w:ascii="Times New Roman" w:hAnsi="Times New Roman"/>
                <w:b/>
                <w:i/>
                <w:noProof/>
              </w:rPr>
              <w:t>Реакцията на ЕС по отношение на пристигащите от Беларус</w:t>
            </w:r>
          </w:p>
          <w:p>
            <w:pPr>
              <w:spacing w:after="120"/>
              <w:jc w:val="both"/>
              <w:rPr>
                <w:rFonts w:ascii="Times New Roman" w:eastAsia="Calibri" w:hAnsi="Times New Roman" w:cs="Times New Roman"/>
                <w:noProof/>
              </w:rPr>
            </w:pPr>
            <w:r>
              <w:rPr>
                <w:rFonts w:ascii="Times New Roman" w:hAnsi="Times New Roman"/>
                <w:noProof/>
              </w:rPr>
              <w:t>През лятото на 2021 г. Литва изпита внезапно увеличение на миграционния натиск на границата си с Беларус. По-късно Беларус насърчи и</w:t>
            </w:r>
            <w:r>
              <w:rPr>
                <w:rFonts w:ascii="Times New Roman" w:hAnsi="Times New Roman"/>
                <w:iCs/>
                <w:noProof/>
              </w:rPr>
              <w:t xml:space="preserve"> незаконното преминаване</w:t>
            </w:r>
            <w:r>
              <w:rPr>
                <w:rFonts w:ascii="Times New Roman" w:hAnsi="Times New Roman"/>
                <w:b/>
                <w:iCs/>
                <w:noProof/>
              </w:rPr>
              <w:t xml:space="preserve"> </w:t>
            </w:r>
            <w:r>
              <w:rPr>
                <w:rFonts w:ascii="Times New Roman" w:hAnsi="Times New Roman"/>
                <w:noProof/>
              </w:rPr>
              <w:t>на границата с Латвия и Полша. ЕС категорично осъди действията на Беларус и предприе бързи действия, за да приложи широк набор от инструменти:</w:t>
            </w:r>
          </w:p>
          <w:p>
            <w:pPr>
              <w:numPr>
                <w:ilvl w:val="0"/>
                <w:numId w:val="3"/>
              </w:numPr>
              <w:spacing w:after="120"/>
              <w:ind w:left="426"/>
              <w:jc w:val="both"/>
              <w:rPr>
                <w:rFonts w:ascii="Times New Roman" w:eastAsia="Calibri" w:hAnsi="Times New Roman" w:cs="Times New Roman"/>
                <w:b/>
                <w:noProof/>
              </w:rPr>
            </w:pPr>
            <w:r>
              <w:rPr>
                <w:rFonts w:ascii="Times New Roman" w:hAnsi="Times New Roman"/>
                <w:b/>
                <w:noProof/>
              </w:rPr>
              <w:t>агенциите на ЕС</w:t>
            </w:r>
            <w:r>
              <w:rPr>
                <w:rFonts w:ascii="Times New Roman" w:hAnsi="Times New Roman"/>
                <w:noProof/>
              </w:rPr>
              <w:t xml:space="preserve"> бързо предоставиха конкретна помощ. В рамките на няколко дни от изпращането на искането на Литва за бърза гранична намеса Frontex започна да изпраща допълнителна подкрепа. Понастоящем в трите държави членки са разположени 103 служители на Frontex. EASO също започна да изпраща първите служители в Литва през юли, като в настоящия момент там са разположени 56 експерти на EASO в допълнение към 10 експерти в Латвия.</w:t>
            </w:r>
          </w:p>
          <w:p>
            <w:pPr>
              <w:numPr>
                <w:ilvl w:val="0"/>
                <w:numId w:val="3"/>
              </w:numPr>
              <w:spacing w:after="120"/>
              <w:ind w:left="426"/>
              <w:jc w:val="both"/>
              <w:rPr>
                <w:rFonts w:ascii="Times New Roman" w:eastAsia="Calibri" w:hAnsi="Times New Roman" w:cs="Times New Roman"/>
                <w:noProof/>
              </w:rPr>
            </w:pPr>
            <w:r>
              <w:rPr>
                <w:rFonts w:ascii="Times New Roman" w:hAnsi="Times New Roman"/>
                <w:noProof/>
              </w:rPr>
              <w:t xml:space="preserve">На Литва е предоставена </w:t>
            </w:r>
            <w:r>
              <w:rPr>
                <w:rFonts w:ascii="Times New Roman" w:hAnsi="Times New Roman"/>
                <w:b/>
                <w:noProof/>
              </w:rPr>
              <w:t>спешна подкрепа от ЕС</w:t>
            </w:r>
            <w:r>
              <w:rPr>
                <w:rFonts w:ascii="Times New Roman" w:hAnsi="Times New Roman"/>
                <w:noProof/>
              </w:rPr>
              <w:t xml:space="preserve"> под формата на над 36,7 милиона евро, предназначени за посрещане на най-неотложните нужди на търсещите убежище лица, за материална помощ и за осигуряване на временен подслон. Това ще подпомогне също работата за откриване на потенциални жертви на трафика на хора и за оказване на помощ на лицата, нуждаещи се от международна закрила. Постоянно ще се следи за промяна в нуждите. Литва също задейства </w:t>
            </w:r>
            <w:r>
              <w:rPr>
                <w:rFonts w:ascii="Times New Roman" w:hAnsi="Times New Roman"/>
                <w:b/>
                <w:noProof/>
              </w:rPr>
              <w:t>Механизма за гражданска защита на Съюза</w:t>
            </w:r>
            <w:r>
              <w:rPr>
                <w:rFonts w:ascii="Times New Roman" w:hAnsi="Times New Roman"/>
                <w:noProof/>
              </w:rPr>
              <w:t xml:space="preserve"> и 18 държави членки и Норвегия се отзоваха на призива.</w:t>
            </w:r>
          </w:p>
          <w:p>
            <w:pPr>
              <w:numPr>
                <w:ilvl w:val="0"/>
                <w:numId w:val="3"/>
              </w:numPr>
              <w:spacing w:after="120"/>
              <w:ind w:left="426"/>
              <w:jc w:val="both"/>
              <w:rPr>
                <w:rFonts w:ascii="Times New Roman" w:eastAsia="Calibri" w:hAnsi="Times New Roman" w:cs="Times New Roman"/>
                <w:b/>
                <w:noProof/>
              </w:rPr>
            </w:pPr>
            <w:r>
              <w:rPr>
                <w:rFonts w:ascii="Times New Roman" w:hAnsi="Times New Roman"/>
                <w:bCs/>
                <w:noProof/>
              </w:rPr>
              <w:t>Комисията и Frontex</w:t>
            </w:r>
            <w:r>
              <w:rPr>
                <w:rFonts w:ascii="Times New Roman" w:hAnsi="Times New Roman"/>
                <w:noProof/>
              </w:rPr>
              <w:t xml:space="preserve"> работят в тясно сътрудничество със съответните органи в Литва, за да засилят капацитета на Литва за</w:t>
            </w:r>
            <w:r>
              <w:rPr>
                <w:rFonts w:ascii="Times New Roman" w:hAnsi="Times New Roman"/>
                <w:b/>
                <w:noProof/>
              </w:rPr>
              <w:t xml:space="preserve"> връщане</w:t>
            </w:r>
            <w:r>
              <w:rPr>
                <w:rFonts w:ascii="Times New Roman" w:hAnsi="Times New Roman"/>
                <w:noProof/>
              </w:rPr>
              <w:t>, като улесняват обмена на най-добри практики с други държави членки и предоставят технически и оперативни насоки за процедурите по връщане.</w:t>
            </w:r>
          </w:p>
          <w:p>
            <w:pPr>
              <w:numPr>
                <w:ilvl w:val="0"/>
                <w:numId w:val="3"/>
              </w:numPr>
              <w:spacing w:after="120"/>
              <w:ind w:left="426"/>
              <w:jc w:val="both"/>
              <w:rPr>
                <w:rFonts w:ascii="Times New Roman" w:eastAsia="Calibri" w:hAnsi="Times New Roman" w:cs="Times New Roman"/>
                <w:noProof/>
              </w:rPr>
            </w:pPr>
            <w:r>
              <w:rPr>
                <w:rFonts w:ascii="Times New Roman" w:hAnsi="Times New Roman"/>
                <w:noProof/>
              </w:rPr>
              <w:t>Съвместните усилия с</w:t>
            </w:r>
            <w:r>
              <w:rPr>
                <w:rFonts w:ascii="Times New Roman" w:hAnsi="Times New Roman"/>
                <w:b/>
                <w:noProof/>
              </w:rPr>
              <w:t xml:space="preserve"> основните засегнати държави на произход и на транзитно преминаване </w:t>
            </w:r>
            <w:r>
              <w:rPr>
                <w:rFonts w:ascii="Times New Roman" w:hAnsi="Times New Roman"/>
                <w:noProof/>
              </w:rPr>
              <w:t>се засилиха, което доведе по-конкретно до решението на Ирак да спре временно полетите до Минск и да улесни доброволните връщания от Литва.</w:t>
            </w:r>
          </w:p>
          <w:p>
            <w:pPr>
              <w:numPr>
                <w:ilvl w:val="0"/>
                <w:numId w:val="3"/>
              </w:numPr>
              <w:spacing w:after="120"/>
              <w:ind w:left="426"/>
              <w:jc w:val="both"/>
              <w:rPr>
                <w:rFonts w:ascii="Times New Roman" w:eastAsia="Calibri" w:hAnsi="Times New Roman" w:cs="Times New Roman"/>
                <w:noProof/>
              </w:rPr>
            </w:pPr>
            <w:r>
              <w:rPr>
                <w:rFonts w:ascii="Times New Roman" w:hAnsi="Times New Roman"/>
                <w:b/>
                <w:noProof/>
              </w:rPr>
              <w:t>Дипломатическият натиск върху Беларус</w:t>
            </w:r>
            <w:r>
              <w:rPr>
                <w:rFonts w:ascii="Times New Roman" w:hAnsi="Times New Roman"/>
                <w:noProof/>
              </w:rPr>
              <w:t xml:space="preserve"> беше увеличен, като същевременно се осъзнаваше необходимостта от оказване на подкрепа на народа на Беларус. Използването на миграцията като инструмент за политически цели е неприемливо за ЕС и няма да доведе до отмяна на санкциите. Комисията също така днес предлага частично спиране на действието на </w:t>
            </w:r>
            <w:r>
              <w:rPr>
                <w:rFonts w:ascii="Times New Roman" w:hAnsi="Times New Roman"/>
                <w:b/>
                <w:noProof/>
              </w:rPr>
              <w:t>споразумението на ЕС за визови облекчения</w:t>
            </w:r>
            <w:r>
              <w:rPr>
                <w:rFonts w:ascii="Times New Roman" w:hAnsi="Times New Roman"/>
                <w:noProof/>
              </w:rPr>
              <w:t xml:space="preserve"> с Беларус.</w:t>
            </w:r>
          </w:p>
        </w:tc>
      </w:tr>
    </w:tbl>
    <w:p>
      <w:pPr>
        <w:spacing w:after="0" w:line="240" w:lineRule="auto"/>
        <w:jc w:val="both"/>
        <w:rPr>
          <w:rFonts w:ascii="Times New Roman" w:eastAsia="Calibri" w:hAnsi="Times New Roman" w:cs="Times New Roman"/>
          <w:noProof/>
          <w:sz w:val="24"/>
        </w:rPr>
      </w:pPr>
    </w:p>
    <w:p>
      <w:pPr>
        <w:spacing w:after="120" w:line="240" w:lineRule="auto"/>
        <w:jc w:val="both"/>
        <w:rPr>
          <w:rFonts w:ascii="Times New Roman" w:eastAsia="Calibri" w:hAnsi="Times New Roman" w:cs="Times New Roman"/>
          <w:noProof/>
        </w:rPr>
      </w:pPr>
      <w:r>
        <w:rPr>
          <w:rFonts w:ascii="Times New Roman" w:hAnsi="Times New Roman"/>
          <w:noProof/>
          <w:sz w:val="24"/>
          <w:szCs w:val="24"/>
        </w:rPr>
        <w:t xml:space="preserve">Комисията подкрепя и държавите членки, като улеснява и координира </w:t>
      </w:r>
      <w:r>
        <w:rPr>
          <w:rFonts w:ascii="Times New Roman" w:hAnsi="Times New Roman"/>
          <w:b/>
          <w:noProof/>
          <w:sz w:val="24"/>
          <w:szCs w:val="24"/>
        </w:rPr>
        <w:t>доброволните премествания</w:t>
      </w:r>
      <w:r>
        <w:rPr>
          <w:rFonts w:ascii="Times New Roman" w:hAnsi="Times New Roman"/>
          <w:noProof/>
          <w:sz w:val="24"/>
          <w:szCs w:val="24"/>
        </w:rPr>
        <w:t>. Чрез механизма, договорен в рамките на Декларацията от Малта от 2019 г., Комисията, с подкрепата на EASO, координира преместванията, когато издирвателните и спасителните операции са довели до сваляне на брега в Италия и Малта. От началото на 2019 г. над 2 100 лица, търсещи убежище, са прехвърлени в други държави — членки на ЕС</w:t>
      </w:r>
      <w:r>
        <w:rPr>
          <w:rFonts w:ascii="Times New Roman" w:eastAsia="Calibri" w:hAnsi="Times New Roman" w:cs="Times New Roman"/>
          <w:noProof/>
          <w:sz w:val="24"/>
          <w:szCs w:val="24"/>
          <w:vertAlign w:val="superscript"/>
        </w:rPr>
        <w:footnoteReference w:id="21"/>
      </w:r>
      <w:r>
        <w:rPr>
          <w:rFonts w:ascii="Times New Roman" w:hAnsi="Times New Roman"/>
          <w:noProof/>
          <w:sz w:val="24"/>
          <w:szCs w:val="24"/>
        </w:rPr>
        <w:t xml:space="preserve">. Комисията постоянно призовава държавите членки да допринасят за доброволното преместване, в очакване на по-предвидим механизъм за солидарност, и редовно координира усилията в тази посока. Процесът ще продължи, включително за да бъдат </w:t>
      </w:r>
      <w:r>
        <w:rPr>
          <w:rFonts w:ascii="Times New Roman" w:hAnsi="Times New Roman"/>
          <w:iCs/>
          <w:noProof/>
          <w:sz w:val="24"/>
          <w:szCs w:val="24"/>
        </w:rPr>
        <w:t>изпълнени оставащите ангажименти, поети преди 2021 г., и за да бъдат изпълнени ограничените нови ангажименти, поети през 2021 г. за свалените на брега мигранти.</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Като част от представения през март 2020 г. план за действие за незабавни мерки за подкрепа на </w:t>
      </w:r>
      <w:r>
        <w:rPr>
          <w:rFonts w:ascii="Times New Roman" w:hAnsi="Times New Roman"/>
          <w:b/>
          <w:noProof/>
          <w:sz w:val="24"/>
          <w:szCs w:val="24"/>
        </w:rPr>
        <w:t>Гърция</w:t>
      </w:r>
      <w:r>
        <w:rPr>
          <w:rFonts w:ascii="Times New Roman" w:eastAsia="Calibri" w:hAnsi="Times New Roman" w:cs="Times New Roman"/>
          <w:noProof/>
          <w:sz w:val="24"/>
          <w:szCs w:val="24"/>
          <w:vertAlign w:val="superscript"/>
        </w:rPr>
        <w:footnoteReference w:id="22"/>
      </w:r>
      <w:r>
        <w:rPr>
          <w:rFonts w:ascii="Times New Roman" w:hAnsi="Times New Roman"/>
          <w:noProof/>
          <w:sz w:val="24"/>
          <w:szCs w:val="24"/>
        </w:rPr>
        <w:t xml:space="preserve"> общо 4 307 лица са били преместени от Гърция по линия на тази схема до началото на септември 2021 г., включително 984 ненавършили пълнолетие лица без придружител.</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Тези усилия показват конкретна стъпка към изразяването на европейска солидарност на практика. Подобни </w:t>
      </w:r>
      <w:r>
        <w:rPr>
          <w:rFonts w:ascii="Times New Roman" w:hAnsi="Times New Roman"/>
          <w:i/>
          <w:iCs/>
          <w:noProof/>
          <w:sz w:val="24"/>
          <w:szCs w:val="24"/>
        </w:rPr>
        <w:t>ad hoc</w:t>
      </w:r>
      <w:r>
        <w:rPr>
          <w:rFonts w:ascii="Times New Roman" w:hAnsi="Times New Roman"/>
          <w:noProof/>
          <w:sz w:val="24"/>
          <w:szCs w:val="24"/>
        </w:rPr>
        <w:t xml:space="preserve"> мерки обаче не са нито достатъчни, нито устойчиви. С тях се подчертава нуждата от един по-предвидим механизъм за солидарност, какъвто е предвиден в предложението за Регламент относно управлението на убежището и миграцията.</w:t>
      </w:r>
    </w:p>
    <w:p>
      <w:pPr>
        <w:spacing w:after="160" w:line="240" w:lineRule="auto"/>
        <w:jc w:val="both"/>
        <w:rPr>
          <w:rFonts w:ascii="Times New Roman" w:eastAsia="Calibri" w:hAnsi="Times New Roman" w:cs="Times New Roman"/>
          <w:b/>
          <w:noProof/>
          <w:sz w:val="24"/>
          <w:szCs w:val="24"/>
        </w:rPr>
      </w:pPr>
      <w:r>
        <w:rPr>
          <w:rFonts w:ascii="Times New Roman" w:hAnsi="Times New Roman"/>
          <w:b/>
          <w:i/>
          <w:noProof/>
          <w:sz w:val="24"/>
          <w:szCs w:val="24"/>
        </w:rPr>
        <w:t>Неразрешени движения в рамките на ЕС</w:t>
      </w:r>
    </w:p>
    <w:p>
      <w:pPr>
        <w:spacing w:after="120" w:line="240" w:lineRule="auto"/>
        <w:jc w:val="both"/>
        <w:rPr>
          <w:rFonts w:ascii="Times New Roman" w:eastAsia="Calibri" w:hAnsi="Times New Roman" w:cs="Times New Roman"/>
          <w:i/>
          <w:noProof/>
          <w:sz w:val="24"/>
          <w:szCs w:val="24"/>
        </w:rPr>
      </w:pPr>
      <w:r>
        <w:rPr>
          <w:rFonts w:ascii="Times New Roman" w:hAnsi="Times New Roman"/>
          <w:b/>
          <w:noProof/>
          <w:sz w:val="24"/>
          <w:szCs w:val="24"/>
        </w:rPr>
        <w:t>Неразрешените движения на лицата, търсещи убежище,</w:t>
      </w:r>
      <w:r>
        <w:rPr>
          <w:rFonts w:ascii="Times New Roman" w:hAnsi="Times New Roman"/>
          <w:noProof/>
          <w:sz w:val="24"/>
          <w:szCs w:val="24"/>
        </w:rPr>
        <w:t xml:space="preserve"> в рамките на ЕС водят до подкопаване на надеждността и интегритета на системата за предоставяне на убежище. Положението се усложни и от пандемията, включително от трудностите, срещани при извършването на трансфери по дъблинската процедура (вж. по-горе). През първите осем месеца на 2021 г. 131 000 молби за предоставяне на убежище, регистрирани от националните органи, са генерирали съвпадение от типа „Съвпадение категория 1 ― категория 1“ в Евродак, което означава, че лицето вече има регистрирана поне една молба за предоставяне на убежище в друга държава членка</w:t>
      </w:r>
      <w:r>
        <w:rPr>
          <w:rFonts w:ascii="Times New Roman" w:eastAsia="Calibri" w:hAnsi="Times New Roman" w:cs="Times New Roman"/>
          <w:noProof/>
          <w:sz w:val="24"/>
          <w:szCs w:val="24"/>
          <w:vertAlign w:val="superscript"/>
        </w:rPr>
        <w:footnoteReference w:id="23"/>
      </w:r>
      <w:r>
        <w:rPr>
          <w:rFonts w:ascii="Times New Roman" w:hAnsi="Times New Roman"/>
          <w:noProof/>
          <w:sz w:val="24"/>
          <w:szCs w:val="24"/>
        </w:rPr>
        <w:t>. През същия период над 23 000 молби за предоставяне на убежище (данни от категория 1 в Евродак) са генерирали съвпадение с данни, регистрирани след незаконно преминаване на външната граница (данни от категория 2 в Евродак). Въпреки това някои от тези регистрации на молби в две или повече държави членки или в държава членка, различна от тази, регистрираща незаконното преминаване на границата, могат да бъдат направени след трансфер по дъблинската процедура и следователно не могат да се считат за „неразрешени движения“. И накрая, през същия период 71 620 търсения в Евродак във връзка с пръстови отпечатъци на незаконно пребиваващи лица (данни от категория 3 в Евродак) са генерирали съвпадения с данни от категория 1, което означава, че след регистриране на молба за предоставяне на убежище в една държава членка лицето е отишло в друга държава членка, където е задържано като незаконно пребиваващо лице.</w:t>
      </w:r>
      <w:r>
        <w:rPr>
          <w:rFonts w:ascii="Times New Roman" w:hAnsi="Times New Roman"/>
          <w:i/>
          <w:noProof/>
          <w:sz w:val="24"/>
          <w:szCs w:val="24"/>
        </w:rPr>
        <w:t xml:space="preserve"> </w:t>
      </w:r>
      <w:r>
        <w:rPr>
          <w:rFonts w:ascii="Times New Roman" w:hAnsi="Times New Roman"/>
          <w:noProof/>
          <w:sz w:val="24"/>
          <w:szCs w:val="24"/>
        </w:rPr>
        <w:t>Събирането на надеждни данни за равнището на неразрешените движения в рамките на ЕС е трудно, но данните от Евродак са някакъв показател за броя на заминаващите и за дестинациите.</w:t>
      </w:r>
    </w:p>
    <w:p>
      <w:pPr>
        <w:spacing w:after="120" w:line="240" w:lineRule="auto"/>
        <w:jc w:val="both"/>
        <w:rPr>
          <w:rFonts w:ascii="Times New Roman" w:eastAsia="Calibri" w:hAnsi="Times New Roman" w:cs="Times New Roman"/>
          <w:noProof/>
          <w:sz w:val="24"/>
          <w:szCs w:val="20"/>
        </w:rPr>
      </w:pPr>
      <w:r>
        <w:rPr>
          <w:rFonts w:ascii="Times New Roman" w:hAnsi="Times New Roman"/>
          <w:noProof/>
          <w:sz w:val="24"/>
          <w:szCs w:val="20"/>
        </w:rPr>
        <w:t xml:space="preserve">Някои държави членки се сблъскват и с увеличен брой </w:t>
      </w:r>
      <w:r>
        <w:rPr>
          <w:rFonts w:ascii="Times New Roman" w:hAnsi="Times New Roman"/>
          <w:b/>
          <w:noProof/>
          <w:sz w:val="24"/>
          <w:szCs w:val="20"/>
        </w:rPr>
        <w:t>неразрешени движения на лица, на които е предоставена международна закрила</w:t>
      </w:r>
      <w:r>
        <w:rPr>
          <w:rFonts w:ascii="Times New Roman" w:hAnsi="Times New Roman"/>
          <w:noProof/>
          <w:sz w:val="24"/>
          <w:szCs w:val="20"/>
        </w:rPr>
        <w:t xml:space="preserve">, при които тези лица се преместват законно в друга държава членка със законни документи за пътуване, издадени от държавата членка, която им е предоставила статус, и след това кандидатстват за международна закрила за втори път, като остават по-дълго от разрешения период от 90 дни. И двата вида неразрешено движение пречат на доброто функциониране на общата европейска система за убежище, която се основава на взаимно доверие между държавите членки, и подлагат националните системи за предоставяне на убежище на ненужен натиск. </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Комисията работи със засегнатите държави членки за намиране на краткосрочни решения. Сред тези решения са улесняването на трансферите по правилата на дъблинската процедура по време на пандемията и засилването на подкрепата за интегрирането на лицата, на които е предоставена международна закрила. </w:t>
      </w:r>
    </w:p>
    <w:p>
      <w:pPr>
        <w:spacing w:after="120" w:line="240" w:lineRule="auto"/>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 xml:space="preserve">Справянето с неразрешеното движение беше важна цел на предложенията на Пакта за укрепване на доверието между държавите членки. С предложения Регламент относно условията, на които трябва да отговарят търсещите убежище, се цели намаляване на съществуващите стимули за неразрешено движение, като съществените разлики в процентите на признаване на молбите за предоставяне на убежище сред държавите членки, както и разликите в правата и перспективите за интеграция на лицата, на които е предоставена международна закрила. С предложените изменения на Директивата относно условията на приемане ще се въведе правилото условията на приемане да се предоставят единствено в компетентната държава членка. С Регламента относно управлението на убежището и миграцията ще бъдат намалени стимулите за неразрешено движение, като се разрешат трансферите по дъблинската процедура за лицата, признати за бежанци, и като се разшири определението за членове на семейството така, че в него да бъдат включени братята и сестрите, както и семействата, образувани по време на транзитно преминаване, както и като бъдат премахнати процедурните стимули за неразрешени движения и укриване. В предложения преработен текст на Регламента за Евродак са включени редица подобрения, които </w:t>
      </w:r>
      <w:r>
        <w:rPr>
          <w:rFonts w:ascii="Times New Roman" w:hAnsi="Times New Roman"/>
          <w:noProof/>
          <w:color w:val="000000"/>
          <w:spacing w:val="-4"/>
          <w:sz w:val="24"/>
          <w:szCs w:val="24"/>
        </w:rPr>
        <w:t xml:space="preserve">не само са от съществено значение за рамката за оперативна съвместимост, </w:t>
      </w:r>
      <w:r>
        <w:rPr>
          <w:rFonts w:ascii="Times New Roman" w:hAnsi="Times New Roman"/>
          <w:noProof/>
          <w:spacing w:val="-4"/>
          <w:sz w:val="24"/>
          <w:szCs w:val="24"/>
        </w:rPr>
        <w:t xml:space="preserve">но и ще допринесат за по-добро предотвратяване и проследяване на неразрешените движения. </w:t>
      </w:r>
    </w:p>
    <w:p>
      <w:pPr>
        <w:spacing w:after="120" w:line="240" w:lineRule="auto"/>
        <w:jc w:val="both"/>
        <w:rPr>
          <w:rFonts w:ascii="Times New Roman" w:eastAsia="Calibri" w:hAnsi="Times New Roman" w:cs="Times New Roman"/>
          <w:b/>
          <w:i/>
          <w:noProof/>
          <w:color w:val="000000"/>
          <w:sz w:val="24"/>
          <w:szCs w:val="24"/>
        </w:rPr>
      </w:pPr>
      <w:r>
        <w:rPr>
          <w:rFonts w:ascii="Times New Roman" w:hAnsi="Times New Roman"/>
          <w:b/>
          <w:i/>
          <w:noProof/>
          <w:color w:val="000000"/>
          <w:sz w:val="24"/>
          <w:szCs w:val="24"/>
        </w:rPr>
        <w:t>Финансиране</w:t>
      </w:r>
    </w:p>
    <w:p>
      <w:pPr>
        <w:spacing w:before="240" w:after="160" w:line="240" w:lineRule="auto"/>
        <w:jc w:val="both"/>
        <w:rPr>
          <w:rFonts w:ascii="Times New Roman" w:eastAsia="Calibri" w:hAnsi="Times New Roman" w:cs="Times New Roman"/>
          <w:noProof/>
          <w:color w:val="000000"/>
          <w:sz w:val="24"/>
          <w:szCs w:val="24"/>
        </w:rPr>
      </w:pPr>
      <w:r>
        <w:rPr>
          <w:rFonts w:ascii="Times New Roman" w:hAnsi="Times New Roman"/>
          <w:b/>
          <w:noProof/>
          <w:color w:val="000000"/>
          <w:sz w:val="24"/>
          <w:szCs w:val="24"/>
        </w:rPr>
        <w:t>Финансовата подкрепа от ЕС за държавите членки</w:t>
      </w:r>
      <w:r>
        <w:rPr>
          <w:rFonts w:ascii="Times New Roman" w:hAnsi="Times New Roman"/>
          <w:noProof/>
          <w:color w:val="000000"/>
          <w:sz w:val="24"/>
          <w:szCs w:val="24"/>
        </w:rPr>
        <w:t xml:space="preserve"> за миграцията и убежището бе увеличена през периода на финансиране 2021—2027 г., за да се подпомогне постигането на целите, заложени в Новия пакт. </w:t>
      </w:r>
      <w:r>
        <w:rPr>
          <w:rFonts w:ascii="Times New Roman" w:hAnsi="Times New Roman"/>
          <w:noProof/>
          <w:sz w:val="24"/>
          <w:szCs w:val="24"/>
        </w:rPr>
        <w:t>На 15 юли 2021 г. влязоха в сила съответните основни актове</w:t>
      </w:r>
      <w:r>
        <w:rPr>
          <w:rFonts w:ascii="Times New Roman" w:eastAsia="Calibri" w:hAnsi="Times New Roman" w:cs="Times New Roman"/>
          <w:noProof/>
          <w:color w:val="000000"/>
          <w:sz w:val="24"/>
          <w:szCs w:val="24"/>
          <w:vertAlign w:val="superscript"/>
          <w:lang w:val="en-US"/>
        </w:rPr>
        <w:footnoteReference w:id="24"/>
      </w:r>
      <w:r>
        <w:rPr>
          <w:rFonts w:ascii="Times New Roman" w:hAnsi="Times New Roman"/>
          <w:noProof/>
          <w:sz w:val="24"/>
          <w:szCs w:val="24"/>
        </w:rPr>
        <w:t xml:space="preserve"> за фонд „Убежище, миграция и интеграция“ (ФУМИ), за инструмента за управлението на границите и за визите (ИУГВ) и за фонд „Вътрешна сигурност“ (ФВС).</w:t>
      </w:r>
      <w:r>
        <w:rPr>
          <w:rFonts w:ascii="Times New Roman" w:hAnsi="Times New Roman"/>
          <w:noProof/>
          <w:color w:val="000000"/>
          <w:sz w:val="24"/>
          <w:szCs w:val="24"/>
        </w:rPr>
        <w:t xml:space="preserve"> Следващата стъпка е държавите членки официално да представят, в срок от пет месеца, своите програми за периода 2021—2027 г. за одобрение от страна на Комисията. Комисията ще продължи да подкрепя държавите членки през тази фаза на програмирането, за да се гарантира, че средствата се разпределят по структуриран и стратегически начин в съответствие с установените нужди и приоритетите на ЕС. Новите фондове възлизат на 18 милиарда евро (в сравнение със сумата от 12,4 милиарда евро за предишния период), като подсилват финансовия капацитет за посрещане на нуждите на място. В отговор на проблема, свързан с липсата на достатъчно гъвкавост, е въведен тематичен механизъм, покриващ между 30 % и 42,5 % от средствата, за да се подпомогнат непредвидените нужди от финансови средства и новите приоритети. За пръв път трите фонда ще бъдат част от Регламента за общоприложимите разпоредби, обхващащ други фондове под съвместно управление, което дава възможност за по-голяма съгласуваност на разходването на средства от ЕС и по-голяма насоченост към хоризонталните цели и основните права.</w:t>
      </w:r>
    </w:p>
    <w:p>
      <w:pPr>
        <w:tabs>
          <w:tab w:val="left" w:pos="720"/>
        </w:tabs>
        <w:spacing w:after="120" w:line="240" w:lineRule="auto"/>
        <w:jc w:val="both"/>
        <w:rPr>
          <w:rFonts w:ascii="Times New Roman" w:eastAsia="Times New Roman" w:hAnsi="Times New Roman" w:cs="Times New Roman"/>
          <w:noProof/>
          <w:color w:val="000000"/>
          <w:sz w:val="24"/>
          <w:szCs w:val="24"/>
        </w:rPr>
      </w:pPr>
    </w:p>
    <w:p>
      <w:pPr>
        <w:spacing w:after="120" w:line="240" w:lineRule="auto"/>
        <w:jc w:val="both"/>
        <w:rPr>
          <w:rFonts w:ascii="Times New Roman" w:eastAsia="Calibri" w:hAnsi="Times New Roman" w:cs="Times New Roman"/>
          <w:i/>
          <w:noProof/>
          <w:color w:val="000000"/>
          <w:sz w:val="24"/>
          <w:szCs w:val="24"/>
        </w:rPr>
      </w:pPr>
      <w:r>
        <w:rPr>
          <w:noProof/>
          <w:lang w:val="en-GB" w:eastAsia="en-GB"/>
        </w:rPr>
        <w:drawing>
          <wp:inline distT="0" distB="0" distL="0" distR="0">
            <wp:extent cx="5868035" cy="3433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68035" cy="3433445"/>
                    </a:xfrm>
                    <a:prstGeom prst="rect">
                      <a:avLst/>
                    </a:prstGeom>
                  </pic:spPr>
                </pic:pic>
              </a:graphicData>
            </a:graphic>
          </wp:inline>
        </w:drawing>
      </w:r>
    </w:p>
    <w:p>
      <w:pPr>
        <w:spacing w:before="120" w:after="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 xml:space="preserve">Делът на средствата, разпределени за програмите на държавите членки, възлиза на до 70 %, в зависимост от фонда. Приблизително 10 % от общото финансиране ще бъде отпуснато на държавите членки в средата на периода въз основа на актуализирани критерии, включително процентите на усвояване. Това ще позволи на държавите членки да инвестират в стратегически, добре структурирани системи за управление на миграцията и ще гарантира, че спешното подпомагане може да се съсредоточи върху точното си предназначение, а именно непредвидените кризи. </w:t>
      </w:r>
    </w:p>
    <w:p>
      <w:pPr>
        <w:numPr>
          <w:ilvl w:val="0"/>
          <w:numId w:val="7"/>
        </w:numPr>
        <w:spacing w:before="360" w:after="160" w:line="240" w:lineRule="auto"/>
        <w:ind w:left="714" w:hanging="357"/>
        <w:rPr>
          <w:rFonts w:ascii="Times New Roman" w:eastAsia="Calibri" w:hAnsi="Times New Roman" w:cs="Times New Roman"/>
          <w:noProof/>
        </w:rPr>
      </w:pPr>
      <w:r>
        <w:rPr>
          <w:rFonts w:ascii="Times New Roman" w:hAnsi="Times New Roman"/>
          <w:b/>
          <w:noProof/>
          <w:sz w:val="24"/>
          <w:szCs w:val="24"/>
        </w:rPr>
        <w:t>УКРЕПВАНЕ НА ЗАКОНОДАТЕЛНАТА УРЕДБА</w:t>
      </w:r>
    </w:p>
    <w:p>
      <w:pPr>
        <w:spacing w:after="160" w:line="240" w:lineRule="auto"/>
        <w:jc w:val="both"/>
        <w:rPr>
          <w:rFonts w:ascii="Times New Roman" w:eastAsia="Calibri" w:hAnsi="Times New Roman" w:cs="Times New Roman"/>
          <w:noProof/>
          <w:sz w:val="24"/>
          <w:szCs w:val="24"/>
        </w:rPr>
      </w:pPr>
      <w:r>
        <w:rPr>
          <w:rFonts w:ascii="Times New Roman" w:hAnsi="Times New Roman"/>
          <w:noProof/>
          <w:color w:val="000000"/>
          <w:sz w:val="24"/>
          <w:szCs w:val="24"/>
        </w:rPr>
        <w:t xml:space="preserve">Продължаващите предизвикателства, свързани с миграцията, в различни части на външните граници на ЕС, както и в рамките на Шенгенското пространство, продължиха да изтъкват съществуващите недостатъци. Опитът с Беларус е ярко доказателство, че незаконната </w:t>
      </w:r>
      <w:r>
        <w:rPr>
          <w:rFonts w:ascii="Times New Roman" w:hAnsi="Times New Roman"/>
          <w:noProof/>
          <w:sz w:val="24"/>
          <w:szCs w:val="24"/>
        </w:rPr>
        <w:t xml:space="preserve">миграция </w:t>
      </w:r>
      <w:r>
        <w:rPr>
          <w:rFonts w:ascii="Times New Roman" w:hAnsi="Times New Roman"/>
          <w:noProof/>
          <w:color w:val="000000"/>
          <w:sz w:val="24"/>
          <w:szCs w:val="24"/>
        </w:rPr>
        <w:t xml:space="preserve">може да засегне всички </w:t>
      </w:r>
      <w:r>
        <w:rPr>
          <w:rFonts w:ascii="Times New Roman" w:hAnsi="Times New Roman"/>
          <w:noProof/>
          <w:sz w:val="24"/>
          <w:szCs w:val="24"/>
        </w:rPr>
        <w:t xml:space="preserve">държави членки. </w:t>
      </w:r>
      <w:r>
        <w:rPr>
          <w:rFonts w:ascii="Times New Roman" w:hAnsi="Times New Roman"/>
          <w:noProof/>
          <w:color w:val="000000"/>
          <w:sz w:val="24"/>
          <w:szCs w:val="24"/>
        </w:rPr>
        <w:t xml:space="preserve">Докато не бъде извършена цялостна реформа на системата на ЕС за убежището и миграцията, както беше посочено в </w:t>
      </w:r>
      <w:r>
        <w:rPr>
          <w:rFonts w:ascii="Times New Roman" w:hAnsi="Times New Roman"/>
          <w:noProof/>
          <w:sz w:val="24"/>
          <w:szCs w:val="24"/>
        </w:rPr>
        <w:t xml:space="preserve">Новия пакт през септември 2020 г., ЕС ще продължи да бъде по-уязвим и по-слабо подготвен да отговаря на променящите се обстоятелства. </w:t>
      </w:r>
    </w:p>
    <w:p>
      <w:pPr>
        <w:spacing w:after="160" w:line="240" w:lineRule="auto"/>
        <w:jc w:val="both"/>
        <w:rPr>
          <w:rFonts w:ascii="Times New Roman" w:eastAsia="Times New Roman" w:hAnsi="Times New Roman" w:cs="Times New Roman"/>
          <w:noProof/>
          <w:color w:val="000000"/>
          <w:sz w:val="24"/>
          <w:szCs w:val="24"/>
        </w:rPr>
      </w:pPr>
      <w:r>
        <w:rPr>
          <w:rFonts w:ascii="Times New Roman" w:hAnsi="Times New Roman"/>
          <w:noProof/>
          <w:sz w:val="24"/>
          <w:szCs w:val="24"/>
        </w:rPr>
        <w:t xml:space="preserve">Законодателните предложения, посочени в Пакта, представляват основен подход, обхващащ всички аспекти на политиката в областта на миграцията и убежището, с който се поощрява постигането на баланс между интересите и нуждите на всички държави членки. В Пакта са предвидени </w:t>
      </w:r>
      <w:r>
        <w:rPr>
          <w:rFonts w:ascii="Times New Roman" w:hAnsi="Times New Roman"/>
          <w:noProof/>
          <w:color w:val="000000"/>
          <w:sz w:val="24"/>
          <w:szCs w:val="24"/>
        </w:rPr>
        <w:t xml:space="preserve"> гаранции, че всяка държава членка ще обработва молбите за предоставяне на убежище, за които е компетентна, и че с помощта на структуриран, предвидим механизъм за солидарност ще се гарантира, че никоя държава членка не носи непропорционална тежест. </w:t>
      </w:r>
      <w:r>
        <w:rPr>
          <w:rFonts w:ascii="Times New Roman" w:hAnsi="Times New Roman"/>
          <w:noProof/>
          <w:sz w:val="24"/>
          <w:szCs w:val="24"/>
        </w:rPr>
        <w:t xml:space="preserve">Постигането на една наистина обща политика в областта на миграцията и убежището изисква политическа воля и визия, както и участие и ангажимент от страна на всички. </w:t>
      </w:r>
      <w:r>
        <w:rPr>
          <w:rFonts w:ascii="Times New Roman" w:hAnsi="Times New Roman"/>
          <w:noProof/>
          <w:color w:val="000000"/>
          <w:sz w:val="24"/>
          <w:szCs w:val="24"/>
        </w:rPr>
        <w:t>Една година след представянето на Новия пакт е постигнат добър напредък на техническо равнище, но все още e далеч постигането на политическо споразумение по някои ключови елементи.</w:t>
      </w:r>
    </w:p>
    <w:p>
      <w:pPr>
        <w:spacing w:after="16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 xml:space="preserve">Важна крачка напред за законната миграция бе направена с постигането през май 2021 г. на политическо споразумение относно новата Директива за </w:t>
      </w:r>
      <w:r>
        <w:rPr>
          <w:rFonts w:ascii="Times New Roman" w:hAnsi="Times New Roman"/>
          <w:b/>
          <w:noProof/>
          <w:color w:val="000000"/>
          <w:sz w:val="24"/>
          <w:szCs w:val="24"/>
        </w:rPr>
        <w:t>синята карта</w:t>
      </w:r>
      <w:r>
        <w:rPr>
          <w:rFonts w:ascii="Times New Roman" w:hAnsi="Times New Roman"/>
          <w:noProof/>
          <w:color w:val="000000"/>
          <w:sz w:val="24"/>
          <w:szCs w:val="24"/>
        </w:rPr>
        <w:t xml:space="preserve">. </w:t>
      </w:r>
      <w:r>
        <w:rPr>
          <w:rFonts w:ascii="Times New Roman" w:hAnsi="Times New Roman"/>
          <w:noProof/>
          <w:sz w:val="24"/>
          <w:szCs w:val="24"/>
        </w:rPr>
        <w:t xml:space="preserve">С новата схема ще бъдат въведени ефикасни правила за привличане на висококвалифицирани работници в ЕС, включително по-гъвкави условия за приемане, увеличени права и възможност за по-лесно движение и работа между държавите членки. </w:t>
      </w:r>
    </w:p>
    <w:p>
      <w:pPr>
        <w:spacing w:after="16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 xml:space="preserve">Напредъкът, постигнат във връзка със синята карта и </w:t>
      </w:r>
      <w:r>
        <w:rPr>
          <w:rFonts w:ascii="Times New Roman" w:hAnsi="Times New Roman"/>
          <w:b/>
          <w:noProof/>
          <w:color w:val="000000"/>
          <w:sz w:val="24"/>
          <w:szCs w:val="24"/>
        </w:rPr>
        <w:t>Агенцията на ЕС в областта на убежището</w:t>
      </w:r>
      <w:r>
        <w:rPr>
          <w:rFonts w:ascii="Times New Roman" w:hAnsi="Times New Roman"/>
          <w:noProof/>
          <w:color w:val="000000"/>
          <w:sz w:val="24"/>
          <w:szCs w:val="24"/>
        </w:rPr>
        <w:t xml:space="preserve"> (описана по-горе), </w:t>
      </w:r>
      <w:r>
        <w:rPr>
          <w:rFonts w:ascii="Times New Roman" w:hAnsi="Times New Roman"/>
          <w:noProof/>
          <w:sz w:val="24"/>
          <w:szCs w:val="24"/>
        </w:rPr>
        <w:t xml:space="preserve">показва, че е възможно да се върви напред и да се намират компромисни решения за реформите в областта на миграцията и убежището. </w:t>
      </w:r>
      <w:r>
        <w:rPr>
          <w:rFonts w:ascii="Times New Roman" w:hAnsi="Times New Roman"/>
          <w:noProof/>
          <w:color w:val="000000"/>
          <w:sz w:val="24"/>
          <w:szCs w:val="24"/>
        </w:rPr>
        <w:t>Работата с Европейския парламент и Съвета под ръководството на председателствата на Съвета сега трябва да се съсредоточи върху</w:t>
      </w:r>
      <w:r>
        <w:rPr>
          <w:rFonts w:ascii="Times New Roman" w:hAnsi="Times New Roman"/>
          <w:noProof/>
          <w:sz w:val="24"/>
          <w:szCs w:val="24"/>
        </w:rPr>
        <w:t xml:space="preserve"> постигането на категоричен напредък, стъпка по стъпка, в преговорите по другите законодателни предложения в процес на разглеждане.</w:t>
      </w:r>
    </w:p>
    <w:p>
      <w:pPr>
        <w:spacing w:after="96"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През юни беше прието и сега се изпълнява друго важно действие в пътната карта за изпълнение на Пакта — </w:t>
      </w:r>
      <w:r>
        <w:rPr>
          <w:rFonts w:ascii="Times New Roman" w:hAnsi="Times New Roman"/>
          <w:b/>
          <w:noProof/>
          <w:sz w:val="24"/>
          <w:szCs w:val="24"/>
        </w:rPr>
        <w:t>Стратегията за Шенгенското пространство</w:t>
      </w:r>
      <w:r>
        <w:rPr>
          <w:rFonts w:ascii="Times New Roman" w:eastAsia="Calibri" w:hAnsi="Times New Roman" w:cs="Times New Roman"/>
          <w:noProof/>
          <w:sz w:val="24"/>
          <w:szCs w:val="24"/>
          <w:vertAlign w:val="superscript"/>
        </w:rPr>
        <w:footnoteReference w:id="25"/>
      </w:r>
      <w:r>
        <w:rPr>
          <w:rFonts w:ascii="Times New Roman" w:hAnsi="Times New Roman"/>
          <w:noProof/>
          <w:sz w:val="24"/>
          <w:szCs w:val="24"/>
        </w:rPr>
        <w:t xml:space="preserve"> за укрепване на Шенгенското пространство за свободно движение. Едно от последващите действия ще бъде предстоящото предложение относно Кодекса на шенгенските граници. В ход са и други основни направления на работата, като се провеждат срещи както на новата Европейска група за контакт по въпросите на търсенето и спасяването, така и на Шенгенския форум. Подкрепата за заинтересованите страни е от ключово значение, за да се гарантира, че новите политики ще бъдат изпълнявани ефективно и ще достигат до местата, където са най-необходими.</w:t>
      </w:r>
    </w:p>
    <w:p>
      <w:pPr>
        <w:spacing w:after="160" w:line="240" w:lineRule="auto"/>
        <w:jc w:val="both"/>
        <w:rPr>
          <w:rFonts w:ascii="Times New Roman" w:eastAsia="Calibri" w:hAnsi="Times New Roman" w:cs="Times New Roman"/>
          <w:noProof/>
        </w:rPr>
      </w:pPr>
      <w:r>
        <w:rPr>
          <w:rFonts w:ascii="Times New Roman" w:hAnsi="Times New Roman"/>
          <w:noProof/>
          <w:sz w:val="24"/>
          <w:szCs w:val="24"/>
        </w:rPr>
        <w:t xml:space="preserve">Някои предложения по линия на Пакта се намират в доста напреднала фаза и с тяхна помощ ще бъдат постигнати непосредствени ползи от гледна точка на сигурността на външните ни граници и съгласуваността на действията на ЕС в отговор на променящите се предизвикателства. </w:t>
      </w:r>
      <w:r>
        <w:rPr>
          <w:rFonts w:ascii="Times New Roman" w:hAnsi="Times New Roman"/>
          <w:noProof/>
          <w:color w:val="000000"/>
          <w:sz w:val="24"/>
          <w:szCs w:val="24"/>
        </w:rPr>
        <w:t xml:space="preserve">Предложението относно </w:t>
      </w:r>
      <w:r>
        <w:rPr>
          <w:rFonts w:ascii="Times New Roman" w:hAnsi="Times New Roman"/>
          <w:b/>
          <w:noProof/>
          <w:color w:val="000000"/>
          <w:sz w:val="24"/>
          <w:szCs w:val="24"/>
        </w:rPr>
        <w:t>Евродак</w:t>
      </w:r>
      <w:r>
        <w:rPr>
          <w:rFonts w:ascii="Times New Roman" w:hAnsi="Times New Roman"/>
          <w:noProof/>
          <w:color w:val="000000"/>
          <w:sz w:val="24"/>
          <w:szCs w:val="24"/>
        </w:rPr>
        <w:t xml:space="preserve"> ще бъде от съществено значение за рамката за оперативна съвместимост </w:t>
      </w:r>
      <w:r>
        <w:rPr>
          <w:rFonts w:ascii="Times New Roman" w:hAnsi="Times New Roman"/>
          <w:noProof/>
          <w:sz w:val="24"/>
          <w:szCs w:val="24"/>
        </w:rPr>
        <w:t xml:space="preserve">и е един от последните градивни елементи за завършването на нашата система за управление на границите, с </w:t>
      </w:r>
      <w:r>
        <w:rPr>
          <w:rFonts w:ascii="Times New Roman" w:hAnsi="Times New Roman"/>
          <w:noProof/>
          <w:color w:val="000000"/>
          <w:sz w:val="24"/>
          <w:szCs w:val="24"/>
        </w:rPr>
        <w:t xml:space="preserve">добавена стойност както за вътрешната сигурност, така и за по-доброто управление на миграцията. </w:t>
      </w:r>
      <w:r>
        <w:rPr>
          <w:rFonts w:ascii="Times New Roman" w:hAnsi="Times New Roman"/>
          <w:noProof/>
          <w:sz w:val="24"/>
          <w:szCs w:val="24"/>
        </w:rPr>
        <w:t>Новата Евродак ще подпомогне проследяването на неразрешените движения и незаконната миграция и ще подобри перспективите за връщанията. Европейската комисия очаква приемането на своя доклад от Европейския парламент и насърчава Съвета да постигне бързо съгласие за мандат за преговори.</w:t>
      </w:r>
    </w:p>
    <w:p>
      <w:pPr>
        <w:spacing w:after="16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Ситуацията в Афганистан напомня за належащата необходимост от осигуряване на безопасен път към Европа за</w:t>
      </w:r>
      <w:r>
        <w:rPr>
          <w:rFonts w:ascii="Times New Roman" w:hAnsi="Times New Roman"/>
          <w:noProof/>
          <w:color w:val="000000"/>
          <w:sz w:val="24"/>
          <w:szCs w:val="24"/>
        </w:rPr>
        <w:t xml:space="preserve"> уязвимите хора, които се нуждаят от международна закрила,</w:t>
      </w:r>
      <w:r>
        <w:rPr>
          <w:rFonts w:ascii="Times New Roman" w:hAnsi="Times New Roman"/>
          <w:noProof/>
          <w:sz w:val="24"/>
          <w:szCs w:val="24"/>
        </w:rPr>
        <w:t xml:space="preserve"> чрез общ подход на ЕС. </w:t>
      </w:r>
      <w:r>
        <w:rPr>
          <w:rFonts w:ascii="Times New Roman" w:hAnsi="Times New Roman"/>
          <w:noProof/>
          <w:color w:val="000000"/>
          <w:sz w:val="24"/>
          <w:szCs w:val="24"/>
        </w:rPr>
        <w:t xml:space="preserve">По предварителното споразумение относно </w:t>
      </w:r>
      <w:r>
        <w:rPr>
          <w:rFonts w:ascii="Times New Roman" w:hAnsi="Times New Roman"/>
          <w:b/>
          <w:noProof/>
          <w:color w:val="000000"/>
          <w:sz w:val="24"/>
          <w:szCs w:val="24"/>
        </w:rPr>
        <w:t>Регламента</w:t>
      </w:r>
      <w:r>
        <w:rPr>
          <w:rFonts w:ascii="Times New Roman" w:hAnsi="Times New Roman"/>
          <w:noProof/>
          <w:color w:val="000000"/>
          <w:sz w:val="24"/>
          <w:szCs w:val="24"/>
        </w:rPr>
        <w:t xml:space="preserve"> </w:t>
      </w:r>
      <w:r>
        <w:rPr>
          <w:rFonts w:ascii="Times New Roman" w:hAnsi="Times New Roman"/>
          <w:b/>
          <w:noProof/>
          <w:color w:val="000000"/>
          <w:sz w:val="24"/>
          <w:szCs w:val="24"/>
        </w:rPr>
        <w:t>за рамка на Съюза за презаселване</w:t>
      </w:r>
      <w:r>
        <w:rPr>
          <w:rFonts w:ascii="Times New Roman" w:hAnsi="Times New Roman"/>
          <w:noProof/>
          <w:color w:val="000000"/>
          <w:sz w:val="24"/>
          <w:szCs w:val="24"/>
        </w:rPr>
        <w:t xml:space="preserve">, постигнато от Европейския парламент и Съвета през 2018 г., трябва да бъде постигнат напредък, за да има ЕС стабилна и предвидима рамка за политиките в областта на презаселването и хуманитарното приемане в бъдеще. </w:t>
      </w:r>
    </w:p>
    <w:p>
      <w:pPr>
        <w:spacing w:after="160" w:line="240" w:lineRule="auto"/>
        <w:jc w:val="both"/>
        <w:rPr>
          <w:rFonts w:ascii="Times New Roman" w:eastAsia="Calibri" w:hAnsi="Times New Roman" w:cs="Times New Roman"/>
          <w:noProof/>
        </w:rPr>
      </w:pPr>
      <w:r>
        <w:rPr>
          <w:rFonts w:ascii="Times New Roman" w:hAnsi="Times New Roman"/>
          <w:noProof/>
          <w:sz w:val="24"/>
          <w:szCs w:val="24"/>
        </w:rPr>
        <w:t xml:space="preserve">Способността на ЕС да създаде достатъчно солидна рамка за миграцията и убежището обаче неизбежно ще зависи от постигането на осезаем напредък по целия набор от предложения, включително основните инструменти за управление на миграцията и убежището. Текущата работа в Съвета по </w:t>
      </w:r>
      <w:r>
        <w:rPr>
          <w:rFonts w:ascii="Times New Roman" w:hAnsi="Times New Roman"/>
          <w:b/>
          <w:noProof/>
          <w:sz w:val="24"/>
          <w:szCs w:val="24"/>
        </w:rPr>
        <w:t>Регламента относно управлението на убежището и миграцията</w:t>
      </w:r>
      <w:r>
        <w:rPr>
          <w:rFonts w:ascii="Times New Roman" w:hAnsi="Times New Roman"/>
          <w:noProof/>
          <w:sz w:val="24"/>
          <w:szCs w:val="24"/>
        </w:rPr>
        <w:t xml:space="preserve"> и </w:t>
      </w:r>
      <w:r>
        <w:rPr>
          <w:rFonts w:ascii="Times New Roman" w:hAnsi="Times New Roman"/>
          <w:b/>
          <w:noProof/>
          <w:sz w:val="24"/>
          <w:szCs w:val="24"/>
        </w:rPr>
        <w:t>Регламента относно процедурата за убежище</w:t>
      </w:r>
      <w:r>
        <w:rPr>
          <w:rFonts w:ascii="Times New Roman" w:hAnsi="Times New Roman"/>
          <w:noProof/>
          <w:sz w:val="24"/>
          <w:szCs w:val="24"/>
        </w:rPr>
        <w:t xml:space="preserve">, както и по </w:t>
      </w:r>
      <w:r>
        <w:rPr>
          <w:rFonts w:ascii="Times New Roman" w:hAnsi="Times New Roman"/>
          <w:b/>
          <w:noProof/>
          <w:sz w:val="24"/>
          <w:szCs w:val="24"/>
        </w:rPr>
        <w:t>Регламента за справяне със ситуации на криза и форсмажорни обстоятелства</w:t>
      </w:r>
      <w:r>
        <w:rPr>
          <w:rFonts w:ascii="Times New Roman" w:hAnsi="Times New Roman"/>
          <w:noProof/>
          <w:sz w:val="24"/>
          <w:szCs w:val="24"/>
        </w:rPr>
        <w:t xml:space="preserve">, който се основава на тези два инструмента, следва да бъде приключена възможно най-скоро. Що се отнася до Европейския парламент, Комисията очаква скоро да бъде представен докладът на докладчиците и до края на годината да бъде постигнато споразумение относно мандатите за преговори. Може също така да има възможности за постигане на напредък в обсъжданията на </w:t>
      </w:r>
      <w:r>
        <w:rPr>
          <w:rFonts w:ascii="Times New Roman" w:hAnsi="Times New Roman"/>
          <w:b/>
          <w:noProof/>
          <w:sz w:val="24"/>
          <w:szCs w:val="24"/>
        </w:rPr>
        <w:t xml:space="preserve">Регламента за </w:t>
      </w:r>
      <w:r>
        <w:rPr>
          <w:rFonts w:ascii="Times New Roman" w:hAnsi="Times New Roman"/>
          <w:b/>
          <w:bCs/>
          <w:noProof/>
          <w:sz w:val="24"/>
          <w:szCs w:val="24"/>
        </w:rPr>
        <w:t>скрининга</w:t>
      </w:r>
      <w:r>
        <w:rPr>
          <w:rFonts w:ascii="Times New Roman" w:hAnsi="Times New Roman"/>
          <w:noProof/>
          <w:sz w:val="24"/>
          <w:szCs w:val="24"/>
        </w:rPr>
        <w:t>, така че и двете институции да приемат своите мандати до края на годината, ако бъде постигнат добър напредък на техническо равнище.</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Успешният резултат от преговорите ще трябва да покаже, че цялостният подход включва както </w:t>
      </w:r>
      <w:r>
        <w:rPr>
          <w:rFonts w:ascii="Times New Roman" w:hAnsi="Times New Roman"/>
          <w:b/>
          <w:noProof/>
          <w:sz w:val="24"/>
          <w:szCs w:val="24"/>
        </w:rPr>
        <w:t>солидарност, така и отговорност</w:t>
      </w:r>
      <w:r>
        <w:rPr>
          <w:rFonts w:ascii="Times New Roman" w:hAnsi="Times New Roman"/>
          <w:noProof/>
          <w:sz w:val="24"/>
          <w:szCs w:val="24"/>
        </w:rPr>
        <w:t>, поради което постигането на напредък по тях с правилния баланс трябва да бъде обсъдено по-подробно на политическо равнище. Съществува цялостно общо разбиране относно необходимостта от преминаване към</w:t>
      </w:r>
      <w:r>
        <w:rPr>
          <w:rFonts w:ascii="Times New Roman" w:hAnsi="Times New Roman"/>
          <w:noProof/>
          <w:sz w:val="24"/>
        </w:rPr>
        <w:t xml:space="preserve"> </w:t>
      </w:r>
      <w:r>
        <w:rPr>
          <w:rFonts w:ascii="Times New Roman" w:hAnsi="Times New Roman"/>
          <w:noProof/>
          <w:sz w:val="24"/>
          <w:szCs w:val="24"/>
        </w:rPr>
        <w:t xml:space="preserve">предвидима задължителна и гъвкава рамка за солидарност, съобразена със специфичните нужди на подложените на натиск държави членки, която позволява преместване, спонсориране на връщането и изграждане на капацитет. Необходими са по-задълбочени дискусии относно различните форми на солидарност. Въпреки че е възможна известна гъвкавост от гледна точка на солидарността, която държавите членки могат да предоставят, от съществено значение е да има гаранция за въздействието на съответните действия, за да се гарантира, че нуждите на държавите членки се задоволяват. Комисията представи на Европейския парламент и на Съвета количествени симулации на различните варианти на политиката в различни хипотетични бъдещи сценарии, за да помогне да се предвиди въздействието на механизмите за солидарност и да улесни дискусиите, които трябва да продължат. </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По същия начин трябва да се определи равнището на отговорност на всяка държава членка по отношение на управлението на мигрантите на нейната граница или на нейната собствена територия, като се предвиди гъвкавост, когато е целесъобразно и подкрепено от агенциите на ЕС. Комисията е готова да работи както с Европейския парламент, така и със Съвета, за да се калибрира този баланс. </w:t>
      </w:r>
    </w:p>
    <w:p>
      <w:pPr>
        <w:spacing w:after="96"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Що се отнася до другите законодателни предложения в процес на разглеждане, представени през 2016 г., през юни 2018 г. беше постигнато предварително споразумение относно преработването на </w:t>
      </w:r>
      <w:r>
        <w:rPr>
          <w:rFonts w:ascii="Times New Roman" w:hAnsi="Times New Roman"/>
          <w:b/>
          <w:noProof/>
          <w:sz w:val="24"/>
          <w:szCs w:val="24"/>
        </w:rPr>
        <w:t>Директивата относно условията на приемане</w:t>
      </w:r>
      <w:r>
        <w:rPr>
          <w:rFonts w:ascii="Times New Roman" w:hAnsi="Times New Roman"/>
          <w:noProof/>
          <w:sz w:val="24"/>
          <w:szCs w:val="24"/>
        </w:rPr>
        <w:t xml:space="preserve"> и </w:t>
      </w:r>
      <w:r>
        <w:rPr>
          <w:rFonts w:ascii="Times New Roman" w:hAnsi="Times New Roman"/>
          <w:b/>
          <w:noProof/>
          <w:sz w:val="24"/>
          <w:szCs w:val="24"/>
        </w:rPr>
        <w:t>Регламента относно условията, на които трябва да отговарят търсещите убежище</w:t>
      </w:r>
      <w:r>
        <w:rPr>
          <w:rFonts w:ascii="Times New Roman" w:hAnsi="Times New Roman"/>
          <w:noProof/>
          <w:sz w:val="24"/>
          <w:szCs w:val="24"/>
        </w:rPr>
        <w:t>. Забавянето на влизането в сила на тези текстове лишава ЕС от значителни подобрения в настоящата уредба.</w:t>
      </w:r>
    </w:p>
    <w:p>
      <w:pPr>
        <w:spacing w:after="160" w:line="240" w:lineRule="auto"/>
        <w:jc w:val="both"/>
        <w:rPr>
          <w:rFonts w:ascii="Times New Roman" w:eastAsia="Calibri" w:hAnsi="Times New Roman" w:cs="Times New Roman"/>
          <w:noProof/>
        </w:rPr>
      </w:pPr>
      <w:r>
        <w:rPr>
          <w:rFonts w:ascii="Times New Roman" w:hAnsi="Times New Roman"/>
          <w:noProof/>
          <w:sz w:val="24"/>
          <w:szCs w:val="24"/>
        </w:rPr>
        <w:t xml:space="preserve">Постигането на напредък по тези елементи е тясно свързано със спешната нужда от постигане на напредък по предложението за преработване на </w:t>
      </w:r>
      <w:r>
        <w:rPr>
          <w:rFonts w:ascii="Times New Roman" w:hAnsi="Times New Roman"/>
          <w:b/>
          <w:noProof/>
          <w:sz w:val="24"/>
          <w:szCs w:val="24"/>
        </w:rPr>
        <w:t>Директивата относно връщането</w:t>
      </w:r>
      <w:r>
        <w:rPr>
          <w:rFonts w:ascii="Times New Roman" w:hAnsi="Times New Roman"/>
          <w:noProof/>
          <w:sz w:val="24"/>
          <w:szCs w:val="24"/>
        </w:rPr>
        <w:t>, което ще бъде от ключово значение за изграждането на обща система на ЕС за връщанията. Една по-силна система за връщанията ще засили доверието в системата за миграция и убежище като цяло.</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Комисията ще представи и допълнителни предложения, за да бъде завършена цялостната реформа, заложена в Новия пакт. Предстоящият </w:t>
      </w:r>
      <w:r>
        <w:rPr>
          <w:rFonts w:ascii="Times New Roman" w:hAnsi="Times New Roman"/>
          <w:b/>
          <w:noProof/>
          <w:sz w:val="24"/>
          <w:szCs w:val="24"/>
        </w:rPr>
        <w:t xml:space="preserve">пакет за уменията и талантите </w:t>
      </w:r>
      <w:r>
        <w:rPr>
          <w:rFonts w:ascii="Times New Roman" w:hAnsi="Times New Roman"/>
          <w:noProof/>
          <w:sz w:val="24"/>
          <w:szCs w:val="24"/>
        </w:rPr>
        <w:t xml:space="preserve">ще бъде съсредоточен върху преодоляването на основните недостатъци в действащото законодателство в областта на законната миграция, установени при проверката за пригодност, извършена през 2019 г. Този пакет ще включва две законодателни предложения: преразглеждане на </w:t>
      </w:r>
      <w:r>
        <w:rPr>
          <w:rFonts w:ascii="Times New Roman" w:hAnsi="Times New Roman"/>
          <w:b/>
          <w:noProof/>
          <w:sz w:val="24"/>
          <w:szCs w:val="24"/>
        </w:rPr>
        <w:t>Директивата относно дългосрочно пребиваващите лица</w:t>
      </w:r>
      <w:r>
        <w:rPr>
          <w:rFonts w:ascii="Times New Roman" w:hAnsi="Times New Roman"/>
          <w:noProof/>
          <w:sz w:val="24"/>
          <w:szCs w:val="24"/>
        </w:rPr>
        <w:t xml:space="preserve">, за да бъдат подобрени правата и мобилността в рамките на ЕС на мигрантите, които вече са добре интегрирани в нашите общества; и преглед на </w:t>
      </w:r>
      <w:r>
        <w:rPr>
          <w:rFonts w:ascii="Times New Roman" w:hAnsi="Times New Roman"/>
          <w:b/>
          <w:noProof/>
          <w:sz w:val="24"/>
          <w:szCs w:val="24"/>
        </w:rPr>
        <w:t>Директивата за единното разрешение</w:t>
      </w:r>
      <w:r>
        <w:rPr>
          <w:rFonts w:ascii="Times New Roman" w:hAnsi="Times New Roman"/>
          <w:noProof/>
          <w:sz w:val="24"/>
          <w:szCs w:val="24"/>
        </w:rPr>
        <w:t xml:space="preserve">, за да се рационализират и опростят процедурите за приемане в полза на работодателите, миграционните органи и мигрантите, както и да се подобри закрилата на работниците от трети държави. Комисията също така ще представи възможностите за създаване на резерв на ЕС от таланти ― общоевропейска платформа за наемане на персонал в международен план, с която ще се улесни постигането на съответствие между уменията на работниците мигранти и нуждите на работодателите от ЕС. </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Освен това Комисията ще представи предложение за </w:t>
      </w:r>
      <w:r>
        <w:rPr>
          <w:rFonts w:ascii="Times New Roman" w:hAnsi="Times New Roman"/>
          <w:b/>
          <w:noProof/>
          <w:sz w:val="24"/>
          <w:szCs w:val="24"/>
        </w:rPr>
        <w:t>цифровизиране на визовите процедури</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Това ще намали свързаните с визовите процедури разходи за държавите членки и ще улесни кандидатстването за виза от граждани на трети държави, като в същото време ще се увеличат както сигурността на ЕС, така и неговата атрактивност като туристическа дестинация. В допълнение към многобройните ползи от логистична и финансова гледна точка и от гледна точна на изпълнението има политическа полза от включването на визовия процес в онлайн платформа за цялото Шенгенско пространство, съпътствано от създаването на единна входна точка за кандидатите за виза по целия свят.</w:t>
      </w:r>
    </w:p>
    <w:tbl>
      <w:tblPr>
        <w:tblStyle w:val="TableGrid"/>
        <w:tblW w:w="0" w:type="auto"/>
        <w:tblLook w:val="04A0" w:firstRow="1" w:lastRow="0" w:firstColumn="1" w:lastColumn="0" w:noHBand="0" w:noVBand="1"/>
      </w:tblPr>
      <w:tblGrid>
        <w:gridCol w:w="9457"/>
      </w:tblGrid>
      <w:tr>
        <w:tc>
          <w:tcPr>
            <w:tcW w:w="9457" w:type="dxa"/>
          </w:tcPr>
          <w:p>
            <w:pPr>
              <w:spacing w:after="120"/>
              <w:ind w:left="284" w:hanging="284"/>
              <w:jc w:val="center"/>
              <w:rPr>
                <w:rFonts w:ascii="Times New Roman" w:eastAsia="Calibri" w:hAnsi="Times New Roman" w:cs="Times New Roman"/>
                <w:noProof/>
                <w:sz w:val="24"/>
                <w:szCs w:val="24"/>
              </w:rPr>
            </w:pPr>
            <w:r>
              <w:rPr>
                <w:rFonts w:ascii="Times New Roman" w:hAnsi="Times New Roman"/>
                <w:b/>
                <w:noProof/>
                <w:sz w:val="24"/>
                <w:szCs w:val="24"/>
              </w:rPr>
              <w:t>Ключови следващи стъпки</w:t>
            </w:r>
          </w:p>
          <w:p>
            <w:pPr>
              <w:numPr>
                <w:ilvl w:val="0"/>
                <w:numId w:val="4"/>
              </w:numPr>
              <w:spacing w:after="120"/>
              <w:ind w:left="284" w:hanging="284"/>
              <w:jc w:val="both"/>
              <w:rPr>
                <w:rFonts w:ascii="Times New Roman" w:eastAsia="Calibri" w:hAnsi="Times New Roman" w:cs="Times New Roman"/>
                <w:noProof/>
                <w:sz w:val="24"/>
                <w:szCs w:val="24"/>
              </w:rPr>
            </w:pPr>
            <w:r>
              <w:rPr>
                <w:rFonts w:ascii="Times New Roman" w:hAnsi="Times New Roman"/>
                <w:noProof/>
                <w:sz w:val="24"/>
                <w:szCs w:val="24"/>
              </w:rPr>
              <w:t xml:space="preserve">Европейският парламент и Съветът да доведат до официално приемане политическото споразумение във връзка с </w:t>
            </w:r>
            <w:r>
              <w:rPr>
                <w:rFonts w:ascii="Times New Roman" w:hAnsi="Times New Roman"/>
                <w:b/>
                <w:noProof/>
                <w:sz w:val="24"/>
                <w:szCs w:val="24"/>
              </w:rPr>
              <w:t>Регламента относно Агенцията на Европейския съюз в областта на убежището</w:t>
            </w:r>
            <w:r>
              <w:rPr>
                <w:rFonts w:ascii="Times New Roman" w:hAnsi="Times New Roman"/>
                <w:noProof/>
                <w:sz w:val="24"/>
                <w:szCs w:val="24"/>
              </w:rPr>
              <w:t>.</w:t>
            </w:r>
          </w:p>
          <w:p>
            <w:pPr>
              <w:numPr>
                <w:ilvl w:val="0"/>
                <w:numId w:val="4"/>
              </w:numPr>
              <w:spacing w:after="120"/>
              <w:ind w:left="284" w:hanging="284"/>
              <w:jc w:val="both"/>
              <w:rPr>
                <w:rFonts w:ascii="Times New Roman" w:eastAsia="Calibri" w:hAnsi="Times New Roman" w:cs="Times New Roman"/>
                <w:noProof/>
                <w:sz w:val="24"/>
                <w:szCs w:val="24"/>
              </w:rPr>
            </w:pPr>
            <w:r>
              <w:rPr>
                <w:rFonts w:ascii="Times New Roman" w:hAnsi="Times New Roman"/>
                <w:noProof/>
                <w:sz w:val="24"/>
                <w:szCs w:val="24"/>
              </w:rPr>
              <w:t xml:space="preserve">Европейският парламент и Съветът следва да приемат в най-кратък срок предложенията, които са близо до финализиране — </w:t>
            </w:r>
            <w:r>
              <w:rPr>
                <w:rFonts w:ascii="Times New Roman" w:hAnsi="Times New Roman"/>
                <w:b/>
                <w:noProof/>
                <w:sz w:val="24"/>
                <w:szCs w:val="24"/>
              </w:rPr>
              <w:t>Регламента за Евродак</w:t>
            </w:r>
            <w:r>
              <w:rPr>
                <w:rFonts w:ascii="Times New Roman" w:hAnsi="Times New Roman"/>
                <w:noProof/>
                <w:sz w:val="24"/>
                <w:szCs w:val="24"/>
              </w:rPr>
              <w:t xml:space="preserve"> и </w:t>
            </w:r>
            <w:r>
              <w:rPr>
                <w:rFonts w:ascii="Times New Roman" w:hAnsi="Times New Roman"/>
                <w:b/>
                <w:noProof/>
                <w:sz w:val="24"/>
                <w:szCs w:val="24"/>
              </w:rPr>
              <w:t>Регламента за рамка на Съюза за презаселване</w:t>
            </w:r>
            <w:r>
              <w:rPr>
                <w:rFonts w:ascii="Times New Roman" w:hAnsi="Times New Roman"/>
                <w:noProof/>
                <w:sz w:val="24"/>
                <w:szCs w:val="24"/>
              </w:rPr>
              <w:t>.</w:t>
            </w:r>
            <w:r>
              <w:rPr>
                <w:rFonts w:ascii="Times New Roman" w:hAnsi="Times New Roman"/>
                <w:b/>
                <w:noProof/>
                <w:sz w:val="24"/>
                <w:szCs w:val="24"/>
              </w:rPr>
              <w:t xml:space="preserve"> Това е наложително поради променящата се ситуация в Афганистан.</w:t>
            </w:r>
          </w:p>
          <w:p>
            <w:pPr>
              <w:numPr>
                <w:ilvl w:val="0"/>
                <w:numId w:val="4"/>
              </w:numPr>
              <w:spacing w:after="120"/>
              <w:ind w:left="284" w:hanging="284"/>
              <w:jc w:val="both"/>
              <w:rPr>
                <w:rFonts w:ascii="Times New Roman" w:eastAsia="Calibri" w:hAnsi="Times New Roman" w:cs="Times New Roman"/>
                <w:noProof/>
                <w:sz w:val="24"/>
                <w:szCs w:val="24"/>
              </w:rPr>
            </w:pPr>
            <w:r>
              <w:rPr>
                <w:rFonts w:ascii="Times New Roman" w:hAnsi="Times New Roman"/>
                <w:noProof/>
                <w:sz w:val="24"/>
                <w:szCs w:val="24"/>
              </w:rPr>
              <w:t xml:space="preserve">Съветът и Европейският парламент да задълбочат </w:t>
            </w:r>
            <w:r>
              <w:rPr>
                <w:rFonts w:ascii="Times New Roman" w:hAnsi="Times New Roman"/>
                <w:b/>
                <w:noProof/>
                <w:sz w:val="24"/>
                <w:szCs w:val="24"/>
              </w:rPr>
              <w:t>политическите дискусии относно солидарността и отговорността</w:t>
            </w:r>
            <w:r>
              <w:rPr>
                <w:rFonts w:ascii="Times New Roman" w:hAnsi="Times New Roman"/>
                <w:noProof/>
                <w:sz w:val="24"/>
                <w:szCs w:val="24"/>
              </w:rPr>
              <w:t xml:space="preserve">, за да </w:t>
            </w:r>
            <w:r>
              <w:rPr>
                <w:rFonts w:ascii="Times New Roman" w:hAnsi="Times New Roman"/>
                <w:b/>
                <w:noProof/>
                <w:sz w:val="24"/>
                <w:szCs w:val="24"/>
              </w:rPr>
              <w:t>постигнат бързо споразумение</w:t>
            </w:r>
            <w:r>
              <w:rPr>
                <w:rFonts w:ascii="Times New Roman" w:hAnsi="Times New Roman"/>
                <w:noProof/>
                <w:sz w:val="24"/>
                <w:szCs w:val="24"/>
              </w:rPr>
              <w:t xml:space="preserve"> по Регламента относно управлението на убежището и миграцията, Регламента относно процедурата за убежище, Регламента за скрининга и инструмента за справяне с кризи.</w:t>
            </w:r>
          </w:p>
          <w:p>
            <w:pPr>
              <w:numPr>
                <w:ilvl w:val="0"/>
                <w:numId w:val="4"/>
              </w:numPr>
              <w:spacing w:after="120"/>
              <w:ind w:left="284" w:hanging="284"/>
              <w:jc w:val="both"/>
              <w:rPr>
                <w:rFonts w:ascii="Times New Roman" w:eastAsia="Calibri" w:hAnsi="Times New Roman" w:cs="Times New Roman"/>
                <w:noProof/>
                <w:sz w:val="24"/>
                <w:szCs w:val="24"/>
              </w:rPr>
            </w:pPr>
            <w:r>
              <w:rPr>
                <w:rFonts w:ascii="Times New Roman" w:hAnsi="Times New Roman"/>
                <w:noProof/>
                <w:sz w:val="24"/>
                <w:szCs w:val="24"/>
              </w:rPr>
              <w:t xml:space="preserve">Държавите членки следва да гарантират </w:t>
            </w:r>
            <w:r>
              <w:rPr>
                <w:rFonts w:ascii="Times New Roman" w:hAnsi="Times New Roman"/>
                <w:b/>
                <w:noProof/>
                <w:sz w:val="24"/>
                <w:szCs w:val="24"/>
              </w:rPr>
              <w:t>бързото транспониране и прилагане на Директивата за синята карта</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Комисията има готовност да помогне на държавите членки да транспонират оптимално Директивата. </w:t>
            </w:r>
          </w:p>
          <w:p>
            <w:pPr>
              <w:numPr>
                <w:ilvl w:val="0"/>
                <w:numId w:val="4"/>
              </w:numPr>
              <w:spacing w:after="120"/>
              <w:ind w:left="284" w:hanging="284"/>
              <w:jc w:val="both"/>
              <w:rPr>
                <w:rFonts w:ascii="Times New Roman" w:eastAsia="Calibri" w:hAnsi="Times New Roman" w:cs="Times New Roman"/>
                <w:b/>
                <w:noProof/>
                <w:sz w:val="24"/>
                <w:szCs w:val="24"/>
              </w:rPr>
            </w:pPr>
            <w:r>
              <w:rPr>
                <w:rFonts w:ascii="Times New Roman" w:hAnsi="Times New Roman"/>
                <w:noProof/>
                <w:sz w:val="24"/>
                <w:szCs w:val="24"/>
              </w:rPr>
              <w:t xml:space="preserve">Комисията ще представи законодателни предложения за предприемане на последващи действия във връзка със </w:t>
            </w:r>
            <w:r>
              <w:rPr>
                <w:rFonts w:ascii="Times New Roman" w:hAnsi="Times New Roman"/>
                <w:b/>
                <w:noProof/>
                <w:sz w:val="24"/>
                <w:szCs w:val="24"/>
              </w:rPr>
              <w:t>Стратегията за Шенгенското пространство</w:t>
            </w:r>
            <w:r>
              <w:rPr>
                <w:rFonts w:ascii="Times New Roman" w:hAnsi="Times New Roman"/>
                <w:noProof/>
                <w:sz w:val="24"/>
                <w:szCs w:val="24"/>
              </w:rPr>
              <w:t xml:space="preserve">, представена през юни 2021 г., включително предложение за Регламент за изменение на </w:t>
            </w:r>
            <w:r>
              <w:rPr>
                <w:rFonts w:ascii="Times New Roman" w:hAnsi="Times New Roman"/>
                <w:b/>
                <w:noProof/>
                <w:sz w:val="24"/>
                <w:szCs w:val="24"/>
              </w:rPr>
              <w:t>Кодекса на шенгенските граници</w:t>
            </w:r>
            <w:r>
              <w:rPr>
                <w:rFonts w:ascii="Times New Roman" w:hAnsi="Times New Roman"/>
                <w:noProof/>
                <w:sz w:val="24"/>
                <w:szCs w:val="24"/>
              </w:rPr>
              <w:t xml:space="preserve">, както и </w:t>
            </w:r>
            <w:r>
              <w:rPr>
                <w:rFonts w:ascii="Times New Roman" w:hAnsi="Times New Roman"/>
                <w:b/>
                <w:noProof/>
                <w:sz w:val="24"/>
                <w:szCs w:val="24"/>
              </w:rPr>
              <w:t>пакет за уменията и талантите</w:t>
            </w:r>
            <w:r>
              <w:rPr>
                <w:rFonts w:ascii="Times New Roman" w:hAnsi="Times New Roman"/>
                <w:noProof/>
                <w:sz w:val="24"/>
                <w:szCs w:val="24"/>
              </w:rPr>
              <w:t xml:space="preserve"> и предложение за </w:t>
            </w:r>
            <w:r>
              <w:rPr>
                <w:rFonts w:ascii="Times New Roman" w:hAnsi="Times New Roman"/>
                <w:b/>
                <w:noProof/>
                <w:sz w:val="24"/>
                <w:szCs w:val="24"/>
              </w:rPr>
              <w:t>Регламент за цифровизирането на визовите процедури</w:t>
            </w:r>
            <w:r>
              <w:rPr>
                <w:rFonts w:ascii="Times New Roman" w:hAnsi="Times New Roman"/>
                <w:noProof/>
                <w:sz w:val="24"/>
                <w:szCs w:val="24"/>
              </w:rPr>
              <w:t xml:space="preserve">. </w:t>
            </w:r>
          </w:p>
        </w:tc>
      </w:tr>
    </w:tbl>
    <w:p>
      <w:pPr>
        <w:spacing w:after="160" w:line="240" w:lineRule="auto"/>
        <w:ind w:left="720"/>
        <w:contextualSpacing/>
        <w:jc w:val="both"/>
        <w:rPr>
          <w:rFonts w:ascii="Times New Roman" w:eastAsia="Calibri" w:hAnsi="Times New Roman" w:cs="Times New Roman"/>
          <w:b/>
          <w:noProof/>
          <w:sz w:val="24"/>
        </w:rPr>
      </w:pPr>
    </w:p>
    <w:p>
      <w:pPr>
        <w:numPr>
          <w:ilvl w:val="0"/>
          <w:numId w:val="7"/>
        </w:numPr>
        <w:spacing w:before="360" w:after="160" w:line="240" w:lineRule="auto"/>
        <w:ind w:left="714" w:hanging="357"/>
        <w:jc w:val="both"/>
        <w:rPr>
          <w:rFonts w:ascii="Times New Roman" w:eastAsia="Calibri" w:hAnsi="Times New Roman" w:cs="Times New Roman"/>
          <w:b/>
          <w:noProof/>
          <w:sz w:val="24"/>
          <w:szCs w:val="24"/>
        </w:rPr>
      </w:pPr>
      <w:r>
        <w:rPr>
          <w:rFonts w:ascii="Times New Roman" w:hAnsi="Times New Roman"/>
          <w:b/>
          <w:noProof/>
          <w:sz w:val="24"/>
          <w:szCs w:val="24"/>
        </w:rPr>
        <w:t xml:space="preserve">РАБОТА С НАШИТЕ МЕЖДУНАРОДНИ ПАРТНЬОРИ </w:t>
      </w:r>
    </w:p>
    <w:p>
      <w:pPr>
        <w:spacing w:after="160" w:line="240" w:lineRule="auto"/>
        <w:jc w:val="both"/>
        <w:rPr>
          <w:rFonts w:ascii="Times New Roman" w:eastAsia="Calibri" w:hAnsi="Times New Roman" w:cs="Times New Roman"/>
          <w:b/>
          <w:i/>
          <w:noProof/>
          <w:sz w:val="24"/>
          <w:szCs w:val="24"/>
        </w:rPr>
      </w:pPr>
      <w:r>
        <w:rPr>
          <w:rFonts w:ascii="Times New Roman" w:hAnsi="Times New Roman"/>
          <w:b/>
          <w:i/>
          <w:noProof/>
          <w:sz w:val="24"/>
          <w:szCs w:val="24"/>
        </w:rPr>
        <w:t xml:space="preserve">Подходът на Новия пакт </w:t>
      </w:r>
    </w:p>
    <w:p>
      <w:pPr>
        <w:spacing w:after="120" w:line="240" w:lineRule="auto"/>
        <w:jc w:val="both"/>
        <w:rPr>
          <w:rFonts w:ascii="Times New Roman" w:eastAsia="Calibri" w:hAnsi="Times New Roman" w:cs="Times New Roman"/>
          <w:noProof/>
          <w:sz w:val="24"/>
          <w:szCs w:val="24"/>
        </w:rPr>
      </w:pPr>
      <w:r>
        <w:rPr>
          <w:rFonts w:ascii="Times New Roman" w:hAnsi="Times New Roman"/>
          <w:b/>
          <w:noProof/>
          <w:sz w:val="24"/>
          <w:szCs w:val="24"/>
        </w:rPr>
        <w:t>Изграждането на всеобхватни, съобразени с нуждите и взаимноизгодни партньорства с държавите на произход и транзитно преминаване</w:t>
      </w:r>
      <w:r>
        <w:rPr>
          <w:rFonts w:ascii="Times New Roman" w:hAnsi="Times New Roman"/>
          <w:noProof/>
          <w:sz w:val="24"/>
          <w:szCs w:val="24"/>
        </w:rPr>
        <w:t xml:space="preserve"> е от съществено значение за осигуряването на безопасно и безпроблемно управление на миграцията. Това е съществен компонент на Новия пакт за миграцията и убежището и ключова цел за Комисията през последните години. Опитът показва, че политика за миграцията ще бъде ефективна единствено когато бъде интегрирана като основен елемент във външните ни отношения, и Комисията и върховният представител са засилили политическия диалог с партньорите, за да подчертаят, че изграждането на силни партньорства в областта на миграцията е приоритет на ЕС. Интензивният обмен и координация между министрите на външните и на вътрешните работи са важен инструмент за постигане на такъв резултат. По време на заседанието си през март 2021 г. съвместният Съвет на министрите на външните и на вътрешните работи взе под внимание този подход и постигна съгласие по необходимостта миграцията да бъде ключов елемент в общите ни двустранни отношения с ключовите трети държави. </w:t>
      </w: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Успешните партньорства са </w:t>
      </w:r>
      <w:r>
        <w:rPr>
          <w:rFonts w:ascii="Times New Roman" w:hAnsi="Times New Roman"/>
          <w:b/>
          <w:noProof/>
          <w:sz w:val="24"/>
          <w:szCs w:val="24"/>
        </w:rPr>
        <w:t>изградени върху доверие и познаване на нуждите и целите на нашите партньори</w:t>
      </w:r>
      <w:r>
        <w:rPr>
          <w:rFonts w:ascii="Times New Roman" w:hAnsi="Times New Roman"/>
          <w:noProof/>
          <w:sz w:val="24"/>
          <w:szCs w:val="24"/>
        </w:rPr>
        <w:t>. Работата, която е в ход с много ключови партньори, осигурява стабилна основа за съобразените с нуждите партньорства, съсредоточени върху съвместно определените приоритети на ЕС и неговите партньори. Това ще бъде непрекъснат процес, който ще доведе до устойчиви резултати само ако двете страни поемат дългосрочен ангажимент.</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заключенията на Европейския съвет от 24 и 25 юни са изложени три основни елемента на работата по външните аспекти на миграцията, като се призовават Комисията и върховният представител незабавно да </w:t>
      </w:r>
      <w:r>
        <w:rPr>
          <w:rFonts w:ascii="Times New Roman" w:hAnsi="Times New Roman"/>
          <w:bCs/>
          <w:noProof/>
          <w:sz w:val="24"/>
          <w:szCs w:val="24"/>
        </w:rPr>
        <w:t xml:space="preserve">засилят действията с приоритетните държави на </w:t>
      </w:r>
      <w:r>
        <w:rPr>
          <w:rFonts w:ascii="Times New Roman" w:hAnsi="Times New Roman"/>
          <w:noProof/>
          <w:sz w:val="24"/>
          <w:szCs w:val="24"/>
        </w:rPr>
        <w:t xml:space="preserve">произход и транзитно преминаване, както и подкрепата за тях; до есента да представят, в тясно сътрудничество с държавите членки, </w:t>
      </w:r>
      <w:r>
        <w:rPr>
          <w:rFonts w:ascii="Times New Roman" w:hAnsi="Times New Roman"/>
          <w:bCs/>
          <w:noProof/>
          <w:sz w:val="24"/>
          <w:szCs w:val="24"/>
        </w:rPr>
        <w:t xml:space="preserve">планове за действие </w:t>
      </w:r>
      <w:r>
        <w:rPr>
          <w:rFonts w:ascii="Times New Roman" w:hAnsi="Times New Roman"/>
          <w:noProof/>
          <w:sz w:val="24"/>
          <w:szCs w:val="24"/>
        </w:rPr>
        <w:t xml:space="preserve"> за приоритетните държави, в които са посочени ясни цели, допълнителни мерки за подкрепа и конкретни срокове; и се приканва Комисията до ноември да представи доклад за начина, по който възнамерява да оползотвори най-ефективно 10 % от финансовия пакет на Инструмента за съседство, сътрудничество за развитие и международно сътрудничество ― Глобална Европа, предназначен за действия, свързани с миграцията. Тази работа е в процес на изпълнение в различните направления, посочени в Новия пакт.</w:t>
      </w:r>
    </w:p>
    <w:p>
      <w:pPr>
        <w:numPr>
          <w:ilvl w:val="0"/>
          <w:numId w:val="9"/>
        </w:numPr>
        <w:spacing w:after="160" w:line="240" w:lineRule="auto"/>
        <w:contextualSpacing/>
        <w:rPr>
          <w:rFonts w:ascii="Times New Roman" w:eastAsia="Calibri" w:hAnsi="Times New Roman" w:cs="Times New Roman"/>
          <w:i/>
          <w:noProof/>
          <w:sz w:val="24"/>
          <w:szCs w:val="24"/>
        </w:rPr>
      </w:pPr>
      <w:r>
        <w:rPr>
          <w:rFonts w:ascii="Times New Roman" w:hAnsi="Times New Roman"/>
          <w:b/>
          <w:i/>
          <w:noProof/>
          <w:sz w:val="24"/>
          <w:szCs w:val="24"/>
        </w:rPr>
        <w:t xml:space="preserve">Взаимодействие с ключовите партньори в областта на миграцията </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Диалогът и сътрудничеството с много ключови партньори в областта на миграцията вече са добре установени. Въз основа на тези съществуващи структури бяха положени значителни усилия за създаване на </w:t>
      </w:r>
      <w:r>
        <w:rPr>
          <w:rFonts w:ascii="Times New Roman" w:hAnsi="Times New Roman"/>
          <w:b/>
          <w:noProof/>
          <w:sz w:val="24"/>
          <w:szCs w:val="24"/>
        </w:rPr>
        <w:t>съобразени с нуждите партньорства</w:t>
      </w:r>
      <w:r>
        <w:rPr>
          <w:rFonts w:ascii="Times New Roman" w:hAnsi="Times New Roman"/>
          <w:noProof/>
          <w:sz w:val="24"/>
          <w:szCs w:val="24"/>
        </w:rPr>
        <w:t xml:space="preserve"> в областта на миграцията, като вниманието бе съсредоточено върху съвместно определените приоритети на ЕС и неговите партньори. Приложение II съдържа обобщение на последните и текущите взаимодействия с ключовите партньори. Сътрудничеството се осъществява чрез двустранни диалози, в рамките на регионални форуми, като процесите от Будапеща, Рабат и Хартум, както и с регионалните партньори, като Африканския съюз. ЕС работи чрез политически диалог и взаимодействие, съчетани с финансирани от ЕС действия в различните области, откроени в Пакта: закрила на мигрантите и разселените лица, търсене на решения за факторите, стимулиращи незаконната миграция и принудителното разселване, управление на миграцията и управление на границите, връщане и реинтеграция на незаконните мигранти, както и законни пътища. Работата е тясно свързана с инициативите на ЕС за стимулиране на инвестициите и сътрудничеството с партньорите в по-широк план, като например със Западните Балкани</w:t>
      </w:r>
      <w:r>
        <w:rPr>
          <w:rFonts w:ascii="Times New Roman" w:eastAsia="Calibri" w:hAnsi="Times New Roman" w:cs="Times New Roman"/>
          <w:noProof/>
          <w:sz w:val="24"/>
          <w:szCs w:val="24"/>
          <w:vertAlign w:val="superscript"/>
          <w:lang w:val="en-US"/>
        </w:rPr>
        <w:footnoteReference w:id="26"/>
      </w:r>
      <w:r>
        <w:rPr>
          <w:rFonts w:ascii="Times New Roman" w:hAnsi="Times New Roman"/>
          <w:noProof/>
          <w:sz w:val="24"/>
          <w:szCs w:val="24"/>
        </w:rPr>
        <w:t xml:space="preserve"> и с южните съседни държави</w:t>
      </w:r>
      <w:r>
        <w:rPr>
          <w:rFonts w:ascii="Times New Roman" w:eastAsia="Calibri" w:hAnsi="Times New Roman" w:cs="Times New Roman"/>
          <w:noProof/>
          <w:sz w:val="24"/>
          <w:szCs w:val="24"/>
          <w:vertAlign w:val="superscript"/>
          <w:lang w:val="en-US"/>
        </w:rPr>
        <w:footnoteReference w:id="27"/>
      </w:r>
      <w:r>
        <w:rPr>
          <w:rFonts w:ascii="Times New Roman" w:hAnsi="Times New Roman"/>
          <w:noProof/>
          <w:sz w:val="24"/>
          <w:szCs w:val="24"/>
        </w:rPr>
        <w:t>.</w:t>
      </w:r>
    </w:p>
    <w:p>
      <w:pPr>
        <w:numPr>
          <w:ilvl w:val="0"/>
          <w:numId w:val="9"/>
        </w:numPr>
        <w:spacing w:after="160" w:line="240" w:lineRule="auto"/>
        <w:contextualSpacing/>
        <w:jc w:val="both"/>
        <w:rPr>
          <w:rFonts w:ascii="Times New Roman" w:eastAsia="Calibri" w:hAnsi="Times New Roman" w:cs="Times New Roman"/>
          <w:b/>
          <w:i/>
          <w:noProof/>
          <w:sz w:val="24"/>
          <w:szCs w:val="24"/>
        </w:rPr>
      </w:pPr>
      <w:r>
        <w:rPr>
          <w:rFonts w:ascii="Times New Roman" w:hAnsi="Times New Roman"/>
          <w:b/>
          <w:i/>
          <w:noProof/>
          <w:sz w:val="24"/>
          <w:szCs w:val="24"/>
        </w:rPr>
        <w:t>Осигуряване на закрила за нуждаещите се и подпомагане на приемащите държави</w:t>
      </w:r>
    </w:p>
    <w:p>
      <w:pPr>
        <w:spacing w:after="160" w:line="240" w:lineRule="auto"/>
        <w:jc w:val="both"/>
        <w:rPr>
          <w:rFonts w:ascii="Times New Roman" w:eastAsia="Calibri" w:hAnsi="Times New Roman" w:cs="Times New Roman"/>
          <w:noProof/>
          <w:sz w:val="24"/>
          <w:szCs w:val="24"/>
        </w:rPr>
      </w:pPr>
      <w:r>
        <w:rPr>
          <w:rFonts w:ascii="Times New Roman" w:hAnsi="Times New Roman"/>
          <w:b/>
          <w:noProof/>
          <w:sz w:val="24"/>
          <w:szCs w:val="24"/>
        </w:rPr>
        <w:t xml:space="preserve">Закрилата на уязвимите бежанци и мигранти </w:t>
      </w:r>
      <w:r>
        <w:rPr>
          <w:rFonts w:ascii="Times New Roman" w:hAnsi="Times New Roman"/>
          <w:noProof/>
          <w:sz w:val="24"/>
          <w:szCs w:val="24"/>
        </w:rPr>
        <w:t xml:space="preserve">е в основата на политиките на ЕС. ЕС и държавите членки имат водеща роля в осигуряването на хуманитарна помощ за бежанците, лицата, търсещи убежище, вътрешно разселените лица и приемащите ги общности по целия свят. Помощта на ЕС за развитие все повече облагодетелства и принудително разселените лица за дълъг период от време, като се подпомагат закрилата, поминъкът и самостоятелността на тези лица. Подкрепата от ЕС и държавите членки в отговор на кризата в Сирия превърна Съюза в най-големия донор в света, като от 2011 г. насам са мобилизирани 24,9 милиарда евро. През юни 2021 г. Европейският съвет постигна споразумение да бъде продължена подкрепата за сирийските и други бежанци и за приемащите ги общности. Комисията изготви четиригодишен пакет, който ще възлиза на над 5,7 милиарда евро, като над 3,5 милиарда евро са предназначени за бежанците в </w:t>
      </w:r>
      <w:r>
        <w:rPr>
          <w:rFonts w:ascii="Times New Roman" w:hAnsi="Times New Roman"/>
          <w:b/>
          <w:noProof/>
          <w:sz w:val="24"/>
          <w:szCs w:val="24"/>
        </w:rPr>
        <w:t>Турция</w:t>
      </w:r>
      <w:r>
        <w:rPr>
          <w:rFonts w:ascii="Times New Roman" w:hAnsi="Times New Roman"/>
          <w:noProof/>
          <w:sz w:val="24"/>
          <w:szCs w:val="24"/>
        </w:rPr>
        <w:t>, а 2,2 милиарда евро</w:t>
      </w:r>
      <w:r>
        <w:rPr>
          <w:rFonts w:ascii="Times New Roman" w:hAnsi="Times New Roman"/>
          <w:b/>
          <w:noProof/>
          <w:sz w:val="24"/>
          <w:szCs w:val="24"/>
        </w:rPr>
        <w:t> </w:t>
      </w:r>
      <w:r>
        <w:rPr>
          <w:rFonts w:ascii="Times New Roman" w:hAnsi="Times New Roman"/>
          <w:noProof/>
          <w:sz w:val="24"/>
          <w:szCs w:val="24"/>
        </w:rPr>
        <w:t xml:space="preserve">― за бенефициери в </w:t>
      </w:r>
      <w:r>
        <w:rPr>
          <w:rFonts w:ascii="Times New Roman" w:hAnsi="Times New Roman"/>
          <w:b/>
          <w:noProof/>
          <w:sz w:val="24"/>
          <w:szCs w:val="24"/>
        </w:rPr>
        <w:t>Сирия, Ливан, Йордания и Ирак</w:t>
      </w:r>
      <w:r>
        <w:rPr>
          <w:rFonts w:ascii="Times New Roman" w:hAnsi="Times New Roman"/>
          <w:noProof/>
          <w:sz w:val="24"/>
          <w:szCs w:val="24"/>
        </w:rPr>
        <w:t xml:space="preserve">. </w:t>
      </w:r>
    </w:p>
    <w:tbl>
      <w:tblPr>
        <w:tblStyle w:val="TableGrid"/>
        <w:tblW w:w="0" w:type="auto"/>
        <w:tblLook w:val="04A0" w:firstRow="1" w:lastRow="0" w:firstColumn="1" w:lastColumn="0" w:noHBand="0" w:noVBand="1"/>
      </w:tblPr>
      <w:tblGrid>
        <w:gridCol w:w="9457"/>
      </w:tblGrid>
      <w:tr>
        <w:tc>
          <w:tcPr>
            <w:tcW w:w="9457" w:type="dxa"/>
          </w:tcPr>
          <w:p>
            <w:pPr>
              <w:spacing w:after="120"/>
              <w:ind w:left="426" w:hanging="284"/>
              <w:rPr>
                <w:rFonts w:ascii="Times New Roman" w:eastAsia="Calibri" w:hAnsi="Times New Roman" w:cs="Times New Roman"/>
                <w:i/>
                <w:noProof/>
              </w:rPr>
            </w:pPr>
            <w:r>
              <w:rPr>
                <w:rFonts w:ascii="Times New Roman" w:hAnsi="Times New Roman"/>
                <w:b/>
                <w:i/>
                <w:noProof/>
              </w:rPr>
              <w:t>Турция</w:t>
            </w:r>
          </w:p>
          <w:p>
            <w:pPr>
              <w:numPr>
                <w:ilvl w:val="0"/>
                <w:numId w:val="5"/>
              </w:numPr>
              <w:spacing w:after="120"/>
              <w:ind w:left="284" w:hanging="284"/>
              <w:jc w:val="both"/>
              <w:rPr>
                <w:rFonts w:ascii="Times New Roman" w:eastAsia="Calibri" w:hAnsi="Times New Roman" w:cs="Times New Roman"/>
                <w:noProof/>
              </w:rPr>
            </w:pPr>
            <w:r>
              <w:rPr>
                <w:rFonts w:ascii="Times New Roman" w:hAnsi="Times New Roman"/>
                <w:noProof/>
              </w:rPr>
              <w:t xml:space="preserve">Въпреки известни трудности, с </w:t>
            </w:r>
            <w:r>
              <w:rPr>
                <w:rFonts w:ascii="Times New Roman" w:hAnsi="Times New Roman"/>
                <w:b/>
                <w:noProof/>
              </w:rPr>
              <w:t>изявлението на ЕС и Турция</w:t>
            </w:r>
            <w:r>
              <w:rPr>
                <w:rFonts w:ascii="Times New Roman" w:eastAsia="Calibri" w:hAnsi="Times New Roman" w:cs="Times New Roman"/>
                <w:noProof/>
                <w:vertAlign w:val="superscript"/>
              </w:rPr>
              <w:footnoteReference w:id="28"/>
            </w:r>
            <w:r>
              <w:rPr>
                <w:rFonts w:ascii="Times New Roman" w:hAnsi="Times New Roman"/>
                <w:noProof/>
              </w:rPr>
              <w:t xml:space="preserve"> от март 2016 г. беше осигурена подкрепа за милиони бежанци и мигранти в Турция — сирийци и други — като част от по-широкообхватен пакет. С помощта на изявлението сериозно намаля загубата на човешки живот при опасни пътувания до Европа и значително намаляха незаконните преминавания на границата от Турция към ЕС. </w:t>
            </w:r>
          </w:p>
          <w:p>
            <w:pPr>
              <w:numPr>
                <w:ilvl w:val="0"/>
                <w:numId w:val="5"/>
              </w:numPr>
              <w:spacing w:after="120"/>
              <w:ind w:left="284" w:hanging="284"/>
              <w:jc w:val="both"/>
              <w:rPr>
                <w:rFonts w:ascii="Times New Roman" w:eastAsia="Calibri" w:hAnsi="Times New Roman" w:cs="Times New Roman"/>
                <w:noProof/>
              </w:rPr>
            </w:pPr>
            <w:r>
              <w:rPr>
                <w:rFonts w:ascii="Times New Roman" w:hAnsi="Times New Roman"/>
                <w:noProof/>
              </w:rPr>
              <w:t xml:space="preserve">С </w:t>
            </w:r>
            <w:r>
              <w:rPr>
                <w:rFonts w:ascii="Times New Roman" w:hAnsi="Times New Roman"/>
                <w:b/>
                <w:noProof/>
              </w:rPr>
              <w:t>Механизма за бежанците в Турция</w:t>
            </w:r>
            <w:r>
              <w:rPr>
                <w:rFonts w:ascii="Times New Roman" w:hAnsi="Times New Roman"/>
                <w:noProof/>
              </w:rPr>
              <w:t xml:space="preserve"> се осигурява подкрепа в размер на 6 милиарда евро за сирийските бежанци и приемащите ги общности. Сред осезаемите ефекти са директното подпомагане на над 1,8 милиона уязвими бежанци с цел посрещане на основните им нужди, както и осигуряване на възможност на над 680 000 деца редовно да посещават училище. </w:t>
            </w:r>
          </w:p>
          <w:p>
            <w:pPr>
              <w:numPr>
                <w:ilvl w:val="0"/>
                <w:numId w:val="5"/>
              </w:numPr>
              <w:spacing w:after="120"/>
              <w:ind w:left="284" w:hanging="284"/>
              <w:jc w:val="both"/>
              <w:rPr>
                <w:rFonts w:ascii="Times New Roman" w:eastAsia="Calibri" w:hAnsi="Times New Roman" w:cs="Times New Roman"/>
                <w:noProof/>
              </w:rPr>
            </w:pPr>
            <w:r>
              <w:rPr>
                <w:rFonts w:ascii="Times New Roman" w:hAnsi="Times New Roman"/>
                <w:noProof/>
              </w:rPr>
              <w:t xml:space="preserve">По линия на изявлението на ЕС и Турция към днешна дата почти 31 000 лица са </w:t>
            </w:r>
            <w:r>
              <w:rPr>
                <w:rFonts w:ascii="Times New Roman" w:hAnsi="Times New Roman"/>
                <w:b/>
                <w:noProof/>
              </w:rPr>
              <w:t xml:space="preserve">презаселени </w:t>
            </w:r>
            <w:r>
              <w:rPr>
                <w:rFonts w:ascii="Times New Roman" w:hAnsi="Times New Roman"/>
                <w:b/>
                <w:bCs/>
                <w:noProof/>
              </w:rPr>
              <w:t>в държавите — членки на ЕС</w:t>
            </w:r>
            <w:r>
              <w:rPr>
                <w:rFonts w:ascii="Times New Roman" w:hAnsi="Times New Roman"/>
                <w:noProof/>
              </w:rPr>
              <w:t xml:space="preserve">. </w:t>
            </w:r>
          </w:p>
          <w:p>
            <w:pPr>
              <w:spacing w:after="120"/>
              <w:ind w:left="142"/>
              <w:jc w:val="both"/>
              <w:rPr>
                <w:rFonts w:ascii="Times New Roman" w:eastAsia="Calibri" w:hAnsi="Times New Roman" w:cs="Times New Roman"/>
                <w:noProof/>
              </w:rPr>
            </w:pPr>
            <w:r>
              <w:rPr>
                <w:rFonts w:ascii="Times New Roman" w:hAnsi="Times New Roman"/>
                <w:noProof/>
              </w:rPr>
              <w:t>ЕС ще продължи да изпълнява своята роля и очаква Турция да се придържа към поетите си ангажименти и да изпълни всички елементи, включени в изявлението, включително предотвратяване на незаконните заминавания до всички държави членки, предотвратяване на нови миграционни маршрути и бързо възобновяване на обратното приемане на завърналите се от гръцките острови лица, което е спряно от Турция от март 2020 г. По план през октомври трябва да се проведе диалог на високо равнище между ЕС и Турция по въпросите на миграцията и сигурността.</w:t>
            </w:r>
          </w:p>
        </w:tc>
      </w:tr>
    </w:tbl>
    <w:p>
      <w:pPr>
        <w:spacing w:before="240" w:after="16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Бюджетът на ЕС, предназначен за хуманитарната помощ и развитието, който прилага подход, свързващ хуманитарните действия, развитието и мира, е разпределен за цялата територия на </w:t>
      </w:r>
      <w:r>
        <w:rPr>
          <w:rFonts w:ascii="Times New Roman" w:hAnsi="Times New Roman"/>
          <w:b/>
          <w:bCs/>
          <w:noProof/>
          <w:sz w:val="24"/>
          <w:szCs w:val="24"/>
        </w:rPr>
        <w:t>Африка</w:t>
      </w:r>
      <w:r>
        <w:rPr>
          <w:rFonts w:ascii="Times New Roman" w:hAnsi="Times New Roman"/>
          <w:noProof/>
          <w:sz w:val="24"/>
          <w:szCs w:val="24"/>
        </w:rPr>
        <w:t xml:space="preserve">, където милиони са вътрешно разселени или бежанци. С хуманитарното финансиране се подпомагат в краткосрочен план лицата, засегнати от конфликти, епидемии, природни бедствия, както и приемащите ги общности, и се допринася за включването на мигрантите в кампаниите за ваксинация за борба с пандемията от COVID-19. Помощта за развитие функционира в рамките на по-дълго многогодишно планиране, за да се насърчат устойчивостта и самостоятелността на принудително разселените лица чрез качествено образование, достъп до икономически възможности и социална закрила. В </w:t>
      </w:r>
      <w:r>
        <w:rPr>
          <w:rFonts w:ascii="Times New Roman" w:hAnsi="Times New Roman"/>
          <w:b/>
          <w:bCs/>
          <w:noProof/>
          <w:sz w:val="24"/>
          <w:szCs w:val="24"/>
        </w:rPr>
        <w:t>Азия</w:t>
      </w:r>
      <w:r>
        <w:rPr>
          <w:rFonts w:ascii="Times New Roman" w:hAnsi="Times New Roman"/>
          <w:noProof/>
          <w:sz w:val="24"/>
          <w:szCs w:val="24"/>
        </w:rPr>
        <w:t xml:space="preserve"> ЕС оказва подкрепа на бежанците от общността рохингия в Бангладеш, както и на афганистанците (вж. по-долу). В </w:t>
      </w:r>
      <w:r>
        <w:rPr>
          <w:rFonts w:ascii="Times New Roman" w:hAnsi="Times New Roman"/>
          <w:b/>
          <w:bCs/>
          <w:noProof/>
          <w:sz w:val="24"/>
          <w:szCs w:val="24"/>
        </w:rPr>
        <w:t>Латинска Америка</w:t>
      </w:r>
      <w:r>
        <w:rPr>
          <w:rFonts w:ascii="Times New Roman" w:hAnsi="Times New Roman"/>
          <w:noProof/>
          <w:sz w:val="24"/>
          <w:szCs w:val="24"/>
        </w:rPr>
        <w:t xml:space="preserve"> с хуманитарната помощ и помощта за развитие от ЕС се оказва подкрепа на лицата, разселени по време на кризата във Венесуела — най-голямото разселване на населението в историята на Северна и Южна Америка и второто най-голямо в световен план днес.</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Що се отнася до текущата ситуация в </w:t>
      </w:r>
      <w:r>
        <w:rPr>
          <w:rFonts w:ascii="Times New Roman" w:hAnsi="Times New Roman"/>
          <w:b/>
          <w:noProof/>
          <w:sz w:val="24"/>
          <w:szCs w:val="24"/>
        </w:rPr>
        <w:t>Афганистан</w:t>
      </w:r>
      <w:r>
        <w:rPr>
          <w:rFonts w:ascii="Times New Roman" w:hAnsi="Times New Roman"/>
          <w:noProof/>
          <w:sz w:val="24"/>
          <w:szCs w:val="24"/>
        </w:rPr>
        <w:t>, важно е да имаме готов план за всички възможни последици и да работим с дългосрочна визия, както и да засилим сътрудничеството и подкрепата си за държавите по миграционния маршрут от Афганистан към ЕС.</w:t>
      </w:r>
    </w:p>
    <w:p>
      <w:pPr>
        <w:spacing w:after="160" w:line="240" w:lineRule="auto"/>
        <w:jc w:val="both"/>
        <w:rPr>
          <w:rFonts w:ascii="Times New Roman" w:eastAsia="Times New Roman" w:hAnsi="Times New Roman" w:cs="Times New Roman"/>
          <w:b/>
          <w:bCs/>
          <w:noProof/>
          <w:sz w:val="24"/>
          <w:szCs w:val="24"/>
        </w:rPr>
      </w:pPr>
      <w:r>
        <w:rPr>
          <w:rFonts w:ascii="Times New Roman" w:hAnsi="Times New Roman"/>
          <w:noProof/>
          <w:sz w:val="24"/>
          <w:szCs w:val="24"/>
        </w:rPr>
        <w:t xml:space="preserve">Дори и преди последните събития, Афганистан вече беше приоритет за ЕС по отношение на миграцията и принудителното разселване. Ще бъде необходимо да продължат да се предприемат мерки за преодоляване на предизвикателствата, свързани с принудителното разселване, в Афганистан, където и без това масовото вътрешно разселване вероятно ще се влоши. Средствата за развитие за Афганистан в момента са спрени и ще са обвързани със строги условия, свързани по-конкретно със зачитането на основните права. Въпреки че днес вниманието е съсредоточено върху хуманитарните нужди, трябва да се имат предвид и други фактори, включително здравеопазването, образованието и поминъкът, както и факторите за стабилизиране. </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Смята се, че над 5 милиона афганистанци (15 % от населението) вече са разселени в Пакистан и Иран, включително милиони, които не са регистрирани. Ангажиментът на ЕС по отношение на разселването в рамките на Афганистан и извън него включва изпълняване през 2021 г. на функциите на председател на основната група на платформата за подкрепа на стратегията за намиране на решения за афганистанските бежанци. От тази позиция ЕС ще се стреми да засили международните действия в отговор на ситуацията с афганистанските бежанци и да стимулира поемането на допълнителни политически, финансови и материални ангажименти.</w:t>
      </w:r>
    </w:p>
    <w:p>
      <w:pPr>
        <w:spacing w:after="160" w:line="240" w:lineRule="auto"/>
        <w:jc w:val="both"/>
        <w:textAlignment w:val="center"/>
        <w:rPr>
          <w:rFonts w:ascii="Times New Roman" w:eastAsia="Calibri" w:hAnsi="Times New Roman" w:cs="Times New Roman"/>
          <w:noProof/>
          <w:spacing w:val="-4"/>
          <w:sz w:val="24"/>
          <w:szCs w:val="24"/>
        </w:rPr>
      </w:pPr>
      <w:r>
        <w:rPr>
          <w:rFonts w:ascii="Times New Roman" w:hAnsi="Times New Roman"/>
          <w:noProof/>
          <w:spacing w:val="-4"/>
          <w:sz w:val="24"/>
          <w:szCs w:val="24"/>
        </w:rPr>
        <w:t xml:space="preserve">През следващите месеци усилията на ЕС следва да бъдат съсредоточени и върху конкретни предложения за преодоляване на предизвикателствата по целия маршрут. Това ще включва посрещане на нуждите на съседните на Афганистан държави, като едни от целите са оказване на подкрепа за системите за закрила и за нуждите на приемащите общности, подсилени програми за сътрудничество в областта на правоприлагането, за да се противодейства на мрежите за контрабанда и трафик на мигранти (с подкрепата на Европол), както и засилване на законните пътища. Европейската служба за подкрепа в областта на убежището ще проучи възможностите за засилване на външните си операции за изграждане на капацитет за предоставяне на убежище. Комисията също ще даде приоритет на специални информационни кампании, за да предостави ясна и последователна информация за рисковете, свързани с предприемането на опасни незаконни пътувания. </w:t>
      </w:r>
    </w:p>
    <w:p>
      <w:pPr>
        <w:spacing w:after="160" w:line="240" w:lineRule="auto"/>
        <w:jc w:val="both"/>
        <w:textAlignment w:val="center"/>
        <w:rPr>
          <w:rFonts w:ascii="Times New Roman" w:eastAsia="Calibri" w:hAnsi="Times New Roman" w:cs="Times New Roman"/>
          <w:noProof/>
          <w:spacing w:val="-4"/>
          <w:sz w:val="24"/>
          <w:szCs w:val="24"/>
        </w:rPr>
      </w:pPr>
      <w:r>
        <w:rPr>
          <w:rFonts w:ascii="Times New Roman" w:hAnsi="Times New Roman"/>
          <w:noProof/>
          <w:spacing w:val="-4"/>
          <w:sz w:val="24"/>
          <w:szCs w:val="24"/>
        </w:rPr>
        <w:t>Съгласно договореното от министрите на външните работи на държавите от ЕС, ЕС ще работи за разработване на регионална политическа платформа за сътрудничество със съседите на Афганистан, за да се обърне внимание, наред с други въпроси, на управлението на миграционните потоци от Афганистан, предотвратяването на разпространението на тероризма и борбата срещу организираната престъпност, включително по отношение на наркотиците. Извънредният Съвет по ПВР от 31 август също отправи призив да бъде възприет подходът „Екип Европа“ при работата със съседните на Афганистан държави, целяща да се преодолее въздействието на разселването в региона.</w:t>
      </w:r>
    </w:p>
    <w:p>
      <w:pPr>
        <w:spacing w:after="160" w:line="240" w:lineRule="auto"/>
        <w:jc w:val="both"/>
        <w:textAlignment w:val="center"/>
        <w:rPr>
          <w:rFonts w:ascii="Times New Roman" w:eastAsia="Calibri" w:hAnsi="Times New Roman" w:cs="Times New Roman"/>
          <w:noProof/>
          <w:sz w:val="24"/>
          <w:szCs w:val="24"/>
        </w:rPr>
      </w:pPr>
      <w:r>
        <w:rPr>
          <w:rFonts w:ascii="Times New Roman" w:hAnsi="Times New Roman"/>
          <w:noProof/>
          <w:sz w:val="24"/>
          <w:szCs w:val="24"/>
        </w:rPr>
        <w:t>ЕС ще работи и с държавите на транзитно преминаване към ЕС, включително Западните Балкани и Турция, с цел укрепване на техните системи за закрила, засилване на капацитета за управление на границите и предотвратяване на контрабандата на мигранти и незаконната миграция от региона, включително чрез подкрепа от агенциите на ЕС.</w:t>
      </w:r>
    </w:p>
    <w:p>
      <w:pPr>
        <w:numPr>
          <w:ilvl w:val="0"/>
          <w:numId w:val="9"/>
        </w:numPr>
        <w:spacing w:before="120" w:after="120" w:line="240" w:lineRule="auto"/>
        <w:contextualSpacing/>
        <w:jc w:val="both"/>
        <w:rPr>
          <w:rFonts w:ascii="Times New Roman" w:eastAsia="Times New Roman" w:hAnsi="Times New Roman" w:cs="Times New Roman"/>
          <w:i/>
          <w:noProof/>
          <w:sz w:val="24"/>
          <w:szCs w:val="24"/>
        </w:rPr>
      </w:pPr>
      <w:r>
        <w:rPr>
          <w:rFonts w:ascii="Times New Roman" w:hAnsi="Times New Roman"/>
          <w:b/>
          <w:i/>
          <w:noProof/>
          <w:sz w:val="24"/>
          <w:szCs w:val="24"/>
        </w:rPr>
        <w:t>Създаване на икономически възможности и справяне с първопричините за незаконната миграция</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За да се противодейства на първопричините за незаконната миграция и принудителното разселване, е необходимо трайно сътрудничество с партньорите с цел насърчаване на усилията за предотвратяване на конфликти, защитата на основните права, икономическото и социалното развитие и действията в областта на климата. Тази работа се припокрива с много приоритети на политиката на ЕС за развитие. Например засегнатите от икономическа, социална и политическа криза </w:t>
      </w:r>
      <w:r>
        <w:rPr>
          <w:rFonts w:ascii="Times New Roman" w:hAnsi="Times New Roman"/>
          <w:b/>
          <w:noProof/>
          <w:sz w:val="24"/>
          <w:szCs w:val="24"/>
        </w:rPr>
        <w:t>държави на юг от Сахара</w:t>
      </w:r>
      <w:r>
        <w:rPr>
          <w:rFonts w:ascii="Times New Roman" w:hAnsi="Times New Roman"/>
          <w:noProof/>
          <w:sz w:val="24"/>
          <w:szCs w:val="24"/>
        </w:rPr>
        <w:t xml:space="preserve"> продължават да са сред основните държави на произход и транзитно преминаване към ЕС. Подкрепата от ЕС е съсредоточена върху икономическите възможности и възможностите за заетост, както и върху устойчивостта на общностите, управлението и по-доброто управление на миграцията. Като се имат предвид последните събития, сигурността се утвърди като основна грижа. По подобен начин </w:t>
      </w:r>
      <w:r>
        <w:rPr>
          <w:rFonts w:ascii="Times New Roman" w:hAnsi="Times New Roman"/>
          <w:b/>
          <w:noProof/>
          <w:sz w:val="24"/>
          <w:szCs w:val="24"/>
        </w:rPr>
        <w:t>северноафриканските</w:t>
      </w:r>
      <w:r>
        <w:rPr>
          <w:rFonts w:ascii="Times New Roman" w:hAnsi="Times New Roman"/>
          <w:noProof/>
          <w:sz w:val="24"/>
          <w:szCs w:val="24"/>
        </w:rPr>
        <w:t xml:space="preserve"> държави — като държави на произход, транзитно преминаване и местоназначение — са изправени пред множество предизвикателства, свързани с управлението на миграцията и принудителното разследване, които се изострят от по-широките политически и икономически предизвикателства, които двустранната подкрепа от ЕС има за цел да преодолее с помощта на съобразени с нуждите подходи. </w:t>
      </w:r>
    </w:p>
    <w:p>
      <w:pPr>
        <w:numPr>
          <w:ilvl w:val="0"/>
          <w:numId w:val="9"/>
        </w:numPr>
        <w:spacing w:after="160" w:line="240" w:lineRule="auto"/>
        <w:contextualSpacing/>
        <w:jc w:val="both"/>
        <w:rPr>
          <w:rFonts w:ascii="Times New Roman" w:eastAsia="Calibri" w:hAnsi="Times New Roman" w:cs="Times New Roman"/>
          <w:noProof/>
          <w:sz w:val="24"/>
          <w:szCs w:val="24"/>
        </w:rPr>
      </w:pPr>
      <w:r>
        <w:rPr>
          <w:rFonts w:ascii="Times New Roman" w:hAnsi="Times New Roman"/>
          <w:b/>
          <w:i/>
          <w:noProof/>
          <w:sz w:val="24"/>
          <w:szCs w:val="24"/>
        </w:rPr>
        <w:t>Партньорства за укрепване на ръководството и управлението на миграцията</w:t>
      </w:r>
      <w:r>
        <w:rPr>
          <w:rFonts w:ascii="Times New Roman" w:hAnsi="Times New Roman"/>
          <w:noProof/>
          <w:sz w:val="24"/>
          <w:szCs w:val="24"/>
        </w:rPr>
        <w:t xml:space="preserve"> </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Подкрепянето на разработването на подходящи </w:t>
      </w:r>
      <w:r>
        <w:rPr>
          <w:rFonts w:ascii="Times New Roman" w:hAnsi="Times New Roman"/>
          <w:b/>
          <w:noProof/>
          <w:sz w:val="24"/>
          <w:szCs w:val="24"/>
        </w:rPr>
        <w:t>рамки за управление на миграцията</w:t>
      </w:r>
      <w:r>
        <w:rPr>
          <w:rFonts w:ascii="Times New Roman" w:hAnsi="Times New Roman"/>
          <w:noProof/>
          <w:sz w:val="24"/>
          <w:szCs w:val="24"/>
        </w:rPr>
        <w:t xml:space="preserve"> е основен елемент на действията на ЕС с партньорските държави.</w:t>
      </w:r>
      <w:r>
        <w:rPr>
          <w:rFonts w:ascii="Times New Roman" w:hAnsi="Times New Roman"/>
          <w:b/>
          <w:noProof/>
          <w:sz w:val="24"/>
          <w:szCs w:val="24"/>
        </w:rPr>
        <w:t xml:space="preserve"> </w:t>
      </w:r>
      <w:r>
        <w:rPr>
          <w:rFonts w:ascii="Times New Roman" w:hAnsi="Times New Roman"/>
          <w:noProof/>
          <w:sz w:val="24"/>
          <w:szCs w:val="24"/>
        </w:rPr>
        <w:t>С тях се насърчава политиката за безпроблемно управление на миграцията в засегнатите партньорски държави и се защитават правата на лицата в движение. Например със значителна подкрепа от ЕС партньорите от Западните Балкани укрепиха и приведоха своите национални системи за убежище и миграция в съответствие със стандартите на ЕС през последното десетилетие в рамките на преговорите за присъединяване към ЕС. С подкрепата на ЕС през последните години в страни като Нигер и Мавритания беше прието ново законодателство за борба с контрабандата на мигранти и трафика на хора. Укрепването на капацитета в областта на управлението на миграцията, убежището и връщането ще продължи да бъде основна насоченост на сътрудничеството занапред.</w:t>
      </w:r>
    </w:p>
    <w:p>
      <w:pPr>
        <w:spacing w:after="160" w:line="240" w:lineRule="auto"/>
        <w:jc w:val="both"/>
        <w:rPr>
          <w:rFonts w:ascii="Times New Roman" w:eastAsia="Calibri" w:hAnsi="Times New Roman" w:cs="Times New Roman"/>
          <w:noProof/>
          <w:spacing w:val="-2"/>
          <w:sz w:val="24"/>
          <w:szCs w:val="24"/>
        </w:rPr>
      </w:pPr>
      <w:r>
        <w:rPr>
          <w:rFonts w:ascii="Times New Roman" w:hAnsi="Times New Roman"/>
          <w:noProof/>
          <w:spacing w:val="-2"/>
          <w:sz w:val="24"/>
          <w:szCs w:val="24"/>
        </w:rPr>
        <w:t xml:space="preserve">Изграждането на капацитет за управление на границите е друга ключова област на работа. Споразуменията за статуса на европейската гранична и брегова охрана, сключени между ЕС и партньорите от Западните Балкани, представляват нова фаза в граничното сътрудничество с партньорите в региона. Тези споразумения спомагат за предотвратяване на незаконната миграция и за борбата с контрабандата на мигранти, в интерес както на ЕС, така и на неговите партньори. Управлението на границите беше също основна тема в направлението „Северна Африка“ на Извънредния доверителен фонд на ЕС за Африка, с който се подкрепя предоставянето на обучение и оборудване в Либия, Мароко и Тунис, и това ще продължи и след изтичането на срока на действие на доверителния фонд. Съобразени с нуждите партньорства в областта на миграцията се разработват и с помощта на дейностите за бюджетна подкрепа, с които се подсилват области като капацитетът за управление на границите в партньорски държави като Мароко. </w:t>
      </w: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Подкрепата от EASO за трети държави допринася за укрепването на системите за убежище и приемане и за управлението на миграцията, отчитащо потребността от закрила. Дейностите включват обучения, наставничество на работното място, принос към изготвянето на технически документи, работни семинари и т.н. Понастоящем EASO си сътрудничи с държавите от Западните Балкани и Турция, по-конкретно чрез изпълняването на договорени пътни карти за укрепване на системите за убежище и приемане, в допълнение към подкрепата за изграждане на капацитет в региона на Близкия изток и Северна Африка.</w:t>
      </w:r>
    </w:p>
    <w:p>
      <w:pPr>
        <w:spacing w:after="160" w:line="240" w:lineRule="auto"/>
        <w:jc w:val="both"/>
        <w:rPr>
          <w:rFonts w:ascii="Times New Roman" w:eastAsia="Calibri" w:hAnsi="Times New Roman" w:cs="Times New Roman"/>
          <w:noProof/>
          <w:sz w:val="24"/>
        </w:rPr>
      </w:pPr>
    </w:p>
    <w:tbl>
      <w:tblPr>
        <w:tblStyle w:val="TableGrid"/>
        <w:tblpPr w:leftFromText="180" w:rightFromText="180" w:vertAnchor="text" w:horzAnchor="margin" w:tblpY="2"/>
        <w:tblW w:w="9356" w:type="dxa"/>
        <w:tblLook w:val="04A0" w:firstRow="1" w:lastRow="0" w:firstColumn="1" w:lastColumn="0" w:noHBand="0" w:noVBand="1"/>
      </w:tblPr>
      <w:tblGrid>
        <w:gridCol w:w="9356"/>
      </w:tblGrid>
      <w:tr>
        <w:tc>
          <w:tcPr>
            <w:tcW w:w="9356" w:type="dxa"/>
          </w:tcPr>
          <w:p>
            <w:pPr>
              <w:keepNext/>
              <w:spacing w:after="120"/>
              <w:jc w:val="both"/>
              <w:rPr>
                <w:rFonts w:ascii="Times New Roman" w:eastAsia="Times New Roman" w:hAnsi="Times New Roman" w:cs="Times New Roman"/>
                <w:b/>
                <w:i/>
                <w:noProof/>
                <w:szCs w:val="20"/>
              </w:rPr>
            </w:pPr>
            <w:r>
              <w:rPr>
                <w:rFonts w:ascii="Times New Roman" w:hAnsi="Times New Roman"/>
                <w:b/>
                <w:i/>
                <w:noProof/>
                <w:szCs w:val="20"/>
              </w:rPr>
              <w:t xml:space="preserve">Либия </w:t>
            </w:r>
          </w:p>
          <w:p>
            <w:pPr>
              <w:spacing w:after="120"/>
              <w:jc w:val="both"/>
              <w:rPr>
                <w:rFonts w:ascii="Times New Roman" w:eastAsia="Calibri" w:hAnsi="Times New Roman" w:cs="Times New Roman"/>
                <w:noProof/>
                <w:spacing w:val="-4"/>
              </w:rPr>
            </w:pPr>
            <w:r>
              <w:rPr>
                <w:rFonts w:ascii="Times New Roman" w:hAnsi="Times New Roman"/>
                <w:noProof/>
                <w:spacing w:val="-4"/>
              </w:rPr>
              <w:t>Изпълненото с ожесточен конфликт десетилетие създаде сериозни миграционни предизвикателства в Либия, като мигрантите и бежанците са подложени на големи нарушения на правата на човека и пребивават в несигурни условия и вълна от контрабанда на мигранти поражда риск много хора да загубят живота си в морето. Осигурен е цялостен набор от действия, с които да се помогне на Либия да подобри своето управление на миграцията. Тя получи портфейл от 455 милиона евро подкрепа във връзка с миграцията по направлението „Северна Африка“ на Извънредния доверителен фонд за Африка. Действията на ЕС имат за цел закрила на нуждаещите се и борба с контрабандата на мигранти и с трафика на хора. Това включва:</w:t>
            </w:r>
          </w:p>
          <w:p>
            <w:pPr>
              <w:numPr>
                <w:ilvl w:val="0"/>
                <w:numId w:val="8"/>
              </w:numPr>
              <w:spacing w:after="120"/>
              <w:ind w:left="317" w:hanging="357"/>
              <w:jc w:val="both"/>
              <w:rPr>
                <w:rFonts w:ascii="Times New Roman" w:eastAsia="Calibri" w:hAnsi="Times New Roman" w:cs="Times New Roman"/>
                <w:noProof/>
                <w:sz w:val="24"/>
                <w:szCs w:val="24"/>
              </w:rPr>
            </w:pPr>
            <w:r>
              <w:rPr>
                <w:rFonts w:ascii="Times New Roman" w:hAnsi="Times New Roman"/>
                <w:noProof/>
              </w:rPr>
              <w:t>Работа с агенциите на ООН и международните неправителствени организации, за да се осигури закрила и да се потърсят алтернативи на задържането с цел да се отговори на нуждите на най-уязвимите, а именно децата, жените и жертвите на трафик или на насилие, основано на пола. Подкрепа се предоставя и за подобряване на условията на живот на бежанците и мигрантите, както и за приемащите ги общности.</w:t>
            </w:r>
          </w:p>
          <w:p>
            <w:pPr>
              <w:numPr>
                <w:ilvl w:val="0"/>
                <w:numId w:val="8"/>
              </w:numPr>
              <w:spacing w:after="120"/>
              <w:ind w:left="317" w:hanging="357"/>
              <w:jc w:val="both"/>
              <w:rPr>
                <w:rFonts w:ascii="Times New Roman" w:eastAsia="Calibri" w:hAnsi="Times New Roman" w:cs="Times New Roman"/>
                <w:noProof/>
              </w:rPr>
            </w:pPr>
            <w:r>
              <w:rPr>
                <w:rFonts w:ascii="Times New Roman" w:hAnsi="Times New Roman"/>
                <w:noProof/>
              </w:rPr>
              <w:t>Пряка помощ за лицата, които се нуждаят от международна закрила, като се създават законни пътища за миграция, включително презаселване. Благодарение на работата с ВКБООН и Африканския съюз около 6 379 уязвими бежанци и търсещи убежище лица са евакуирани от ноември 2017 г. насам. Механизмите за транзитно преминаване при кризисни ситуации улесняват евакуирането на най-уязвимите бежанци и търсещи убежище лица от Либия в Нигер и Руанда. Осигурен е достъп до определяне на статус на бежанец, до презаселване или дори до местна интеграция.</w:t>
            </w:r>
          </w:p>
          <w:p>
            <w:pPr>
              <w:numPr>
                <w:ilvl w:val="0"/>
                <w:numId w:val="8"/>
              </w:numPr>
              <w:spacing w:after="120"/>
              <w:ind w:left="317" w:hanging="357"/>
              <w:jc w:val="both"/>
              <w:rPr>
                <w:rFonts w:ascii="Times New Roman" w:eastAsia="Calibri" w:hAnsi="Times New Roman" w:cs="Times New Roman"/>
                <w:noProof/>
              </w:rPr>
            </w:pPr>
            <w:r>
              <w:rPr>
                <w:rFonts w:ascii="Times New Roman" w:hAnsi="Times New Roman"/>
                <w:noProof/>
              </w:rPr>
              <w:t xml:space="preserve">Подкрепа за мигрантите да се върнат доброволно и да се реинтегрират в своите държави на произход, като над 53 000 мигранти са се възползвали досега от програмата за доброволно връщане и реинтеграция. Работата на ЕС в Либия се основава и на съвместната работа, вършена посредством работната група на ЕС, Африканския съюз и ООН, която разглежда въпроси, свързани със закрилата, от 2017 г. насам. </w:t>
            </w:r>
          </w:p>
          <w:p>
            <w:pPr>
              <w:numPr>
                <w:ilvl w:val="0"/>
                <w:numId w:val="8"/>
              </w:numPr>
              <w:spacing w:after="120"/>
              <w:ind w:left="317" w:hanging="357"/>
              <w:jc w:val="both"/>
              <w:rPr>
                <w:rFonts w:ascii="Times New Roman" w:eastAsia="Calibri" w:hAnsi="Times New Roman" w:cs="Times New Roman"/>
                <w:noProof/>
              </w:rPr>
            </w:pPr>
            <w:r>
              <w:rPr>
                <w:rFonts w:ascii="Times New Roman" w:hAnsi="Times New Roman"/>
                <w:noProof/>
              </w:rPr>
              <w:t xml:space="preserve">работа с либийската брегова охрана, за да се противодейства на контрабандата на мигранти, да бъдат спасени човешки животи и да се осигури капацитет за управление на границите при спазване на правата на човека; </w:t>
            </w:r>
          </w:p>
          <w:p>
            <w:pPr>
              <w:numPr>
                <w:ilvl w:val="0"/>
                <w:numId w:val="8"/>
              </w:numPr>
              <w:spacing w:after="120"/>
              <w:ind w:left="317" w:hanging="357"/>
              <w:jc w:val="both"/>
              <w:rPr>
                <w:rFonts w:ascii="Times New Roman" w:eastAsia="Calibri" w:hAnsi="Times New Roman" w:cs="Times New Roman"/>
                <w:noProof/>
                <w:sz w:val="24"/>
                <w:szCs w:val="24"/>
              </w:rPr>
            </w:pPr>
            <w:r>
              <w:rPr>
                <w:rFonts w:ascii="Times New Roman" w:hAnsi="Times New Roman"/>
                <w:noProof/>
              </w:rPr>
              <w:t>инициативата „Екип Европа“, планирана за маршрута през Централното Средиземноморие, ще бъде от значение за постигането на напредък в работата по многобройните миграционни предизвикателства на Либия.</w:t>
            </w:r>
          </w:p>
        </w:tc>
      </w:tr>
    </w:tbl>
    <w:p>
      <w:pPr>
        <w:spacing w:before="120" w:after="120" w:line="240" w:lineRule="auto"/>
        <w:jc w:val="both"/>
        <w:rPr>
          <w:rFonts w:ascii="Times New Roman" w:eastAsia="Calibri" w:hAnsi="Times New Roman" w:cs="Times New Roman"/>
          <w:b/>
          <w:i/>
          <w:noProof/>
          <w:sz w:val="24"/>
          <w:szCs w:val="24"/>
        </w:rPr>
      </w:pPr>
      <w:r>
        <w:rPr>
          <w:rFonts w:ascii="Times New Roman" w:hAnsi="Times New Roman"/>
          <w:b/>
          <w:noProof/>
          <w:sz w:val="24"/>
          <w:szCs w:val="24"/>
        </w:rPr>
        <w:t>-</w:t>
      </w:r>
      <w:r>
        <w:rPr>
          <w:noProof/>
        </w:rPr>
        <w:tab/>
      </w:r>
      <w:r>
        <w:rPr>
          <w:rFonts w:ascii="Times New Roman" w:hAnsi="Times New Roman"/>
          <w:b/>
          <w:i/>
          <w:noProof/>
          <w:sz w:val="24"/>
          <w:szCs w:val="24"/>
        </w:rPr>
        <w:t xml:space="preserve">Насърчаване на сътрудничеството в областта на връщането, обратното приемане и реинтеграцията </w:t>
      </w:r>
    </w:p>
    <w:p>
      <w:pPr>
        <w:spacing w:after="160" w:line="240" w:lineRule="auto"/>
        <w:jc w:val="both"/>
        <w:rPr>
          <w:rFonts w:ascii="Times New Roman" w:eastAsia="Times New Roman" w:hAnsi="Times New Roman" w:cs="Times New Roman"/>
          <w:noProof/>
          <w:color w:val="000000"/>
          <w:sz w:val="24"/>
          <w:szCs w:val="24"/>
        </w:rPr>
      </w:pPr>
      <w:r>
        <w:rPr>
          <w:rFonts w:ascii="Times New Roman" w:hAnsi="Times New Roman"/>
          <w:noProof/>
          <w:sz w:val="24"/>
          <w:szCs w:val="24"/>
        </w:rPr>
        <w:t xml:space="preserve">Ефективните връщания, обратно приемане и реинтеграция </w:t>
      </w:r>
      <w:r>
        <w:rPr>
          <w:rFonts w:ascii="Times New Roman" w:hAnsi="Times New Roman"/>
          <w:noProof/>
          <w:color w:val="000000"/>
          <w:sz w:val="24"/>
          <w:szCs w:val="24"/>
        </w:rPr>
        <w:t>са важни елементи на цялостния подход към миграцията и убежището, изложен в Пакта, и имат принос за взаимноизгодните партньорства в областта на миграцията. Разширяването и подобряването на изпълнението на съществуващите споразумения</w:t>
      </w:r>
      <w:r>
        <w:rPr>
          <w:rFonts w:ascii="Times New Roman" w:eastAsia="Calibri" w:hAnsi="Times New Roman" w:cs="Times New Roman"/>
          <w:noProof/>
          <w:color w:val="000000"/>
          <w:sz w:val="24"/>
          <w:szCs w:val="24"/>
          <w:vertAlign w:val="superscript"/>
        </w:rPr>
        <w:footnoteReference w:id="29"/>
      </w:r>
      <w:r>
        <w:rPr>
          <w:rFonts w:ascii="Times New Roman" w:hAnsi="Times New Roman"/>
          <w:noProof/>
          <w:color w:val="000000"/>
          <w:sz w:val="24"/>
          <w:szCs w:val="24"/>
        </w:rPr>
        <w:t xml:space="preserve"> и договорености</w:t>
      </w:r>
      <w:r>
        <w:rPr>
          <w:rFonts w:ascii="Times New Roman" w:eastAsia="Calibri" w:hAnsi="Times New Roman" w:cs="Times New Roman"/>
          <w:noProof/>
          <w:color w:val="000000"/>
          <w:sz w:val="24"/>
          <w:szCs w:val="24"/>
          <w:vertAlign w:val="superscript"/>
        </w:rPr>
        <w:footnoteReference w:id="30"/>
      </w:r>
      <w:r>
        <w:rPr>
          <w:rFonts w:ascii="Times New Roman" w:hAnsi="Times New Roman"/>
          <w:noProof/>
          <w:color w:val="000000"/>
          <w:sz w:val="24"/>
          <w:szCs w:val="24"/>
        </w:rPr>
        <w:t xml:space="preserve"> на ЕС за обратно приемане са важна част от отношенията с ключовите партньори</w:t>
      </w:r>
      <w:r>
        <w:rPr>
          <w:rFonts w:ascii="Times New Roman" w:eastAsia="Times New Roman" w:hAnsi="Times New Roman" w:cs="Times New Roman"/>
          <w:noProof/>
          <w:color w:val="000000"/>
          <w:sz w:val="24"/>
          <w:szCs w:val="24"/>
          <w:vertAlign w:val="superscript"/>
        </w:rPr>
        <w:footnoteReference w:id="31"/>
      </w:r>
      <w:r>
        <w:rPr>
          <w:rFonts w:ascii="Times New Roman" w:hAnsi="Times New Roman"/>
          <w:noProof/>
          <w:color w:val="000000"/>
          <w:sz w:val="24"/>
          <w:szCs w:val="24"/>
        </w:rPr>
        <w:t xml:space="preserve">. </w:t>
      </w:r>
    </w:p>
    <w:p>
      <w:pPr>
        <w:spacing w:after="160" w:line="240" w:lineRule="auto"/>
        <w:jc w:val="both"/>
        <w:rPr>
          <w:rFonts w:ascii="Times New Roman" w:eastAsia="Calibri" w:hAnsi="Times New Roman" w:cs="Times New Roman"/>
          <w:noProof/>
        </w:rPr>
      </w:pPr>
      <w:r>
        <w:rPr>
          <w:rFonts w:ascii="Times New Roman" w:hAnsi="Times New Roman"/>
          <w:noProof/>
          <w:color w:val="000000"/>
          <w:sz w:val="24"/>
          <w:szCs w:val="24"/>
        </w:rPr>
        <w:t xml:space="preserve">На 10 февруари 2021 г. Комисията представи първия си </w:t>
      </w:r>
      <w:r>
        <w:rPr>
          <w:rFonts w:ascii="Times New Roman" w:hAnsi="Times New Roman"/>
          <w:b/>
          <w:noProof/>
          <w:color w:val="000000"/>
          <w:sz w:val="24"/>
          <w:szCs w:val="24"/>
        </w:rPr>
        <w:t>доклад за оценка относно нивото на сътрудничеството в областта на обратното приемане</w:t>
      </w:r>
      <w:r>
        <w:rPr>
          <w:rFonts w:ascii="Times New Roman" w:hAnsi="Times New Roman"/>
          <w:noProof/>
          <w:color w:val="000000"/>
          <w:sz w:val="24"/>
          <w:szCs w:val="24"/>
        </w:rPr>
        <w:t xml:space="preserve"> с партньорските държави съгласно Визовия кодекс, който доклад е за 2019 г. Целта е да се предложи, в рамките на текущия диалог с партньорите по този въпрос, структуриран подход за подобряване на сътрудничеството в областта на обратното приемане, когато са установени явни пропуски. През юли 2021 г. докладът беше последван от предложения до Съвета за приемане на конкретни временни мерки за визите за краткосрочно пребиваване, които да се прилагат по отношение на кандидатите за виза, които са граждани на Бангладеш, Ирак и Гамбия. Сега Съветът ще вземе решение по предложението на Комисията, като отчете развитието на сътрудничеството в областта на обратното приемане. С подкрепата на Frontex и въз основа на информацията, получена от държавите членки, понастоящем Комисията подготвя втория доклад за оценка на сътрудничеството в областта на обратното приемане през 2020 г. </w:t>
      </w:r>
    </w:p>
    <w:p>
      <w:pPr>
        <w:spacing w:after="160" w:line="240" w:lineRule="auto"/>
        <w:jc w:val="both"/>
        <w:rPr>
          <w:rFonts w:ascii="Times New Roman" w:eastAsia="Calibri" w:hAnsi="Times New Roman" w:cs="Times New Roman"/>
          <w:noProof/>
          <w:spacing w:val="-6"/>
        </w:rPr>
      </w:pPr>
      <w:r>
        <w:rPr>
          <w:rFonts w:ascii="Times New Roman" w:hAnsi="Times New Roman"/>
          <w:noProof/>
          <w:spacing w:val="-6"/>
          <w:sz w:val="24"/>
          <w:szCs w:val="24"/>
        </w:rPr>
        <w:t>През</w:t>
      </w:r>
      <w:r>
        <w:rPr>
          <w:rFonts w:ascii="Times New Roman" w:hAnsi="Times New Roman"/>
          <w:noProof/>
          <w:spacing w:val="-6"/>
        </w:rPr>
        <w:t xml:space="preserve"> </w:t>
      </w:r>
      <w:r>
        <w:rPr>
          <w:rFonts w:ascii="Times New Roman" w:hAnsi="Times New Roman"/>
          <w:noProof/>
          <w:spacing w:val="-6"/>
          <w:sz w:val="24"/>
          <w:szCs w:val="24"/>
        </w:rPr>
        <w:t xml:space="preserve">април 2021 г. Комисията прие </w:t>
      </w:r>
      <w:r>
        <w:rPr>
          <w:rFonts w:ascii="Times New Roman" w:hAnsi="Times New Roman"/>
          <w:b/>
          <w:noProof/>
          <w:spacing w:val="-6"/>
          <w:sz w:val="24"/>
          <w:szCs w:val="24"/>
        </w:rPr>
        <w:t>Стратегията на ЕС за доброволното връщане и реинтеграцията</w:t>
      </w:r>
      <w:r>
        <w:rPr>
          <w:rFonts w:ascii="Times New Roman" w:eastAsia="Calibri" w:hAnsi="Times New Roman" w:cs="Times New Roman"/>
          <w:noProof/>
          <w:spacing w:val="-6"/>
          <w:sz w:val="24"/>
          <w:szCs w:val="24"/>
          <w:vertAlign w:val="superscript"/>
        </w:rPr>
        <w:footnoteReference w:id="32"/>
      </w:r>
      <w:r>
        <w:rPr>
          <w:rFonts w:ascii="Times New Roman" w:hAnsi="Times New Roman"/>
          <w:noProof/>
          <w:spacing w:val="-6"/>
          <w:sz w:val="24"/>
          <w:szCs w:val="24"/>
        </w:rPr>
        <w:t xml:space="preserve">, за да се подобрят ефективността, координацията и въздействието на програмите на ЕС и на националните програми в тази област. В стратегията се посочват практически мерки за подсилване на правната и оперативната рамка за доброволните връщания от Европа и от държавите на транзитно преминаване, за подобряване на качеството на програмите за връщане и устойчива реинтеграция, за създаване на по-добри връзки с инициативите за развитие и за засилване на сътрудничеството с партньорските държави. В контекста на изпълнението на тази стратегия Frontex постигна добър напредък в привеждането в действие на своя мандат във връзка с реинтеграцията, като работи с държавите членки, за да пусне в ход своите пилотни съвместни услуги за реинтеграция в няколко трети държави през май 2021 г., като по този начин създаде възможност прехвърлянето на дейностите от Европейската мрежа за връщане и реинтеграция да приключи през юни 2022 г. </w:t>
      </w:r>
    </w:p>
    <w:p>
      <w:pPr>
        <w:spacing w:after="160" w:line="240" w:lineRule="auto"/>
        <w:jc w:val="both"/>
        <w:rPr>
          <w:rFonts w:ascii="Times New Roman" w:eastAsia="Calibri" w:hAnsi="Times New Roman" w:cs="Times New Roman"/>
          <w:noProof/>
          <w:spacing w:val="-6"/>
          <w:sz w:val="24"/>
          <w:szCs w:val="24"/>
        </w:rPr>
      </w:pPr>
      <w:r>
        <w:rPr>
          <w:rFonts w:ascii="Times New Roman" w:hAnsi="Times New Roman"/>
          <w:noProof/>
          <w:spacing w:val="-6"/>
          <w:sz w:val="24"/>
          <w:szCs w:val="24"/>
        </w:rPr>
        <w:t xml:space="preserve">Работата в тази област обхваща не само връщанията от ЕС в трети държави, но и подкрепата за връщанията от държавите на транзитно преминаване, разположени по миграционните маршрути, в държавите на произход. Важен пример за този вид работа е </w:t>
      </w:r>
      <w:r>
        <w:rPr>
          <w:rFonts w:ascii="Times New Roman" w:hAnsi="Times New Roman"/>
          <w:b/>
          <w:noProof/>
          <w:spacing w:val="-6"/>
          <w:sz w:val="24"/>
          <w:szCs w:val="24"/>
        </w:rPr>
        <w:t>съвместната инициатива на ЕС и МОМ.</w:t>
      </w:r>
      <w:r>
        <w:rPr>
          <w:rFonts w:ascii="Times New Roman" w:hAnsi="Times New Roman"/>
          <w:noProof/>
          <w:spacing w:val="-6"/>
          <w:sz w:val="24"/>
          <w:szCs w:val="24"/>
        </w:rPr>
        <w:t xml:space="preserve"> От май 2017 г. до април 2021 г. по тази инициатива е подпомогната помощта, оказана на над 50 000 мигранти, които са спасени или прихванати в морето или в пустинята. Освен това над 95 000 мигранти са се върнали доброволно, предимно от Либия и Нигер, както и от Мали и Джибути. В държавите на произход по тази съвместна инициатива вече е предоставена подкрепа от ЕС за реинтегрирането на над 112 000 мигранти.</w:t>
      </w:r>
    </w:p>
    <w:p>
      <w:pPr>
        <w:numPr>
          <w:ilvl w:val="0"/>
          <w:numId w:val="9"/>
        </w:numPr>
        <w:spacing w:after="160" w:line="240" w:lineRule="auto"/>
        <w:contextualSpacing/>
        <w:rPr>
          <w:rFonts w:ascii="Times New Roman" w:eastAsia="Calibri" w:hAnsi="Times New Roman" w:cs="Times New Roman"/>
          <w:b/>
          <w:i/>
          <w:noProof/>
          <w:sz w:val="24"/>
          <w:szCs w:val="24"/>
        </w:rPr>
      </w:pPr>
      <w:r>
        <w:rPr>
          <w:rFonts w:ascii="Times New Roman" w:hAnsi="Times New Roman"/>
          <w:b/>
          <w:i/>
          <w:noProof/>
          <w:sz w:val="24"/>
          <w:szCs w:val="24"/>
        </w:rPr>
        <w:t>Развиване на законните пътища за миграция към Европа</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Подкрепянето на законните пътища за миграция е друг ключов стълб на работата с външните партньори. Това не е нов приоритет за ЕС: от 2015 г. насам над 81 000 души са получили закрила в ЕС чрез </w:t>
      </w:r>
      <w:r>
        <w:rPr>
          <w:rFonts w:ascii="Times New Roman" w:hAnsi="Times New Roman"/>
          <w:b/>
          <w:bCs/>
          <w:noProof/>
          <w:sz w:val="24"/>
          <w:szCs w:val="24"/>
        </w:rPr>
        <w:t>презаселване</w:t>
      </w:r>
      <w:r>
        <w:rPr>
          <w:rFonts w:ascii="Times New Roman" w:hAnsi="Times New Roman"/>
          <w:noProof/>
          <w:sz w:val="24"/>
          <w:szCs w:val="24"/>
        </w:rPr>
        <w:t xml:space="preserve">. Въпреки смущенията, причинени от пандемията, между януари 2020 г. и юни 2021 г. държавите членки са презаселили приблизително 13 500 нуждаещи се от закрила лица. На 11-ия форум по въпросите на презаселването, хуманитарното приемане и допълнителните пътища, проведен през юли 2021 г., Комисията прикани държавите членки да поемат ангажименти за следващата специална програма за презаселване през 2022 г. На форума на високо равнище, организиран за първи път с участието на министри от Канада и САЩ, бе постигнато съгласие за засилване на съвместните усилия за презаселване. ЕС участва също в работата на Г-7 за сътрудничество, включително със съседните и други държави в региона, приемащи бежанци, по </w:t>
      </w:r>
      <w:r>
        <w:rPr>
          <w:rFonts w:ascii="Times New Roman" w:hAnsi="Times New Roman"/>
          <w:noProof/>
          <w:color w:val="000000"/>
          <w:sz w:val="24"/>
          <w:szCs w:val="24"/>
          <w:shd w:val="clear" w:color="auto" w:fill="FFFFFF"/>
        </w:rPr>
        <w:t xml:space="preserve">координиран подход за безопасни и законни пътища за презаселване. </w:t>
      </w:r>
      <w:r>
        <w:rPr>
          <w:rFonts w:ascii="Times New Roman" w:hAnsi="Times New Roman"/>
          <w:noProof/>
        </w:rPr>
        <w:t>Форумът на високо равнище на ЕС, съсредоточен върху предоставянето на закрила на афганистанците, изложени на риск, който ще се проведе през октомври, е важна възможност за определяне на приноса към пакета за подкрепа на Афганистан от гледна точка на презаселването и други безопасни и законни пътища за достъп до закрила като алтернативи на незаконната миграция за най-нуждаещите се от закрила афганистанци.</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съответствие с </w:t>
      </w:r>
      <w:r>
        <w:rPr>
          <w:rFonts w:ascii="Times New Roman" w:hAnsi="Times New Roman"/>
          <w:b/>
          <w:noProof/>
          <w:sz w:val="24"/>
          <w:szCs w:val="24"/>
        </w:rPr>
        <w:t>препоръката на Комисията относно законните пътища за достъп до закрила</w:t>
      </w:r>
      <w:r>
        <w:rPr>
          <w:rFonts w:ascii="Times New Roman" w:hAnsi="Times New Roman"/>
          <w:noProof/>
          <w:sz w:val="24"/>
          <w:szCs w:val="24"/>
        </w:rPr>
        <w:t xml:space="preserve"> в ЕС</w:t>
      </w:r>
      <w:r>
        <w:rPr>
          <w:rFonts w:ascii="Times New Roman" w:eastAsia="Calibri" w:hAnsi="Times New Roman" w:cs="Times New Roman"/>
          <w:noProof/>
          <w:sz w:val="24"/>
          <w:szCs w:val="24"/>
          <w:vertAlign w:val="superscript"/>
        </w:rPr>
        <w:footnoteReference w:id="33"/>
      </w:r>
      <w:r>
        <w:rPr>
          <w:rFonts w:ascii="Times New Roman" w:hAnsi="Times New Roman"/>
          <w:noProof/>
          <w:sz w:val="24"/>
          <w:szCs w:val="24"/>
        </w:rPr>
        <w:t>, Комисията започна информационна дейност, за да насърчи допълнителни пътища, свързани с учене и работа, в допълнение към презаселването. Шест проекта за допълнителни пътища са избрани за финансиране с цел насърчаване на приемането на бежанци и изграждане на капацитет в държавите членки</w:t>
      </w:r>
      <w:r>
        <w:rPr>
          <w:rFonts w:ascii="Times New Roman" w:eastAsia="Calibri" w:hAnsi="Times New Roman" w:cs="Times New Roman"/>
          <w:noProof/>
          <w:sz w:val="24"/>
          <w:szCs w:val="24"/>
          <w:vertAlign w:val="superscript"/>
        </w:rPr>
        <w:footnoteReference w:id="34"/>
      </w:r>
      <w:r>
        <w:rPr>
          <w:rFonts w:ascii="Times New Roman" w:hAnsi="Times New Roman"/>
          <w:noProof/>
          <w:sz w:val="24"/>
          <w:szCs w:val="24"/>
        </w:rPr>
        <w:t xml:space="preserve">. EASO работи по европейски подход към общностното спонсориране, за да помогне на държавите членки да разгърнат или разширят схемите за общностно спонсориране с цел да се даде на гражданското общество и общностите по-структурирана роля при приемането и интегрирането на бежанци. </w:t>
      </w:r>
    </w:p>
    <w:p>
      <w:pPr>
        <w:spacing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областта на </w:t>
      </w:r>
      <w:r>
        <w:rPr>
          <w:rFonts w:ascii="Times New Roman" w:hAnsi="Times New Roman"/>
          <w:b/>
          <w:noProof/>
          <w:sz w:val="24"/>
          <w:szCs w:val="24"/>
        </w:rPr>
        <w:t>законната миграция</w:t>
      </w:r>
      <w:r>
        <w:rPr>
          <w:rFonts w:ascii="Times New Roman" w:hAnsi="Times New Roman"/>
          <w:noProof/>
          <w:sz w:val="24"/>
          <w:szCs w:val="24"/>
        </w:rPr>
        <w:t xml:space="preserve"> са в ход редица пилотни проекти за проучване на възможностите за целенасочена трудова миграция в интерес на държавите членки и партньорите, главно в Северна Африка</w:t>
      </w:r>
      <w:r>
        <w:rPr>
          <w:rFonts w:ascii="Times New Roman" w:eastAsia="Calibri" w:hAnsi="Times New Roman" w:cs="Times New Roman"/>
          <w:noProof/>
          <w:sz w:val="24"/>
          <w:szCs w:val="24"/>
          <w:vertAlign w:val="superscript"/>
        </w:rPr>
        <w:footnoteReference w:id="35"/>
      </w:r>
      <w:r>
        <w:rPr>
          <w:rFonts w:ascii="Times New Roman" w:hAnsi="Times New Roman"/>
          <w:noProof/>
          <w:sz w:val="24"/>
          <w:szCs w:val="24"/>
        </w:rPr>
        <w:t>. Този опит ще бъде от полза на партньорствата в подкрепа на талантите.</w:t>
      </w:r>
    </w:p>
    <w:p>
      <w:pPr>
        <w:spacing w:before="240" w:after="160" w:line="240" w:lineRule="auto"/>
        <w:jc w:val="both"/>
        <w:rPr>
          <w:rFonts w:ascii="Times New Roman" w:eastAsia="Calibri" w:hAnsi="Times New Roman" w:cs="Times New Roman"/>
          <w:b/>
          <w:i/>
          <w:noProof/>
          <w:sz w:val="24"/>
          <w:szCs w:val="24"/>
        </w:rPr>
      </w:pPr>
      <w:r>
        <w:rPr>
          <w:rFonts w:ascii="Times New Roman" w:hAnsi="Times New Roman"/>
          <w:b/>
          <w:i/>
          <w:noProof/>
          <w:sz w:val="24"/>
          <w:szCs w:val="24"/>
        </w:rPr>
        <w:t>Нови финансови и оперативни инструменти</w:t>
      </w:r>
    </w:p>
    <w:p>
      <w:pPr>
        <w:numPr>
          <w:ilvl w:val="0"/>
          <w:numId w:val="9"/>
        </w:numPr>
        <w:spacing w:after="160" w:line="240" w:lineRule="auto"/>
        <w:contextualSpacing/>
        <w:jc w:val="both"/>
        <w:rPr>
          <w:rFonts w:ascii="Times New Roman" w:eastAsia="Calibri" w:hAnsi="Times New Roman" w:cs="Times New Roman"/>
          <w:b/>
          <w:i/>
          <w:noProof/>
          <w:sz w:val="24"/>
          <w:szCs w:val="24"/>
        </w:rPr>
      </w:pPr>
      <w:r>
        <w:rPr>
          <w:rFonts w:ascii="Times New Roman" w:hAnsi="Times New Roman"/>
          <w:b/>
          <w:i/>
          <w:noProof/>
          <w:sz w:val="24"/>
          <w:szCs w:val="24"/>
        </w:rPr>
        <w:t>Борба с контрабандата на</w:t>
      </w:r>
      <w:r>
        <w:rPr>
          <w:rFonts w:ascii="Times New Roman" w:hAnsi="Times New Roman"/>
          <w:b/>
          <w:bCs/>
          <w:i/>
          <w:iCs/>
          <w:noProof/>
          <w:sz w:val="24"/>
          <w:szCs w:val="24"/>
        </w:rPr>
        <w:t xml:space="preserve"> мигранти</w:t>
      </w:r>
      <w:r>
        <w:rPr>
          <w:rFonts w:ascii="Times New Roman" w:hAnsi="Times New Roman"/>
          <w:b/>
          <w:i/>
          <w:noProof/>
          <w:sz w:val="24"/>
          <w:szCs w:val="24"/>
        </w:rPr>
        <w:t xml:space="preserve"> и </w:t>
      </w:r>
      <w:r>
        <w:rPr>
          <w:rFonts w:ascii="Times New Roman" w:hAnsi="Times New Roman"/>
          <w:b/>
          <w:bCs/>
          <w:i/>
          <w:iCs/>
          <w:noProof/>
          <w:sz w:val="24"/>
          <w:szCs w:val="24"/>
        </w:rPr>
        <w:t xml:space="preserve">противодействие на </w:t>
      </w:r>
      <w:r>
        <w:rPr>
          <w:rFonts w:ascii="Times New Roman" w:hAnsi="Times New Roman"/>
          <w:b/>
          <w:i/>
          <w:noProof/>
          <w:sz w:val="24"/>
          <w:szCs w:val="24"/>
        </w:rPr>
        <w:t>факторите, стимулиращи незаконната миграция</w:t>
      </w:r>
    </w:p>
    <w:p>
      <w:pPr>
        <w:spacing w:after="160" w:line="240" w:lineRule="auto"/>
        <w:jc w:val="both"/>
        <w:rPr>
          <w:rFonts w:ascii="Times New Roman" w:eastAsia="Calibri" w:hAnsi="Times New Roman" w:cs="Times New Roman"/>
          <w:noProof/>
          <w:spacing w:val="-6"/>
          <w:sz w:val="24"/>
          <w:szCs w:val="24"/>
        </w:rPr>
      </w:pPr>
      <w:r>
        <w:rPr>
          <w:rFonts w:ascii="Times New Roman" w:hAnsi="Times New Roman"/>
          <w:noProof/>
          <w:spacing w:val="-6"/>
          <w:sz w:val="24"/>
          <w:szCs w:val="24"/>
        </w:rPr>
        <w:t xml:space="preserve">Днес Комисията приема обновен </w:t>
      </w:r>
      <w:r>
        <w:rPr>
          <w:rFonts w:ascii="Times New Roman" w:hAnsi="Times New Roman"/>
          <w:b/>
          <w:noProof/>
          <w:spacing w:val="-6"/>
          <w:sz w:val="24"/>
          <w:szCs w:val="24"/>
        </w:rPr>
        <w:t>план за действие на ЕС срещу контрабандата на мигранти за периода 2021—2025 г.</w:t>
      </w:r>
      <w:r>
        <w:rPr>
          <w:rFonts w:ascii="Times New Roman" w:eastAsia="Calibri" w:hAnsi="Times New Roman" w:cs="Times New Roman"/>
          <w:noProof/>
          <w:spacing w:val="-6"/>
          <w:sz w:val="24"/>
          <w:szCs w:val="24"/>
          <w:vertAlign w:val="superscript"/>
        </w:rPr>
        <w:footnoteReference w:id="36"/>
      </w:r>
      <w:r>
        <w:rPr>
          <w:rFonts w:ascii="Times New Roman" w:hAnsi="Times New Roman"/>
          <w:noProof/>
          <w:spacing w:val="-6"/>
          <w:sz w:val="24"/>
          <w:szCs w:val="24"/>
        </w:rPr>
        <w:t xml:space="preserve">, който набелязва действия за борба с контрабандата и за защита на основните права на мигрантите, като се опира на важната работа по борбата с контрабандата, която вече е в ход, и отговаря на новите предизвикателства, включително използването на миграцията за политически цели. Комисията ще работи съвместно с партньорските държави за създаването на съобразени с нуждите оперативни партньорства за борба с контрабандата като важна част от всеобхватните партньорства по линия на Новия пакт. Перспективата за заетост, дори незаконна заетост, е ключов фактор, който стимулира незаконната миграция. В съответствие с Новия пакт Комисията обяви, че ще прецени как да се засили ефективността на </w:t>
      </w:r>
      <w:r>
        <w:rPr>
          <w:rFonts w:ascii="Times New Roman" w:hAnsi="Times New Roman"/>
          <w:b/>
          <w:bCs/>
          <w:noProof/>
          <w:spacing w:val="-6"/>
          <w:sz w:val="24"/>
          <w:szCs w:val="24"/>
        </w:rPr>
        <w:t>Директивата</w:t>
      </w:r>
      <w:r>
        <w:rPr>
          <w:rFonts w:ascii="Times New Roman" w:hAnsi="Times New Roman"/>
          <w:b/>
          <w:noProof/>
          <w:spacing w:val="-6"/>
          <w:sz w:val="24"/>
          <w:szCs w:val="24"/>
        </w:rPr>
        <w:t xml:space="preserve"> относно санкциите срещу работодателите</w:t>
      </w:r>
      <w:r>
        <w:rPr>
          <w:rFonts w:ascii="Times New Roman" w:hAnsi="Times New Roman"/>
          <w:noProof/>
          <w:spacing w:val="-6"/>
          <w:sz w:val="24"/>
          <w:szCs w:val="24"/>
        </w:rPr>
        <w:t>, а в съобщение,</w:t>
      </w:r>
      <w:r>
        <w:rPr>
          <w:rFonts w:ascii="Times New Roman" w:eastAsia="Times New Roman" w:hAnsi="Times New Roman" w:cs="Times New Roman"/>
          <w:bCs/>
          <w:noProof/>
          <w:spacing w:val="-6"/>
          <w:sz w:val="24"/>
          <w:szCs w:val="24"/>
          <w:vertAlign w:val="superscript"/>
        </w:rPr>
        <w:footnoteReference w:id="37"/>
      </w:r>
      <w:r>
        <w:rPr>
          <w:rFonts w:ascii="Times New Roman" w:hAnsi="Times New Roman"/>
          <w:noProof/>
          <w:spacing w:val="-6"/>
          <w:sz w:val="24"/>
          <w:szCs w:val="24"/>
        </w:rPr>
        <w:t xml:space="preserve"> прието днес, се предлага начин за засилване на изпълнението, като се акцентира върху санкциите срещу работодателите, мерките за защита на правата на незаконните мигранти и извършването на проверки.</w:t>
      </w:r>
    </w:p>
    <w:p>
      <w:pPr>
        <w:numPr>
          <w:ilvl w:val="0"/>
          <w:numId w:val="9"/>
        </w:numPr>
        <w:spacing w:after="160" w:line="240" w:lineRule="auto"/>
        <w:contextualSpacing/>
        <w:jc w:val="both"/>
        <w:rPr>
          <w:rFonts w:ascii="Times New Roman" w:eastAsia="Calibri" w:hAnsi="Times New Roman" w:cs="Times New Roman"/>
          <w:i/>
          <w:noProof/>
          <w:sz w:val="24"/>
          <w:szCs w:val="24"/>
        </w:rPr>
      </w:pPr>
      <w:r>
        <w:rPr>
          <w:rFonts w:ascii="Times New Roman" w:hAnsi="Times New Roman"/>
          <w:b/>
          <w:i/>
          <w:noProof/>
          <w:sz w:val="24"/>
          <w:szCs w:val="24"/>
        </w:rPr>
        <w:t>Партньорства в подкрепа на талантите</w:t>
      </w:r>
      <w:r>
        <w:rPr>
          <w:rFonts w:ascii="Times New Roman" w:hAnsi="Times New Roman"/>
          <w:i/>
          <w:noProof/>
          <w:sz w:val="24"/>
          <w:szCs w:val="24"/>
        </w:rPr>
        <w:t xml:space="preserve"> </w:t>
      </w:r>
    </w:p>
    <w:p>
      <w:pPr>
        <w:spacing w:after="160" w:line="240" w:lineRule="auto"/>
        <w:jc w:val="both"/>
        <w:rPr>
          <w:rFonts w:ascii="Times New Roman" w:eastAsia="Times New Roman" w:hAnsi="Times New Roman" w:cs="Times New Roman"/>
          <w:noProof/>
          <w:spacing w:val="-6"/>
          <w:sz w:val="24"/>
          <w:szCs w:val="24"/>
        </w:rPr>
      </w:pPr>
      <w:r>
        <w:rPr>
          <w:rFonts w:ascii="Times New Roman" w:hAnsi="Times New Roman"/>
          <w:noProof/>
          <w:spacing w:val="-6"/>
          <w:sz w:val="24"/>
          <w:szCs w:val="24"/>
        </w:rPr>
        <w:t>Партньорствата в подкрепа на талантите, стартирани на конференция на високо равнище на 11 юни, могат да помогнат на ЕС да действа стратегически за изграждане на силни, балансирани, взаимноизгодни партньорства в областта на миграцията с ключови партньорски държави, като същевременно привлича талантите, от които Европа се нуждае. С тези партньорства ще се осигури всеобхватна рамка на политиката и на финансирането, за да се постигне по-голямо съответствие между уменията и нуждите на ЕС и целевите партньорски държави, като се обединят инструментите на ЕС и на държавите членки за сътрудничество в областта на законната миграция и мобилността. Комисията ще работи с държавите членки и работодателите, социалните партньори и образователните агенции, за да стартира първите партньорства в подкрепа на талантите, като използва за основа съществуващия опит с някои северноафриканските държави, а при интерес от страна на държавите членки могат да последват допълнителни партньорства в подкрепа на талантите и на други места.</w:t>
      </w:r>
    </w:p>
    <w:p>
      <w:pPr>
        <w:numPr>
          <w:ilvl w:val="0"/>
          <w:numId w:val="9"/>
        </w:numPr>
        <w:spacing w:after="160" w:line="240" w:lineRule="auto"/>
        <w:contextualSpacing/>
        <w:jc w:val="both"/>
        <w:rPr>
          <w:rFonts w:ascii="Times New Roman" w:eastAsia="Calibri" w:hAnsi="Times New Roman" w:cs="Times New Roman"/>
          <w:b/>
          <w:i/>
          <w:noProof/>
          <w:sz w:val="24"/>
          <w:szCs w:val="24"/>
        </w:rPr>
      </w:pPr>
      <w:r>
        <w:rPr>
          <w:rFonts w:ascii="Times New Roman" w:hAnsi="Times New Roman"/>
          <w:b/>
          <w:i/>
          <w:noProof/>
          <w:sz w:val="24"/>
          <w:szCs w:val="24"/>
        </w:rPr>
        <w:t xml:space="preserve">Инициативите „Екип Европа“ </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„Екип Европа“ се състои от ЕС, неговите държави членки, ЕИБ и ЕБВР и има за цел да засили координацията, съгласуваността и взаимното допълване на действията, за да се увеличи въздействието на ЕС. Включените в програмирането на финансирането от ЕС национални и многонационални инициативи „Екип Европа“ могат да ангажират държавите членки в изпълнението на приоритетите на ЕС от гледна точка на миграционната политика. Понастоящем се разработват две многонационални инициативи „Екип Европа“ в областта на миграцията — една за маршрута през Западното Средиземноморие и за атлантическия маршрут въз основа на предложение, направено от Испания, а другата за маршрута през Централното Средиземноморие, предложена от Италия и Франция. Трета инициатива е предложена от Комисията в отговор на кризата с разселването в региона на Афганистан.</w:t>
      </w:r>
    </w:p>
    <w:p>
      <w:pPr>
        <w:numPr>
          <w:ilvl w:val="0"/>
          <w:numId w:val="9"/>
        </w:numPr>
        <w:spacing w:after="160" w:line="240" w:lineRule="auto"/>
        <w:contextualSpacing/>
        <w:rPr>
          <w:rFonts w:ascii="Times New Roman" w:eastAsia="Calibri" w:hAnsi="Times New Roman" w:cs="Times New Roman"/>
          <w:b/>
          <w:bCs/>
          <w:i/>
          <w:noProof/>
          <w:sz w:val="24"/>
          <w:szCs w:val="24"/>
        </w:rPr>
      </w:pPr>
      <w:r>
        <w:rPr>
          <w:rFonts w:ascii="Times New Roman" w:hAnsi="Times New Roman"/>
          <w:b/>
          <w:bCs/>
          <w:i/>
          <w:noProof/>
          <w:sz w:val="24"/>
          <w:szCs w:val="24"/>
        </w:rPr>
        <w:t>Финансиране</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 Регламента за създаване на Инструмента за съседство, сътрудничество за развитие и международно сътрудничество — Глобална Европа е посочено, че индикативно 10 % от общия финансов пакет на стойност 79,8 милиарда евро следва да бъдат предназначени специално за действия, свързани с миграцията, в трети държави. В него се определят ключови цели</w:t>
      </w:r>
      <w:r>
        <w:rPr>
          <w:rFonts w:ascii="Times New Roman" w:hAnsi="Times New Roman" w:cs="Times New Roman"/>
          <w:noProof/>
          <w:vertAlign w:val="superscript"/>
        </w:rPr>
        <w:footnoteReference w:id="38"/>
      </w:r>
      <w:r>
        <w:rPr>
          <w:rFonts w:ascii="Times New Roman" w:hAnsi="Times New Roman"/>
          <w:noProof/>
          <w:sz w:val="24"/>
          <w:szCs w:val="24"/>
        </w:rPr>
        <w:t xml:space="preserve"> и конкретните области на сътрудничество и намеса, които ще бъдат обхванати. В ход е подготвянето на националните, регионалните и тематичните многогодишни индикативни програми (МИП), които следва да бъдат готови до края на годината. Това ще даде също възможност да бъдат взети решения за първите действия преди края на 2021 г. През ноември Комисията ще докладва за начина, по който възнамерява да използва индикативните 10 % средства, отпуснати за миграцията, както поиска от нея Европейският съвет.  </w:t>
      </w:r>
    </w:p>
    <w:p>
      <w:pPr>
        <w:spacing w:after="120" w:line="240" w:lineRule="auto"/>
        <w:jc w:val="both"/>
        <w:rPr>
          <w:rFonts w:ascii="Times New Roman" w:eastAsia="Calibri" w:hAnsi="Times New Roman" w:cs="Times New Roman"/>
          <w:noProof/>
          <w:spacing w:val="-4"/>
          <w:sz w:val="24"/>
          <w:szCs w:val="24"/>
        </w:rPr>
      </w:pPr>
      <w:r>
        <w:rPr>
          <w:rFonts w:ascii="Times New Roman" w:hAnsi="Times New Roman"/>
          <w:noProof/>
          <w:spacing w:val="-4"/>
          <w:sz w:val="24"/>
          <w:szCs w:val="24"/>
        </w:rPr>
        <w:t>Подготовката досега означава, че на миграцията и принудителното разселване ще бъде отредена важна роля в документите за програмиране и те ще се считат за приоритетна област на действие в националните МИП, изготвени за ключовите държави от интерес за ЕС, с които ЕС иска да взаимодейства. Когато миграцията и принудителното разселване не са определени като приоритет на национално равнище, такива дейности ще бъдат включени в други приоритетни области на дейност. Миграцията ще има видно присъствие и във всички регионални МИП, особено в тези, които обхващат Африка на юг от Сахара, Азия и южните съседни на ЕС държави. Те ще включват специални програми за няколко държави от региона, като обхващат например миграционните маршрути или областите, в които държавите са изправени пред сходни предизвикателства. С регионалните МИП ще може да се осигури и допълнително финансиране за конкретни държави въз основа на гъвкав подход, който може също да стимулира взаимодействието и партньорството с ЕС. Някои действия в областта на миграцията и принудителното разселване ще бъдат изпълнявани съвместно под формата на инициативи „Екип Европа“, като се обединят усилията на ЕС и държавите членки. На всички миграционни пътища ще бъде обърнато необходимото внимание и финансирането ще съответства на по-големите амбиции и на равнището на предизвикателствата пред миграционната политика на ЕС. За областта на съседството може да се очаква инвестициите в областта на миграцията да надхвърлят индикативните 10 %, посочени в Инструмента за съседство, сътрудничество за развитие и международно сътрудничество — Глобална Европа.</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Бъдещите миграционни програми в държавите на предприсъединителен етап, финансирани по </w:t>
      </w:r>
      <w:r>
        <w:rPr>
          <w:rFonts w:ascii="Times New Roman" w:hAnsi="Times New Roman"/>
          <w:b/>
          <w:noProof/>
          <w:sz w:val="24"/>
          <w:szCs w:val="24"/>
        </w:rPr>
        <w:t>Инструмента за предприсъединителна помощ (ИПП</w:t>
      </w:r>
      <w:r>
        <w:rPr>
          <w:rFonts w:ascii="Times New Roman" w:hAnsi="Times New Roman"/>
          <w:b/>
          <w:bCs/>
          <w:noProof/>
          <w:sz w:val="24"/>
          <w:szCs w:val="24"/>
        </w:rPr>
        <w:t> </w:t>
      </w:r>
      <w:r>
        <w:rPr>
          <w:rFonts w:ascii="Times New Roman" w:hAnsi="Times New Roman"/>
          <w:b/>
          <w:noProof/>
          <w:sz w:val="24"/>
          <w:szCs w:val="24"/>
        </w:rPr>
        <w:t>III)</w:t>
      </w:r>
      <w:r>
        <w:rPr>
          <w:rFonts w:ascii="Times New Roman" w:hAnsi="Times New Roman"/>
          <w:noProof/>
          <w:sz w:val="24"/>
          <w:szCs w:val="24"/>
        </w:rPr>
        <w:t>, ще бъдат реализирани и чрез двустранни и регионални програми. Планираните действия в Западните Балкани ще продължат да укрепват управлението на миграцията и системите за убежище, както и управлението на границите. Ще трябва да продължи да се следи ситуацията във връзка с приемането в Босна и Херцеговина.</w:t>
      </w:r>
    </w:p>
    <w:p>
      <w:pPr>
        <w:numPr>
          <w:ilvl w:val="0"/>
          <w:numId w:val="7"/>
        </w:numPr>
        <w:spacing w:before="360" w:after="160" w:line="240" w:lineRule="auto"/>
        <w:ind w:left="714" w:hanging="357"/>
        <w:jc w:val="both"/>
        <w:rPr>
          <w:rFonts w:ascii="Times New Roman" w:eastAsia="Calibri" w:hAnsi="Times New Roman" w:cs="Times New Roman"/>
          <w:b/>
          <w:noProof/>
          <w:sz w:val="24"/>
          <w:szCs w:val="24"/>
        </w:rPr>
      </w:pPr>
      <w:r>
        <w:rPr>
          <w:rFonts w:ascii="Times New Roman" w:hAnsi="Times New Roman"/>
          <w:b/>
          <w:noProof/>
          <w:sz w:val="24"/>
          <w:szCs w:val="24"/>
        </w:rPr>
        <w:t>ИНТЕГРАЦИЯ И ПРИОБЩАВАНЕ</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ЕС се стремеше също да подкрепя държавите членки в справянето с важното предизвикателство, </w:t>
      </w:r>
      <w:r>
        <w:rPr>
          <w:rFonts w:ascii="Times New Roman" w:hAnsi="Times New Roman"/>
          <w:b/>
          <w:noProof/>
          <w:sz w:val="24"/>
          <w:szCs w:val="24"/>
        </w:rPr>
        <w:t>свързано с интегрирането на мигранти и граждани на ЕС с мигрантски произход</w:t>
      </w:r>
      <w:r>
        <w:rPr>
          <w:rFonts w:ascii="Times New Roman" w:hAnsi="Times New Roman"/>
          <w:noProof/>
          <w:sz w:val="24"/>
          <w:szCs w:val="24"/>
        </w:rPr>
        <w:t>. Ефективните политики за интеграция подпомагат доброто управление на миграцията и са също ключов елемент на социалната политика на ЕС чрез Европейския стълб на социалните права, в който се подчертава, че подобряването на положението на хората с мигрантски произход ще бъде от ключово значение за постигането на определените в него цели</w:t>
      </w:r>
      <w:r>
        <w:rPr>
          <w:rFonts w:ascii="Times New Roman" w:eastAsia="Calibri" w:hAnsi="Times New Roman" w:cs="Times New Roman"/>
          <w:noProof/>
          <w:sz w:val="24"/>
          <w:szCs w:val="24"/>
          <w:vertAlign w:val="superscript"/>
        </w:rPr>
        <w:footnoteReference w:id="39"/>
      </w:r>
      <w:r>
        <w:rPr>
          <w:rFonts w:ascii="Times New Roman" w:hAnsi="Times New Roman"/>
          <w:noProof/>
          <w:sz w:val="24"/>
          <w:szCs w:val="24"/>
        </w:rPr>
        <w:t>.</w:t>
      </w:r>
    </w:p>
    <w:p>
      <w:pPr>
        <w:autoSpaceDE w:val="0"/>
        <w:autoSpaceDN w:val="0"/>
        <w:adjustRightInd w:val="0"/>
        <w:spacing w:after="120" w:line="240" w:lineRule="auto"/>
        <w:jc w:val="both"/>
        <w:rPr>
          <w:rFonts w:ascii="Times New Roman" w:eastAsia="Calibri" w:hAnsi="Times New Roman" w:cs="Times New Roman"/>
          <w:noProof/>
          <w:color w:val="000000"/>
          <w:sz w:val="24"/>
          <w:szCs w:val="24"/>
        </w:rPr>
      </w:pPr>
      <w:r>
        <w:rPr>
          <w:rFonts w:ascii="Times New Roman" w:hAnsi="Times New Roman"/>
          <w:noProof/>
          <w:color w:val="000000"/>
          <w:sz w:val="24"/>
          <w:szCs w:val="24"/>
        </w:rPr>
        <w:t xml:space="preserve">През ноември 2020 г. Комисията прие, като първия ключов резултат след Новия пакт, </w:t>
      </w:r>
      <w:r>
        <w:rPr>
          <w:rFonts w:ascii="Times New Roman" w:hAnsi="Times New Roman"/>
          <w:b/>
          <w:noProof/>
          <w:color w:val="000000"/>
          <w:sz w:val="24"/>
          <w:szCs w:val="24"/>
        </w:rPr>
        <w:t>план за действие относно интеграцията и приобщаването за периода 2021—2027 г.,</w:t>
      </w:r>
      <w:r>
        <w:rPr>
          <w:rFonts w:ascii="Times New Roman" w:eastAsia="Calibri" w:hAnsi="Times New Roman" w:cs="Times New Roman"/>
          <w:noProof/>
          <w:color w:val="000000"/>
          <w:sz w:val="24"/>
          <w:szCs w:val="24"/>
          <w:vertAlign w:val="superscript"/>
        </w:rPr>
        <w:footnoteReference w:id="40"/>
      </w:r>
      <w:r>
        <w:rPr>
          <w:rFonts w:ascii="Times New Roman" w:hAnsi="Times New Roman"/>
          <w:noProof/>
          <w:color w:val="000000"/>
          <w:sz w:val="24"/>
          <w:szCs w:val="24"/>
        </w:rPr>
        <w:t xml:space="preserve"> съдържащ близо 60 действия в областта на образованието, заетостта и уменията, здравеопазването и жилищното настаняване. Неговото изпълнение вече е напреднало, като също така е публикуван набор от инструменти с практически насоки относно приобщаването към образованието и грижите в ранна детска възраст</w:t>
      </w:r>
      <w:r>
        <w:rPr>
          <w:rFonts w:ascii="Times New Roman" w:eastAsia="Calibri" w:hAnsi="Times New Roman" w:cs="Times New Roman"/>
          <w:noProof/>
          <w:color w:val="000000"/>
          <w:sz w:val="24"/>
          <w:szCs w:val="24"/>
          <w:vertAlign w:val="superscript"/>
        </w:rPr>
        <w:footnoteReference w:id="41"/>
      </w:r>
      <w:r>
        <w:rPr>
          <w:rFonts w:ascii="Times New Roman" w:hAnsi="Times New Roman"/>
          <w:noProof/>
          <w:color w:val="000000"/>
          <w:sz w:val="24"/>
          <w:szCs w:val="24"/>
        </w:rPr>
        <w:t>. През март 2021 г. Комисията започна партньорство с Комитета на регионите с цел да се стартира политически диалог и да се насърчат обучението и обменът на информация относно интеграцията за местните и регионалните органи</w:t>
      </w:r>
      <w:r>
        <w:rPr>
          <w:rFonts w:ascii="Times New Roman" w:eastAsia="Calibri" w:hAnsi="Times New Roman" w:cs="Times New Roman"/>
          <w:noProof/>
          <w:color w:val="000000"/>
          <w:sz w:val="24"/>
          <w:szCs w:val="24"/>
          <w:vertAlign w:val="superscript"/>
        </w:rPr>
        <w:footnoteReference w:id="42"/>
      </w:r>
      <w:r>
        <w:rPr>
          <w:rFonts w:ascii="Times New Roman" w:hAnsi="Times New Roman"/>
          <w:noProof/>
          <w:color w:val="000000"/>
          <w:sz w:val="24"/>
          <w:szCs w:val="24"/>
        </w:rPr>
        <w:t>. Тя публикува също така набор от инструменти относно използването на средствата от ЕС за интегриране на хората с мигрантски произход за периода 2021—2027 г.</w:t>
      </w:r>
      <w:r>
        <w:rPr>
          <w:rStyle w:val="FootnoteReference"/>
          <w:rFonts w:ascii="Times New Roman" w:eastAsia="Times New Roman" w:hAnsi="Times New Roman" w:cs="Times New Roman"/>
          <w:noProof/>
          <w:color w:val="000000"/>
          <w:sz w:val="24"/>
          <w:szCs w:val="24"/>
          <w:lang w:val="en-IE"/>
        </w:rPr>
        <w:footnoteReference w:id="43"/>
      </w:r>
      <w:r>
        <w:rPr>
          <w:rFonts w:ascii="Times New Roman" w:hAnsi="Times New Roman"/>
          <w:noProof/>
          <w:color w:val="000000"/>
          <w:sz w:val="24"/>
          <w:szCs w:val="24"/>
        </w:rPr>
        <w:t xml:space="preserve"> В сътрудничество с Европейския икономически и социален комитет Комисията провежда редовни консултации и диалог с организациите на гражданското общество в рамките на Европейския форум за миграцията</w:t>
      </w:r>
      <w:r>
        <w:rPr>
          <w:rFonts w:ascii="Times New Roman" w:eastAsia="Times New Roman" w:hAnsi="Times New Roman" w:cs="Times New Roman"/>
          <w:noProof/>
          <w:color w:val="000000"/>
          <w:sz w:val="24"/>
          <w:szCs w:val="24"/>
          <w:vertAlign w:val="superscript"/>
          <w:lang w:val="en-IE"/>
        </w:rPr>
        <w:footnoteReference w:id="44"/>
      </w:r>
      <w:r>
        <w:rPr>
          <w:rFonts w:ascii="Times New Roman" w:hAnsi="Times New Roman"/>
          <w:noProof/>
          <w:color w:val="000000"/>
          <w:sz w:val="24"/>
          <w:szCs w:val="24"/>
        </w:rPr>
        <w:t>.</w:t>
      </w:r>
      <w:r>
        <w:rPr>
          <w:rFonts w:ascii="Times New Roman" w:hAnsi="Times New Roman"/>
          <w:noProof/>
          <w:color w:val="000000"/>
          <w:sz w:val="23"/>
          <w:szCs w:val="23"/>
        </w:rPr>
        <w:t xml:space="preserve"> </w:t>
      </w:r>
    </w:p>
    <w:p>
      <w:pPr>
        <w:spacing w:after="96" w:line="240" w:lineRule="auto"/>
        <w:jc w:val="both"/>
        <w:rPr>
          <w:rFonts w:ascii="Times New Roman" w:eastAsia="Calibri" w:hAnsi="Times New Roman" w:cs="Times New Roman"/>
          <w:noProof/>
          <w:sz w:val="24"/>
          <w:szCs w:val="24"/>
        </w:rPr>
      </w:pPr>
      <w:r>
        <w:rPr>
          <w:rFonts w:ascii="Times New Roman" w:hAnsi="Times New Roman"/>
          <w:noProof/>
          <w:sz w:val="24"/>
          <w:szCs w:val="24"/>
        </w:rPr>
        <w:t>Активното включване на мигрантите, лицата, търсещи убежище, и бежанците в разработването и изпълнението на политиките в областта на миграцията, убежището и интеграцията е от съществено значение, за да бъдат тези политики по-ефективни и по-добре съобразени с нуждите на място. Комисията създаде експертна група, съставена от организации, представляващи интересите на мигрантите, и от експерти в областта на миграцията с мигрантски произход, която да съветва Комисията относно политиките в сферата на миграцията, убежището и интеграцията на мигрантите. Първото заседание на експертната група се проведе през ноември 2020 г., последвано от редовни заседания.</w:t>
      </w:r>
    </w:p>
    <w:p>
      <w:pPr>
        <w:numPr>
          <w:ilvl w:val="0"/>
          <w:numId w:val="7"/>
        </w:numPr>
        <w:spacing w:before="360" w:after="160" w:line="240" w:lineRule="auto"/>
        <w:ind w:left="714" w:hanging="357"/>
        <w:jc w:val="both"/>
        <w:rPr>
          <w:rFonts w:ascii="Times New Roman" w:eastAsia="Calibri" w:hAnsi="Times New Roman" w:cs="Times New Roman"/>
          <w:noProof/>
        </w:rPr>
      </w:pPr>
      <w:r>
        <w:rPr>
          <w:rFonts w:ascii="Times New Roman" w:hAnsi="Times New Roman"/>
          <w:b/>
          <w:noProof/>
          <w:sz w:val="24"/>
          <w:szCs w:val="24"/>
        </w:rPr>
        <w:t>ЗАКЛЮЧЕНИЕ</w:t>
      </w:r>
    </w:p>
    <w:p>
      <w:pPr>
        <w:spacing w:after="160" w:line="240" w:lineRule="auto"/>
        <w:jc w:val="both"/>
        <w:rPr>
          <w:rFonts w:ascii="Times New Roman" w:eastAsia="Calibri" w:hAnsi="Times New Roman" w:cs="Times New Roman"/>
          <w:noProof/>
          <w:sz w:val="24"/>
          <w:szCs w:val="24"/>
        </w:rPr>
      </w:pPr>
      <w:r>
        <w:rPr>
          <w:rFonts w:ascii="Times New Roman" w:hAnsi="Times New Roman"/>
          <w:noProof/>
          <w:sz w:val="24"/>
          <w:szCs w:val="24"/>
        </w:rPr>
        <w:t>Крайната цел на миграционната политика на ЕС е да гарантира, че миграцията протича по безопасен, законен и добре управляван начин, да даде възможност на ЕС и неговите партньори да се справят с предизвикателствата, свързани с незаконната миграция и принудителното разселване, и да бъдат извлечени многобройните ползи, произтичащи от миграцията. За тази цел ЕС продължава да провежда политики, с които да бъдат постигнати най-добрите резултати за неговите държави членки и партньори в свят, в който незаконната миграция, принудителното разселване и законната мобилност са постоянно предизвикателство, както и да изгражда ефективна система, с която да се управлява миграцията, да се защитават основните права и да се привличат така необходимите таланти и умения.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Маршрутите и движенията на мигрантите, много от които са уязвими, продължават да се променят. Те ще бъдат внимателно наблюдавани и при възможност предвиждани, за да се гарантира, че ЕС е готов да реагира на новите тенденции. Последните събития в Беларус и Афганистан показват, че ЕС трябва постоянно да оценява новите тенденции и да бъде готов да реагира на тях, като приспособява действащите разпоредби и предвижда нови мерки за спиране на злоупотребата със системата за миграция и убежище от страна на спонсорирани от държава мрежи за контрабанда на мигранти или престъпни мрежи. </w:t>
      </w:r>
    </w:p>
    <w:p>
      <w:pPr>
        <w:spacing w:after="160" w:line="240" w:lineRule="auto"/>
        <w:jc w:val="both"/>
        <w:rPr>
          <w:rFonts w:ascii="Times New Roman" w:eastAsia="Calibri" w:hAnsi="Times New Roman" w:cs="Times New Roman"/>
          <w:noProof/>
        </w:rPr>
      </w:pPr>
      <w:r>
        <w:rPr>
          <w:rFonts w:ascii="Times New Roman" w:hAnsi="Times New Roman"/>
          <w:noProof/>
          <w:sz w:val="24"/>
          <w:szCs w:val="24"/>
        </w:rPr>
        <w:t xml:space="preserve">ЕС вече е предприел много действия за подобряване на капацитета си за посрещане на тези предизвикателства. </w:t>
      </w:r>
      <w:r>
        <w:rPr>
          <w:rFonts w:ascii="Times New Roman" w:hAnsi="Times New Roman"/>
          <w:b/>
          <w:noProof/>
          <w:sz w:val="24"/>
          <w:szCs w:val="24"/>
        </w:rPr>
        <w:t>Бързият и конструктивен напредък по законодателните досиета по линия на Новия пакт сега е от решаващо значение</w:t>
      </w:r>
      <w:r>
        <w:rPr>
          <w:rFonts w:ascii="Times New Roman" w:hAnsi="Times New Roman"/>
          <w:noProof/>
          <w:sz w:val="24"/>
          <w:szCs w:val="24"/>
        </w:rPr>
        <w:t xml:space="preserve"> и ще послужи за допълнително засилване на способността на Европа да управлява миграцията, да осигури законни пътища, да защитава границите си, да приеме тези, които имат право да дойдат, в хуманни условия, както и да се отнася с уважение към онези, които не се ползват от това право, в съответствие с ценностите и принципите на ЕС.</w:t>
      </w:r>
    </w:p>
    <w:p>
      <w:pPr>
        <w:rPr>
          <w:noProof/>
        </w:rPr>
      </w:pPr>
    </w:p>
    <w:p>
      <w:pPr>
        <w:rPr>
          <w:noProof/>
        </w:rPr>
      </w:pPr>
    </w:p>
    <w:sectPr>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63858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Последното актуално състояние на пътната карта е представено в приложение 1 към настоящото съобщение.</w:t>
      </w:r>
    </w:p>
  </w:footnote>
  <w:footnote w:id="2">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Хуманитарната помощ от страна на ЕС се предоставя при спазване на принципите на хуманност, безпристрастност, неутралност и независимост, както и единствено въз основа на нуждите. Тя не се влияе от политически, стратегически, военни и икономически цели (Съобщение относно хуманитарната дейност на ЕС: нови предизвикателства, същите принципи (COM(2021) 110).</w:t>
      </w:r>
    </w:p>
  </w:footnote>
  <w:footnote w:id="3">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COM(2020) 609, 23.9.2020 г. </w:t>
      </w:r>
    </w:p>
  </w:footnote>
  <w:footnote w:id="4">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COM(2021) 277, 2.6.2021 г.</w:t>
      </w:r>
    </w:p>
  </w:footnote>
  <w:footnote w:id="5">
    <w:p>
      <w:pPr>
        <w:pStyle w:val="FootnoteText"/>
        <w:tabs>
          <w:tab w:val="left" w:pos="567"/>
        </w:tabs>
        <w:ind w:left="284" w:hanging="284"/>
        <w:jc w:val="both"/>
      </w:pPr>
      <w:r>
        <w:rPr>
          <w:rStyle w:val="FootnoteReference"/>
          <w:rFonts w:ascii="Times New Roman" w:hAnsi="Times New Roman" w:cs="Times New Roman"/>
        </w:rPr>
        <w:footnoteRef/>
      </w:r>
      <w:r>
        <w:tab/>
      </w:r>
      <w:r>
        <w:rPr>
          <w:rFonts w:ascii="Times New Roman" w:hAnsi="Times New Roman"/>
        </w:rPr>
        <w:t>Изявление на Съвета по външни работи от 6 март 2020 г. и заключения на Европейския съвет от 24 и 25 юни 2021 г.</w:t>
      </w:r>
    </w:p>
  </w:footnote>
  <w:footnote w:id="6">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ЕС+ означава 27-те държави — членки на ЕС, Норвегия и Швейцария.</w:t>
      </w:r>
    </w:p>
  </w:footnote>
  <w:footnote w:id="7">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Както и през 2020 г., най-голям брой молби е получен от Германия, следвана от Франция и Испания. Като част от населението най-много молби са получени от Кипър, следван от Малта и Гърция. Досега през 2021 г. най-голям брой молби, подадени за първи път, са подадени от сирийски граждани, следвани от граждани на Афганистан, Пакистан, Ирак и Турция.</w:t>
      </w:r>
    </w:p>
  </w:footnote>
  <w:footnote w:id="8">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През 2020 г. общият процент на одобрение за решенията във връзка с исканията по линия на системата от Дъблин е 59 %, което показва намаление за трета поредна година. Четири държави — Франция, Германия, Гърция и Нидерландия — са извършили над три четвърти от всички прехвърляния.</w:t>
      </w:r>
    </w:p>
  </w:footnote>
  <w:footnote w:id="9">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През 2020 г. държавите членки са издали почти 400 000 решения за връщане, а ефективните връщания са над 70 000.</w:t>
      </w:r>
    </w:p>
  </w:footnote>
  <w:footnote w:id="10">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Съобщение на Комисията „COVID-19: Насоки относно прилагането на съответните разпоредби на ЕС в областта на процедурите за предоставяне на убежище и за връщане и относно презаселването“ (2020/C 126/02, 17 април 2020 г.).</w:t>
      </w:r>
    </w:p>
  </w:footnote>
  <w:footnote w:id="11">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Например работата на Европейската мрежа за миграцията и на Европейския уебсайт за интеграцията. </w:t>
      </w:r>
    </w:p>
  </w:footnote>
  <w:footnote w:id="12">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Регламент за изпълнение (ЕС) 2020/1019 на Комисията от 13 юли 2020 г. Регламент (ЕС) 2020/1543 беше преразгледан, за да се уеднаквят крайните срокове за представяне на отчетите и за отмяна на бюджетни кредити, за да се намали рискът от отмяна на бюджетни кредити.</w:t>
      </w:r>
    </w:p>
  </w:footnote>
  <w:footnote w:id="13">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Препоръка на Комисията относно механизъм на ЕС за подготвеност и управление на кризи в областта на миграцията (Подробен план за подготвеност и кризи в областта на миграцията) (C(2020) 6469, 23.9.2020 г.).</w:t>
      </w:r>
    </w:p>
  </w:footnote>
  <w:footnote w:id="14">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Организиран в три категории на персонала, най-късно до 2027 г.: 3 000 души редовен оперативен персонал (категория 1) и 7 000 краткосрочно и дългосрочно командировани национални експерти от държавите членки (категории 2 и 3). 1 500-те служители от Резерва за бързо реагиране (категория 4 на постоянния корпус) могат да бъдат задействани, когато оперативният персонал в категории 1, 2 и 3 вече е изцяло разположен. </w:t>
      </w:r>
    </w:p>
  </w:footnote>
  <w:footnote w:id="15">
    <w:p>
      <w:pPr>
        <w:tabs>
          <w:tab w:val="left" w:pos="567"/>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ab/>
      </w:r>
      <w:r>
        <w:rPr>
          <w:rFonts w:ascii="Times New Roman" w:hAnsi="Times New Roman"/>
          <w:sz w:val="20"/>
          <w:szCs w:val="20"/>
        </w:rPr>
        <w:t>Текущите операции включват разполагането на общо 1 982 служители и други експерти от постоянния корпус, 4 патрулни кораба в открито море, 19 крайбрежни патрулни кораба, 32 крайбрежни патрулни катера, 13 превозни средства за наблюдение на границите, 3 превозни средства с термовизионно оборудване, 121 патрулни автомобила, 3 самолета, 8 вертолета, 21 камери, 75 чифта очила за нощно виждане, 29 мобилни офиса, 27 детектора за CO₂ и 8 детектора за сърдечна дейност.</w:t>
      </w:r>
    </w:p>
  </w:footnote>
  <w:footnote w:id="16">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Понастоящем Frontex е разположила 110 служители от постоянния корпус в своите сухопътни и морски съвместни операции в Албания, 25 служители в своите сухопътни и морски съвместни операции в Черна гора и около 50 служители в своята сухопътна съвместна операция в Сърбия. </w:t>
      </w:r>
    </w:p>
  </w:footnote>
  <w:footnote w:id="17">
    <w:p>
      <w:pPr>
        <w:tabs>
          <w:tab w:val="left" w:pos="567"/>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ab/>
        <w:t>Комисията разработва също модел на разпоредби, за да хармонизира обмена на информация между държавите членки и трети държави в рамките на Европейската система за наблюдение на границите (EUROSUR).</w:t>
      </w:r>
    </w:p>
  </w:footnote>
  <w:footnote w:id="18">
    <w:p>
      <w:pPr>
        <w:pStyle w:val="CommentText"/>
        <w:tabs>
          <w:tab w:val="left" w:pos="567"/>
        </w:tabs>
        <w:ind w:left="284" w:hanging="284"/>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Споразумения за статуса, договорени от Комисията и сключени от Съюза с трети държави, са необходими, за да може Frontex да разположи гранични служители, упражняващи изпълнителни правомощия, на територията на трети държави. Всеки друг вид сътрудничество между Frontex и трети държави обикновено се основава на двустранни работни договорености, подписани между Агенцията и компетентните органи на държавата извън ЕС в съответствие с член 73, параграф 4 от Регламента за ЕГБО. </w:t>
      </w:r>
    </w:p>
  </w:footnote>
  <w:footnote w:id="19">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През 2020 г. са извършени 7 952 връщания с чартърни полети до 28 дестинации и 3 981 връщания с редовни полети.</w:t>
      </w:r>
    </w:p>
  </w:footnote>
  <w:footnote w:id="20">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Австрия, Германия, Дания, Кипър, Нидерландия, Обединеното кралство, Полша, Словакия, Словения, Унгария, Финландия, Франция, Чешката република и Швеция</w:t>
      </w:r>
    </w:p>
  </w:footnote>
  <w:footnote w:id="21">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1 145 от Италия и 959 от Малта.</w:t>
      </w:r>
    </w:p>
  </w:footnote>
  <w:footnote w:id="22">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IP/20/384 </w:t>
      </w:r>
      <w:hyperlink r:id="rId1" w:history="1">
        <w:r>
          <w:rPr>
            <w:rStyle w:val="Hyperlink1"/>
            <w:rFonts w:ascii="Times New Roman" w:hAnsi="Times New Roman"/>
          </w:rPr>
          <w:t>Положение на гръцките граници (europa.eu)</w:t>
        </w:r>
      </w:hyperlink>
    </w:p>
  </w:footnote>
  <w:footnote w:id="23">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Източник: Евродак. През същия период на миналата година са регистрирани само 97 000 съвпадения, докато през същия период на 2019 г. са регистрирани 153 000 съвпадения. Броят на съвпаденията не съответства на броя на лицата (за едно и също лице може да има няколко съвпадения), но тези числа са добър показател за тенденциите.</w:t>
      </w:r>
    </w:p>
  </w:footnote>
  <w:footnote w:id="24">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Регламент (ЕС) 2021/1147 за създаване на фонд „Убежище, миграция и интеграция“; Регламент (ЕС) 2021/1148 за създаване на Инструмент за финансова подкрепа за управлението на границите и визовата политика; Регламент (ЕС) 2021/1149 за създаване на фонд „Вътрешна сигурност“.</w:t>
      </w:r>
    </w:p>
  </w:footnote>
  <w:footnote w:id="25">
    <w:p>
      <w:pPr>
        <w:pStyle w:val="FootnoteText"/>
        <w:tabs>
          <w:tab w:val="left" w:pos="284"/>
          <w:tab w:val="left" w:pos="567"/>
        </w:tabs>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COM(2021) 277, 2.6.2021 г.</w:t>
      </w:r>
    </w:p>
  </w:footnote>
  <w:footnote w:id="26">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Икономически и инвестиционен план за Западните Балкани (COM(2020) 641 final).</w:t>
      </w:r>
    </w:p>
  </w:footnote>
  <w:footnote w:id="27">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Нова програма за Средиземноморието (JOIN(2021) 2 final).</w:t>
      </w:r>
    </w:p>
  </w:footnote>
  <w:footnote w:id="28">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2" w:history="1">
        <w:r>
          <w:rPr>
            <w:rStyle w:val="Hyperlink1"/>
            <w:rFonts w:ascii="Times New Roman" w:hAnsi="Times New Roman"/>
          </w:rPr>
          <w:t>https://www.consilium.europa.eu/bg/press/press-releases/2016/03/18/eu-turkey-statement/</w:t>
        </w:r>
      </w:hyperlink>
      <w:r>
        <w:rPr>
          <w:rFonts w:ascii="Times New Roman" w:hAnsi="Times New Roman"/>
        </w:rPr>
        <w:t xml:space="preserve"> </w:t>
      </w:r>
    </w:p>
  </w:footnote>
  <w:footnote w:id="29">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Хонконг, Макао, Шри Ланка, Албания, Русия, Украйна, Северна Македония, Босна и Херцеговина, Черна гора, Сърбия, Молдова, Пакистан, Грузия, Армения, Азербайджан, Турция, Кабо Верде, Беларус.</w:t>
      </w:r>
    </w:p>
  </w:footnote>
  <w:footnote w:id="30">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Афганистан, Гамбия, Гвинея, Бангладеш, Етиопия и Кот д'Ивоар.</w:t>
      </w:r>
    </w:p>
  </w:footnote>
  <w:footnote w:id="31">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color w:val="000000"/>
        </w:rPr>
        <w:t>Преговорите за споразумение за обратно приемане с Нигерия, които бяха спрени от 2018 г., бяха възобновени през януари 2021 г.</w:t>
      </w:r>
    </w:p>
  </w:footnote>
  <w:footnote w:id="32">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COM(2021) 120, 27.4.2021 г.</w:t>
      </w:r>
    </w:p>
  </w:footnote>
  <w:footnote w:id="33">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C(2020) 6467, 23.9.2020 г.</w:t>
      </w:r>
    </w:p>
  </w:footnote>
  <w:footnote w:id="34">
    <w:p>
      <w:pPr>
        <w:tabs>
          <w:tab w:val="left" w:pos="284"/>
          <w:tab w:val="left" w:pos="567"/>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ab/>
      </w:r>
      <w:r>
        <w:rPr>
          <w:rFonts w:ascii="Times New Roman" w:hAnsi="Times New Roman"/>
          <w:sz w:val="20"/>
          <w:szCs w:val="20"/>
        </w:rPr>
        <w:t xml:space="preserve">Тези проекти ще съфинансират консорциуми от неправителствени организации, в някои случаи с международни организации, за да бъдат обменяни добри практики и капацитет за разработване на допълнителни пътища за приемане в ЕС на нуждаещите се от закрила лица, за да учат или работят или за да се присъединят отново към членове на семейството, които вече са в ЕС. </w:t>
      </w:r>
    </w:p>
  </w:footnote>
  <w:footnote w:id="35">
    <w:p>
      <w:pPr>
        <w:tabs>
          <w:tab w:val="left" w:pos="567"/>
        </w:tabs>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tab/>
      </w:r>
      <w:r>
        <w:rPr>
          <w:rFonts w:ascii="Times New Roman" w:hAnsi="Times New Roman"/>
          <w:sz w:val="20"/>
          <w:szCs w:val="20"/>
        </w:rPr>
        <w:t>Например с пилотен проект „Преодоляване на недостига на работна сила чрез иновативни модели на трудова миграция“ се засилва сътрудничеството между Белгия и Мароко в управлението на законната миграция, като се предлага безопасна и законосъобразна възможност на млади специалисти, които желаят да придобият професионален трудов опит в сектора на ИКТ.</w:t>
      </w:r>
    </w:p>
  </w:footnote>
  <w:footnote w:id="36">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COM(2021) 591.</w:t>
      </w:r>
    </w:p>
  </w:footnote>
  <w:footnote w:id="37">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COM(2021) 592.</w:t>
      </w:r>
    </w:p>
  </w:footnote>
  <w:footnote w:id="38">
    <w:p>
      <w:pPr>
        <w:pStyle w:val="FootnoteText"/>
        <w:tabs>
          <w:tab w:val="left" w:pos="284"/>
          <w:tab w:val="left" w:pos="567"/>
        </w:tabs>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В Регламента се посочва, че финансирането от Инструмента за съседство, сътрудничество за развитие и международно сътрудничество — Глобална Европа „</w:t>
      </w:r>
      <w:r>
        <w:rPr>
          <w:rFonts w:ascii="Times New Roman" w:hAnsi="Times New Roman"/>
          <w:i/>
        </w:rPr>
        <w:t xml:space="preserve">следва да допринася за осигуряване на достъп до международна закрила, за преодоляване на първопричините за незаконната миграция и принудителното разселване, за подобряване на управлението на границите и за продължаване на усилията за предотвратяване на незаконната миграция и принудителното разселване, за борба с трафика на хора и контрабандата на мигранти, както и за работата за достойното и устойчиво връщане, обратно приемане и реинтеграция, когато е приложимо, въз основа на взаимна отчетност и при пълно спазване на хуманитарните задължения и задълженията в областта на правата на човека съгласно международното право и правото на Съюза, и чрез поддържане на </w:t>
      </w:r>
      <w:r>
        <w:tab/>
      </w:r>
      <w:r>
        <w:rPr>
          <w:rFonts w:ascii="Times New Roman" w:hAnsi="Times New Roman"/>
          <w:i/>
        </w:rPr>
        <w:t>контакти с диаспората и подкрепяне на каналите за законна миграция</w:t>
      </w:r>
      <w:r>
        <w:rPr>
          <w:rFonts w:ascii="Times New Roman" w:hAnsi="Times New Roman"/>
        </w:rPr>
        <w:t>“.</w:t>
      </w:r>
    </w:p>
  </w:footnote>
  <w:footnote w:id="39">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3" w:history="1">
        <w:r>
          <w:rPr>
            <w:rStyle w:val="Hyperlink1"/>
            <w:rFonts w:ascii="Times New Roman" w:hAnsi="Times New Roman"/>
          </w:rPr>
          <w:t>https://op.europa.eu/webpub/empl/european-pillar-of-social-rights/downloads/KE0921008ENN.pdf</w:t>
        </w:r>
      </w:hyperlink>
      <w:r>
        <w:rPr>
          <w:rFonts w:ascii="Times New Roman" w:hAnsi="Times New Roman"/>
        </w:rPr>
        <w:t xml:space="preserve"> </w:t>
      </w:r>
    </w:p>
  </w:footnote>
  <w:footnote w:id="40">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COM(2020) 758 final.</w:t>
      </w:r>
    </w:p>
  </w:footnote>
  <w:footnote w:id="41">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Публикуван през февруари 2021 г.: </w:t>
      </w:r>
      <w:hyperlink r:id="rId4">
        <w:r>
          <w:rPr>
            <w:rStyle w:val="Hyperlink1"/>
            <w:rFonts w:ascii="Times New Roman" w:hAnsi="Times New Roman"/>
          </w:rPr>
          <w:t>https://op.europa.eu/s/pcwI</w:t>
        </w:r>
      </w:hyperlink>
      <w:r>
        <w:rPr>
          <w:rFonts w:ascii="Times New Roman" w:hAnsi="Times New Roman"/>
        </w:rPr>
        <w:t xml:space="preserve"> </w:t>
      </w:r>
    </w:p>
  </w:footnote>
  <w:footnote w:id="42">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5">
        <w:r>
          <w:rPr>
            <w:rStyle w:val="Hyperlink1"/>
            <w:rFonts w:ascii="Times New Roman" w:hAnsi="Times New Roman"/>
          </w:rPr>
          <w:t>Интеграция на мигрантите:</w:t>
        </w:r>
      </w:hyperlink>
      <w:hyperlink r:id="rId6">
        <w:r>
          <w:rPr>
            <w:rStyle w:val="Hyperlink1"/>
            <w:rFonts w:ascii="Times New Roman" w:hAnsi="Times New Roman"/>
          </w:rPr>
          <w:t xml:space="preserve"> Партньорство между Комисията и Комитета на регионите за подкрепа на ЕС за действията на местно равнище (europa.eu)</w:t>
        </w:r>
      </w:hyperlink>
      <w:r>
        <w:t>.</w:t>
      </w:r>
    </w:p>
  </w:footnote>
  <w:footnote w:id="43">
    <w:p>
      <w:pPr>
        <w:pStyle w:val="FootnoteText"/>
        <w:tabs>
          <w:tab w:val="left" w:pos="600"/>
        </w:tabs>
        <w:ind w:left="240" w:hanging="240"/>
        <w:rPr>
          <w:rFonts w:ascii="Times New Roman" w:hAnsi="Times New Roman" w:cs="Times New Roman"/>
          <w:szCs w:val="22"/>
        </w:rPr>
      </w:pPr>
      <w:r>
        <w:rPr>
          <w:rStyle w:val="FootnoteReference"/>
          <w:rFonts w:ascii="Times New Roman" w:hAnsi="Times New Roman" w:cs="Times New Roman"/>
        </w:rPr>
        <w:footnoteRef/>
      </w:r>
      <w:r>
        <w:tab/>
      </w:r>
      <w:r>
        <w:rPr>
          <w:rFonts w:ascii="Times New Roman" w:hAnsi="Times New Roman"/>
          <w:szCs w:val="22"/>
        </w:rPr>
        <w:t>В допълнение Комисията организира събития за взаимно обучение относно интегрирането и приобщаването на мигрантите, насочени към органите на държавите — членки на ЕС, и заинтересованите страни. Резултатите могат да бъдат намерени на нейния уебсайт.</w:t>
      </w:r>
    </w:p>
  </w:footnote>
  <w:footnote w:id="44">
    <w:p>
      <w:pPr>
        <w:pStyle w:val="FootnoteText"/>
        <w:tabs>
          <w:tab w:val="left" w:pos="567"/>
        </w:tabs>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Следващата среща ще се проведе през октомври 2021 г.</w:t>
      </w:r>
      <w:r>
        <w:t xml:space="preserve"> </w:t>
      </w:r>
      <w:hyperlink r:id="rId7" w:history="1">
        <w:r>
          <w:rPr>
            <w:rStyle w:val="Hyperlink"/>
            <w:rFonts w:ascii="Times New Roman" w:hAnsi="Times New Roman"/>
          </w:rPr>
          <w:t>https://www.eesc.europa.eu/bg/sections-other-bodies/other/european-migration-forum</w:t>
        </w:r>
      </w:hyperlink>
      <w:r>
        <w:t>.</w:t>
      </w:r>
    </w:p>
    <w:p>
      <w:pPr>
        <w:pStyle w:val="FootnoteText"/>
        <w:tabs>
          <w:tab w:val="left" w:pos="567"/>
        </w:tabs>
        <w:ind w:left="284" w:hanging="284"/>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8E7792B"/>
    <w:multiLevelType w:val="hybridMultilevel"/>
    <w:tmpl w:val="7DF0FF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D293CE3"/>
    <w:multiLevelType w:val="multilevel"/>
    <w:tmpl w:val="8D7C4D2A"/>
    <w:lvl w:ilvl="0">
      <w:start w:val="1"/>
      <w:numFmt w:val="decimal"/>
      <w:pStyle w:val="LegalNumPar"/>
      <w:lvlText w:val="%1."/>
      <w:lvlJc w:val="left"/>
      <w:pPr>
        <w:tabs>
          <w:tab w:val="num" w:pos="476"/>
        </w:tabs>
        <w:ind w:left="476" w:hanging="476"/>
      </w:pPr>
    </w:lvl>
    <w:lvl w:ilvl="1">
      <w:start w:val="1"/>
      <w:numFmt w:val="lowerLetter"/>
      <w:pStyle w:val="LegalNumPar2"/>
      <w:lvlText w:val="%2."/>
      <w:lvlJc w:val="left"/>
      <w:pPr>
        <w:tabs>
          <w:tab w:val="num" w:pos="953"/>
        </w:tabs>
        <w:ind w:left="953" w:hanging="477"/>
      </w:pPr>
    </w:lvl>
    <w:lvl w:ilvl="2">
      <w:start w:val="1"/>
      <w:numFmt w:val="lowerRoman"/>
      <w:pStyle w:val="LegalNumPar3"/>
      <w:lvlText w:val="%3."/>
      <w:lvlJc w:val="left"/>
      <w:pPr>
        <w:tabs>
          <w:tab w:val="num" w:pos="1429"/>
        </w:tabs>
        <w:ind w:left="1429" w:hanging="47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23856CE"/>
    <w:multiLevelType w:val="hybridMultilevel"/>
    <w:tmpl w:val="CBB44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226E79"/>
    <w:multiLevelType w:val="hybridMultilevel"/>
    <w:tmpl w:val="E7F2F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34E5803"/>
    <w:multiLevelType w:val="hybridMultilevel"/>
    <w:tmpl w:val="C6149240"/>
    <w:lvl w:ilvl="0" w:tplc="484C0798">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366024"/>
    <w:multiLevelType w:val="hybridMultilevel"/>
    <w:tmpl w:val="126043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466B34E1"/>
    <w:multiLevelType w:val="hybridMultilevel"/>
    <w:tmpl w:val="BFF22FB4"/>
    <w:lvl w:ilvl="0" w:tplc="3F8C6C62">
      <w:numFmt w:val="bullet"/>
      <w:lvlText w:val="•"/>
      <w:lvlJc w:val="left"/>
      <w:pPr>
        <w:ind w:left="360" w:hanging="360"/>
      </w:pPr>
      <w:rPr>
        <w:rFonts w:ascii="Times New Roman" w:eastAsia="Times New Roman"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47B22E11"/>
    <w:multiLevelType w:val="hybridMultilevel"/>
    <w:tmpl w:val="C89486C2"/>
    <w:lvl w:ilvl="0" w:tplc="2110EF4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90D3C77"/>
    <w:multiLevelType w:val="hybridMultilevel"/>
    <w:tmpl w:val="DC2283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AF91B42"/>
    <w:multiLevelType w:val="hybridMultilevel"/>
    <w:tmpl w:val="BD9A6F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9"/>
  </w:num>
  <w:num w:numId="6">
    <w:abstractNumId w:val="3"/>
  </w:num>
  <w:num w:numId="7">
    <w:abstractNumId w:val="8"/>
  </w:num>
  <w:num w:numId="8">
    <w:abstractNumId w:val="10"/>
  </w:num>
  <w:num w:numId="9">
    <w:abstractNumId w:val="5"/>
  </w:num>
  <w:num w:numId="10">
    <w:abstractNumId w:val="7"/>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44BD69E-9352-48DA-9426-F55173BDF7F0"/>
    <w:docVar w:name="LW_COVERPAGE_TYPE" w:val="1"/>
    <w:docVar w:name="LW_CROSSREFERENCE" w:val="&lt;UNUSED&gt;"/>
    <w:docVar w:name="LW_DocType" w:val="NORMAL"/>
    <w:docVar w:name="LW_EMISSION" w:val="29.9.2021"/>
    <w:docVar w:name="LW_EMISSION_ISODATE" w:val="2021-09-29"/>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5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76?\u1086?\u1082?\u1083?\u1072?\u1076?\u1072? \u1079?\u1072? \u1084?\u1080?\u1075?\u1088?\u1072?\u1094?\u1080?\u1103?\u1090?\u1072? \u1080? \u1091?\u1073?\u1077?\u1078?\u1080?\u1097?\u1077?\u1090?\u1086?"/>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numbering" w:customStyle="1" w:styleId="NoList1">
    <w:name w:val="No List1"/>
    <w:next w:val="No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pacing w:after="160" w:line="259" w:lineRule="auto"/>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locked/>
    <w:rPr>
      <w:lang w:val="bg-BG"/>
    </w:rPr>
  </w:style>
  <w:style w:type="paragraph" w:customStyle="1" w:styleId="LegalNumPar">
    <w:name w:val="LegalNumPar"/>
    <w:basedOn w:val="Normal"/>
    <w:qFormat/>
    <w:pPr>
      <w:numPr>
        <w:numId w:val="1"/>
      </w:numPr>
      <w:spacing w:after="240" w:line="360" w:lineRule="auto"/>
    </w:pPr>
    <w:rPr>
      <w:rFonts w:ascii="Times New Roman" w:hAnsi="Times New Roman"/>
      <w:sz w:val="24"/>
      <w:lang w:eastAsia="en-GB"/>
    </w:rPr>
  </w:style>
  <w:style w:type="paragraph" w:customStyle="1" w:styleId="LegalNumPar2">
    <w:name w:val="LegalNumPar2"/>
    <w:basedOn w:val="Normal"/>
    <w:pPr>
      <w:numPr>
        <w:ilvl w:val="1"/>
        <w:numId w:val="1"/>
      </w:numPr>
      <w:spacing w:after="240" w:line="360" w:lineRule="auto"/>
      <w:ind w:left="952" w:hanging="476"/>
    </w:pPr>
    <w:rPr>
      <w:rFonts w:ascii="Times New Roman" w:hAnsi="Times New Roman"/>
      <w:sz w:val="24"/>
      <w:lang w:eastAsia="en-GB"/>
    </w:rPr>
  </w:style>
  <w:style w:type="paragraph" w:customStyle="1" w:styleId="LegalNumPar3">
    <w:name w:val="LegalNumPar3"/>
    <w:basedOn w:val="Normal"/>
    <w:pPr>
      <w:numPr>
        <w:ilvl w:val="2"/>
        <w:numId w:val="1"/>
      </w:numPr>
      <w:spacing w:after="240" w:line="360" w:lineRule="auto"/>
    </w:pPr>
    <w:rPr>
      <w:rFonts w:ascii="Times New Roman" w:hAnsi="Times New Roman"/>
      <w:sz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Briefingtext">
    <w:name w:val="Briefing text"/>
    <w:basedOn w:val="Normal"/>
    <w:link w:val="BriefingtextChar"/>
    <w:qFormat/>
    <w:pPr>
      <w:spacing w:after="240" w:line="240" w:lineRule="auto"/>
      <w:jc w:val="both"/>
    </w:pPr>
    <w:rPr>
      <w:rFonts w:ascii="Arial" w:eastAsia="Times New Roman" w:hAnsi="Arial" w:cs="Arial"/>
      <w:szCs w:val="24"/>
    </w:rPr>
  </w:style>
  <w:style w:type="character" w:customStyle="1" w:styleId="BriefingtextChar">
    <w:name w:val="Briefing text Char"/>
    <w:link w:val="Briefingtext"/>
    <w:qFormat/>
    <w:rPr>
      <w:rFonts w:ascii="Arial" w:eastAsia="Times New Roman" w:hAnsi="Arial" w:cs="Arial"/>
      <w:szCs w:val="24"/>
    </w:rPr>
  </w:style>
  <w:style w:type="paragraph" w:customStyle="1" w:styleId="CommentSubject1">
    <w:name w:val="Comment Subject1"/>
    <w:basedOn w:val="CommentText"/>
    <w:next w:val="CommentText"/>
    <w:uiPriority w:val="99"/>
    <w:semiHidden/>
    <w:unhideWhenUsed/>
    <w:pPr>
      <w:spacing w:after="160"/>
    </w:pPr>
    <w:rPr>
      <w:rFonts w:eastAsia="Calibri"/>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lang w:val="bg-BG"/>
    </w:rPr>
  </w:style>
  <w:style w:type="character" w:customStyle="1" w:styleId="Hyperlink1">
    <w:name w:val="Hyperlink1"/>
    <w:basedOn w:val="DefaultParagraphFont"/>
    <w:uiPriority w:val="99"/>
    <w:unhideWhenUsed/>
    <w:rPr>
      <w:color w:val="0563C1"/>
      <w:u w:val="single"/>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footnote text,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
    <w:basedOn w:val="DefaultParagraphFont"/>
    <w:link w:val="FootnoteText"/>
    <w:uiPriority w:val="99"/>
    <w:qFormat/>
    <w:rPr>
      <w:sz w:val="20"/>
      <w:szCs w:val="20"/>
      <w:lang w:val="bg-BG"/>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stylish,cal,callout"/>
    <w:basedOn w:val="DefaultParagraphFont"/>
    <w:link w:val="FootnotesymbolCarZchn"/>
    <w:uiPriority w:val="99"/>
    <w:unhideWhenUsed/>
    <w:qFormat/>
    <w:rPr>
      <w:vertAlign w:val="superscript"/>
    </w:rPr>
  </w:style>
  <w:style w:type="character" w:customStyle="1" w:styleId="FollowedHyperlink1">
    <w:name w:val="FollowedHyperlink1"/>
    <w:basedOn w:val="DefaultParagraphFont"/>
    <w:uiPriority w:val="99"/>
    <w:semiHidden/>
    <w:unhideWhenUsed/>
    <w:rPr>
      <w:color w:val="954F72"/>
      <w:u w:val="single"/>
    </w:rPr>
  </w:style>
  <w:style w:type="paragraph" w:styleId="Revision">
    <w:name w:val="Revision"/>
    <w:hidden/>
    <w:uiPriority w:val="99"/>
    <w:semiHidden/>
    <w:pPr>
      <w:spacing w:after="0" w:line="240" w:lineRule="auto"/>
    </w:pPr>
  </w:style>
  <w:style w:type="paragraph" w:customStyle="1" w:styleId="Briefinglist1">
    <w:name w:val="Briefing list 1"/>
    <w:basedOn w:val="Briefingtext"/>
    <w:link w:val="Briefinglist1Char"/>
    <w:qFormat/>
    <w:pPr>
      <w:keepLines/>
      <w:numPr>
        <w:numId w:val="2"/>
      </w:numPr>
      <w:spacing w:after="120"/>
    </w:pPr>
  </w:style>
  <w:style w:type="character" w:customStyle="1" w:styleId="Briefinglist1Char">
    <w:name w:val="Briefing list 1 Char"/>
    <w:link w:val="Briefinglist1"/>
    <w:qFormat/>
    <w:locked/>
    <w:rPr>
      <w:rFonts w:ascii="Arial" w:eastAsia="Times New Roman" w:hAnsi="Arial" w:cs="Arial"/>
      <w:szCs w:val="24"/>
    </w:rPr>
  </w:style>
  <w:style w:type="paragraph" w:customStyle="1" w:styleId="BriefingtextI6ptbefore">
    <w:name w:val="Briefing text I 6pt before"/>
    <w:basedOn w:val="Normal"/>
    <w:next w:val="Briefingtext"/>
    <w:link w:val="BriefingtextI6ptbeforeChar"/>
    <w:pPr>
      <w:spacing w:before="120" w:after="120" w:line="240" w:lineRule="auto"/>
      <w:jc w:val="both"/>
    </w:pPr>
    <w:rPr>
      <w:rFonts w:ascii="Arial" w:eastAsia="Times New Roman" w:hAnsi="Arial" w:cs="Times New Roman"/>
      <w:i/>
      <w:szCs w:val="24"/>
      <w:lang w:eastAsia="en-GB"/>
    </w:rPr>
  </w:style>
  <w:style w:type="character" w:customStyle="1" w:styleId="BriefingtextI6ptbeforeChar">
    <w:name w:val="Briefing text I 6pt before Char"/>
    <w:basedOn w:val="DefaultParagraphFont"/>
    <w:link w:val="BriefingtextI6ptbefore"/>
    <w:rPr>
      <w:rFonts w:ascii="Arial" w:eastAsia="Times New Roman" w:hAnsi="Arial" w:cs="Times New Roman"/>
      <w:i/>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widowControl w:val="0"/>
      <w:adjustRightInd w:val="0"/>
      <w:spacing w:after="160" w:line="240" w:lineRule="exact"/>
      <w:jc w:val="both"/>
      <w:textAlignment w:val="baseline"/>
    </w:pPr>
    <w:rPr>
      <w:vertAlign w:val="superscript"/>
    </w:rPr>
  </w:style>
  <w:style w:type="paragraph" w:customStyle="1" w:styleId="Nota">
    <w:name w:val="Nota"/>
    <w:aliases w:val="Char1,(NECG) Footnote Reference,fr,Appel note de bas de p,o,Style 6,Signature Ch"/>
    <w:basedOn w:val="Normal"/>
    <w:uiPriority w:val="99"/>
    <w:pPr>
      <w:spacing w:after="160" w:line="240" w:lineRule="exact"/>
    </w:pPr>
    <w:rPr>
      <w:vertAlign w:val="superscript"/>
    </w:rPr>
  </w:style>
  <w:style w:type="paragraph" w:customStyle="1" w:styleId="NormalWeb1">
    <w:name w:val="Normal (Web)1"/>
    <w:basedOn w:val="Normal"/>
    <w:next w:val="NormalWeb"/>
    <w:uiPriority w:val="99"/>
    <w:unhideWhenUsed/>
    <w:pPr>
      <w:spacing w:before="100" w:beforeAutospacing="1" w:after="100" w:afterAutospacing="1" w:line="240" w:lineRule="auto"/>
    </w:pPr>
    <w:rPr>
      <w:rFonts w:ascii="Calibri" w:eastAsia="Times New Roman" w:hAnsi="Calibri" w:cs="Calibri"/>
    </w:rPr>
  </w:style>
  <w:style w:type="paragraph" w:customStyle="1" w:styleId="Briefingheading3">
    <w:name w:val="Briefing heading 3"/>
    <w:basedOn w:val="Normal"/>
    <w:next w:val="Briefingtext"/>
    <w:qFormat/>
    <w:pPr>
      <w:keepNext/>
      <w:spacing w:before="120" w:after="120" w:line="240" w:lineRule="auto"/>
      <w:jc w:val="both"/>
    </w:pPr>
    <w:rPr>
      <w:rFonts w:ascii="Arial" w:eastAsia="Times New Roman" w:hAnsi="Arial" w:cs="Times New Roman"/>
      <w:b/>
      <w:i/>
      <w:szCs w:val="20"/>
      <w:lang w:eastAsia="en-GB"/>
    </w:rPr>
  </w:style>
  <w:style w:type="table" w:customStyle="1" w:styleId="PlainTable11">
    <w:name w:val="Plain Table 11"/>
    <w:basedOn w:val="TableNormal"/>
    <w:next w:val="PlainTable1"/>
    <w:uiPriority w:val="4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LTTBody1">
    <w:name w:val="LTT Body 1"/>
    <w:basedOn w:val="Normal"/>
    <w:qFormat/>
    <w:pPr>
      <w:spacing w:after="0" w:line="240" w:lineRule="auto"/>
      <w:ind w:left="360" w:hanging="360"/>
    </w:pPr>
    <w:rPr>
      <w:rFonts w:ascii="Calibri" w:eastAsia="Times New Roman" w:hAnsi="Calibri" w:cs="Calibri"/>
      <w:sz w:val="28"/>
      <w:szCs w:val="28"/>
      <w:lang w:eastAsia="en-GB"/>
    </w:rPr>
  </w:style>
  <w:style w:type="paragraph" w:customStyle="1" w:styleId="LTTSoundbite">
    <w:name w:val="LTT Sound bite"/>
    <w:basedOn w:val="LTTBody1"/>
    <w:qFormat/>
    <w:pPr>
      <w:ind w:left="0" w:firstLine="0"/>
    </w:pPr>
    <w:rPr>
      <w:b/>
    </w:rPr>
  </w:style>
  <w:style w:type="paragraph" w:customStyle="1" w:styleId="LTTBullet">
    <w:name w:val="LTT Bullet"/>
    <w:basedOn w:val="Normal"/>
    <w:qFormat/>
    <w:pPr>
      <w:spacing w:after="0" w:line="240" w:lineRule="auto"/>
      <w:ind w:left="360" w:hanging="360"/>
    </w:pPr>
    <w:rPr>
      <w:rFonts w:ascii="Calibri" w:eastAsia="Times New Roman" w:hAnsi="Calibri" w:cs="Calibri"/>
      <w:sz w:val="28"/>
      <w:szCs w:val="28"/>
      <w:lang w:eastAsia="en-GB"/>
    </w:rPr>
  </w:style>
  <w:style w:type="paragraph" w:customStyle="1" w:styleId="Standard">
    <w:name w:val="Standard"/>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highlight">
    <w:name w:val="highlight"/>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1">
    <w:name w:val="Comment Subject Char1"/>
    <w:basedOn w:val="CommentTextChar"/>
    <w:uiPriority w:val="99"/>
    <w:semiHidden/>
    <w:rPr>
      <w:rFonts w:ascii="Calibri" w:eastAsia="Times New Roman" w:hAnsi="Calibri" w:cs="Times New Roman"/>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table" w:customStyle="1"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numbering" w:customStyle="1" w:styleId="NoList1">
    <w:name w:val="No List1"/>
    <w:next w:val="No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pacing w:after="160" w:line="259" w:lineRule="auto"/>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locked/>
    <w:rPr>
      <w:lang w:val="bg-BG"/>
    </w:rPr>
  </w:style>
  <w:style w:type="paragraph" w:customStyle="1" w:styleId="LegalNumPar">
    <w:name w:val="LegalNumPar"/>
    <w:basedOn w:val="Normal"/>
    <w:qFormat/>
    <w:pPr>
      <w:numPr>
        <w:numId w:val="1"/>
      </w:numPr>
      <w:spacing w:after="240" w:line="360" w:lineRule="auto"/>
    </w:pPr>
    <w:rPr>
      <w:rFonts w:ascii="Times New Roman" w:hAnsi="Times New Roman"/>
      <w:sz w:val="24"/>
      <w:lang w:eastAsia="en-GB"/>
    </w:rPr>
  </w:style>
  <w:style w:type="paragraph" w:customStyle="1" w:styleId="LegalNumPar2">
    <w:name w:val="LegalNumPar2"/>
    <w:basedOn w:val="Normal"/>
    <w:pPr>
      <w:numPr>
        <w:ilvl w:val="1"/>
        <w:numId w:val="1"/>
      </w:numPr>
      <w:spacing w:after="240" w:line="360" w:lineRule="auto"/>
      <w:ind w:left="952" w:hanging="476"/>
    </w:pPr>
    <w:rPr>
      <w:rFonts w:ascii="Times New Roman" w:hAnsi="Times New Roman"/>
      <w:sz w:val="24"/>
      <w:lang w:eastAsia="en-GB"/>
    </w:rPr>
  </w:style>
  <w:style w:type="paragraph" w:customStyle="1" w:styleId="LegalNumPar3">
    <w:name w:val="LegalNumPar3"/>
    <w:basedOn w:val="Normal"/>
    <w:pPr>
      <w:numPr>
        <w:ilvl w:val="2"/>
        <w:numId w:val="1"/>
      </w:numPr>
      <w:spacing w:after="240" w:line="360" w:lineRule="auto"/>
    </w:pPr>
    <w:rPr>
      <w:rFonts w:ascii="Times New Roman" w:hAnsi="Times New Roman"/>
      <w:sz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Briefingtext">
    <w:name w:val="Briefing text"/>
    <w:basedOn w:val="Normal"/>
    <w:link w:val="BriefingtextChar"/>
    <w:qFormat/>
    <w:pPr>
      <w:spacing w:after="240" w:line="240" w:lineRule="auto"/>
      <w:jc w:val="both"/>
    </w:pPr>
    <w:rPr>
      <w:rFonts w:ascii="Arial" w:eastAsia="Times New Roman" w:hAnsi="Arial" w:cs="Arial"/>
      <w:szCs w:val="24"/>
    </w:rPr>
  </w:style>
  <w:style w:type="character" w:customStyle="1" w:styleId="BriefingtextChar">
    <w:name w:val="Briefing text Char"/>
    <w:link w:val="Briefingtext"/>
    <w:qFormat/>
    <w:rPr>
      <w:rFonts w:ascii="Arial" w:eastAsia="Times New Roman" w:hAnsi="Arial" w:cs="Arial"/>
      <w:szCs w:val="24"/>
    </w:rPr>
  </w:style>
  <w:style w:type="paragraph" w:customStyle="1" w:styleId="CommentSubject1">
    <w:name w:val="Comment Subject1"/>
    <w:basedOn w:val="CommentText"/>
    <w:next w:val="CommentText"/>
    <w:uiPriority w:val="99"/>
    <w:semiHidden/>
    <w:unhideWhenUsed/>
    <w:pPr>
      <w:spacing w:after="160"/>
    </w:pPr>
    <w:rPr>
      <w:rFonts w:eastAsia="Calibri"/>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lang w:val="bg-BG"/>
    </w:rPr>
  </w:style>
  <w:style w:type="character" w:customStyle="1" w:styleId="Hyperlink1">
    <w:name w:val="Hyperlink1"/>
    <w:basedOn w:val="DefaultParagraphFont"/>
    <w:uiPriority w:val="99"/>
    <w:unhideWhenUsed/>
    <w:rPr>
      <w:color w:val="0563C1"/>
      <w:u w:val="single"/>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footnote text,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
    <w:basedOn w:val="DefaultParagraphFont"/>
    <w:link w:val="FootnoteText"/>
    <w:uiPriority w:val="99"/>
    <w:qFormat/>
    <w:rPr>
      <w:sz w:val="20"/>
      <w:szCs w:val="20"/>
      <w:lang w:val="bg-BG"/>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stylish,cal,callout"/>
    <w:basedOn w:val="DefaultParagraphFont"/>
    <w:link w:val="FootnotesymbolCarZchn"/>
    <w:uiPriority w:val="99"/>
    <w:unhideWhenUsed/>
    <w:qFormat/>
    <w:rPr>
      <w:vertAlign w:val="superscript"/>
    </w:rPr>
  </w:style>
  <w:style w:type="character" w:customStyle="1" w:styleId="FollowedHyperlink1">
    <w:name w:val="FollowedHyperlink1"/>
    <w:basedOn w:val="DefaultParagraphFont"/>
    <w:uiPriority w:val="99"/>
    <w:semiHidden/>
    <w:unhideWhenUsed/>
    <w:rPr>
      <w:color w:val="954F72"/>
      <w:u w:val="single"/>
    </w:rPr>
  </w:style>
  <w:style w:type="paragraph" w:styleId="Revision">
    <w:name w:val="Revision"/>
    <w:hidden/>
    <w:uiPriority w:val="99"/>
    <w:semiHidden/>
    <w:pPr>
      <w:spacing w:after="0" w:line="240" w:lineRule="auto"/>
    </w:pPr>
  </w:style>
  <w:style w:type="paragraph" w:customStyle="1" w:styleId="Briefinglist1">
    <w:name w:val="Briefing list 1"/>
    <w:basedOn w:val="Briefingtext"/>
    <w:link w:val="Briefinglist1Char"/>
    <w:qFormat/>
    <w:pPr>
      <w:keepLines/>
      <w:numPr>
        <w:numId w:val="2"/>
      </w:numPr>
      <w:spacing w:after="120"/>
    </w:pPr>
  </w:style>
  <w:style w:type="character" w:customStyle="1" w:styleId="Briefinglist1Char">
    <w:name w:val="Briefing list 1 Char"/>
    <w:link w:val="Briefinglist1"/>
    <w:qFormat/>
    <w:locked/>
    <w:rPr>
      <w:rFonts w:ascii="Arial" w:eastAsia="Times New Roman" w:hAnsi="Arial" w:cs="Arial"/>
      <w:szCs w:val="24"/>
    </w:rPr>
  </w:style>
  <w:style w:type="paragraph" w:customStyle="1" w:styleId="BriefingtextI6ptbefore">
    <w:name w:val="Briefing text I 6pt before"/>
    <w:basedOn w:val="Normal"/>
    <w:next w:val="Briefingtext"/>
    <w:link w:val="BriefingtextI6ptbeforeChar"/>
    <w:pPr>
      <w:spacing w:before="120" w:after="120" w:line="240" w:lineRule="auto"/>
      <w:jc w:val="both"/>
    </w:pPr>
    <w:rPr>
      <w:rFonts w:ascii="Arial" w:eastAsia="Times New Roman" w:hAnsi="Arial" w:cs="Times New Roman"/>
      <w:i/>
      <w:szCs w:val="24"/>
      <w:lang w:eastAsia="en-GB"/>
    </w:rPr>
  </w:style>
  <w:style w:type="character" w:customStyle="1" w:styleId="BriefingtextI6ptbeforeChar">
    <w:name w:val="Briefing text I 6pt before Char"/>
    <w:basedOn w:val="DefaultParagraphFont"/>
    <w:link w:val="BriefingtextI6ptbefore"/>
    <w:rPr>
      <w:rFonts w:ascii="Arial" w:eastAsia="Times New Roman" w:hAnsi="Arial" w:cs="Times New Roman"/>
      <w:i/>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widowControl w:val="0"/>
      <w:adjustRightInd w:val="0"/>
      <w:spacing w:after="160" w:line="240" w:lineRule="exact"/>
      <w:jc w:val="both"/>
      <w:textAlignment w:val="baseline"/>
    </w:pPr>
    <w:rPr>
      <w:vertAlign w:val="superscript"/>
    </w:rPr>
  </w:style>
  <w:style w:type="paragraph" w:customStyle="1" w:styleId="Nota">
    <w:name w:val="Nota"/>
    <w:aliases w:val="Char1,(NECG) Footnote Reference,fr,Appel note de bas de p,o,Style 6,Signature Ch"/>
    <w:basedOn w:val="Normal"/>
    <w:uiPriority w:val="99"/>
    <w:pPr>
      <w:spacing w:after="160" w:line="240" w:lineRule="exact"/>
    </w:pPr>
    <w:rPr>
      <w:vertAlign w:val="superscript"/>
    </w:rPr>
  </w:style>
  <w:style w:type="paragraph" w:customStyle="1" w:styleId="NormalWeb1">
    <w:name w:val="Normal (Web)1"/>
    <w:basedOn w:val="Normal"/>
    <w:next w:val="NormalWeb"/>
    <w:uiPriority w:val="99"/>
    <w:unhideWhenUsed/>
    <w:pPr>
      <w:spacing w:before="100" w:beforeAutospacing="1" w:after="100" w:afterAutospacing="1" w:line="240" w:lineRule="auto"/>
    </w:pPr>
    <w:rPr>
      <w:rFonts w:ascii="Calibri" w:eastAsia="Times New Roman" w:hAnsi="Calibri" w:cs="Calibri"/>
    </w:rPr>
  </w:style>
  <w:style w:type="paragraph" w:customStyle="1" w:styleId="Briefingheading3">
    <w:name w:val="Briefing heading 3"/>
    <w:basedOn w:val="Normal"/>
    <w:next w:val="Briefingtext"/>
    <w:qFormat/>
    <w:pPr>
      <w:keepNext/>
      <w:spacing w:before="120" w:after="120" w:line="240" w:lineRule="auto"/>
      <w:jc w:val="both"/>
    </w:pPr>
    <w:rPr>
      <w:rFonts w:ascii="Arial" w:eastAsia="Times New Roman" w:hAnsi="Arial" w:cs="Times New Roman"/>
      <w:b/>
      <w:i/>
      <w:szCs w:val="20"/>
      <w:lang w:eastAsia="en-GB"/>
    </w:rPr>
  </w:style>
  <w:style w:type="table" w:customStyle="1" w:styleId="PlainTable11">
    <w:name w:val="Plain Table 11"/>
    <w:basedOn w:val="TableNormal"/>
    <w:next w:val="PlainTable1"/>
    <w:uiPriority w:val="4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LTTBody1">
    <w:name w:val="LTT Body 1"/>
    <w:basedOn w:val="Normal"/>
    <w:qFormat/>
    <w:pPr>
      <w:spacing w:after="0" w:line="240" w:lineRule="auto"/>
      <w:ind w:left="360" w:hanging="360"/>
    </w:pPr>
    <w:rPr>
      <w:rFonts w:ascii="Calibri" w:eastAsia="Times New Roman" w:hAnsi="Calibri" w:cs="Calibri"/>
      <w:sz w:val="28"/>
      <w:szCs w:val="28"/>
      <w:lang w:eastAsia="en-GB"/>
    </w:rPr>
  </w:style>
  <w:style w:type="paragraph" w:customStyle="1" w:styleId="LTTSoundbite">
    <w:name w:val="LTT Sound bite"/>
    <w:basedOn w:val="LTTBody1"/>
    <w:qFormat/>
    <w:pPr>
      <w:ind w:left="0" w:firstLine="0"/>
    </w:pPr>
    <w:rPr>
      <w:b/>
    </w:rPr>
  </w:style>
  <w:style w:type="paragraph" w:customStyle="1" w:styleId="LTTBullet">
    <w:name w:val="LTT Bullet"/>
    <w:basedOn w:val="Normal"/>
    <w:qFormat/>
    <w:pPr>
      <w:spacing w:after="0" w:line="240" w:lineRule="auto"/>
      <w:ind w:left="360" w:hanging="360"/>
    </w:pPr>
    <w:rPr>
      <w:rFonts w:ascii="Calibri" w:eastAsia="Times New Roman" w:hAnsi="Calibri" w:cs="Calibri"/>
      <w:sz w:val="28"/>
      <w:szCs w:val="28"/>
      <w:lang w:eastAsia="en-GB"/>
    </w:rPr>
  </w:style>
  <w:style w:type="paragraph" w:customStyle="1" w:styleId="Standard">
    <w:name w:val="Standard"/>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highlight">
    <w:name w:val="highlight"/>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1">
    <w:name w:val="Comment Subject Char1"/>
    <w:basedOn w:val="CommentTextChar"/>
    <w:uiPriority w:val="99"/>
    <w:semiHidden/>
    <w:rPr>
      <w:rFonts w:ascii="Calibri" w:eastAsia="Times New Roman" w:hAnsi="Calibri" w:cs="Times New Roman"/>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table" w:customStyle="1"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598">
      <w:bodyDiv w:val="1"/>
      <w:marLeft w:val="0"/>
      <w:marRight w:val="0"/>
      <w:marTop w:val="0"/>
      <w:marBottom w:val="0"/>
      <w:divBdr>
        <w:top w:val="none" w:sz="0" w:space="0" w:color="auto"/>
        <w:left w:val="none" w:sz="0" w:space="0" w:color="auto"/>
        <w:bottom w:val="none" w:sz="0" w:space="0" w:color="auto"/>
        <w:right w:val="none" w:sz="0" w:space="0" w:color="auto"/>
      </w:divBdr>
    </w:div>
    <w:div w:id="232740643">
      <w:bodyDiv w:val="1"/>
      <w:marLeft w:val="0"/>
      <w:marRight w:val="0"/>
      <w:marTop w:val="0"/>
      <w:marBottom w:val="0"/>
      <w:divBdr>
        <w:top w:val="none" w:sz="0" w:space="0" w:color="auto"/>
        <w:left w:val="none" w:sz="0" w:space="0" w:color="auto"/>
        <w:bottom w:val="none" w:sz="0" w:space="0" w:color="auto"/>
        <w:right w:val="none" w:sz="0" w:space="0" w:color="auto"/>
      </w:divBdr>
      <w:divsChild>
        <w:div w:id="849030985">
          <w:marLeft w:val="0"/>
          <w:marRight w:val="0"/>
          <w:marTop w:val="0"/>
          <w:marBottom w:val="0"/>
          <w:divBdr>
            <w:top w:val="none" w:sz="0" w:space="0" w:color="auto"/>
            <w:left w:val="none" w:sz="0" w:space="0" w:color="auto"/>
            <w:bottom w:val="none" w:sz="0" w:space="0" w:color="auto"/>
            <w:right w:val="none" w:sz="0" w:space="0" w:color="auto"/>
          </w:divBdr>
          <w:divsChild>
            <w:div w:id="9839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35390">
      <w:bodyDiv w:val="1"/>
      <w:marLeft w:val="0"/>
      <w:marRight w:val="0"/>
      <w:marTop w:val="0"/>
      <w:marBottom w:val="0"/>
      <w:divBdr>
        <w:top w:val="none" w:sz="0" w:space="0" w:color="auto"/>
        <w:left w:val="none" w:sz="0" w:space="0" w:color="auto"/>
        <w:bottom w:val="none" w:sz="0" w:space="0" w:color="auto"/>
        <w:right w:val="none" w:sz="0" w:space="0" w:color="auto"/>
      </w:divBdr>
    </w:div>
    <w:div w:id="324944260">
      <w:bodyDiv w:val="1"/>
      <w:marLeft w:val="0"/>
      <w:marRight w:val="0"/>
      <w:marTop w:val="0"/>
      <w:marBottom w:val="0"/>
      <w:divBdr>
        <w:top w:val="none" w:sz="0" w:space="0" w:color="auto"/>
        <w:left w:val="none" w:sz="0" w:space="0" w:color="auto"/>
        <w:bottom w:val="none" w:sz="0" w:space="0" w:color="auto"/>
        <w:right w:val="none" w:sz="0" w:space="0" w:color="auto"/>
      </w:divBdr>
    </w:div>
    <w:div w:id="449663204">
      <w:bodyDiv w:val="1"/>
      <w:marLeft w:val="0"/>
      <w:marRight w:val="0"/>
      <w:marTop w:val="0"/>
      <w:marBottom w:val="0"/>
      <w:divBdr>
        <w:top w:val="none" w:sz="0" w:space="0" w:color="auto"/>
        <w:left w:val="none" w:sz="0" w:space="0" w:color="auto"/>
        <w:bottom w:val="none" w:sz="0" w:space="0" w:color="auto"/>
        <w:right w:val="none" w:sz="0" w:space="0" w:color="auto"/>
      </w:divBdr>
    </w:div>
    <w:div w:id="506480686">
      <w:bodyDiv w:val="1"/>
      <w:marLeft w:val="0"/>
      <w:marRight w:val="0"/>
      <w:marTop w:val="0"/>
      <w:marBottom w:val="0"/>
      <w:divBdr>
        <w:top w:val="none" w:sz="0" w:space="0" w:color="auto"/>
        <w:left w:val="none" w:sz="0" w:space="0" w:color="auto"/>
        <w:bottom w:val="none" w:sz="0" w:space="0" w:color="auto"/>
        <w:right w:val="none" w:sz="0" w:space="0" w:color="auto"/>
      </w:divBdr>
    </w:div>
    <w:div w:id="748039820">
      <w:bodyDiv w:val="1"/>
      <w:marLeft w:val="0"/>
      <w:marRight w:val="0"/>
      <w:marTop w:val="0"/>
      <w:marBottom w:val="0"/>
      <w:divBdr>
        <w:top w:val="none" w:sz="0" w:space="0" w:color="auto"/>
        <w:left w:val="none" w:sz="0" w:space="0" w:color="auto"/>
        <w:bottom w:val="none" w:sz="0" w:space="0" w:color="auto"/>
        <w:right w:val="none" w:sz="0" w:space="0" w:color="auto"/>
      </w:divBdr>
      <w:divsChild>
        <w:div w:id="179009729">
          <w:marLeft w:val="0"/>
          <w:marRight w:val="0"/>
          <w:marTop w:val="0"/>
          <w:marBottom w:val="0"/>
          <w:divBdr>
            <w:top w:val="none" w:sz="0" w:space="0" w:color="auto"/>
            <w:left w:val="none" w:sz="0" w:space="0" w:color="auto"/>
            <w:bottom w:val="none" w:sz="0" w:space="0" w:color="auto"/>
            <w:right w:val="none" w:sz="0" w:space="0" w:color="auto"/>
          </w:divBdr>
          <w:divsChild>
            <w:div w:id="1759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90220">
      <w:bodyDiv w:val="1"/>
      <w:marLeft w:val="0"/>
      <w:marRight w:val="0"/>
      <w:marTop w:val="0"/>
      <w:marBottom w:val="0"/>
      <w:divBdr>
        <w:top w:val="none" w:sz="0" w:space="0" w:color="auto"/>
        <w:left w:val="none" w:sz="0" w:space="0" w:color="auto"/>
        <w:bottom w:val="none" w:sz="0" w:space="0" w:color="auto"/>
        <w:right w:val="none" w:sz="0" w:space="0" w:color="auto"/>
      </w:divBdr>
    </w:div>
    <w:div w:id="1699038773">
      <w:bodyDiv w:val="1"/>
      <w:marLeft w:val="0"/>
      <w:marRight w:val="0"/>
      <w:marTop w:val="0"/>
      <w:marBottom w:val="0"/>
      <w:divBdr>
        <w:top w:val="none" w:sz="0" w:space="0" w:color="auto"/>
        <w:left w:val="none" w:sz="0" w:space="0" w:color="auto"/>
        <w:bottom w:val="none" w:sz="0" w:space="0" w:color="auto"/>
        <w:right w:val="none" w:sz="0" w:space="0" w:color="auto"/>
      </w:divBdr>
    </w:div>
    <w:div w:id="1897931260">
      <w:bodyDiv w:val="1"/>
      <w:marLeft w:val="0"/>
      <w:marRight w:val="0"/>
      <w:marTop w:val="0"/>
      <w:marBottom w:val="0"/>
      <w:divBdr>
        <w:top w:val="none" w:sz="0" w:space="0" w:color="auto"/>
        <w:left w:val="none" w:sz="0" w:space="0" w:color="auto"/>
        <w:bottom w:val="none" w:sz="0" w:space="0" w:color="auto"/>
        <w:right w:val="none" w:sz="0" w:space="0" w:color="auto"/>
      </w:divBdr>
    </w:div>
    <w:div w:id="197343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op.europa.eu/webpub/empl/european-pillar-of-social-rights/downloads/KE0921008ENN.pdf" TargetMode="External"/><Relationship Id="rId7" Type="http://schemas.openxmlformats.org/officeDocument/2006/relationships/hyperlink" Target="https://www.eesc.europa.eu/bg/sections-other-bodies/other/european-migration-forum" TargetMode="External"/><Relationship Id="rId2" Type="http://schemas.openxmlformats.org/officeDocument/2006/relationships/hyperlink" Target="https://www.consilium.europa.eu/bg/press/press-releases/2016/03/18/eu-turkey-statement/" TargetMode="External"/><Relationship Id="rId1" Type="http://schemas.openxmlformats.org/officeDocument/2006/relationships/hyperlink" Target="https://ec.europa.eu/commission/presscorner/detail/en/ip_20_384" TargetMode="External"/><Relationship Id="rId6" Type="http://schemas.openxmlformats.org/officeDocument/2006/relationships/hyperlink" Target="https://cor.europa.eu/en/news/Pages/Integration-of-migrants-partnership-for-EU-support-to-local-action.aspx" TargetMode="External"/><Relationship Id="rId5" Type="http://schemas.openxmlformats.org/officeDocument/2006/relationships/hyperlink" Target="https://cor.europa.eu/en/news/Pages/Integration-of-migrants-partnership-for-EU-support-to-local-action.aspx" TargetMode="External"/><Relationship Id="rId4" Type="http://schemas.openxmlformats.org/officeDocument/2006/relationships/hyperlink" Target="https://op.europa.eu/s/pcw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8801B-45C3-4B85-9856-F2D6EF4E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12503</Words>
  <Characters>71519</Characters>
  <Application>Microsoft Office Word</Application>
  <DocSecurity>0</DocSecurity>
  <Lines>1135</Lines>
  <Paragraphs>192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47</cp:revision>
  <dcterms:created xsi:type="dcterms:W3CDTF">2021-09-28T08:39:00Z</dcterms:created>
  <dcterms:modified xsi:type="dcterms:W3CDTF">2021-10-11T13:47:00Z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20200226</vt:lpwstr>
  </property>
  <property fmtid="{D5CDD505-2E9C-101B-9397-08002B2CF9AE}" pid="8" name="Created using">
    <vt:lpwstr>LW 7.0.1, Build 20200226</vt:lpwstr>
  </property>
</Properties>
</file>