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B8B40" w14:textId="35279672" w:rsidR="006D7C54" w:rsidRPr="00640063" w:rsidRDefault="006D71BB" w:rsidP="00CA3102">
      <w:pPr>
        <w:pStyle w:val="Pagedecouverture"/>
        <w:rPr>
          <w:noProof/>
        </w:rPr>
      </w:pPr>
      <w:bookmarkStart w:id="0" w:name="LW_BM_COVERPAGE"/>
      <w:r>
        <w:rPr>
          <w:noProof/>
        </w:rPr>
        <w:pict w14:anchorId="6C1D8D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6F33A8EB-5338-4063-AE4F-640B2A6FAB65" style="width:455.25pt;height:336.75pt">
            <v:imagedata r:id="rId8" o:title=""/>
          </v:shape>
        </w:pict>
      </w:r>
    </w:p>
    <w:bookmarkEnd w:id="0"/>
    <w:p w14:paraId="425A1FE5" w14:textId="77777777" w:rsidR="006D7C54" w:rsidRPr="00640063" w:rsidRDefault="006D7C54">
      <w:pPr>
        <w:rPr>
          <w:rFonts w:ascii="Times New Roman" w:hAnsi="Times New Roman" w:cs="Times New Roman"/>
          <w:noProof/>
        </w:rPr>
        <w:sectPr w:rsidR="006D7C54" w:rsidRPr="00640063" w:rsidSect="00CA310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 w14:paraId="14572A9E" w14:textId="77777777" w:rsidR="001A7D01" w:rsidRDefault="000605E4" w:rsidP="000605E4">
      <w:pPr>
        <w:spacing w:before="480" w:after="12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t xml:space="preserve">RELAZIONE DELLA COMMISSIONE AL PARLAMENTO EUROPEO E AL CONSIGLIO </w:t>
      </w:r>
    </w:p>
    <w:p w14:paraId="16866198" w14:textId="51F69769" w:rsidR="00D43C26" w:rsidRPr="00640063" w:rsidRDefault="000605E4" w:rsidP="000605E4">
      <w:pPr>
        <w:spacing w:before="480" w:after="12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sull</w:t>
      </w:r>
      <w:r w:rsidR="00652BB7">
        <w:rPr>
          <w:rFonts w:ascii="Times New Roman" w:hAnsi="Times New Roman"/>
          <w:b/>
          <w:noProof/>
          <w:sz w:val="24"/>
          <w:szCs w:val="24"/>
        </w:rPr>
        <w:t>'</w:t>
      </w:r>
      <w:r>
        <w:rPr>
          <w:rFonts w:ascii="Times New Roman" w:hAnsi="Times New Roman"/>
          <w:b/>
          <w:noProof/>
          <w:sz w:val="24"/>
          <w:szCs w:val="24"/>
        </w:rPr>
        <w:t>esercizio del potere di adottare atti delegati conferito alla Commissione a norma della direttiva 2011/65/UE sulla restrizione dell</w:t>
      </w:r>
      <w:r w:rsidR="00652BB7">
        <w:rPr>
          <w:rFonts w:ascii="Times New Roman" w:hAnsi="Times New Roman"/>
          <w:b/>
          <w:noProof/>
          <w:sz w:val="24"/>
          <w:szCs w:val="24"/>
        </w:rPr>
        <w:t>'</w:t>
      </w:r>
      <w:r>
        <w:rPr>
          <w:rFonts w:ascii="Times New Roman" w:hAnsi="Times New Roman"/>
          <w:b/>
          <w:noProof/>
          <w:sz w:val="24"/>
          <w:szCs w:val="24"/>
        </w:rPr>
        <w:t>uso di determinate sostanze pericolose nelle apparecchiature elettriche ed elettroniche</w:t>
      </w:r>
    </w:p>
    <w:p w14:paraId="3C5AD00C" w14:textId="77777777" w:rsidR="006D7C54" w:rsidRPr="00640063" w:rsidRDefault="00457645" w:rsidP="00D43C26">
      <w:pPr>
        <w:spacing w:before="480" w:after="1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1. INTRODUZIONE</w:t>
      </w:r>
    </w:p>
    <w:p w14:paraId="02EC2F4F" w14:textId="790F0D1F" w:rsidR="000605E4" w:rsidRPr="00640063" w:rsidRDefault="000605E4" w:rsidP="000605E4">
      <w:pPr>
        <w:spacing w:after="120" w:line="25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La direttiva 2011/65/UE del Parlamento europeo e del Consiglio, dell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>8 giugno 2011, sulla restrizione dell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>uso di determinate sostanze pericolose nelle apparecchiature elettriche ed elettroniche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"/>
      </w:r>
      <w:r>
        <w:rPr>
          <w:rFonts w:ascii="Times New Roman" w:hAnsi="Times New Roman"/>
          <w:noProof/>
          <w:sz w:val="24"/>
          <w:szCs w:val="24"/>
        </w:rPr>
        <w:t xml:space="preserve"> (direttiva RoHS) istituisce norme che restringono l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>uso di sostanze pericolose nelle apparecchiature elettriche ed elettroniche (AEE) al fine di contribuire alla tutela della salute umana e dell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 xml:space="preserve">ambiente, compresi il recupero e lo smaltimento ecologicamente corretti dei rifiuti di AEE. </w:t>
      </w:r>
    </w:p>
    <w:p w14:paraId="39DFA019" w14:textId="04BC2E72" w:rsidR="000605E4" w:rsidRPr="00640063" w:rsidRDefault="005919BE" w:rsidP="000605E4">
      <w:pPr>
        <w:spacing w:after="120" w:line="25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L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>articolo 4 della direttiva RoHS obbliga gli Stati membri a garantire che le AEE immesse sul mercato non contengano le sostanze elencate nell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 xml:space="preserve">allegato II. Gli allegati III e IV elencano le applicazioni esentate da tale restrizione. </w:t>
      </w:r>
    </w:p>
    <w:p w14:paraId="530DB3FA" w14:textId="77777777" w:rsidR="000605E4" w:rsidRPr="00640063" w:rsidRDefault="000605E4" w:rsidP="000605E4">
      <w:pPr>
        <w:spacing w:after="120" w:line="25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La direttiva conferisce alla Commissione il potere di adottare atti delegati riguardo a tre diverse disposizioni, al fine di: </w:t>
      </w:r>
    </w:p>
    <w:p w14:paraId="4FBE66F2" w14:textId="6EE8A163" w:rsidR="000605E4" w:rsidRPr="00640063" w:rsidRDefault="000605E4" w:rsidP="000605E4">
      <w:pPr>
        <w:pStyle w:val="ListParagraph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specificare modalità dettagliate per la conformità ai valori massimi di concentrazione in peso nei materiali omogenei indicata nell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>allegato II, a norma dell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>articolo 4, paragrafo 2;</w:t>
      </w:r>
    </w:p>
    <w:p w14:paraId="568025AF" w14:textId="57285B03" w:rsidR="000605E4" w:rsidRPr="00640063" w:rsidRDefault="000605E4" w:rsidP="000605E4">
      <w:pPr>
        <w:pStyle w:val="ListParagraph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adeguare gli allegati III e IV al progresso scientifico e tecnico per l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>inclusione e la revoca di esenzioni dalla restrizione di cui all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>articolo 4, paragrafo 1, a norma dell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>articolo 5, paragrafo 1;</w:t>
      </w:r>
    </w:p>
    <w:p w14:paraId="0D328744" w14:textId="62FE6083" w:rsidR="006D7C54" w:rsidRPr="00640063" w:rsidRDefault="000605E4" w:rsidP="000605E4">
      <w:pPr>
        <w:pStyle w:val="ListParagraph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riesaminare e modificare l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>elenco delle sostanze con restrizioni d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>uso di cui all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>allegato II, a norma dell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 xml:space="preserve">articolo 6, paragrafo 3. </w:t>
      </w:r>
    </w:p>
    <w:p w14:paraId="667BE343" w14:textId="77777777" w:rsidR="006D7C54" w:rsidRPr="00640063" w:rsidRDefault="00457645" w:rsidP="00D43C26">
      <w:pPr>
        <w:spacing w:before="480" w:after="1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2. BASE GIURIDICA</w:t>
      </w:r>
    </w:p>
    <w:p w14:paraId="39CA7DF2" w14:textId="3EB23DD6" w:rsidR="00120027" w:rsidRPr="00640063" w:rsidRDefault="000605E4" w:rsidP="001B7BF3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La presente relazione è obbligatoria a norma dell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 xml:space="preserve">articolo 20, paragrafo 1, della direttiva RoHS, ai cui sensi il potere di adottare atti delegati è conferito alla Commissione per un periodo di cinque anni a decorrere dal 21 luglio 2011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e</w:t>
      </w:r>
      <w:r w:rsidR="009123A2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la Commissione è tenuta a elaborare una relazione sui poteri delegati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non oltre sei mesi prima della scadenza del periodo di cinque anni.</w:t>
      </w:r>
      <w:r>
        <w:rPr>
          <w:rFonts w:ascii="Times New Roman" w:hAnsi="Times New Roman"/>
          <w:noProof/>
          <w:sz w:val="24"/>
          <w:szCs w:val="24"/>
        </w:rPr>
        <w:t xml:space="preserve"> La delega di potere è automaticamente prorogata per periodi di identica durata, tranne in caso di revoca da parte del Parlamento europeo o del Consiglio a norma dell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>articolo 21. La precedente relazione</w:t>
      </w:r>
      <w:r>
        <w:rPr>
          <w:rStyle w:val="FootnoteReference"/>
          <w:rFonts w:ascii="Times New Roman" w:hAnsi="Times New Roman" w:cs="Times New Roman"/>
          <w:noProof/>
          <w:color w:val="000000" w:themeColor="text1"/>
          <w:sz w:val="24"/>
          <w:szCs w:val="24"/>
        </w:rPr>
        <w:footnoteReference w:id="2"/>
      </w:r>
      <w:r>
        <w:rPr>
          <w:rFonts w:ascii="Times New Roman" w:hAnsi="Times New Roman"/>
          <w:noProof/>
          <w:sz w:val="24"/>
          <w:szCs w:val="24"/>
        </w:rPr>
        <w:t xml:space="preserve"> sull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 xml:space="preserve">esercizio della delega di potere conferita alla Commissione in relazione alla direttiva 2011/65/UE è stata adottata dalla Commissione il 18 aprile 2016. La </w:t>
      </w:r>
      <w:r>
        <w:rPr>
          <w:rFonts w:ascii="Times New Roman" w:hAnsi="Times New Roman"/>
          <w:noProof/>
          <w:sz w:val="24"/>
          <w:szCs w:val="24"/>
        </w:rPr>
        <w:lastRenderedPageBreak/>
        <w:t xml:space="preserve">Commissione ha invitato il Parlamento europeo e il Consiglio a prendere atto di tale relazione. </w:t>
      </w:r>
    </w:p>
    <w:p w14:paraId="284E8961" w14:textId="77777777" w:rsidR="006D7C54" w:rsidRPr="00640063" w:rsidRDefault="00457645" w:rsidP="00F752E4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3. ESERCIZIO DELLA DELEGA</w:t>
      </w:r>
    </w:p>
    <w:p w14:paraId="67F90742" w14:textId="7A0681A6" w:rsidR="00E7274E" w:rsidRPr="00640063" w:rsidRDefault="00E7274E" w:rsidP="00F752E4">
      <w:pPr>
        <w:spacing w:before="360" w:after="60" w:line="25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L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>esercizio del potere delegato si è reso necessario durante il periodo di riferimento riguardo a diverse disposizioni della direttiva, come specificato di seguito.</w:t>
      </w:r>
    </w:p>
    <w:p w14:paraId="57985195" w14:textId="77777777" w:rsidR="00E7274E" w:rsidRPr="00640063" w:rsidRDefault="00E7274E" w:rsidP="00D66186">
      <w:pPr>
        <w:spacing w:after="120" w:line="252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97E9C78" w14:textId="77777777" w:rsidR="00E7274E" w:rsidRPr="00640063" w:rsidRDefault="00E7274E" w:rsidP="00D66186">
      <w:pPr>
        <w:spacing w:after="120" w:line="252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3.1. Norme di conformità ai valori massimi di concentrazione (articolo 4, paragrafo 2) </w:t>
      </w:r>
    </w:p>
    <w:p w14:paraId="59456B2E" w14:textId="6A5BE633" w:rsidR="00E7274E" w:rsidRPr="00640063" w:rsidRDefault="009E6E3E" w:rsidP="00C119D1">
      <w:pPr>
        <w:spacing w:before="360" w:after="60" w:line="25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Per quanto riguarda le modalità dettagliate per conformarsi ai valori massimi di concentrazione in peso nei materiali omogenei indicata nell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>allegato II della direttiva RoHS, dalla relazione precedente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3"/>
      </w:r>
      <w:r>
        <w:rPr>
          <w:rFonts w:ascii="Times New Roman" w:hAnsi="Times New Roman"/>
          <w:noProof/>
          <w:sz w:val="24"/>
          <w:szCs w:val="24"/>
        </w:rPr>
        <w:t xml:space="preserve"> non vi sono stati cambiamenti quanto alla necessità di adottare un atto delegato per stabilire tali modalità a norma dell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>articolo 4, paragrafo 2.</w:t>
      </w:r>
    </w:p>
    <w:p w14:paraId="572D9768" w14:textId="77777777" w:rsidR="00E7274E" w:rsidRPr="00640063" w:rsidRDefault="00E7274E" w:rsidP="00D66186">
      <w:pPr>
        <w:spacing w:after="120" w:line="252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B164681" w14:textId="014CCF30" w:rsidR="00980E86" w:rsidRPr="00640063" w:rsidRDefault="00E7274E" w:rsidP="00D66186">
      <w:pPr>
        <w:spacing w:after="120" w:line="252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3.2. Esenzioni per le sostanze con restrizioni d</w:t>
      </w:r>
      <w:r w:rsidR="00652BB7">
        <w:rPr>
          <w:rFonts w:ascii="Times New Roman" w:hAnsi="Times New Roman"/>
          <w:b/>
          <w:noProof/>
          <w:sz w:val="24"/>
          <w:szCs w:val="24"/>
        </w:rPr>
        <w:t>'</w:t>
      </w:r>
      <w:r>
        <w:rPr>
          <w:rFonts w:ascii="Times New Roman" w:hAnsi="Times New Roman"/>
          <w:b/>
          <w:noProof/>
          <w:sz w:val="24"/>
          <w:szCs w:val="24"/>
        </w:rPr>
        <w:t>uso di cui all</w:t>
      </w:r>
      <w:r w:rsidR="00652BB7">
        <w:rPr>
          <w:rFonts w:ascii="Times New Roman" w:hAnsi="Times New Roman"/>
          <w:b/>
          <w:noProof/>
          <w:sz w:val="24"/>
          <w:szCs w:val="24"/>
        </w:rPr>
        <w:t>'</w:t>
      </w:r>
      <w:r>
        <w:rPr>
          <w:rFonts w:ascii="Times New Roman" w:hAnsi="Times New Roman"/>
          <w:b/>
          <w:noProof/>
          <w:sz w:val="24"/>
          <w:szCs w:val="24"/>
        </w:rPr>
        <w:t>articolo 4, paragrafo 1, a norma dell</w:t>
      </w:r>
      <w:r w:rsidR="00652BB7">
        <w:rPr>
          <w:rFonts w:ascii="Times New Roman" w:hAnsi="Times New Roman"/>
          <w:b/>
          <w:noProof/>
          <w:sz w:val="24"/>
          <w:szCs w:val="24"/>
        </w:rPr>
        <w:t>'</w:t>
      </w:r>
      <w:r>
        <w:rPr>
          <w:rFonts w:ascii="Times New Roman" w:hAnsi="Times New Roman"/>
          <w:b/>
          <w:noProof/>
          <w:sz w:val="24"/>
          <w:szCs w:val="24"/>
        </w:rPr>
        <w:t xml:space="preserve">articolo 5, paragrafo 1 </w:t>
      </w:r>
    </w:p>
    <w:p w14:paraId="709B6E8B" w14:textId="5056862F" w:rsidR="00980E86" w:rsidRPr="00640063" w:rsidRDefault="00980E86" w:rsidP="007D22F6">
      <w:pPr>
        <w:spacing w:before="320" w:after="60" w:line="25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Nel periodo oggetto della presente relazione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4"/>
      </w:r>
      <w:r>
        <w:rPr>
          <w:rFonts w:ascii="Times New Roman" w:hAnsi="Times New Roman"/>
          <w:noProof/>
          <w:sz w:val="24"/>
          <w:szCs w:val="24"/>
        </w:rPr>
        <w:t xml:space="preserve"> la Commissione ha ricevuto 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102 domande</w:t>
      </w:r>
      <w:r>
        <w:rPr>
          <w:rStyle w:val="FootnoteReference"/>
          <w:rFonts w:ascii="Times New Roman" w:hAnsi="Times New Roman" w:cs="Times New Roman"/>
          <w:noProof/>
          <w:color w:val="000000" w:themeColor="text1"/>
          <w:sz w:val="24"/>
          <w:szCs w:val="24"/>
        </w:rPr>
        <w:footnoteReference w:id="5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di</w:t>
      </w:r>
      <w:r w:rsidR="00652BB7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adeguamento degli allegati III e IV della direttiva al progresso tecnico e scientifico per quanto riguarda le esenzioni dalle restrizioni di cui all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>articolo 5 della direttiva RoHS, di cui 50 presentate tra novembre 2019 e gennai</w:t>
      </w:r>
      <w:r w:rsidR="009123A2">
        <w:rPr>
          <w:rFonts w:ascii="Times New Roman" w:hAnsi="Times New Roman"/>
          <w:noProof/>
          <w:sz w:val="24"/>
          <w:szCs w:val="24"/>
        </w:rPr>
        <w:t xml:space="preserve">o 2020 e 26 nel gennaio 2021. </w:t>
      </w:r>
      <w:r>
        <w:rPr>
          <w:rFonts w:ascii="Times New Roman" w:hAnsi="Times New Roman"/>
          <w:noProof/>
          <w:sz w:val="24"/>
          <w:szCs w:val="24"/>
        </w:rPr>
        <w:t>A seguito della necessaria valutazione tecnica e scientifica delle domande</w:t>
      </w:r>
      <w:r w:rsidR="00652BB7">
        <w:rPr>
          <w:rFonts w:ascii="Times New Roman" w:hAnsi="Times New Roman"/>
          <w:noProof/>
          <w:sz w:val="24"/>
          <w:szCs w:val="24"/>
        </w:rPr>
        <w:t>, la Commissione ha adottato 32 </w:t>
      </w:r>
      <w:r>
        <w:rPr>
          <w:rFonts w:ascii="Times New Roman" w:hAnsi="Times New Roman"/>
          <w:noProof/>
          <w:sz w:val="24"/>
          <w:szCs w:val="24"/>
        </w:rPr>
        <w:t>singole direttive delegate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6"/>
      </w:r>
      <w:r>
        <w:rPr>
          <w:rFonts w:ascii="Times New Roman" w:hAnsi="Times New Roman"/>
          <w:noProof/>
          <w:sz w:val="24"/>
          <w:szCs w:val="24"/>
        </w:rPr>
        <w:t xml:space="preserve"> per modificare gli allegati III e IV per quanto riguarda le </w:t>
      </w:r>
      <w:r>
        <w:rPr>
          <w:rFonts w:ascii="Times New Roman" w:hAnsi="Times New Roman"/>
          <w:noProof/>
          <w:sz w:val="24"/>
          <w:szCs w:val="24"/>
        </w:rPr>
        <w:lastRenderedPageBreak/>
        <w:t>esenzioni dalle restrizioni di sostanze. La Commissione sta preparando altri 19 atti delegati e effettuando la valutazione di 57 domande di esenzione che potrebbero portare all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 xml:space="preserve">adozione di ulteriori atti delegati. </w:t>
      </w:r>
    </w:p>
    <w:p w14:paraId="3790ADB4" w14:textId="672E668A" w:rsidR="00120027" w:rsidRDefault="00980E86" w:rsidP="00DD2DEE">
      <w:pPr>
        <w:spacing w:before="320" w:after="60" w:line="25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Né il Parlamento europeo né il Co</w:t>
      </w:r>
      <w:bookmarkStart w:id="1" w:name="_GoBack"/>
      <w:bookmarkEnd w:id="1"/>
      <w:r>
        <w:rPr>
          <w:rFonts w:ascii="Times New Roman" w:hAnsi="Times New Roman"/>
          <w:noProof/>
          <w:sz w:val="24"/>
          <w:szCs w:val="24"/>
        </w:rPr>
        <w:t>nsiglio hanno sollevato obiezioni in merito alle citate direttive delegate della Commissione adottate dopo l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>ultima relazione e, alla scadenza del periodo di controllo di cui all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 xml:space="preserve">articolo 22 della direttiva, tali atti delegati sono stati pubblicati nella </w:t>
      </w:r>
      <w:r w:rsidRPr="006D71BB">
        <w:rPr>
          <w:rFonts w:ascii="Times New Roman" w:hAnsi="Times New Roman"/>
          <w:i/>
          <w:noProof/>
          <w:sz w:val="24"/>
          <w:szCs w:val="24"/>
        </w:rPr>
        <w:t>Gazzetta ufficiale dell</w:t>
      </w:r>
      <w:r w:rsidR="00652BB7" w:rsidRPr="006D71BB">
        <w:rPr>
          <w:rFonts w:ascii="Times New Roman" w:hAnsi="Times New Roman"/>
          <w:i/>
          <w:noProof/>
          <w:sz w:val="24"/>
          <w:szCs w:val="24"/>
        </w:rPr>
        <w:t>'</w:t>
      </w:r>
      <w:r w:rsidRPr="006D71BB">
        <w:rPr>
          <w:rFonts w:ascii="Times New Roman" w:hAnsi="Times New Roman"/>
          <w:i/>
          <w:noProof/>
          <w:sz w:val="24"/>
          <w:szCs w:val="24"/>
        </w:rPr>
        <w:t>Unione europea</w:t>
      </w:r>
      <w:r>
        <w:rPr>
          <w:rFonts w:ascii="Times New Roman" w:hAnsi="Times New Roman"/>
          <w:noProof/>
          <w:sz w:val="24"/>
          <w:szCs w:val="24"/>
        </w:rPr>
        <w:t xml:space="preserve"> e sono entrati in vigore alla data ivi indicata. </w:t>
      </w:r>
    </w:p>
    <w:p w14:paraId="63E339A8" w14:textId="77777777" w:rsidR="00DD2DEE" w:rsidRPr="00DD2DEE" w:rsidRDefault="00DD2DEE" w:rsidP="00DD2DEE">
      <w:pPr>
        <w:spacing w:before="320" w:after="60" w:line="25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464ADF4" w14:textId="0FCFA263" w:rsidR="00980E86" w:rsidRPr="00640063" w:rsidRDefault="00980E86" w:rsidP="00991255">
      <w:pPr>
        <w:spacing w:after="120" w:line="252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3.3. Modifica dell</w:t>
      </w:r>
      <w:r w:rsidR="00652BB7">
        <w:rPr>
          <w:rFonts w:ascii="Times New Roman" w:hAnsi="Times New Roman"/>
          <w:b/>
          <w:noProof/>
          <w:sz w:val="24"/>
          <w:szCs w:val="24"/>
        </w:rPr>
        <w:t>'</w:t>
      </w:r>
      <w:r>
        <w:rPr>
          <w:rFonts w:ascii="Times New Roman" w:hAnsi="Times New Roman"/>
          <w:b/>
          <w:noProof/>
          <w:sz w:val="24"/>
          <w:szCs w:val="24"/>
        </w:rPr>
        <w:t>elenco delle sostanze con restrizioni d</w:t>
      </w:r>
      <w:r w:rsidR="00652BB7">
        <w:rPr>
          <w:rFonts w:ascii="Times New Roman" w:hAnsi="Times New Roman"/>
          <w:b/>
          <w:noProof/>
          <w:sz w:val="24"/>
          <w:szCs w:val="24"/>
        </w:rPr>
        <w:t>'</w:t>
      </w:r>
      <w:r>
        <w:rPr>
          <w:rFonts w:ascii="Times New Roman" w:hAnsi="Times New Roman"/>
          <w:b/>
          <w:noProof/>
          <w:sz w:val="24"/>
          <w:szCs w:val="24"/>
        </w:rPr>
        <w:t>uso (articolo 6, paragrafo 3)</w:t>
      </w:r>
    </w:p>
    <w:p w14:paraId="65724221" w14:textId="1147B96E" w:rsidR="00944EA9" w:rsidRPr="007D22F6" w:rsidRDefault="00DE754C" w:rsidP="00C5454A">
      <w:pPr>
        <w:spacing w:before="320" w:after="60" w:line="25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norma dell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>articolo 6, paragrafo 1, della direttiva RoHS, la Commissione prende in considerazione la possibilità di riesaminare, sulla base di una valutazione approfondita, e di modificare l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>elenco delle sostanze con restrizioni d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>uso di cui all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>allegato II anteriormente al 22 luglio 2014 e successivamente su base regolare, di propria iniziativa o in seguito alla presentazione di una proposta di uno Stato membro. La Commissione adotta le misure per riesaminare e modificare l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>elenco delle sostanze con restrizioni d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>uso di cui all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>allegato II mediante atti delegati. Oltre alla direttiva delegata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7"/>
      </w:r>
      <w:r>
        <w:rPr>
          <w:rFonts w:ascii="Times New Roman" w:hAnsi="Times New Roman"/>
          <w:noProof/>
          <w:sz w:val="24"/>
          <w:szCs w:val="24"/>
        </w:rPr>
        <w:t xml:space="preserve"> che ha modificato l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>elenco delle sostanze con restrizioni d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>uso di cui all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>allegato II indicata nella relazione precedente, tra gennaio 2018 e febbraio 2021 è stato avviato uno studio di valutazione tecnica e scientifica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8"/>
      </w:r>
      <w:r>
        <w:rPr>
          <w:rFonts w:ascii="Times New Roman" w:hAnsi="Times New Roman"/>
          <w:noProof/>
          <w:sz w:val="24"/>
          <w:szCs w:val="24"/>
        </w:rPr>
        <w:t>, comprendente consultazioni con i portatori d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>interessi e gli esperti della direttiva RoHS degli Stati membri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9"/>
      </w:r>
      <w:r>
        <w:rPr>
          <w:rFonts w:ascii="Times New Roman" w:hAnsi="Times New Roman"/>
          <w:noProof/>
          <w:sz w:val="24"/>
          <w:szCs w:val="24"/>
        </w:rPr>
        <w:t>, a sostegno di un riesame dell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>elenco delle sostanze con restrizioni d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>uso. Nello studio è stata inoltre esaminata la proposta di includere le paraffine clorurate a catena media (MCCP) all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>elenco delle sostanze con restrizioni d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>uso, presentata alla Commissione dall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 xml:space="preserve">Agenzia svedese per le sostanze chimiche nel giugno 2018. </w:t>
      </w:r>
    </w:p>
    <w:p w14:paraId="6B5FD9AE" w14:textId="1DFBBBF8" w:rsidR="00B7337C" w:rsidRPr="007D22F6" w:rsidRDefault="00B7337C" w:rsidP="00C5454A">
      <w:pPr>
        <w:spacing w:before="320" w:after="60" w:line="25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Alla luce di tale studio la Commissione adotterà ulteriori misure per valutare una possibile modifica dell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>elenco delle sostanze con restrizioni d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>uso di cui all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 xml:space="preserve">allegato II. </w:t>
      </w:r>
    </w:p>
    <w:p w14:paraId="572EE56A" w14:textId="77777777" w:rsidR="00C5454A" w:rsidRPr="00640063" w:rsidRDefault="00C5454A" w:rsidP="002C2DB9">
      <w:pPr>
        <w:spacing w:after="120" w:line="252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D24016E" w14:textId="507FD822" w:rsidR="00AD1A11" w:rsidRPr="00640063" w:rsidRDefault="00AD1A11" w:rsidP="00652BB7">
      <w:pPr>
        <w:keepNext/>
        <w:keepLines/>
        <w:spacing w:after="120" w:line="252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t>3.4. Considerazioni generali relative all</w:t>
      </w:r>
      <w:r w:rsidR="00652BB7">
        <w:rPr>
          <w:rFonts w:ascii="Times New Roman" w:hAnsi="Times New Roman"/>
          <w:b/>
          <w:noProof/>
          <w:sz w:val="24"/>
          <w:szCs w:val="24"/>
        </w:rPr>
        <w:t>'</w:t>
      </w:r>
      <w:r>
        <w:rPr>
          <w:rFonts w:ascii="Times New Roman" w:hAnsi="Times New Roman"/>
          <w:b/>
          <w:noProof/>
          <w:sz w:val="24"/>
          <w:szCs w:val="24"/>
        </w:rPr>
        <w:t>esercizio dei poteri delegati nel quadro della direttiva RoHS</w:t>
      </w:r>
    </w:p>
    <w:p w14:paraId="29579E59" w14:textId="235710EF" w:rsidR="00AD1A11" w:rsidRPr="009D5F3D" w:rsidRDefault="001E1511" w:rsidP="009D5F3D">
      <w:pPr>
        <w:spacing w:before="360"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Per rispettare i requisiti della direttiva e i principi dell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 xml:space="preserve">iniziativa </w:t>
      </w:r>
      <w:r w:rsidR="00652BB7">
        <w:rPr>
          <w:rFonts w:ascii="Times New Roman" w:hAnsi="Times New Roman"/>
          <w:noProof/>
          <w:sz w:val="24"/>
          <w:szCs w:val="24"/>
        </w:rPr>
        <w:t>"</w:t>
      </w:r>
      <w:r>
        <w:rPr>
          <w:rFonts w:ascii="Times New Roman" w:hAnsi="Times New Roman"/>
          <w:noProof/>
          <w:sz w:val="24"/>
          <w:szCs w:val="24"/>
        </w:rPr>
        <w:t>Legiferare meglio</w:t>
      </w:r>
      <w:r w:rsidR="00652BB7">
        <w:rPr>
          <w:rFonts w:ascii="Times New Roman" w:hAnsi="Times New Roman"/>
          <w:noProof/>
          <w:sz w:val="24"/>
          <w:szCs w:val="24"/>
        </w:rPr>
        <w:t>"</w:t>
      </w:r>
      <w:r>
        <w:rPr>
          <w:rFonts w:ascii="Times New Roman" w:hAnsi="Times New Roman"/>
          <w:noProof/>
          <w:sz w:val="24"/>
          <w:szCs w:val="24"/>
        </w:rPr>
        <w:t xml:space="preserve"> della Commissione nella preparazione e adozione degli atti delegati, è necessario adottare una serie di misure per valutare una richiesta di esenzione o di nuove restrizioni di sostanze. Tra queste figurano, in particolare, una valutazione tecnica e scientifica affidata a un consulente esterno, ampie consultazioni dei portatori di interessi, la consultazione del gruppo di esperti degli Stati membri convocato per la preparazione degli atti delegati a norma della direttiva RoHS, l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>informazione del Parlamento europeo e del Consiglio, la notifica al comitato dell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 xml:space="preserve">Organizzazione mondiale del commercio per gli ostacoli tecnici agli scambi, la pubblicazione di progetti di atti per il feedback del pubblico e il relativo esame dei riscontri della consultazione interservizi, nonché il rispetto del periodo di controllo di due mesi di cui dispongono il Parlamento europeo e al Consiglio. </w:t>
      </w:r>
    </w:p>
    <w:p w14:paraId="21627774" w14:textId="0C33FD95" w:rsidR="00C37E40" w:rsidRPr="00640063" w:rsidRDefault="00521617" w:rsidP="002C2DB9">
      <w:pPr>
        <w:spacing w:before="360"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L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>articolo 24, paragrafo 2, della direttiva impone alla Commissione di procedere a un riesame generale della direttiva. La Commissione sta effettuando tale riesame ed è in corso lo studio di valutazione d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>impatto che lo informerà. È stato completato uno studio a sostegno della precedente valutazione della direttiva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0"/>
      </w:r>
      <w:r>
        <w:rPr>
          <w:rFonts w:ascii="Times New Roman" w:hAnsi="Times New Roman"/>
          <w:noProof/>
          <w:sz w:val="24"/>
          <w:szCs w:val="24"/>
        </w:rPr>
        <w:t>, che ha individuato i settori in cui potrebbero essere apportati miglioramenti per quanto riguarda, tra l</w:t>
      </w:r>
      <w:r w:rsidR="00652BB7">
        <w:rPr>
          <w:rFonts w:ascii="Times New Roman" w:hAnsi="Times New Roman"/>
          <w:noProof/>
          <w:sz w:val="24"/>
          <w:szCs w:val="24"/>
        </w:rPr>
        <w:t>'</w:t>
      </w:r>
      <w:r>
        <w:rPr>
          <w:rFonts w:ascii="Times New Roman" w:hAnsi="Times New Roman"/>
          <w:noProof/>
          <w:sz w:val="24"/>
          <w:szCs w:val="24"/>
        </w:rPr>
        <w:t>altro, il processo decisionale sulle esenzioni menzionate, che verrà ripreso anche nella relazione di valutazione della Commissione. Il riesame della direttiva RoHS tratterà pertanto anche delle modalità inerenti alle rispettive procedure.</w:t>
      </w:r>
    </w:p>
    <w:p w14:paraId="598D5CAE" w14:textId="77777777" w:rsidR="006D7C54" w:rsidRPr="00640063" w:rsidRDefault="00457645" w:rsidP="002C2DB9">
      <w:pPr>
        <w:spacing w:before="360" w:after="1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4. CONCLUSIONI</w:t>
      </w:r>
    </w:p>
    <w:p w14:paraId="1F295A40" w14:textId="77777777" w:rsidR="00D76C2E" w:rsidRPr="00640063" w:rsidRDefault="00E7274E" w:rsidP="00D76C2E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Negli ultimi cinque anni la Commissione ha esercitato correttamente i poteri delegati ad essa conferiti a norma della direttiva 2011/65/UE. Essa invita il Parlamento europeo e il Consiglio a prendere atto della presente relazione.</w:t>
      </w:r>
    </w:p>
    <w:p w14:paraId="10781754" w14:textId="77777777" w:rsidR="00D76C2E" w:rsidRPr="00640063" w:rsidRDefault="00D76C2E">
      <w:pPr>
        <w:jc w:val="both"/>
        <w:rPr>
          <w:rFonts w:ascii="Times New Roman" w:hAnsi="Times New Roman" w:cs="Times New Roman"/>
          <w:noProof/>
          <w:color w:val="000000"/>
          <w:shd w:val="clear" w:color="auto" w:fill="FFFFFF"/>
        </w:rPr>
      </w:pPr>
    </w:p>
    <w:sectPr w:rsidR="00D76C2E" w:rsidRPr="00640063" w:rsidSect="00096D7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104D0" w14:textId="77777777" w:rsidR="00145224" w:rsidRPr="00E841D5" w:rsidRDefault="00145224">
      <w:pPr>
        <w:spacing w:after="0" w:line="240" w:lineRule="auto"/>
      </w:pPr>
      <w:r>
        <w:separator/>
      </w:r>
    </w:p>
  </w:endnote>
  <w:endnote w:type="continuationSeparator" w:id="0">
    <w:p w14:paraId="2CC21F54" w14:textId="77777777" w:rsidR="00145224" w:rsidRPr="00E841D5" w:rsidRDefault="0014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27C41" w14:textId="77777777" w:rsidR="00CA3102" w:rsidRPr="00CA3102" w:rsidRDefault="00CA3102" w:rsidP="00CA31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DF329" w14:textId="43208607" w:rsidR="00F87267" w:rsidRPr="00CA3102" w:rsidRDefault="00CA3102" w:rsidP="00CA3102">
    <w:pPr>
      <w:pStyle w:val="FooterCoverPage"/>
      <w:rPr>
        <w:rFonts w:ascii="Arial" w:hAnsi="Arial" w:cs="Arial"/>
        <w:b/>
        <w:sz w:val="48"/>
      </w:rPr>
    </w:pPr>
    <w:r w:rsidRPr="00CA3102">
      <w:rPr>
        <w:rFonts w:ascii="Arial" w:hAnsi="Arial" w:cs="Arial"/>
        <w:b/>
        <w:sz w:val="48"/>
      </w:rPr>
      <w:t>IT</w:t>
    </w:r>
    <w:r w:rsidRPr="00CA3102">
      <w:rPr>
        <w:rFonts w:ascii="Arial" w:hAnsi="Arial" w:cs="Arial"/>
        <w:b/>
        <w:sz w:val="48"/>
      </w:rPr>
      <w:tab/>
    </w:r>
    <w:r w:rsidRPr="00CA3102">
      <w:rPr>
        <w:rFonts w:ascii="Arial" w:hAnsi="Arial" w:cs="Arial"/>
        <w:b/>
        <w:sz w:val="48"/>
      </w:rPr>
      <w:tab/>
    </w:r>
    <w:r w:rsidRPr="00CA3102">
      <w:tab/>
    </w:r>
    <w:r w:rsidRPr="00CA3102">
      <w:rPr>
        <w:rFonts w:ascii="Arial" w:hAnsi="Arial" w:cs="Arial"/>
        <w:b/>
        <w:sz w:val="48"/>
      </w:rPr>
      <w:t>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BCB4D" w14:textId="77777777" w:rsidR="00CA3102" w:rsidRPr="00CA3102" w:rsidRDefault="00CA3102" w:rsidP="00CA3102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939855"/>
      <w:docPartObj>
        <w:docPartGallery w:val="Page Numbers (Bottom of Page)"/>
        <w:docPartUnique/>
      </w:docPartObj>
    </w:sdtPr>
    <w:sdtEndPr/>
    <w:sdtContent>
      <w:p w14:paraId="1BD35A0D" w14:textId="77777777" w:rsidR="00F94895" w:rsidRPr="00E841D5" w:rsidRDefault="00F948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1646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AB9B8E" w14:textId="5D3CB243" w:rsidR="00096D79" w:rsidRDefault="00096D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1BB">
          <w:rPr>
            <w:noProof/>
          </w:rPr>
          <w:t>2</w:t>
        </w:r>
        <w:r>
          <w:fldChar w:fldCharType="end"/>
        </w:r>
      </w:p>
    </w:sdtContent>
  </w:sdt>
  <w:p w14:paraId="26823647" w14:textId="42FCC100" w:rsidR="00F94895" w:rsidRPr="00E841D5" w:rsidRDefault="00F94895">
    <w:pPr>
      <w:pStyle w:val="Footer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1880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57B668" w14:textId="7DA94C58" w:rsidR="00096D79" w:rsidRDefault="00096D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1BB">
          <w:rPr>
            <w:noProof/>
          </w:rPr>
          <w:t>1</w:t>
        </w:r>
        <w:r>
          <w:fldChar w:fldCharType="end"/>
        </w:r>
      </w:p>
    </w:sdtContent>
  </w:sdt>
  <w:p w14:paraId="135ECC28" w14:textId="33A9FC07" w:rsidR="00096D79" w:rsidRDefault="00096D79" w:rsidP="00096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851D7" w14:textId="77777777" w:rsidR="00145224" w:rsidRPr="00E841D5" w:rsidRDefault="00145224">
      <w:pPr>
        <w:spacing w:after="0" w:line="240" w:lineRule="auto"/>
      </w:pPr>
      <w:r>
        <w:separator/>
      </w:r>
    </w:p>
  </w:footnote>
  <w:footnote w:type="continuationSeparator" w:id="0">
    <w:p w14:paraId="68DDD84F" w14:textId="77777777" w:rsidR="00145224" w:rsidRPr="00E841D5" w:rsidRDefault="00145224">
      <w:pPr>
        <w:spacing w:after="0" w:line="240" w:lineRule="auto"/>
      </w:pPr>
      <w:r>
        <w:continuationSeparator/>
      </w:r>
    </w:p>
  </w:footnote>
  <w:footnote w:id="1">
    <w:p w14:paraId="569D2C77" w14:textId="28DFF897" w:rsidR="00A07C55" w:rsidRPr="00C33371" w:rsidRDefault="00A07C55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C33371">
        <w:rPr>
          <w:rFonts w:ascii="Times New Roman" w:hAnsi="Times New Roman"/>
        </w:rPr>
        <w:t xml:space="preserve"> GU L 174 dell</w:t>
      </w:r>
      <w:r w:rsidR="00652BB7" w:rsidRPr="00C33371">
        <w:rPr>
          <w:rFonts w:ascii="Times New Roman" w:hAnsi="Times New Roman"/>
        </w:rPr>
        <w:t>'</w:t>
      </w:r>
      <w:r w:rsidRPr="00C33371">
        <w:rPr>
          <w:rFonts w:ascii="Times New Roman" w:hAnsi="Times New Roman"/>
        </w:rPr>
        <w:t>1.7.2011, pag. 88.</w:t>
      </w:r>
    </w:p>
  </w:footnote>
  <w:footnote w:id="2">
    <w:p w14:paraId="66BFB46F" w14:textId="1A323600" w:rsidR="00554F1E" w:rsidRPr="00C33371" w:rsidRDefault="00554F1E" w:rsidP="00554F1E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="007B42B9" w:rsidRPr="00C33371">
        <w:rPr>
          <w:rFonts w:ascii="Times New Roman" w:hAnsi="Times New Roman"/>
        </w:rPr>
        <w:t> COM (2016) 215 final, </w:t>
      </w:r>
      <w:hyperlink r:id="rId1" w:history="1">
        <w:r w:rsidR="007B42B9" w:rsidRPr="00C33371">
          <w:rPr>
            <w:rStyle w:val="Hyperlink"/>
            <w:rFonts w:ascii="Times New Roman" w:hAnsi="Times New Roman"/>
          </w:rPr>
          <w:t>https://eur</w:t>
        </w:r>
        <w:r w:rsidR="007B42B9" w:rsidRPr="00C33371">
          <w:rPr>
            <w:rStyle w:val="Hyperlink"/>
            <w:rFonts w:ascii="Times New Roman" w:hAnsi="Times New Roman"/>
          </w:rPr>
          <w:noBreakHyphen/>
          <w:t>lex.europa.eu/legal</w:t>
        </w:r>
        <w:r w:rsidR="007B42B9" w:rsidRPr="00C33371">
          <w:rPr>
            <w:rStyle w:val="Hyperlink"/>
            <w:rFonts w:ascii="Times New Roman" w:hAnsi="Times New Roman"/>
          </w:rPr>
          <w:noBreakHyphen/>
          <w:t>content/IT/TXT/PDF/?uri=CELEX:52016DC0215&amp;from=IT</w:t>
        </w:r>
      </w:hyperlink>
      <w:r w:rsidRPr="00C33371">
        <w:rPr>
          <w:rFonts w:ascii="Times New Roman" w:hAnsi="Times New Roman"/>
        </w:rPr>
        <w:t>.</w:t>
      </w:r>
    </w:p>
  </w:footnote>
  <w:footnote w:id="3">
    <w:p w14:paraId="05399610" w14:textId="3C1A4493" w:rsidR="00C0578F" w:rsidRPr="001A7D01" w:rsidRDefault="00C0578F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Ibid.</w:t>
      </w:r>
    </w:p>
  </w:footnote>
  <w:footnote w:id="4">
    <w:p w14:paraId="586DDC57" w14:textId="51981D76" w:rsidR="001B7BF3" w:rsidRPr="00C0578F" w:rsidRDefault="001B7BF3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Fino al 18 aprile 2021.</w:t>
      </w:r>
    </w:p>
  </w:footnote>
  <w:footnote w:id="5">
    <w:p w14:paraId="31194592" w14:textId="327DA657" w:rsidR="003C4542" w:rsidRPr="00C0578F" w:rsidRDefault="003C4542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Si noti che diverse domande possono riferirsi alla stessa esenzione/a una nuova domanda da includere</w:t>
      </w:r>
      <w:r w:rsidR="00F34C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nell</w:t>
      </w:r>
      <w:r w:rsidR="00652BB7">
        <w:rPr>
          <w:rFonts w:ascii="Times New Roman" w:hAnsi="Times New Roman"/>
        </w:rPr>
        <w:t>'</w:t>
      </w:r>
      <w:r>
        <w:rPr>
          <w:rFonts w:ascii="Times New Roman" w:hAnsi="Times New Roman"/>
        </w:rPr>
        <w:t>allegato.</w:t>
      </w:r>
    </w:p>
  </w:footnote>
  <w:footnote w:id="6">
    <w:p w14:paraId="09AACC4D" w14:textId="0CE87A0A" w:rsidR="00C2540D" w:rsidRPr="00C0578F" w:rsidRDefault="0006019D" w:rsidP="0006019D">
      <w:pPr>
        <w:pStyle w:val="FootnoteText"/>
        <w:rPr>
          <w:rFonts w:ascii="Times New Roman" w:hAnsi="Times New Roman" w:cs="Times New Roman"/>
          <w:color w:val="000000" w:themeColor="text1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="009123A2">
        <w:t xml:space="preserve"> </w:t>
      </w:r>
      <w:hyperlink r:id="rId2" w:history="1">
        <w:r>
          <w:rPr>
            <w:rStyle w:val="Hyperlink"/>
            <w:rFonts w:ascii="Times New Roman" w:hAnsi="Times New Roman"/>
            <w:color w:val="000000" w:themeColor="text1"/>
          </w:rPr>
          <w:t xml:space="preserve">Direttiva delegata (UE) </w:t>
        </w:r>
        <w:r>
          <w:rPr>
            <w:rStyle w:val="Hyperlink"/>
            <w:rFonts w:ascii="Times New Roman" w:hAnsi="Times New Roman"/>
            <w:b/>
            <w:color w:val="000000" w:themeColor="text1"/>
          </w:rPr>
          <w:t>2021/884</w:t>
        </w:r>
        <w:r>
          <w:rPr>
            <w:rStyle w:val="Hyperlink"/>
            <w:rFonts w:ascii="Times New Roman" w:hAnsi="Times New Roman"/>
            <w:color w:val="000000" w:themeColor="text1"/>
          </w:rPr>
          <w:t xml:space="preserve"> della Commissione</w:t>
        </w:r>
      </w:hyperlink>
      <w:r>
        <w:rPr>
          <w:rFonts w:ascii="Times New Roman" w:hAnsi="Times New Roman"/>
          <w:color w:val="000000" w:themeColor="text1"/>
        </w:rPr>
        <w:t xml:space="preserve"> dell</w:t>
      </w:r>
      <w:r w:rsidR="00652BB7">
        <w:rPr>
          <w:rFonts w:ascii="Times New Roman" w:hAnsi="Times New Roman"/>
          <w:color w:val="000000" w:themeColor="text1"/>
        </w:rPr>
        <w:t>'</w:t>
      </w:r>
      <w:r>
        <w:rPr>
          <w:rFonts w:ascii="Times New Roman" w:hAnsi="Times New Roman"/>
          <w:color w:val="000000" w:themeColor="text1"/>
        </w:rPr>
        <w:t xml:space="preserve">8 marzo 2021; </w:t>
      </w:r>
    </w:p>
    <w:p w14:paraId="786C5F84" w14:textId="2957CC8F" w:rsidR="0058430F" w:rsidRPr="00C0578F" w:rsidRDefault="006D71BB" w:rsidP="0006019D">
      <w:pPr>
        <w:pStyle w:val="FootnoteText"/>
        <w:rPr>
          <w:rFonts w:ascii="Times New Roman" w:hAnsi="Times New Roman" w:cs="Times New Roman"/>
        </w:rPr>
      </w:pPr>
      <w:hyperlink r:id="rId3" w:history="1">
        <w:r w:rsidR="00096D79">
          <w:rPr>
            <w:rStyle w:val="Hyperlink"/>
            <w:rFonts w:ascii="Times New Roman" w:hAnsi="Times New Roman"/>
            <w:color w:val="000000" w:themeColor="text1"/>
          </w:rPr>
          <w:t xml:space="preserve">Direttiva delegata (UE) </w:t>
        </w:r>
        <w:r w:rsidR="00096D79">
          <w:rPr>
            <w:rStyle w:val="Hyperlink"/>
            <w:rFonts w:ascii="Times New Roman" w:hAnsi="Times New Roman"/>
            <w:b/>
            <w:color w:val="000000" w:themeColor="text1"/>
          </w:rPr>
          <w:t>2021/647</w:t>
        </w:r>
        <w:r w:rsidR="00096D79">
          <w:rPr>
            <w:rStyle w:val="Hyperlink"/>
            <w:rFonts w:ascii="Times New Roman" w:hAnsi="Times New Roman"/>
            <w:color w:val="000000" w:themeColor="text1"/>
          </w:rPr>
          <w:t xml:space="preserve"> della Commissione </w:t>
        </w:r>
      </w:hyperlink>
      <w:r w:rsidR="00096D79">
        <w:rPr>
          <w:rFonts w:ascii="Times New Roman" w:hAnsi="Times New Roman"/>
        </w:rPr>
        <w:t>del 15 gennaio 2021;</w:t>
      </w:r>
    </w:p>
    <w:p w14:paraId="709937F9" w14:textId="158738DB" w:rsidR="006F13D8" w:rsidRPr="00C0578F" w:rsidRDefault="006D71BB" w:rsidP="0006019D">
      <w:pPr>
        <w:pStyle w:val="FootnoteText"/>
        <w:rPr>
          <w:rFonts w:ascii="Times New Roman" w:hAnsi="Times New Roman" w:cs="Times New Roman"/>
        </w:rPr>
      </w:pPr>
      <w:hyperlink r:id="rId4" w:history="1">
        <w:r w:rsidR="00096D79">
          <w:rPr>
            <w:rStyle w:val="Hyperlink"/>
            <w:rFonts w:ascii="Times New Roman" w:hAnsi="Times New Roman"/>
            <w:color w:val="auto"/>
          </w:rPr>
          <w:t xml:space="preserve">Direttiva delegata (UE) </w:t>
        </w:r>
        <w:r w:rsidR="00096D79">
          <w:rPr>
            <w:rStyle w:val="Hyperlink"/>
            <w:rFonts w:ascii="Times New Roman" w:hAnsi="Times New Roman"/>
            <w:b/>
            <w:color w:val="auto"/>
          </w:rPr>
          <w:t>2020/360</w:t>
        </w:r>
        <w:r w:rsidR="00652BB7">
          <w:rPr>
            <w:rStyle w:val="Hyperlink"/>
            <w:rFonts w:ascii="Times New Roman" w:hAnsi="Times New Roman"/>
            <w:b/>
            <w:color w:val="auto"/>
          </w:rPr>
          <w:t xml:space="preserve"> </w:t>
        </w:r>
        <w:r w:rsidR="00096D79">
          <w:rPr>
            <w:rStyle w:val="Hyperlink"/>
            <w:rFonts w:ascii="Times New Roman" w:hAnsi="Times New Roman"/>
            <w:color w:val="auto"/>
          </w:rPr>
          <w:t>della Commissione</w:t>
        </w:r>
      </w:hyperlink>
      <w:r w:rsidR="00096D79">
        <w:rPr>
          <w:rFonts w:ascii="Times New Roman" w:hAnsi="Times New Roman"/>
        </w:rPr>
        <w:t xml:space="preserve"> del 17 dicembre 2019;</w:t>
      </w:r>
    </w:p>
    <w:p w14:paraId="41053063" w14:textId="504FDE92" w:rsidR="006F13D8" w:rsidRPr="00C0578F" w:rsidRDefault="006D71BB" w:rsidP="0006019D">
      <w:pPr>
        <w:pStyle w:val="FootnoteText"/>
        <w:rPr>
          <w:rFonts w:ascii="Times New Roman" w:hAnsi="Times New Roman" w:cs="Times New Roman"/>
        </w:rPr>
      </w:pPr>
      <w:hyperlink r:id="rId5" w:history="1">
        <w:r w:rsidR="00096D79">
          <w:rPr>
            <w:rStyle w:val="Hyperlink"/>
            <w:rFonts w:ascii="Times New Roman" w:hAnsi="Times New Roman"/>
            <w:color w:val="auto"/>
          </w:rPr>
          <w:t xml:space="preserve">Direttiva delegata (UE) </w:t>
        </w:r>
        <w:r w:rsidR="00096D79">
          <w:rPr>
            <w:rStyle w:val="Hyperlink"/>
            <w:rFonts w:ascii="Times New Roman" w:hAnsi="Times New Roman"/>
            <w:b/>
            <w:color w:val="auto"/>
          </w:rPr>
          <w:t>2020/361</w:t>
        </w:r>
        <w:r w:rsidR="00096D79">
          <w:rPr>
            <w:rStyle w:val="Hyperlink"/>
            <w:rFonts w:ascii="Times New Roman" w:hAnsi="Times New Roman"/>
            <w:color w:val="auto"/>
          </w:rPr>
          <w:t xml:space="preserve"> della Commissione</w:t>
        </w:r>
      </w:hyperlink>
      <w:r w:rsidR="00096D79">
        <w:rPr>
          <w:rFonts w:ascii="Times New Roman" w:hAnsi="Times New Roman"/>
        </w:rPr>
        <w:t xml:space="preserve"> del 17 dicembre 2019;</w:t>
      </w:r>
    </w:p>
    <w:p w14:paraId="7F1E1336" w14:textId="4879D2E7" w:rsidR="006F13D8" w:rsidRPr="00C0578F" w:rsidRDefault="006D71BB" w:rsidP="006F13D8">
      <w:pPr>
        <w:pStyle w:val="FootnoteText"/>
        <w:rPr>
          <w:rFonts w:ascii="Times New Roman" w:hAnsi="Times New Roman" w:cs="Times New Roman"/>
        </w:rPr>
      </w:pPr>
      <w:hyperlink r:id="rId6" w:history="1">
        <w:r w:rsidR="00096D79">
          <w:rPr>
            <w:rStyle w:val="Hyperlink"/>
            <w:rFonts w:ascii="Times New Roman" w:hAnsi="Times New Roman"/>
            <w:color w:val="auto"/>
          </w:rPr>
          <w:t xml:space="preserve">Direttiva delegata (UE) </w:t>
        </w:r>
        <w:r w:rsidR="00096D79">
          <w:rPr>
            <w:rStyle w:val="Hyperlink"/>
            <w:rFonts w:ascii="Times New Roman" w:hAnsi="Times New Roman"/>
            <w:b/>
            <w:color w:val="auto"/>
          </w:rPr>
          <w:t>2020/364</w:t>
        </w:r>
        <w:r w:rsidR="00096D79">
          <w:rPr>
            <w:rStyle w:val="Hyperlink"/>
            <w:rFonts w:ascii="Times New Roman" w:hAnsi="Times New Roman"/>
            <w:color w:val="auto"/>
          </w:rPr>
          <w:t xml:space="preserve"> della Commissione</w:t>
        </w:r>
      </w:hyperlink>
      <w:r w:rsidR="00096D79">
        <w:rPr>
          <w:rFonts w:ascii="Times New Roman" w:hAnsi="Times New Roman"/>
        </w:rPr>
        <w:t xml:space="preserve"> del 17 dicembre 2019;</w:t>
      </w:r>
    </w:p>
    <w:p w14:paraId="078F88C4" w14:textId="5A1BB4F3" w:rsidR="00F34CB9" w:rsidRDefault="006D71BB" w:rsidP="006F13D8">
      <w:pPr>
        <w:pStyle w:val="FootnoteText"/>
        <w:rPr>
          <w:rFonts w:ascii="Times New Roman" w:hAnsi="Times New Roman" w:cs="Times New Roman"/>
        </w:rPr>
      </w:pPr>
      <w:hyperlink r:id="rId7" w:history="1">
        <w:r w:rsidR="00096D79">
          <w:rPr>
            <w:rStyle w:val="Hyperlink"/>
            <w:rFonts w:ascii="Times New Roman" w:hAnsi="Times New Roman"/>
            <w:color w:val="auto"/>
          </w:rPr>
          <w:t xml:space="preserve">Direttiva delegata (UE) </w:t>
        </w:r>
        <w:r w:rsidR="00096D79">
          <w:rPr>
            <w:rStyle w:val="Hyperlink"/>
            <w:rFonts w:ascii="Times New Roman" w:hAnsi="Times New Roman"/>
            <w:b/>
            <w:color w:val="auto"/>
          </w:rPr>
          <w:t>2020/365</w:t>
        </w:r>
        <w:r w:rsidR="00096D79">
          <w:rPr>
            <w:rStyle w:val="Hyperlink"/>
            <w:rFonts w:ascii="Times New Roman" w:hAnsi="Times New Roman"/>
            <w:color w:val="auto"/>
          </w:rPr>
          <w:t xml:space="preserve"> della Commissione</w:t>
        </w:r>
      </w:hyperlink>
      <w:r w:rsidR="00096D79">
        <w:rPr>
          <w:rFonts w:ascii="Times New Roman" w:hAnsi="Times New Roman"/>
        </w:rPr>
        <w:t xml:space="preserve"> del 17 dicembre 2019;</w:t>
      </w:r>
    </w:p>
    <w:p w14:paraId="44731E22" w14:textId="62D45F39" w:rsidR="00485B51" w:rsidRPr="00C0578F" w:rsidRDefault="006D71BB" w:rsidP="006F13D8">
      <w:pPr>
        <w:pStyle w:val="FootnoteText"/>
        <w:rPr>
          <w:rFonts w:ascii="Times New Roman" w:hAnsi="Times New Roman" w:cs="Times New Roman"/>
        </w:rPr>
      </w:pPr>
      <w:hyperlink r:id="rId8" w:history="1">
        <w:r w:rsidR="00096D79">
          <w:rPr>
            <w:rStyle w:val="Hyperlink"/>
            <w:rFonts w:ascii="Times New Roman" w:hAnsi="Times New Roman"/>
            <w:color w:val="auto"/>
          </w:rPr>
          <w:t xml:space="preserve">Direttiva delegata (UE) </w:t>
        </w:r>
        <w:r w:rsidR="00096D79">
          <w:rPr>
            <w:rStyle w:val="Hyperlink"/>
            <w:rFonts w:ascii="Times New Roman" w:hAnsi="Times New Roman"/>
            <w:b/>
            <w:color w:val="auto"/>
          </w:rPr>
          <w:t>2020/366</w:t>
        </w:r>
        <w:r w:rsidR="00096D79">
          <w:rPr>
            <w:rStyle w:val="Hyperlink"/>
            <w:rFonts w:ascii="Times New Roman" w:hAnsi="Times New Roman"/>
            <w:color w:val="auto"/>
          </w:rPr>
          <w:t xml:space="preserve"> della Commissione</w:t>
        </w:r>
      </w:hyperlink>
      <w:r w:rsidR="00096D79">
        <w:rPr>
          <w:rFonts w:ascii="Times New Roman" w:hAnsi="Times New Roman"/>
        </w:rPr>
        <w:t xml:space="preserve"> del 17 dicembre 2019;</w:t>
      </w:r>
    </w:p>
    <w:p w14:paraId="0F57E84E" w14:textId="3A5E8F53" w:rsidR="006F13D8" w:rsidRPr="00C0578F" w:rsidRDefault="006D71BB" w:rsidP="006F13D8">
      <w:pPr>
        <w:pStyle w:val="FootnoteText"/>
        <w:rPr>
          <w:rFonts w:ascii="Times New Roman" w:hAnsi="Times New Roman" w:cs="Times New Roman"/>
        </w:rPr>
      </w:pPr>
      <w:hyperlink r:id="rId9" w:history="1">
        <w:r w:rsidR="00096D79">
          <w:rPr>
            <w:rStyle w:val="Hyperlink"/>
            <w:rFonts w:ascii="Times New Roman" w:hAnsi="Times New Roman"/>
            <w:color w:val="auto"/>
          </w:rPr>
          <w:t xml:space="preserve">Direttiva delegata (UE) </w:t>
        </w:r>
        <w:r w:rsidR="00096D79">
          <w:rPr>
            <w:rStyle w:val="Hyperlink"/>
            <w:rFonts w:ascii="Times New Roman" w:hAnsi="Times New Roman"/>
            <w:b/>
            <w:color w:val="auto"/>
          </w:rPr>
          <w:t>2019/1845</w:t>
        </w:r>
        <w:r w:rsidR="00096D79">
          <w:rPr>
            <w:rStyle w:val="Hyperlink"/>
            <w:rFonts w:ascii="Times New Roman" w:hAnsi="Times New Roman"/>
            <w:color w:val="auto"/>
          </w:rPr>
          <w:t xml:space="preserve"> della Commissione</w:t>
        </w:r>
      </w:hyperlink>
      <w:r w:rsidR="00096D79">
        <w:rPr>
          <w:rFonts w:ascii="Times New Roman" w:hAnsi="Times New Roman"/>
        </w:rPr>
        <w:t xml:space="preserve"> del 8 agosto 2019;</w:t>
      </w:r>
    </w:p>
    <w:p w14:paraId="3A77A5AB" w14:textId="54FDD980" w:rsidR="0006019D" w:rsidRPr="00C0578F" w:rsidRDefault="006D71BB" w:rsidP="0006019D">
      <w:pPr>
        <w:pStyle w:val="FootnoteText"/>
        <w:rPr>
          <w:rFonts w:ascii="Times New Roman" w:hAnsi="Times New Roman" w:cs="Times New Roman"/>
        </w:rPr>
      </w:pPr>
      <w:hyperlink r:id="rId10" w:history="1">
        <w:r w:rsidR="00096D79">
          <w:rPr>
            <w:rStyle w:val="Hyperlink"/>
            <w:rFonts w:ascii="Times New Roman" w:hAnsi="Times New Roman"/>
            <w:color w:val="auto"/>
          </w:rPr>
          <w:t xml:space="preserve">Direttiva delegata (UE) </w:t>
        </w:r>
        <w:r w:rsidR="00096D79">
          <w:rPr>
            <w:rStyle w:val="Hyperlink"/>
            <w:rFonts w:ascii="Times New Roman" w:hAnsi="Times New Roman"/>
            <w:b/>
            <w:color w:val="auto"/>
          </w:rPr>
          <w:t>2019/1846</w:t>
        </w:r>
        <w:r w:rsidR="00096D79">
          <w:rPr>
            <w:rStyle w:val="Hyperlink"/>
            <w:rFonts w:ascii="Times New Roman" w:hAnsi="Times New Roman"/>
            <w:color w:val="auto"/>
          </w:rPr>
          <w:t xml:space="preserve"> della Commissione</w:t>
        </w:r>
        <w:r w:rsidR="00096D79" w:rsidRPr="00C33371">
          <w:rPr>
            <w:rStyle w:val="Hyperlink"/>
            <w:rFonts w:ascii="Times New Roman" w:hAnsi="Times New Roman"/>
            <w:color w:val="auto"/>
            <w:u w:val="none"/>
          </w:rPr>
          <w:t xml:space="preserve"> </w:t>
        </w:r>
      </w:hyperlink>
      <w:r w:rsidR="00096D79">
        <w:rPr>
          <w:rFonts w:ascii="Times New Roman" w:hAnsi="Times New Roman"/>
        </w:rPr>
        <w:t>dell</w:t>
      </w:r>
      <w:r w:rsidR="00652BB7">
        <w:rPr>
          <w:rFonts w:ascii="Times New Roman" w:hAnsi="Times New Roman"/>
        </w:rPr>
        <w:t>'</w:t>
      </w:r>
      <w:r w:rsidR="00096D79">
        <w:rPr>
          <w:rFonts w:ascii="Times New Roman" w:hAnsi="Times New Roman"/>
        </w:rPr>
        <w:t>8 agosto 2019;</w:t>
      </w:r>
    </w:p>
    <w:p w14:paraId="1B1B66D7" w14:textId="0D26C1FF" w:rsidR="006F13D8" w:rsidRPr="00C0578F" w:rsidRDefault="006D71BB" w:rsidP="0006019D">
      <w:pPr>
        <w:pStyle w:val="FootnoteText"/>
        <w:rPr>
          <w:rFonts w:ascii="Times New Roman" w:hAnsi="Times New Roman" w:cs="Times New Roman"/>
        </w:rPr>
      </w:pPr>
      <w:hyperlink r:id="rId11" w:history="1">
        <w:r w:rsidR="00096D79">
          <w:rPr>
            <w:rStyle w:val="Hyperlink"/>
            <w:rFonts w:ascii="Times New Roman" w:hAnsi="Times New Roman"/>
            <w:color w:val="auto"/>
          </w:rPr>
          <w:t xml:space="preserve">Direttiva delegata (UE) </w:t>
        </w:r>
        <w:r w:rsidR="00096D79">
          <w:rPr>
            <w:rStyle w:val="Hyperlink"/>
            <w:rFonts w:ascii="Times New Roman" w:hAnsi="Times New Roman"/>
            <w:b/>
            <w:color w:val="auto"/>
          </w:rPr>
          <w:t>2019/169</w:t>
        </w:r>
        <w:r w:rsidR="00096D79">
          <w:rPr>
            <w:rStyle w:val="Hyperlink"/>
            <w:rFonts w:ascii="Times New Roman" w:hAnsi="Times New Roman"/>
            <w:color w:val="auto"/>
          </w:rPr>
          <w:t xml:space="preserve"> della Commissione</w:t>
        </w:r>
      </w:hyperlink>
      <w:r w:rsidR="00096D79">
        <w:rPr>
          <w:rFonts w:ascii="Times New Roman" w:hAnsi="Times New Roman"/>
        </w:rPr>
        <w:t xml:space="preserve"> del 16 novembre 2018;</w:t>
      </w:r>
    </w:p>
    <w:p w14:paraId="05451828" w14:textId="71D90A86" w:rsidR="006F13D8" w:rsidRPr="00C0578F" w:rsidRDefault="006D71BB" w:rsidP="006F13D8">
      <w:pPr>
        <w:pStyle w:val="FootnoteText"/>
        <w:rPr>
          <w:rFonts w:ascii="Times New Roman" w:hAnsi="Times New Roman" w:cs="Times New Roman"/>
        </w:rPr>
      </w:pPr>
      <w:hyperlink r:id="rId12" w:history="1">
        <w:r w:rsidR="00096D79">
          <w:rPr>
            <w:rStyle w:val="Hyperlink"/>
            <w:rFonts w:ascii="Times New Roman" w:hAnsi="Times New Roman"/>
            <w:color w:val="auto"/>
          </w:rPr>
          <w:t xml:space="preserve">Direttiva delegata (UE) </w:t>
        </w:r>
        <w:r w:rsidR="00096D79">
          <w:rPr>
            <w:rStyle w:val="Hyperlink"/>
            <w:rFonts w:ascii="Times New Roman" w:hAnsi="Times New Roman"/>
            <w:b/>
            <w:color w:val="auto"/>
          </w:rPr>
          <w:t>2019/170</w:t>
        </w:r>
        <w:r w:rsidR="00096D79">
          <w:rPr>
            <w:rStyle w:val="Hyperlink"/>
            <w:rFonts w:ascii="Times New Roman" w:hAnsi="Times New Roman"/>
            <w:color w:val="auto"/>
          </w:rPr>
          <w:t xml:space="preserve"> della Commissione</w:t>
        </w:r>
      </w:hyperlink>
      <w:r w:rsidR="00096D79">
        <w:rPr>
          <w:rFonts w:ascii="Times New Roman" w:hAnsi="Times New Roman"/>
        </w:rPr>
        <w:t xml:space="preserve"> del 16 novembre 2018;</w:t>
      </w:r>
    </w:p>
    <w:p w14:paraId="46BC6609" w14:textId="42972D5F" w:rsidR="006F13D8" w:rsidRPr="00C0578F" w:rsidRDefault="006D71BB" w:rsidP="006F13D8">
      <w:pPr>
        <w:pStyle w:val="FootnoteText"/>
        <w:rPr>
          <w:rFonts w:ascii="Times New Roman" w:hAnsi="Times New Roman" w:cs="Times New Roman"/>
        </w:rPr>
      </w:pPr>
      <w:hyperlink r:id="rId13" w:history="1">
        <w:r w:rsidR="00096D79">
          <w:rPr>
            <w:rStyle w:val="Hyperlink"/>
            <w:rFonts w:ascii="Times New Roman" w:hAnsi="Times New Roman"/>
            <w:color w:val="auto"/>
          </w:rPr>
          <w:t xml:space="preserve">Direttiva delegata (UE) </w:t>
        </w:r>
        <w:r w:rsidR="00096D79">
          <w:rPr>
            <w:rStyle w:val="Hyperlink"/>
            <w:rFonts w:ascii="Times New Roman" w:hAnsi="Times New Roman"/>
            <w:b/>
            <w:color w:val="auto"/>
          </w:rPr>
          <w:t>2019/171</w:t>
        </w:r>
        <w:r w:rsidR="00096D79">
          <w:rPr>
            <w:rStyle w:val="Hyperlink"/>
            <w:rFonts w:ascii="Times New Roman" w:hAnsi="Times New Roman"/>
            <w:color w:val="auto"/>
          </w:rPr>
          <w:t xml:space="preserve"> della Commissione</w:t>
        </w:r>
      </w:hyperlink>
      <w:r w:rsidR="00096D79">
        <w:rPr>
          <w:rFonts w:ascii="Times New Roman" w:hAnsi="Times New Roman"/>
        </w:rPr>
        <w:t xml:space="preserve"> del 16 novembre 2018;</w:t>
      </w:r>
    </w:p>
    <w:p w14:paraId="44A34741" w14:textId="70BE7F37" w:rsidR="006F13D8" w:rsidRPr="00C0578F" w:rsidRDefault="006D71BB" w:rsidP="006F13D8">
      <w:pPr>
        <w:pStyle w:val="FootnoteText"/>
        <w:rPr>
          <w:rFonts w:ascii="Times New Roman" w:hAnsi="Times New Roman" w:cs="Times New Roman"/>
        </w:rPr>
      </w:pPr>
      <w:hyperlink r:id="rId14" w:history="1">
        <w:r w:rsidR="00096D79">
          <w:rPr>
            <w:rStyle w:val="Hyperlink"/>
            <w:rFonts w:ascii="Times New Roman" w:hAnsi="Times New Roman"/>
            <w:color w:val="auto"/>
          </w:rPr>
          <w:t xml:space="preserve">Direttiva delegata (UE) </w:t>
        </w:r>
        <w:r w:rsidR="00096D79">
          <w:rPr>
            <w:rStyle w:val="Hyperlink"/>
            <w:rFonts w:ascii="Times New Roman" w:hAnsi="Times New Roman"/>
            <w:b/>
            <w:color w:val="auto"/>
          </w:rPr>
          <w:t>2019/172</w:t>
        </w:r>
        <w:r w:rsidR="00096D79">
          <w:rPr>
            <w:rStyle w:val="Hyperlink"/>
            <w:rFonts w:ascii="Times New Roman" w:hAnsi="Times New Roman"/>
            <w:color w:val="auto"/>
          </w:rPr>
          <w:t xml:space="preserve"> della Commissione</w:t>
        </w:r>
      </w:hyperlink>
      <w:r w:rsidR="00096D79">
        <w:rPr>
          <w:rFonts w:ascii="Times New Roman" w:hAnsi="Times New Roman"/>
        </w:rPr>
        <w:t xml:space="preserve"> del 16 novembre 2018;</w:t>
      </w:r>
    </w:p>
    <w:p w14:paraId="46F1563D" w14:textId="082AA7EB" w:rsidR="006F13D8" w:rsidRPr="00C0578F" w:rsidRDefault="006D71BB" w:rsidP="006F13D8">
      <w:pPr>
        <w:pStyle w:val="FootnoteText"/>
        <w:rPr>
          <w:rFonts w:ascii="Times New Roman" w:hAnsi="Times New Roman" w:cs="Times New Roman"/>
        </w:rPr>
      </w:pPr>
      <w:hyperlink r:id="rId15" w:history="1">
        <w:r w:rsidR="00096D79">
          <w:rPr>
            <w:rStyle w:val="Hyperlink"/>
            <w:rFonts w:ascii="Times New Roman" w:hAnsi="Times New Roman"/>
            <w:color w:val="auto"/>
          </w:rPr>
          <w:t xml:space="preserve">Direttiva delegata (UE) </w:t>
        </w:r>
        <w:r w:rsidR="00096D79">
          <w:rPr>
            <w:rStyle w:val="Hyperlink"/>
            <w:rFonts w:ascii="Times New Roman" w:hAnsi="Times New Roman"/>
            <w:b/>
            <w:color w:val="auto"/>
          </w:rPr>
          <w:t>2019/173</w:t>
        </w:r>
        <w:r w:rsidR="00096D79">
          <w:rPr>
            <w:rStyle w:val="Hyperlink"/>
            <w:rFonts w:ascii="Times New Roman" w:hAnsi="Times New Roman"/>
            <w:color w:val="auto"/>
          </w:rPr>
          <w:t xml:space="preserve"> della Commissione</w:t>
        </w:r>
      </w:hyperlink>
      <w:r w:rsidR="00096D79">
        <w:rPr>
          <w:rFonts w:ascii="Times New Roman" w:hAnsi="Times New Roman"/>
        </w:rPr>
        <w:t xml:space="preserve"> del 16 novembre 2018;</w:t>
      </w:r>
    </w:p>
    <w:p w14:paraId="338642E5" w14:textId="0C3ECFA2" w:rsidR="006F13D8" w:rsidRPr="00C0578F" w:rsidRDefault="006D71BB" w:rsidP="006F13D8">
      <w:pPr>
        <w:pStyle w:val="FootnoteText"/>
        <w:rPr>
          <w:rFonts w:ascii="Times New Roman" w:hAnsi="Times New Roman" w:cs="Times New Roman"/>
        </w:rPr>
      </w:pPr>
      <w:hyperlink r:id="rId16" w:history="1">
        <w:r w:rsidR="00096D79">
          <w:rPr>
            <w:rStyle w:val="Hyperlink"/>
            <w:rFonts w:ascii="Times New Roman" w:hAnsi="Times New Roman"/>
            <w:color w:val="auto"/>
          </w:rPr>
          <w:t xml:space="preserve">Direttiva delegata (UE) </w:t>
        </w:r>
        <w:r w:rsidR="00096D79">
          <w:rPr>
            <w:rStyle w:val="Hyperlink"/>
            <w:rFonts w:ascii="Times New Roman" w:hAnsi="Times New Roman"/>
            <w:b/>
            <w:color w:val="auto"/>
          </w:rPr>
          <w:t>2019/174</w:t>
        </w:r>
        <w:r w:rsidR="00096D79">
          <w:rPr>
            <w:rStyle w:val="Hyperlink"/>
            <w:rFonts w:ascii="Times New Roman" w:hAnsi="Times New Roman"/>
            <w:color w:val="auto"/>
          </w:rPr>
          <w:t xml:space="preserve"> della Commissione</w:t>
        </w:r>
      </w:hyperlink>
      <w:r w:rsidR="00096D79">
        <w:rPr>
          <w:rFonts w:ascii="Times New Roman" w:hAnsi="Times New Roman"/>
        </w:rPr>
        <w:t xml:space="preserve"> del 16 novembre 2018;</w:t>
      </w:r>
    </w:p>
    <w:p w14:paraId="40C111C6" w14:textId="0BAF0AAB" w:rsidR="006F13D8" w:rsidRPr="00C0578F" w:rsidRDefault="006D71BB" w:rsidP="006F13D8">
      <w:pPr>
        <w:pStyle w:val="FootnoteText"/>
        <w:rPr>
          <w:rFonts w:ascii="Times New Roman" w:hAnsi="Times New Roman" w:cs="Times New Roman"/>
        </w:rPr>
      </w:pPr>
      <w:hyperlink r:id="rId17" w:history="1">
        <w:r w:rsidR="00096D79">
          <w:rPr>
            <w:rStyle w:val="Hyperlink"/>
            <w:rFonts w:ascii="Times New Roman" w:hAnsi="Times New Roman"/>
            <w:color w:val="auto"/>
          </w:rPr>
          <w:t xml:space="preserve">Direttiva delegata (UE) </w:t>
        </w:r>
        <w:r w:rsidR="00096D79">
          <w:rPr>
            <w:rStyle w:val="Hyperlink"/>
            <w:rFonts w:ascii="Times New Roman" w:hAnsi="Times New Roman"/>
            <w:b/>
            <w:color w:val="auto"/>
          </w:rPr>
          <w:t>2019/175</w:t>
        </w:r>
        <w:r w:rsidR="00096D79">
          <w:rPr>
            <w:rStyle w:val="Hyperlink"/>
            <w:rFonts w:ascii="Times New Roman" w:hAnsi="Times New Roman"/>
            <w:color w:val="auto"/>
          </w:rPr>
          <w:t xml:space="preserve"> della Commissione</w:t>
        </w:r>
      </w:hyperlink>
      <w:r w:rsidR="00096D79">
        <w:rPr>
          <w:rFonts w:ascii="Times New Roman" w:hAnsi="Times New Roman"/>
        </w:rPr>
        <w:t xml:space="preserve"> del 16 novembre 2018;</w:t>
      </w:r>
    </w:p>
    <w:p w14:paraId="49D3B6D1" w14:textId="6CE9CDF6" w:rsidR="006F13D8" w:rsidRPr="00C0578F" w:rsidRDefault="006D71BB" w:rsidP="006F13D8">
      <w:pPr>
        <w:pStyle w:val="FootnoteText"/>
        <w:rPr>
          <w:rFonts w:ascii="Times New Roman" w:hAnsi="Times New Roman" w:cs="Times New Roman"/>
        </w:rPr>
      </w:pPr>
      <w:hyperlink r:id="rId18" w:history="1">
        <w:r w:rsidR="00096D79">
          <w:rPr>
            <w:rStyle w:val="Hyperlink"/>
            <w:rFonts w:ascii="Times New Roman" w:hAnsi="Times New Roman"/>
            <w:color w:val="auto"/>
          </w:rPr>
          <w:t xml:space="preserve">Direttiva delegata (UE) </w:t>
        </w:r>
        <w:r w:rsidR="00096D79">
          <w:rPr>
            <w:rStyle w:val="Hyperlink"/>
            <w:rFonts w:ascii="Times New Roman" w:hAnsi="Times New Roman"/>
            <w:b/>
            <w:color w:val="auto"/>
          </w:rPr>
          <w:t>2019/176</w:t>
        </w:r>
        <w:r w:rsidR="00096D79">
          <w:rPr>
            <w:rStyle w:val="Hyperlink"/>
            <w:rFonts w:ascii="Times New Roman" w:hAnsi="Times New Roman"/>
            <w:color w:val="auto"/>
          </w:rPr>
          <w:t xml:space="preserve"> della Commissione</w:t>
        </w:r>
      </w:hyperlink>
      <w:r w:rsidR="00096D79">
        <w:rPr>
          <w:rFonts w:ascii="Times New Roman" w:hAnsi="Times New Roman"/>
        </w:rPr>
        <w:t xml:space="preserve"> del 16 novembre 2018;</w:t>
      </w:r>
    </w:p>
    <w:p w14:paraId="5A193A41" w14:textId="626064E8" w:rsidR="006F13D8" w:rsidRPr="00C0578F" w:rsidRDefault="006D71BB" w:rsidP="006F13D8">
      <w:pPr>
        <w:pStyle w:val="FootnoteText"/>
        <w:rPr>
          <w:rFonts w:ascii="Times New Roman" w:hAnsi="Times New Roman" w:cs="Times New Roman"/>
        </w:rPr>
      </w:pPr>
      <w:hyperlink r:id="rId19" w:history="1">
        <w:r w:rsidR="00096D79">
          <w:rPr>
            <w:rStyle w:val="Hyperlink"/>
            <w:rFonts w:ascii="Times New Roman" w:hAnsi="Times New Roman"/>
            <w:color w:val="auto"/>
          </w:rPr>
          <w:t xml:space="preserve">Direttiva delegata (UE) </w:t>
        </w:r>
        <w:r w:rsidR="00096D79">
          <w:rPr>
            <w:rStyle w:val="Hyperlink"/>
            <w:rFonts w:ascii="Times New Roman" w:hAnsi="Times New Roman"/>
            <w:b/>
            <w:color w:val="auto"/>
          </w:rPr>
          <w:t>2019/177</w:t>
        </w:r>
        <w:r w:rsidR="00096D79">
          <w:rPr>
            <w:rStyle w:val="Hyperlink"/>
            <w:rFonts w:ascii="Times New Roman" w:hAnsi="Times New Roman"/>
            <w:color w:val="auto"/>
          </w:rPr>
          <w:t xml:space="preserve"> della Commissione</w:t>
        </w:r>
      </w:hyperlink>
      <w:r w:rsidR="00096D79">
        <w:rPr>
          <w:rFonts w:ascii="Times New Roman" w:hAnsi="Times New Roman"/>
        </w:rPr>
        <w:t xml:space="preserve"> del 16 novembre 2018;</w:t>
      </w:r>
    </w:p>
    <w:p w14:paraId="14DCB0A6" w14:textId="7FE780D8" w:rsidR="0006019D" w:rsidRPr="00C0578F" w:rsidRDefault="006D71BB" w:rsidP="0006019D">
      <w:pPr>
        <w:pStyle w:val="FootnoteText"/>
        <w:rPr>
          <w:rFonts w:ascii="Times New Roman" w:hAnsi="Times New Roman" w:cs="Times New Roman"/>
        </w:rPr>
      </w:pPr>
      <w:hyperlink r:id="rId20" w:history="1">
        <w:r w:rsidR="00096D79">
          <w:rPr>
            <w:rStyle w:val="Hyperlink"/>
            <w:rFonts w:ascii="Times New Roman" w:hAnsi="Times New Roman"/>
            <w:color w:val="auto"/>
          </w:rPr>
          <w:t xml:space="preserve">Direttiva delegata (UE) </w:t>
        </w:r>
        <w:r w:rsidR="00096D79">
          <w:rPr>
            <w:rStyle w:val="Hyperlink"/>
            <w:rFonts w:ascii="Times New Roman" w:hAnsi="Times New Roman"/>
            <w:b/>
            <w:color w:val="auto"/>
          </w:rPr>
          <w:t>2019/178</w:t>
        </w:r>
        <w:r w:rsidR="00096D79">
          <w:rPr>
            <w:rStyle w:val="Hyperlink"/>
            <w:rFonts w:ascii="Times New Roman" w:hAnsi="Times New Roman"/>
            <w:color w:val="auto"/>
          </w:rPr>
          <w:t xml:space="preserve"> della Commissione</w:t>
        </w:r>
      </w:hyperlink>
      <w:r w:rsidR="00096D79">
        <w:rPr>
          <w:rFonts w:ascii="Times New Roman" w:hAnsi="Times New Roman"/>
        </w:rPr>
        <w:t xml:space="preserve"> del 16 novembre 2018;</w:t>
      </w:r>
    </w:p>
    <w:p w14:paraId="71718C65" w14:textId="55F88212" w:rsidR="00485B51" w:rsidRPr="00C0578F" w:rsidRDefault="006D71BB" w:rsidP="00485B51">
      <w:pPr>
        <w:pStyle w:val="FootnoteText"/>
        <w:rPr>
          <w:rFonts w:ascii="Times New Roman" w:hAnsi="Times New Roman" w:cs="Times New Roman"/>
        </w:rPr>
      </w:pPr>
      <w:hyperlink r:id="rId21" w:history="1">
        <w:r w:rsidR="00096D79">
          <w:rPr>
            <w:rStyle w:val="Hyperlink"/>
            <w:rFonts w:ascii="Times New Roman" w:hAnsi="Times New Roman"/>
            <w:color w:val="auto"/>
          </w:rPr>
          <w:t xml:space="preserve">Direttiva delegata (UE) </w:t>
        </w:r>
        <w:r w:rsidR="00096D79">
          <w:rPr>
            <w:rStyle w:val="Hyperlink"/>
            <w:rFonts w:ascii="Times New Roman" w:hAnsi="Times New Roman"/>
            <w:b/>
            <w:color w:val="auto"/>
          </w:rPr>
          <w:t>2018/739</w:t>
        </w:r>
        <w:r w:rsidR="00096D79">
          <w:rPr>
            <w:rStyle w:val="Hyperlink"/>
            <w:rFonts w:ascii="Times New Roman" w:hAnsi="Times New Roman"/>
            <w:color w:val="auto"/>
          </w:rPr>
          <w:t xml:space="preserve"> della Commissione</w:t>
        </w:r>
      </w:hyperlink>
      <w:r w:rsidR="00096D79">
        <w:rPr>
          <w:rFonts w:ascii="Times New Roman" w:hAnsi="Times New Roman"/>
        </w:rPr>
        <w:t xml:space="preserve"> del 1 marzo 2018;</w:t>
      </w:r>
    </w:p>
    <w:p w14:paraId="2C23F275" w14:textId="108DC48F" w:rsidR="00485B51" w:rsidRPr="00C0578F" w:rsidRDefault="006D71BB" w:rsidP="00485B51">
      <w:pPr>
        <w:pStyle w:val="FootnoteText"/>
        <w:rPr>
          <w:rFonts w:ascii="Times New Roman" w:hAnsi="Times New Roman" w:cs="Times New Roman"/>
        </w:rPr>
      </w:pPr>
      <w:hyperlink r:id="rId22" w:history="1">
        <w:r w:rsidR="00096D79">
          <w:rPr>
            <w:rStyle w:val="Hyperlink"/>
            <w:rFonts w:ascii="Times New Roman" w:hAnsi="Times New Roman"/>
            <w:color w:val="auto"/>
          </w:rPr>
          <w:t xml:space="preserve">Direttiva delegata (UE) </w:t>
        </w:r>
        <w:r w:rsidR="00096D79">
          <w:rPr>
            <w:rStyle w:val="Hyperlink"/>
            <w:rFonts w:ascii="Times New Roman" w:hAnsi="Times New Roman"/>
            <w:b/>
            <w:color w:val="auto"/>
          </w:rPr>
          <w:t>2018/740</w:t>
        </w:r>
        <w:r w:rsidR="00096D79">
          <w:rPr>
            <w:rStyle w:val="Hyperlink"/>
            <w:rFonts w:ascii="Times New Roman" w:hAnsi="Times New Roman"/>
            <w:color w:val="auto"/>
          </w:rPr>
          <w:t xml:space="preserve"> della Commissione</w:t>
        </w:r>
      </w:hyperlink>
      <w:r w:rsidR="00096D79">
        <w:rPr>
          <w:rFonts w:ascii="Times New Roman" w:hAnsi="Times New Roman"/>
        </w:rPr>
        <w:t xml:space="preserve"> del 1 marzo 2018;</w:t>
      </w:r>
    </w:p>
    <w:p w14:paraId="7A193E67" w14:textId="2463A72F" w:rsidR="00485B51" w:rsidRPr="00C0578F" w:rsidRDefault="006D71BB" w:rsidP="00485B51">
      <w:pPr>
        <w:pStyle w:val="FootnoteText"/>
        <w:rPr>
          <w:rFonts w:ascii="Times New Roman" w:hAnsi="Times New Roman" w:cs="Times New Roman"/>
        </w:rPr>
      </w:pPr>
      <w:hyperlink r:id="rId23" w:history="1">
        <w:r w:rsidR="00096D79">
          <w:rPr>
            <w:rStyle w:val="Hyperlink"/>
            <w:rFonts w:ascii="Times New Roman" w:hAnsi="Times New Roman"/>
            <w:color w:val="auto"/>
          </w:rPr>
          <w:t xml:space="preserve">Direttiva delegata (UE) </w:t>
        </w:r>
        <w:r w:rsidR="00096D79">
          <w:rPr>
            <w:rStyle w:val="Hyperlink"/>
            <w:rFonts w:ascii="Times New Roman" w:hAnsi="Times New Roman"/>
            <w:b/>
            <w:color w:val="auto"/>
          </w:rPr>
          <w:t>2018/741</w:t>
        </w:r>
        <w:r w:rsidR="00096D79">
          <w:rPr>
            <w:rStyle w:val="Hyperlink"/>
            <w:rFonts w:ascii="Times New Roman" w:hAnsi="Times New Roman"/>
            <w:color w:val="auto"/>
          </w:rPr>
          <w:t xml:space="preserve"> della Commissione</w:t>
        </w:r>
      </w:hyperlink>
      <w:r w:rsidR="00096D79">
        <w:rPr>
          <w:rFonts w:ascii="Times New Roman" w:hAnsi="Times New Roman"/>
        </w:rPr>
        <w:t xml:space="preserve"> del 1 marzo 2018;</w:t>
      </w:r>
    </w:p>
    <w:p w14:paraId="357BF5B2" w14:textId="63959FFE" w:rsidR="00485B51" w:rsidRPr="00C0578F" w:rsidRDefault="006D71BB" w:rsidP="00485B51">
      <w:pPr>
        <w:pStyle w:val="FootnoteText"/>
        <w:rPr>
          <w:rFonts w:ascii="Times New Roman" w:hAnsi="Times New Roman" w:cs="Times New Roman"/>
          <w:b/>
          <w:u w:val="single"/>
        </w:rPr>
      </w:pPr>
      <w:hyperlink r:id="rId24" w:history="1">
        <w:r w:rsidR="00096D79">
          <w:rPr>
            <w:rStyle w:val="Hyperlink"/>
            <w:rFonts w:ascii="Times New Roman" w:hAnsi="Times New Roman"/>
            <w:color w:val="auto"/>
          </w:rPr>
          <w:t xml:space="preserve">Direttiva delegata (UE) </w:t>
        </w:r>
        <w:r w:rsidR="00096D79">
          <w:rPr>
            <w:rStyle w:val="Hyperlink"/>
            <w:rFonts w:ascii="Times New Roman" w:hAnsi="Times New Roman"/>
            <w:b/>
            <w:color w:val="auto"/>
          </w:rPr>
          <w:t>2018/742</w:t>
        </w:r>
        <w:r w:rsidR="00096D79">
          <w:rPr>
            <w:rStyle w:val="Hyperlink"/>
            <w:rFonts w:ascii="Times New Roman" w:hAnsi="Times New Roman"/>
            <w:color w:val="auto"/>
          </w:rPr>
          <w:t xml:space="preserve"> della Commissione</w:t>
        </w:r>
      </w:hyperlink>
      <w:r w:rsidR="00096D79">
        <w:rPr>
          <w:rFonts w:ascii="Times New Roman" w:hAnsi="Times New Roman"/>
        </w:rPr>
        <w:t xml:space="preserve"> del 1 marzo 2018;</w:t>
      </w:r>
    </w:p>
    <w:p w14:paraId="6F8D864D" w14:textId="4FB21895" w:rsidR="00485B51" w:rsidRPr="00C0578F" w:rsidRDefault="006D71BB" w:rsidP="0006019D">
      <w:pPr>
        <w:pStyle w:val="FootnoteText"/>
        <w:rPr>
          <w:rFonts w:ascii="Times New Roman" w:hAnsi="Times New Roman" w:cs="Times New Roman"/>
        </w:rPr>
      </w:pPr>
      <w:hyperlink r:id="rId25" w:history="1">
        <w:r w:rsidR="00096D79">
          <w:rPr>
            <w:rStyle w:val="Hyperlink"/>
            <w:rFonts w:ascii="Times New Roman" w:hAnsi="Times New Roman"/>
            <w:color w:val="auto"/>
          </w:rPr>
          <w:t xml:space="preserve">Direttiva delegata (UE) </w:t>
        </w:r>
        <w:r w:rsidR="00096D79">
          <w:rPr>
            <w:rStyle w:val="Hyperlink"/>
            <w:rFonts w:ascii="Times New Roman" w:hAnsi="Times New Roman"/>
            <w:b/>
            <w:color w:val="auto"/>
          </w:rPr>
          <w:t>2018/736</w:t>
        </w:r>
        <w:r w:rsidR="00096D79">
          <w:rPr>
            <w:rStyle w:val="Hyperlink"/>
            <w:rFonts w:ascii="Times New Roman" w:hAnsi="Times New Roman"/>
            <w:color w:val="auto"/>
          </w:rPr>
          <w:t xml:space="preserve"> della Commissione</w:t>
        </w:r>
      </w:hyperlink>
      <w:r w:rsidR="00096D79">
        <w:rPr>
          <w:rFonts w:ascii="Times New Roman" w:hAnsi="Times New Roman"/>
        </w:rPr>
        <w:t xml:space="preserve"> del 27 febbraio 2018;</w:t>
      </w:r>
    </w:p>
    <w:p w14:paraId="2366339B" w14:textId="3147E777" w:rsidR="00485B51" w:rsidRPr="00C0578F" w:rsidRDefault="006D71BB" w:rsidP="0006019D">
      <w:pPr>
        <w:pStyle w:val="FootnoteText"/>
        <w:rPr>
          <w:rFonts w:ascii="Times New Roman" w:hAnsi="Times New Roman" w:cs="Times New Roman"/>
        </w:rPr>
      </w:pPr>
      <w:hyperlink r:id="rId26" w:history="1">
        <w:r w:rsidR="00096D79">
          <w:rPr>
            <w:rStyle w:val="Hyperlink"/>
            <w:rFonts w:ascii="Times New Roman" w:hAnsi="Times New Roman"/>
            <w:color w:val="auto"/>
          </w:rPr>
          <w:t xml:space="preserve">Direttiva delegata (UE) </w:t>
        </w:r>
        <w:r w:rsidR="00096D79">
          <w:rPr>
            <w:rStyle w:val="Hyperlink"/>
            <w:rFonts w:ascii="Times New Roman" w:hAnsi="Times New Roman"/>
            <w:b/>
            <w:color w:val="auto"/>
          </w:rPr>
          <w:t>2018/737</w:t>
        </w:r>
        <w:r w:rsidR="00096D79">
          <w:rPr>
            <w:rStyle w:val="Hyperlink"/>
            <w:rFonts w:ascii="Times New Roman" w:hAnsi="Times New Roman"/>
            <w:color w:val="auto"/>
          </w:rPr>
          <w:t xml:space="preserve"> della Commissione</w:t>
        </w:r>
      </w:hyperlink>
      <w:r w:rsidR="00096D79">
        <w:rPr>
          <w:rFonts w:ascii="Times New Roman" w:hAnsi="Times New Roman"/>
        </w:rPr>
        <w:t xml:space="preserve"> del 27 febbraio 2018;</w:t>
      </w:r>
    </w:p>
    <w:p w14:paraId="22D6900F" w14:textId="2872AB6A" w:rsidR="0006019D" w:rsidRPr="00C0578F" w:rsidRDefault="006D71BB" w:rsidP="0006019D">
      <w:pPr>
        <w:pStyle w:val="FootnoteText"/>
        <w:rPr>
          <w:rFonts w:ascii="Times New Roman" w:hAnsi="Times New Roman" w:cs="Times New Roman"/>
        </w:rPr>
      </w:pPr>
      <w:hyperlink r:id="rId27" w:history="1">
        <w:r w:rsidR="00096D79">
          <w:rPr>
            <w:rStyle w:val="Hyperlink"/>
            <w:rFonts w:ascii="Times New Roman" w:hAnsi="Times New Roman"/>
            <w:color w:val="auto"/>
          </w:rPr>
          <w:t xml:space="preserve">Direttiva delegata (UE) </w:t>
        </w:r>
        <w:r w:rsidR="00096D79">
          <w:rPr>
            <w:rStyle w:val="Hyperlink"/>
            <w:rFonts w:ascii="Times New Roman" w:hAnsi="Times New Roman"/>
            <w:b/>
            <w:color w:val="auto"/>
          </w:rPr>
          <w:t>2018/738</w:t>
        </w:r>
        <w:r w:rsidR="00096D79">
          <w:rPr>
            <w:rStyle w:val="Hyperlink"/>
            <w:rFonts w:ascii="Times New Roman" w:hAnsi="Times New Roman"/>
            <w:color w:val="auto"/>
          </w:rPr>
          <w:t xml:space="preserve"> della Commissione</w:t>
        </w:r>
      </w:hyperlink>
      <w:r w:rsidR="00C33371" w:rsidRPr="00C33371">
        <w:t xml:space="preserve"> </w:t>
      </w:r>
      <w:r w:rsidR="00096D79">
        <w:rPr>
          <w:rFonts w:ascii="Times New Roman" w:hAnsi="Times New Roman"/>
        </w:rPr>
        <w:t>del 27 febbraio 2018;</w:t>
      </w:r>
    </w:p>
    <w:p w14:paraId="1C61659F" w14:textId="06413AC9" w:rsidR="0006019D" w:rsidRPr="00C0578F" w:rsidRDefault="006D71BB" w:rsidP="0006019D">
      <w:pPr>
        <w:pStyle w:val="FootnoteText"/>
        <w:rPr>
          <w:rFonts w:ascii="Times New Roman" w:hAnsi="Times New Roman" w:cs="Times New Roman"/>
        </w:rPr>
      </w:pPr>
      <w:hyperlink r:id="rId28" w:tgtFrame="_blank" w:history="1">
        <w:r w:rsidR="00096D79">
          <w:rPr>
            <w:rStyle w:val="Hyperlink"/>
            <w:rFonts w:ascii="Times New Roman" w:hAnsi="Times New Roman"/>
            <w:color w:val="auto"/>
          </w:rPr>
          <w:t xml:space="preserve">Direttiva delegata (UE) </w:t>
        </w:r>
        <w:r w:rsidR="00096D79">
          <w:rPr>
            <w:rStyle w:val="Hyperlink"/>
            <w:rFonts w:ascii="Times New Roman" w:hAnsi="Times New Roman"/>
            <w:b/>
            <w:color w:val="auto"/>
          </w:rPr>
          <w:t>2017/1975</w:t>
        </w:r>
        <w:r w:rsidR="00096D79">
          <w:rPr>
            <w:rStyle w:val="Hyperlink"/>
            <w:rFonts w:ascii="Times New Roman" w:hAnsi="Times New Roman"/>
            <w:color w:val="auto"/>
          </w:rPr>
          <w:t xml:space="preserve"> della Commissione</w:t>
        </w:r>
      </w:hyperlink>
      <w:r w:rsidR="00096D79">
        <w:rPr>
          <w:rFonts w:ascii="Times New Roman" w:hAnsi="Times New Roman"/>
        </w:rPr>
        <w:t xml:space="preserve"> di agosto 2017, con relativa </w:t>
      </w:r>
      <w:hyperlink r:id="rId29" w:history="1">
        <w:r w:rsidR="00096D79">
          <w:rPr>
            <w:rStyle w:val="Hyperlink"/>
            <w:rFonts w:ascii="Times New Roman" w:hAnsi="Times New Roman"/>
            <w:color w:val="auto"/>
          </w:rPr>
          <w:t>rettifica</w:t>
        </w:r>
      </w:hyperlink>
      <w:r w:rsidR="00096D79">
        <w:rPr>
          <w:rStyle w:val="Hyperlink"/>
          <w:rFonts w:ascii="Times New Roman" w:hAnsi="Times New Roman"/>
          <w:color w:val="auto"/>
        </w:rPr>
        <w:t>;</w:t>
      </w:r>
    </w:p>
    <w:p w14:paraId="5F8433E4" w14:textId="57ABE4FA" w:rsidR="001228F5" w:rsidRPr="00C0578F" w:rsidRDefault="006D71BB" w:rsidP="0006019D">
      <w:pPr>
        <w:pStyle w:val="FootnoteText"/>
        <w:rPr>
          <w:rFonts w:ascii="Times New Roman" w:hAnsi="Times New Roman" w:cs="Times New Roman"/>
        </w:rPr>
      </w:pPr>
      <w:hyperlink r:id="rId30" w:tgtFrame="_blank" w:history="1">
        <w:r w:rsidR="00096D79">
          <w:rPr>
            <w:rStyle w:val="Hyperlink"/>
            <w:rFonts w:ascii="Times New Roman" w:hAnsi="Times New Roman"/>
            <w:color w:val="auto"/>
          </w:rPr>
          <w:t xml:space="preserve">Direttiva delegata (UE) </w:t>
        </w:r>
        <w:r w:rsidR="00096D79">
          <w:rPr>
            <w:rStyle w:val="Hyperlink"/>
            <w:rFonts w:ascii="Times New Roman" w:hAnsi="Times New Roman"/>
            <w:b/>
            <w:color w:val="auto"/>
          </w:rPr>
          <w:t xml:space="preserve">2017/1009 </w:t>
        </w:r>
        <w:r w:rsidR="00096D79">
          <w:rPr>
            <w:rStyle w:val="Hyperlink"/>
            <w:rFonts w:ascii="Times New Roman" w:hAnsi="Times New Roman"/>
            <w:color w:val="auto"/>
          </w:rPr>
          <w:t>della Commissione</w:t>
        </w:r>
      </w:hyperlink>
      <w:r w:rsidR="00096D79">
        <w:rPr>
          <w:rFonts w:ascii="Times New Roman" w:hAnsi="Times New Roman"/>
        </w:rPr>
        <w:t xml:space="preserve"> di marzo 2017;</w:t>
      </w:r>
    </w:p>
    <w:p w14:paraId="6DC79555" w14:textId="4104A87B" w:rsidR="001228F5" w:rsidRPr="00C0578F" w:rsidRDefault="006D71BB" w:rsidP="0006019D">
      <w:pPr>
        <w:pStyle w:val="FootnoteText"/>
        <w:rPr>
          <w:rStyle w:val="Hyperlink"/>
          <w:rFonts w:ascii="Times New Roman" w:hAnsi="Times New Roman" w:cs="Times New Roman"/>
          <w:b/>
          <w:color w:val="auto"/>
        </w:rPr>
      </w:pPr>
      <w:hyperlink r:id="rId31" w:tgtFrame="_blank" w:history="1">
        <w:r w:rsidR="00096D79">
          <w:rPr>
            <w:rStyle w:val="Hyperlink"/>
            <w:rFonts w:ascii="Times New Roman" w:hAnsi="Times New Roman"/>
            <w:color w:val="auto"/>
          </w:rPr>
          <w:t xml:space="preserve">Direttiva delegata (UE) </w:t>
        </w:r>
        <w:r w:rsidR="00096D79">
          <w:rPr>
            <w:rStyle w:val="Hyperlink"/>
            <w:rFonts w:ascii="Times New Roman" w:hAnsi="Times New Roman"/>
            <w:b/>
            <w:color w:val="auto"/>
          </w:rPr>
          <w:t xml:space="preserve">2017/1010 </w:t>
        </w:r>
        <w:r w:rsidR="00096D79">
          <w:rPr>
            <w:rStyle w:val="Hyperlink"/>
            <w:rFonts w:ascii="Times New Roman" w:hAnsi="Times New Roman"/>
            <w:color w:val="auto"/>
          </w:rPr>
          <w:t>della Commissione</w:t>
        </w:r>
      </w:hyperlink>
      <w:r w:rsidR="00096D79">
        <w:rPr>
          <w:rFonts w:ascii="Times New Roman" w:hAnsi="Times New Roman"/>
        </w:rPr>
        <w:t xml:space="preserve"> di marzo 2017;</w:t>
      </w:r>
    </w:p>
    <w:p w14:paraId="1CB8C01D" w14:textId="07C4CC91" w:rsidR="0006019D" w:rsidRPr="00C0578F" w:rsidRDefault="006D71BB" w:rsidP="0006019D">
      <w:pPr>
        <w:pStyle w:val="FootnoteText"/>
        <w:rPr>
          <w:rFonts w:ascii="Times New Roman" w:hAnsi="Times New Roman" w:cs="Times New Roman"/>
        </w:rPr>
      </w:pPr>
      <w:hyperlink r:id="rId32" w:tgtFrame="_blank" w:history="1">
        <w:r w:rsidR="00096D79">
          <w:rPr>
            <w:rStyle w:val="Hyperlink"/>
            <w:rFonts w:ascii="Times New Roman" w:hAnsi="Times New Roman"/>
            <w:color w:val="auto"/>
          </w:rPr>
          <w:t xml:space="preserve">Direttiva delegata (UE) </w:t>
        </w:r>
        <w:r w:rsidR="00096D79">
          <w:rPr>
            <w:rStyle w:val="Hyperlink"/>
            <w:rFonts w:ascii="Times New Roman" w:hAnsi="Times New Roman"/>
            <w:b/>
            <w:color w:val="auto"/>
          </w:rPr>
          <w:t xml:space="preserve">2017/1011 </w:t>
        </w:r>
        <w:r w:rsidR="00096D79">
          <w:rPr>
            <w:rStyle w:val="Hyperlink"/>
            <w:rFonts w:ascii="Times New Roman" w:hAnsi="Times New Roman"/>
            <w:color w:val="auto"/>
          </w:rPr>
          <w:t>della Commissione</w:t>
        </w:r>
      </w:hyperlink>
      <w:r w:rsidR="00096D79">
        <w:rPr>
          <w:rFonts w:ascii="Times New Roman" w:hAnsi="Times New Roman"/>
        </w:rPr>
        <w:t xml:space="preserve"> di marzo 2017;</w:t>
      </w:r>
    </w:p>
    <w:p w14:paraId="76AED11A" w14:textId="65C9E26E" w:rsidR="00C2540D" w:rsidRDefault="006D71BB">
      <w:pPr>
        <w:pStyle w:val="FootnoteText"/>
        <w:rPr>
          <w:rFonts w:ascii="Times New Roman" w:hAnsi="Times New Roman"/>
        </w:rPr>
      </w:pPr>
      <w:hyperlink r:id="rId33" w:tgtFrame="_blank" w:history="1">
        <w:r w:rsidR="00096D79">
          <w:rPr>
            <w:rStyle w:val="Hyperlink"/>
            <w:rFonts w:ascii="Times New Roman" w:hAnsi="Times New Roman"/>
            <w:color w:val="auto"/>
          </w:rPr>
          <w:t xml:space="preserve">Direttiva delegata (UE) </w:t>
        </w:r>
        <w:r w:rsidR="00096D79">
          <w:rPr>
            <w:rStyle w:val="Hyperlink"/>
            <w:rFonts w:ascii="Times New Roman" w:hAnsi="Times New Roman"/>
            <w:b/>
            <w:color w:val="auto"/>
          </w:rPr>
          <w:t xml:space="preserve">2016/1028 </w:t>
        </w:r>
        <w:r w:rsidR="00096D79">
          <w:rPr>
            <w:rStyle w:val="Hyperlink"/>
            <w:rFonts w:ascii="Times New Roman" w:hAnsi="Times New Roman"/>
            <w:color w:val="auto"/>
          </w:rPr>
          <w:t>della Commissione</w:t>
        </w:r>
      </w:hyperlink>
      <w:r w:rsidR="00096D79">
        <w:rPr>
          <w:rFonts w:ascii="Times New Roman" w:hAnsi="Times New Roman"/>
        </w:rPr>
        <w:t xml:space="preserve"> del 19 aprile 2016;</w:t>
      </w:r>
    </w:p>
    <w:p w14:paraId="0D007B44" w14:textId="02ABAF69" w:rsidR="00651D1E" w:rsidRPr="00651D1E" w:rsidRDefault="006D71BB">
      <w:pPr>
        <w:pStyle w:val="FootnoteText"/>
        <w:rPr>
          <w:rFonts w:ascii="Times New Roman" w:hAnsi="Times New Roman" w:cs="Times New Roman"/>
        </w:rPr>
      </w:pPr>
      <w:hyperlink r:id="rId34" w:history="1">
        <w:r w:rsidR="00651D1E" w:rsidRPr="00391D49">
          <w:rPr>
            <w:rStyle w:val="Hyperlink"/>
            <w:rFonts w:ascii="Times New Roman" w:hAnsi="Times New Roman" w:cs="Times New Roman"/>
          </w:rPr>
          <w:t>Direttiva delegata (UE) 2016/1029 della Commissione</w:t>
        </w:r>
      </w:hyperlink>
      <w:r w:rsidR="00651D1E" w:rsidRPr="00651D1E">
        <w:rPr>
          <w:rFonts w:ascii="Times New Roman" w:hAnsi="Times New Roman" w:cs="Times New Roman"/>
        </w:rPr>
        <w:t xml:space="preserve"> del 19 aprile 2016</w:t>
      </w:r>
      <w:r w:rsidR="00651D1E">
        <w:rPr>
          <w:rFonts w:ascii="Times New Roman" w:hAnsi="Times New Roman" w:cs="Times New Roman"/>
        </w:rPr>
        <w:t>.</w:t>
      </w:r>
    </w:p>
  </w:footnote>
  <w:footnote w:id="7">
    <w:p w14:paraId="2B98D7F8" w14:textId="621ABDDE" w:rsidR="00E96331" w:rsidRPr="006F3CBD" w:rsidRDefault="00E96331" w:rsidP="00E96331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hyperlink r:id="rId35" w:history="1">
        <w:r>
          <w:rPr>
            <w:rStyle w:val="Hyperlink"/>
            <w:rFonts w:ascii="Times New Roman" w:hAnsi="Times New Roman"/>
          </w:rPr>
          <w:t>Direttiva delegata (UE) 2015/863 della Commissione</w:t>
        </w:r>
      </w:hyperlink>
      <w:r>
        <w:rPr>
          <w:rFonts w:ascii="Times New Roman" w:hAnsi="Times New Roman"/>
        </w:rPr>
        <w:t xml:space="preserve"> del 31 marzo 2015, GU L 137 del 4.6.2015, pag. 10.</w:t>
      </w:r>
    </w:p>
  </w:footnote>
  <w:footnote w:id="8">
    <w:p w14:paraId="21A212F2" w14:textId="0114B871" w:rsidR="00521E19" w:rsidRPr="00C0578F" w:rsidRDefault="00521E19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7B42B9">
        <w:rPr>
          <w:rFonts w:ascii="Times New Roman" w:hAnsi="Times New Roman"/>
          <w:lang w:val="en-IE"/>
        </w:rPr>
        <w:t xml:space="preserve"> </w:t>
      </w:r>
      <w:r w:rsidRPr="007B42B9">
        <w:rPr>
          <w:rFonts w:ascii="Times New Roman" w:hAnsi="Times New Roman"/>
          <w:bCs/>
          <w:i/>
          <w:iCs/>
          <w:lang w:val="en-IE"/>
        </w:rPr>
        <w:t>Study to support the review of the list of restricted substances and to assess a new exemption request under RoHS 2 (Pack 15)</w:t>
      </w:r>
      <w:r w:rsidRPr="007B42B9">
        <w:rPr>
          <w:rFonts w:ascii="Times New Roman" w:hAnsi="Times New Roman"/>
          <w:bCs/>
          <w:lang w:val="en-IE"/>
        </w:rPr>
        <w:t xml:space="preserve">. </w:t>
      </w:r>
      <w:hyperlink r:id="rId36" w:history="1">
        <w:r>
          <w:rPr>
            <w:rStyle w:val="Hyperlink"/>
            <w:rFonts w:ascii="Times New Roman" w:hAnsi="Times New Roman"/>
            <w:bCs/>
          </w:rPr>
          <w:t>https://op.europa.eu/en/publication-detail/-/publication/ce50dc9c-6c19-11eb-aeb5-01aa75ed71a1/language-en/format-PDF/source-197106951</w:t>
        </w:r>
      </w:hyperlink>
      <w:r>
        <w:rPr>
          <w:rStyle w:val="Hyperlink"/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</w:p>
  </w:footnote>
  <w:footnote w:id="9">
    <w:p w14:paraId="57D5F6D4" w14:textId="0984574C" w:rsidR="00BC70A9" w:rsidRPr="00BC70A9" w:rsidRDefault="00BC70A9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Membri del gruppo di esperti per l</w:t>
      </w:r>
      <w:r w:rsidR="00652BB7">
        <w:rPr>
          <w:rFonts w:ascii="Times New Roman" w:hAnsi="Times New Roman"/>
        </w:rPr>
        <w:t>'</w:t>
      </w:r>
      <w:r>
        <w:rPr>
          <w:rFonts w:ascii="Times New Roman" w:hAnsi="Times New Roman"/>
        </w:rPr>
        <w:t>adattamento e l</w:t>
      </w:r>
      <w:r w:rsidR="00652BB7">
        <w:rPr>
          <w:rFonts w:ascii="Times New Roman" w:hAnsi="Times New Roman"/>
        </w:rPr>
        <w:t>'</w:t>
      </w:r>
      <w:r>
        <w:rPr>
          <w:rFonts w:ascii="Times New Roman" w:hAnsi="Times New Roman"/>
        </w:rPr>
        <w:t xml:space="preserve">applicazione della direttiva RoHS 2 </w:t>
      </w:r>
      <w:hyperlink r:id="rId37" w:history="1">
        <w:r>
          <w:rPr>
            <w:rStyle w:val="Hyperlink"/>
            <w:rFonts w:ascii="Times New Roman" w:hAnsi="Times New Roman"/>
          </w:rPr>
          <w:t>https://ec.europa.eu/transparency/expert-groups-register/screen/expert-groups/consult?do=groupDetail.groupDetail&amp;groupID=2810</w:t>
        </w:r>
      </w:hyperlink>
      <w:r>
        <w:rPr>
          <w:rFonts w:ascii="Times New Roman" w:hAnsi="Times New Roman"/>
        </w:rPr>
        <w:t>.</w:t>
      </w:r>
    </w:p>
  </w:footnote>
  <w:footnote w:id="10">
    <w:p w14:paraId="42441B05" w14:textId="7C7E6D83" w:rsidR="00A277EE" w:rsidRPr="007B42B9" w:rsidRDefault="00A277EE" w:rsidP="006F3CBD">
      <w:pPr>
        <w:pStyle w:val="FootnoteText"/>
        <w:jc w:val="both"/>
        <w:rPr>
          <w:rFonts w:ascii="Times New Roman" w:hAnsi="Times New Roman" w:cs="Times New Roman"/>
          <w:lang w:val="en-IE"/>
        </w:rPr>
      </w:pPr>
      <w:r>
        <w:rPr>
          <w:rStyle w:val="FootnoteReference"/>
          <w:rFonts w:ascii="Times New Roman" w:hAnsi="Times New Roman" w:cs="Times New Roman"/>
        </w:rPr>
        <w:footnoteRef/>
      </w:r>
      <w:r w:rsidRPr="007B42B9">
        <w:rPr>
          <w:rFonts w:ascii="Times New Roman" w:hAnsi="Times New Roman"/>
          <w:lang w:val="en-IE"/>
        </w:rPr>
        <w:t xml:space="preserve"> </w:t>
      </w:r>
      <w:r w:rsidRPr="007B42B9">
        <w:rPr>
          <w:rFonts w:ascii="Times New Roman" w:hAnsi="Times New Roman"/>
          <w:i/>
          <w:iCs/>
          <w:lang w:val="en-IE"/>
        </w:rPr>
        <w:t>Support for the evaluation of Directive 2011/65/EU on the restriction of the use of certain hazardous substances in electrical and electronic equipment</w:t>
      </w:r>
      <w:r w:rsidRPr="007B42B9">
        <w:rPr>
          <w:rFonts w:ascii="Times New Roman" w:hAnsi="Times New Roman"/>
          <w:lang w:val="en-IE"/>
        </w:rPr>
        <w:t xml:space="preserve"> </w:t>
      </w:r>
      <w:r w:rsidR="00C33371">
        <w:rPr>
          <w:rFonts w:ascii="Times New Roman" w:hAnsi="Times New Roman"/>
          <w:lang w:val="en-IE"/>
        </w:rPr>
        <w:tab/>
      </w:r>
      <w:r w:rsidR="00C33371">
        <w:rPr>
          <w:rFonts w:ascii="Times New Roman" w:hAnsi="Times New Roman"/>
          <w:lang w:val="en-IE"/>
        </w:rPr>
        <w:br/>
      </w:r>
      <w:hyperlink r:id="rId38" w:history="1">
        <w:r w:rsidRPr="007B42B9">
          <w:rPr>
            <w:rStyle w:val="Hyperlink"/>
            <w:rFonts w:ascii="Times New Roman" w:hAnsi="Times New Roman"/>
            <w:lang w:val="en-IE"/>
          </w:rPr>
          <w:t>https://op.europa.eu/en/publication-detail/-/publication/5b807311-9d93-11eb-b85c-01aa75ed71a1/language-en/format-PDF/source-216492720</w:t>
        </w:r>
      </w:hyperlink>
      <w:r w:rsidRPr="007B42B9">
        <w:rPr>
          <w:rStyle w:val="Hyperlink"/>
          <w:rFonts w:ascii="Times New Roman" w:hAnsi="Times New Roman"/>
          <w:lang w:val="en-IE"/>
        </w:rPr>
        <w:t>.</w:t>
      </w:r>
      <w:r w:rsidRPr="007B42B9">
        <w:rPr>
          <w:rFonts w:ascii="Times New Roman" w:hAnsi="Times New Roman"/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C54D4" w14:textId="77777777" w:rsidR="00CA3102" w:rsidRPr="00CA3102" w:rsidRDefault="00CA3102" w:rsidP="00CA31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1C233" w14:textId="77777777" w:rsidR="00CA3102" w:rsidRPr="00CA3102" w:rsidRDefault="00CA3102" w:rsidP="00CA3102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EAD32" w14:textId="77777777" w:rsidR="00CA3102" w:rsidRPr="00CA3102" w:rsidRDefault="00CA3102" w:rsidP="00CA3102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4C9C5" w14:textId="77777777" w:rsidR="00F94895" w:rsidRPr="00E841D5" w:rsidRDefault="00F9489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36AD4" w14:textId="77777777" w:rsidR="00F94895" w:rsidRPr="00E841D5" w:rsidRDefault="00F9489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3F46F" w14:textId="780C4624" w:rsidR="00096D79" w:rsidRDefault="00096D79">
    <w:pPr>
      <w:pStyle w:val="Header"/>
      <w:jc w:val="center"/>
    </w:pPr>
  </w:p>
  <w:p w14:paraId="123FC21C" w14:textId="77777777" w:rsidR="00F94895" w:rsidRPr="00E841D5" w:rsidRDefault="00F948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7712"/>
    <w:multiLevelType w:val="hybridMultilevel"/>
    <w:tmpl w:val="A49A3F3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2400E3"/>
    <w:multiLevelType w:val="multilevel"/>
    <w:tmpl w:val="88EA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15D74"/>
    <w:multiLevelType w:val="hybridMultilevel"/>
    <w:tmpl w:val="E9F84D6A"/>
    <w:lvl w:ilvl="0" w:tplc="2556A0A2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B3018B"/>
    <w:multiLevelType w:val="hybridMultilevel"/>
    <w:tmpl w:val="A274B1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F566FD"/>
    <w:multiLevelType w:val="hybridMultilevel"/>
    <w:tmpl w:val="8A7C3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058A4"/>
    <w:multiLevelType w:val="hybridMultilevel"/>
    <w:tmpl w:val="CE88B1F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45A2542"/>
    <w:multiLevelType w:val="hybridMultilevel"/>
    <w:tmpl w:val="0CB6E7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70A3CF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293"/>
    <w:multiLevelType w:val="hybridMultilevel"/>
    <w:tmpl w:val="4A3C38D6"/>
    <w:lvl w:ilvl="0" w:tplc="273A393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C5348"/>
    <w:multiLevelType w:val="hybridMultilevel"/>
    <w:tmpl w:val="BA98D150"/>
    <w:lvl w:ilvl="0" w:tplc="F5402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E1E26"/>
    <w:multiLevelType w:val="hybridMultilevel"/>
    <w:tmpl w:val="B342A2C6"/>
    <w:lvl w:ilvl="0" w:tplc="08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6F33A8EB-5338-4063-AE4F-640B2A6FAB65"/>
    <w:docVar w:name="LW_COVERPAGE_TYPE" w:val="1"/>
    <w:docVar w:name="LW_CROSSREFERENCE" w:val="&lt;UNUSED&gt;"/>
    <w:docVar w:name="LW_DocType" w:val="NORMAL"/>
    <w:docVar w:name="LW_EMISSION" w:val="20.10.2021"/>
    <w:docVar w:name="LW_EMISSION_ISODATE" w:val="2021-10-20"/>
    <w:docVar w:name="LW_EMISSION_LOCATION" w:val="BRX"/>
    <w:docVar w:name="LW_EMISSION_PREFIX" w:val="Bruxelles, "/>
    <w:docVar w:name="LW_EMISSION_SUFFIX" w:val=" "/>
    <w:docVar w:name="LW_ID_DOCTYPE_NONLW" w:val="CP-006"/>
    <w:docVar w:name="LW_LANGUE" w:val="IT"/>
    <w:docVar w:name="LW_LEVEL_OF_SENSITIVITY" w:val="Standard treatment"/>
    <w:docVar w:name="LW_NOM.INST" w:val="COMMISSIONE EUROPEA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21) 64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sull'esercizio del potere di adottare atti delegati conferito alla Commissione a norma della direttiva 2011/65/UE sulla restrizione dell'uso di determinate sostanze pericolose nelle apparecchiature elettriche ed elettroniche"/>
    <w:docVar w:name="LW_TYPE.DOC.CP" w:val="RELAZIONE DELLA COMMISSIONE AL PARLAMENTO EUROPEO E AL CONSIGLIO"/>
    <w:docVar w:name="LwApiVersions" w:val="LW4CoDe 1.23.1.0; LW 8.0, Build 20210728"/>
  </w:docVars>
  <w:rsids>
    <w:rsidRoot w:val="006D7C54"/>
    <w:rsid w:val="0002348E"/>
    <w:rsid w:val="00025FA3"/>
    <w:rsid w:val="0006019D"/>
    <w:rsid w:val="000605E4"/>
    <w:rsid w:val="0007083A"/>
    <w:rsid w:val="00086032"/>
    <w:rsid w:val="00096D79"/>
    <w:rsid w:val="000D384C"/>
    <w:rsid w:val="000D75B9"/>
    <w:rsid w:val="000E1D61"/>
    <w:rsid w:val="000F6525"/>
    <w:rsid w:val="00105BFA"/>
    <w:rsid w:val="00112304"/>
    <w:rsid w:val="00120027"/>
    <w:rsid w:val="001228F5"/>
    <w:rsid w:val="0013262B"/>
    <w:rsid w:val="00132F0E"/>
    <w:rsid w:val="00137925"/>
    <w:rsid w:val="00141E88"/>
    <w:rsid w:val="00145224"/>
    <w:rsid w:val="00147476"/>
    <w:rsid w:val="001478AB"/>
    <w:rsid w:val="00167465"/>
    <w:rsid w:val="0017188C"/>
    <w:rsid w:val="00172A27"/>
    <w:rsid w:val="00176900"/>
    <w:rsid w:val="001857A1"/>
    <w:rsid w:val="00192CF4"/>
    <w:rsid w:val="00194130"/>
    <w:rsid w:val="001A0CBC"/>
    <w:rsid w:val="001A1942"/>
    <w:rsid w:val="001A7D01"/>
    <w:rsid w:val="001B7BF3"/>
    <w:rsid w:val="001C5098"/>
    <w:rsid w:val="001D1EFA"/>
    <w:rsid w:val="001D7A27"/>
    <w:rsid w:val="001E14CA"/>
    <w:rsid w:val="001E1511"/>
    <w:rsid w:val="001F12F8"/>
    <w:rsid w:val="001F20BF"/>
    <w:rsid w:val="00207641"/>
    <w:rsid w:val="00226BA1"/>
    <w:rsid w:val="00232C2B"/>
    <w:rsid w:val="0023758F"/>
    <w:rsid w:val="00243E6E"/>
    <w:rsid w:val="002512A6"/>
    <w:rsid w:val="00251A8C"/>
    <w:rsid w:val="002705C9"/>
    <w:rsid w:val="00274265"/>
    <w:rsid w:val="002A4A25"/>
    <w:rsid w:val="002B1D95"/>
    <w:rsid w:val="002C03D8"/>
    <w:rsid w:val="002C2DB9"/>
    <w:rsid w:val="002C40AE"/>
    <w:rsid w:val="002C57F5"/>
    <w:rsid w:val="002C7604"/>
    <w:rsid w:val="002C7AB2"/>
    <w:rsid w:val="002D172B"/>
    <w:rsid w:val="002E5BAD"/>
    <w:rsid w:val="002F7A02"/>
    <w:rsid w:val="003111D1"/>
    <w:rsid w:val="0032072A"/>
    <w:rsid w:val="00337D12"/>
    <w:rsid w:val="003433FD"/>
    <w:rsid w:val="00344BD0"/>
    <w:rsid w:val="00352135"/>
    <w:rsid w:val="00354ED4"/>
    <w:rsid w:val="0035601C"/>
    <w:rsid w:val="00361756"/>
    <w:rsid w:val="0036796E"/>
    <w:rsid w:val="003727AE"/>
    <w:rsid w:val="0038170F"/>
    <w:rsid w:val="00381DAB"/>
    <w:rsid w:val="0038390F"/>
    <w:rsid w:val="00391D49"/>
    <w:rsid w:val="003A2A27"/>
    <w:rsid w:val="003A606D"/>
    <w:rsid w:val="003B25B8"/>
    <w:rsid w:val="003C4542"/>
    <w:rsid w:val="003C5E8B"/>
    <w:rsid w:val="003D7504"/>
    <w:rsid w:val="003E1E29"/>
    <w:rsid w:val="003E7202"/>
    <w:rsid w:val="004021C9"/>
    <w:rsid w:val="00414B48"/>
    <w:rsid w:val="004208E0"/>
    <w:rsid w:val="00421743"/>
    <w:rsid w:val="00423EB2"/>
    <w:rsid w:val="0042666B"/>
    <w:rsid w:val="004309F9"/>
    <w:rsid w:val="00457645"/>
    <w:rsid w:val="00481C34"/>
    <w:rsid w:val="00485B51"/>
    <w:rsid w:val="0049063F"/>
    <w:rsid w:val="004B2388"/>
    <w:rsid w:val="004D292E"/>
    <w:rsid w:val="004D73D4"/>
    <w:rsid w:val="00505601"/>
    <w:rsid w:val="00521617"/>
    <w:rsid w:val="00521E19"/>
    <w:rsid w:val="005256C8"/>
    <w:rsid w:val="0052582E"/>
    <w:rsid w:val="005267BA"/>
    <w:rsid w:val="00554F1E"/>
    <w:rsid w:val="00562B5F"/>
    <w:rsid w:val="00576710"/>
    <w:rsid w:val="0058080F"/>
    <w:rsid w:val="0058430F"/>
    <w:rsid w:val="005901EA"/>
    <w:rsid w:val="005919BE"/>
    <w:rsid w:val="0059583D"/>
    <w:rsid w:val="00597BFF"/>
    <w:rsid w:val="005A16FF"/>
    <w:rsid w:val="005A1B01"/>
    <w:rsid w:val="005A204F"/>
    <w:rsid w:val="005A2A61"/>
    <w:rsid w:val="005B1C95"/>
    <w:rsid w:val="005B6988"/>
    <w:rsid w:val="005B7811"/>
    <w:rsid w:val="005C39A6"/>
    <w:rsid w:val="005C7B06"/>
    <w:rsid w:val="005D5E5D"/>
    <w:rsid w:val="005E4C0A"/>
    <w:rsid w:val="005E789A"/>
    <w:rsid w:val="005F0D39"/>
    <w:rsid w:val="00601228"/>
    <w:rsid w:val="0060135A"/>
    <w:rsid w:val="00616F7E"/>
    <w:rsid w:val="0062696E"/>
    <w:rsid w:val="006350C2"/>
    <w:rsid w:val="00640063"/>
    <w:rsid w:val="00644295"/>
    <w:rsid w:val="00651D1E"/>
    <w:rsid w:val="00652BB7"/>
    <w:rsid w:val="00652FB6"/>
    <w:rsid w:val="006574E1"/>
    <w:rsid w:val="00662FE7"/>
    <w:rsid w:val="0067228C"/>
    <w:rsid w:val="00675583"/>
    <w:rsid w:val="00680B56"/>
    <w:rsid w:val="006943AC"/>
    <w:rsid w:val="006A6C69"/>
    <w:rsid w:val="006C3E4F"/>
    <w:rsid w:val="006C3F67"/>
    <w:rsid w:val="006D71BB"/>
    <w:rsid w:val="006D7C54"/>
    <w:rsid w:val="006F13D8"/>
    <w:rsid w:val="006F2829"/>
    <w:rsid w:val="006F294A"/>
    <w:rsid w:val="006F3CBD"/>
    <w:rsid w:val="006F4AB4"/>
    <w:rsid w:val="006F567A"/>
    <w:rsid w:val="007003C0"/>
    <w:rsid w:val="007015C6"/>
    <w:rsid w:val="00701848"/>
    <w:rsid w:val="00707CD8"/>
    <w:rsid w:val="0071128B"/>
    <w:rsid w:val="00754DB2"/>
    <w:rsid w:val="00761867"/>
    <w:rsid w:val="0078187D"/>
    <w:rsid w:val="007829C8"/>
    <w:rsid w:val="007838D0"/>
    <w:rsid w:val="007921D9"/>
    <w:rsid w:val="00793CC2"/>
    <w:rsid w:val="007B42B9"/>
    <w:rsid w:val="007D22F6"/>
    <w:rsid w:val="0080344F"/>
    <w:rsid w:val="00804674"/>
    <w:rsid w:val="00805E48"/>
    <w:rsid w:val="00833DCB"/>
    <w:rsid w:val="00834FC0"/>
    <w:rsid w:val="0083794C"/>
    <w:rsid w:val="00862C00"/>
    <w:rsid w:val="00867635"/>
    <w:rsid w:val="00867ABB"/>
    <w:rsid w:val="00870448"/>
    <w:rsid w:val="00871185"/>
    <w:rsid w:val="00887FC7"/>
    <w:rsid w:val="00896F40"/>
    <w:rsid w:val="008A3524"/>
    <w:rsid w:val="008A6A7C"/>
    <w:rsid w:val="008B2ED1"/>
    <w:rsid w:val="008C102B"/>
    <w:rsid w:val="008D049F"/>
    <w:rsid w:val="008D50AD"/>
    <w:rsid w:val="008E6973"/>
    <w:rsid w:val="00906110"/>
    <w:rsid w:val="009123A2"/>
    <w:rsid w:val="00931B12"/>
    <w:rsid w:val="00944EA9"/>
    <w:rsid w:val="009649CD"/>
    <w:rsid w:val="00970E3B"/>
    <w:rsid w:val="009722FB"/>
    <w:rsid w:val="00974EFB"/>
    <w:rsid w:val="00977539"/>
    <w:rsid w:val="00980E86"/>
    <w:rsid w:val="00981147"/>
    <w:rsid w:val="009865FD"/>
    <w:rsid w:val="009870D4"/>
    <w:rsid w:val="00991255"/>
    <w:rsid w:val="0099407D"/>
    <w:rsid w:val="009B2FC6"/>
    <w:rsid w:val="009D0B28"/>
    <w:rsid w:val="009D0C6B"/>
    <w:rsid w:val="009D1172"/>
    <w:rsid w:val="009D3AF3"/>
    <w:rsid w:val="009D5F3D"/>
    <w:rsid w:val="009E0EC5"/>
    <w:rsid w:val="009E6E3E"/>
    <w:rsid w:val="009F33F1"/>
    <w:rsid w:val="00A0570A"/>
    <w:rsid w:val="00A07C55"/>
    <w:rsid w:val="00A26435"/>
    <w:rsid w:val="00A277EE"/>
    <w:rsid w:val="00A76A42"/>
    <w:rsid w:val="00A77915"/>
    <w:rsid w:val="00A97AE7"/>
    <w:rsid w:val="00AA043B"/>
    <w:rsid w:val="00AB65AA"/>
    <w:rsid w:val="00AC4BFA"/>
    <w:rsid w:val="00AD1A11"/>
    <w:rsid w:val="00AE3E85"/>
    <w:rsid w:val="00AE60FA"/>
    <w:rsid w:val="00AF213D"/>
    <w:rsid w:val="00AF64DA"/>
    <w:rsid w:val="00B1006A"/>
    <w:rsid w:val="00B1047F"/>
    <w:rsid w:val="00B117D4"/>
    <w:rsid w:val="00B14132"/>
    <w:rsid w:val="00B3398B"/>
    <w:rsid w:val="00B364C0"/>
    <w:rsid w:val="00B600F5"/>
    <w:rsid w:val="00B7337C"/>
    <w:rsid w:val="00B76A80"/>
    <w:rsid w:val="00B77FEA"/>
    <w:rsid w:val="00B85D07"/>
    <w:rsid w:val="00BC0C03"/>
    <w:rsid w:val="00BC70A9"/>
    <w:rsid w:val="00BE0C5F"/>
    <w:rsid w:val="00BE2416"/>
    <w:rsid w:val="00C0578F"/>
    <w:rsid w:val="00C0727E"/>
    <w:rsid w:val="00C119D1"/>
    <w:rsid w:val="00C12B52"/>
    <w:rsid w:val="00C15F56"/>
    <w:rsid w:val="00C17144"/>
    <w:rsid w:val="00C2540D"/>
    <w:rsid w:val="00C33371"/>
    <w:rsid w:val="00C3383C"/>
    <w:rsid w:val="00C37E40"/>
    <w:rsid w:val="00C41CCC"/>
    <w:rsid w:val="00C43101"/>
    <w:rsid w:val="00C453F7"/>
    <w:rsid w:val="00C5454A"/>
    <w:rsid w:val="00C54BB5"/>
    <w:rsid w:val="00C6280E"/>
    <w:rsid w:val="00C6535F"/>
    <w:rsid w:val="00C7106D"/>
    <w:rsid w:val="00C72889"/>
    <w:rsid w:val="00C731AF"/>
    <w:rsid w:val="00C8316C"/>
    <w:rsid w:val="00C91222"/>
    <w:rsid w:val="00C9484F"/>
    <w:rsid w:val="00CA0E8F"/>
    <w:rsid w:val="00CA3102"/>
    <w:rsid w:val="00CB08E4"/>
    <w:rsid w:val="00CC0E4E"/>
    <w:rsid w:val="00CD13FD"/>
    <w:rsid w:val="00CD4DDB"/>
    <w:rsid w:val="00D004B4"/>
    <w:rsid w:val="00D0332C"/>
    <w:rsid w:val="00D05ED5"/>
    <w:rsid w:val="00D10A4C"/>
    <w:rsid w:val="00D11441"/>
    <w:rsid w:val="00D13646"/>
    <w:rsid w:val="00D16260"/>
    <w:rsid w:val="00D30209"/>
    <w:rsid w:val="00D3054C"/>
    <w:rsid w:val="00D30DC9"/>
    <w:rsid w:val="00D32A98"/>
    <w:rsid w:val="00D34659"/>
    <w:rsid w:val="00D43C26"/>
    <w:rsid w:val="00D46049"/>
    <w:rsid w:val="00D63E96"/>
    <w:rsid w:val="00D66186"/>
    <w:rsid w:val="00D76C2E"/>
    <w:rsid w:val="00D86C51"/>
    <w:rsid w:val="00DA25F5"/>
    <w:rsid w:val="00DA395C"/>
    <w:rsid w:val="00DD1056"/>
    <w:rsid w:val="00DD14F7"/>
    <w:rsid w:val="00DD2DEE"/>
    <w:rsid w:val="00DD331B"/>
    <w:rsid w:val="00DD7DD9"/>
    <w:rsid w:val="00DE754C"/>
    <w:rsid w:val="00E074AB"/>
    <w:rsid w:val="00E331D4"/>
    <w:rsid w:val="00E34056"/>
    <w:rsid w:val="00E37CDE"/>
    <w:rsid w:val="00E44940"/>
    <w:rsid w:val="00E479C8"/>
    <w:rsid w:val="00E51C9F"/>
    <w:rsid w:val="00E671EC"/>
    <w:rsid w:val="00E71B93"/>
    <w:rsid w:val="00E7274E"/>
    <w:rsid w:val="00E841D5"/>
    <w:rsid w:val="00E84233"/>
    <w:rsid w:val="00E84856"/>
    <w:rsid w:val="00E922A1"/>
    <w:rsid w:val="00E92B6A"/>
    <w:rsid w:val="00E96331"/>
    <w:rsid w:val="00EA7308"/>
    <w:rsid w:val="00EB0157"/>
    <w:rsid w:val="00ED58C6"/>
    <w:rsid w:val="00EE279C"/>
    <w:rsid w:val="00EE726F"/>
    <w:rsid w:val="00F3144E"/>
    <w:rsid w:val="00F34CB9"/>
    <w:rsid w:val="00F752E4"/>
    <w:rsid w:val="00F76251"/>
    <w:rsid w:val="00F8068B"/>
    <w:rsid w:val="00F87267"/>
    <w:rsid w:val="00F94895"/>
    <w:rsid w:val="00FB0392"/>
    <w:rsid w:val="00FC2018"/>
    <w:rsid w:val="00FD1F4A"/>
    <w:rsid w:val="00FD24BC"/>
    <w:rsid w:val="00FD3949"/>
    <w:rsid w:val="00FF15E4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E7C887"/>
  <w15:docId w15:val="{85154FEA-8695-4DCB-B19B-77E4318C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18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link w:val="PagedecouvertureChar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styleId="Hyperlink">
    <w:name w:val="Hyperlink"/>
    <w:rsid w:val="005A16FF"/>
    <w:rPr>
      <w:color w:val="0000FF"/>
      <w:u w:val="single"/>
    </w:rPr>
  </w:style>
  <w:style w:type="character" w:styleId="Emphasis">
    <w:name w:val="Emphasis"/>
    <w:uiPriority w:val="20"/>
    <w:qFormat/>
    <w:rsid w:val="002C40AE"/>
    <w:rPr>
      <w:rFonts w:ascii="Times New Roman" w:hAnsi="Times New Roman" w:cs="Times New Roman" w:hint="default"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41E88"/>
    <w:rPr>
      <w:color w:val="800080" w:themeColor="followedHyperlink"/>
      <w:u w:val="single"/>
    </w:rPr>
  </w:style>
  <w:style w:type="paragraph" w:customStyle="1" w:styleId="FooterSensitivity">
    <w:name w:val="Footer Sensitivity"/>
    <w:basedOn w:val="Normal"/>
    <w:link w:val="FooterSensitivityChar"/>
    <w:rsid w:val="00974EF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PagedecouvertureChar">
    <w:name w:val="Page de couverture Char"/>
    <w:basedOn w:val="DefaultParagraphFont"/>
    <w:link w:val="Pagedecouverture"/>
    <w:rsid w:val="00974EFB"/>
    <w:rPr>
      <w:rFonts w:ascii="Times New Roman" w:hAnsi="Times New Roman" w:cs="Times New Roman"/>
      <w:sz w:val="24"/>
    </w:rPr>
  </w:style>
  <w:style w:type="character" w:customStyle="1" w:styleId="FooterSensitivityChar">
    <w:name w:val="Footer Sensitivity Char"/>
    <w:basedOn w:val="PagedecouvertureChar"/>
    <w:link w:val="FooterSensitivity"/>
    <w:rsid w:val="00974EFB"/>
    <w:rPr>
      <w:rFonts w:ascii="Times New Roman" w:hAnsi="Times New Roman" w:cs="Times New Roman"/>
      <w:b/>
      <w:sz w:val="32"/>
    </w:rPr>
  </w:style>
  <w:style w:type="paragraph" w:customStyle="1" w:styleId="HeaderSensitivity">
    <w:name w:val="Header Sensitivity"/>
    <w:basedOn w:val="Normal"/>
    <w:link w:val="HeaderSensitivityChar"/>
    <w:rsid w:val="00974EF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PagedecouvertureChar"/>
    <w:link w:val="HeaderSensitivity"/>
    <w:rsid w:val="00974EFB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rsid w:val="00974EFB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PagedecouvertureChar"/>
    <w:link w:val="HeaderSensitivityRight"/>
    <w:rsid w:val="00974EFB"/>
    <w:rPr>
      <w:rFonts w:ascii="Times New Roman" w:hAnsi="Times New Roman" w:cs="Times New Roman"/>
      <w:sz w:val="28"/>
    </w:rPr>
  </w:style>
  <w:style w:type="paragraph" w:styleId="NormalWeb">
    <w:name w:val="Normal (Web)"/>
    <w:basedOn w:val="Normal"/>
    <w:uiPriority w:val="99"/>
    <w:unhideWhenUsed/>
    <w:rsid w:val="00867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01848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en-I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1E1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1E1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21E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IT/TXT/?uri=OJ:L:2020:067:TOC" TargetMode="External"/><Relationship Id="rId13" Type="http://schemas.openxmlformats.org/officeDocument/2006/relationships/hyperlink" Target="https://eur-lex.europa.eu/legal-content/IT/TXT/?uri=OJ:L:2019:033:TOC" TargetMode="External"/><Relationship Id="rId18" Type="http://schemas.openxmlformats.org/officeDocument/2006/relationships/hyperlink" Target="https://eur-lex.europa.eu/legal-content/IT/TXT/?uri=OJ:L:2019:033:TOC" TargetMode="External"/><Relationship Id="rId26" Type="http://schemas.openxmlformats.org/officeDocument/2006/relationships/hyperlink" Target="https://eur-lex.europa.eu/legal-content/IT/TXT/?uri=OJ:L:2018:123:TOC" TargetMode="External"/><Relationship Id="rId3" Type="http://schemas.openxmlformats.org/officeDocument/2006/relationships/hyperlink" Target="https://eur-lex.europa.eu/legal-content/IT/TXT/?uri=OJ:L:2021:133:TOC" TargetMode="External"/><Relationship Id="rId21" Type="http://schemas.openxmlformats.org/officeDocument/2006/relationships/hyperlink" Target="https://eur-lex.europa.eu/legal-content/IT/TXT/?uri=OJ:L:2018:123:TOC" TargetMode="External"/><Relationship Id="rId34" Type="http://schemas.openxmlformats.org/officeDocument/2006/relationships/hyperlink" Target="https://eur-lex.europa.eu/legal-content/IT/TXT/PDF/?uri=CELEX:32016L1029" TargetMode="External"/><Relationship Id="rId7" Type="http://schemas.openxmlformats.org/officeDocument/2006/relationships/hyperlink" Target="https://eur-lex.europa.eu/legal-content/IT/TXT/?uri=OJ:L:2020:067:TOC" TargetMode="External"/><Relationship Id="rId12" Type="http://schemas.openxmlformats.org/officeDocument/2006/relationships/hyperlink" Target="https://eur-lex.europa.eu/legal-content/IT/TXT/?uri=OJ:L:2019:033:TOC" TargetMode="External"/><Relationship Id="rId17" Type="http://schemas.openxmlformats.org/officeDocument/2006/relationships/hyperlink" Target="https://eur-lex.europa.eu/legal-content/IT/TXT/?uri=OJ:L:2019:033:TOC" TargetMode="External"/><Relationship Id="rId25" Type="http://schemas.openxmlformats.org/officeDocument/2006/relationships/hyperlink" Target="https://eur-lex.europa.eu/legal-content/IT/TXT/?uri=OJ:L:2018:123:TOC" TargetMode="External"/><Relationship Id="rId33" Type="http://schemas.openxmlformats.org/officeDocument/2006/relationships/hyperlink" Target="https://eur-lex.europa.eu/legal-content/IT/TXT/?uri=OJ:L:2016:168:TOC" TargetMode="External"/><Relationship Id="rId38" Type="http://schemas.openxmlformats.org/officeDocument/2006/relationships/hyperlink" Target="https://op.europa.eu/en/publication-detail/-/publication/5b807311-9d93-11eb-b85c-01aa75ed71a1/language-en/format-PDF/source-216492720" TargetMode="External"/><Relationship Id="rId2" Type="http://schemas.openxmlformats.org/officeDocument/2006/relationships/hyperlink" Target="https://eur-lex.europa.eu/legal-content/IT/TXT/?uri=OJ:L:2021:194:TOC" TargetMode="External"/><Relationship Id="rId16" Type="http://schemas.openxmlformats.org/officeDocument/2006/relationships/hyperlink" Target="https://eur-lex.europa.eu/legal-content/IT/TXT/?uri=OJ:L:2019:033:TOC" TargetMode="External"/><Relationship Id="rId20" Type="http://schemas.openxmlformats.org/officeDocument/2006/relationships/hyperlink" Target="https://eur-lex.europa.eu/legal-content/IT/TXT/?uri=OJ:L:2019:033:TOC" TargetMode="External"/><Relationship Id="rId29" Type="http://schemas.openxmlformats.org/officeDocument/2006/relationships/hyperlink" Target="https://eur-lex.europa.eu/legal-content/IT/TXT/?uri=CELEX:32017L1975R(01)" TargetMode="External"/><Relationship Id="rId1" Type="http://schemas.openxmlformats.org/officeDocument/2006/relationships/hyperlink" Target="https://eurlex.europa.eu/legalcontent/IT/TXT/PDF/?uri=CELEX:52016DC0215&amp;from=IT" TargetMode="External"/><Relationship Id="rId6" Type="http://schemas.openxmlformats.org/officeDocument/2006/relationships/hyperlink" Target="https://eur-lex.europa.eu/legal-content/IT/TXT/?uri=OJ:L:2020:067:TOC" TargetMode="External"/><Relationship Id="rId11" Type="http://schemas.openxmlformats.org/officeDocument/2006/relationships/hyperlink" Target="https://eur-lex.europa.eu/legal-content/IT/TXT/?uri=OJ:L:2019:033:TOC" TargetMode="External"/><Relationship Id="rId24" Type="http://schemas.openxmlformats.org/officeDocument/2006/relationships/hyperlink" Target="https://eur-lex.europa.eu/legal-content/IT/TXT/?uri=OJ:L:2018:123:TOC" TargetMode="External"/><Relationship Id="rId32" Type="http://schemas.openxmlformats.org/officeDocument/2006/relationships/hyperlink" Target="https://eur-lex.europa.eu/legal-content/IT/TXT/?uri=OJ:L:2017:153:TOC" TargetMode="External"/><Relationship Id="rId37" Type="http://schemas.openxmlformats.org/officeDocument/2006/relationships/hyperlink" Target="https://ec.europa.eu/transparency/expert-groups-register/screen/expert-groups/consult?do=groupDetail.groupDetail&amp;groupID=2810&amp;lang=it" TargetMode="External"/><Relationship Id="rId5" Type="http://schemas.openxmlformats.org/officeDocument/2006/relationships/hyperlink" Target="https://eur-lex.europa.eu/legal-content/IT/TXT/?uri=OJ:L:2020:067:TOC" TargetMode="External"/><Relationship Id="rId15" Type="http://schemas.openxmlformats.org/officeDocument/2006/relationships/hyperlink" Target="https://eur-lex.europa.eu/legal-content/IT/TXT/?uri=OJ:L:2019:033:TOC" TargetMode="External"/><Relationship Id="rId23" Type="http://schemas.openxmlformats.org/officeDocument/2006/relationships/hyperlink" Target="https://eur-lex.europa.eu/legal-content/IT/TXT/?uri=OJ:L:2018:123:TOC" TargetMode="External"/><Relationship Id="rId28" Type="http://schemas.openxmlformats.org/officeDocument/2006/relationships/hyperlink" Target="https://eur-lex.europa.eu/legal-content/IT/TXT/?qid=1509449210131&amp;uri=CELEX:32017L1975" TargetMode="External"/><Relationship Id="rId36" Type="http://schemas.openxmlformats.org/officeDocument/2006/relationships/hyperlink" Target="https://op.europa.eu/en/publication-detail/-/publication/ce50dc9c-6c19-11eb-aeb5-01aa75ed71a1/language-en/format-PDF/source-197106951" TargetMode="External"/><Relationship Id="rId10" Type="http://schemas.openxmlformats.org/officeDocument/2006/relationships/hyperlink" Target="https://eur-lex.europa.eu/legal-content/IT/TXT/?uri=OJ:L:2019:283:TOC" TargetMode="External"/><Relationship Id="rId19" Type="http://schemas.openxmlformats.org/officeDocument/2006/relationships/hyperlink" Target="https://eur-lex.europa.eu/legal-content/IT/TXT/?uri=OJ:L:2019:033:TOC" TargetMode="External"/><Relationship Id="rId31" Type="http://schemas.openxmlformats.org/officeDocument/2006/relationships/hyperlink" Target="https://eur-lex.europa.eu/legal-content/IT/TXT/?uri=OJ:L:2017:153:TOC" TargetMode="External"/><Relationship Id="rId4" Type="http://schemas.openxmlformats.org/officeDocument/2006/relationships/hyperlink" Target="https://eur-lex.europa.eu/legal-content/IT/TXT/?uri=OJ:L:2020:067:TOC" TargetMode="External"/><Relationship Id="rId9" Type="http://schemas.openxmlformats.org/officeDocument/2006/relationships/hyperlink" Target="https://eur-lex.europa.eu/legal-content/IT/TXT/?uri=OJ:L:2019:283:TOC" TargetMode="External"/><Relationship Id="rId14" Type="http://schemas.openxmlformats.org/officeDocument/2006/relationships/hyperlink" Target="https://eur-lex.europa.eu/legal-content/IT/TXT/?uri=OJ:L:2019:033:TOC" TargetMode="External"/><Relationship Id="rId22" Type="http://schemas.openxmlformats.org/officeDocument/2006/relationships/hyperlink" Target="https://eur-lex.europa.eu/legal-content/IT/TXT/?uri=OJ:L:2018:123:TOC" TargetMode="External"/><Relationship Id="rId27" Type="http://schemas.openxmlformats.org/officeDocument/2006/relationships/hyperlink" Target="https://eur-lex.europa.eu/legal-content/IT/TXT/?uri=OJ:L:2018:123:TOC" TargetMode="External"/><Relationship Id="rId30" Type="http://schemas.openxmlformats.org/officeDocument/2006/relationships/hyperlink" Target="https://eur-lex.europa.eu/legal-content/IT/TXT/?uri=OJ:L:2017:153:TOC" TargetMode="External"/><Relationship Id="rId35" Type="http://schemas.openxmlformats.org/officeDocument/2006/relationships/hyperlink" Target="https://eur-lex.europa.eu/legal-content/IT/TXT/PDF/?uri=CELEX:32015L0863&amp;from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9D198-8DDE-448D-A685-33A0E5B8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1156</Words>
  <Characters>6791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WEEE Report on delegation of powers</vt:lpstr>
    </vt:vector>
  </TitlesOfParts>
  <Manager/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WEEE Report on delegation of powers</dc:title>
  <dc:subject/>
  <dc:creator/>
  <cp:keywords/>
  <dc:description/>
  <cp:lastModifiedBy>VANROY Anne (SG)</cp:lastModifiedBy>
  <cp:revision>41</cp:revision>
  <cp:lastPrinted>2017-02-23T14:28:00Z</cp:lastPrinted>
  <dcterms:created xsi:type="dcterms:W3CDTF">2021-06-30T18:20:00Z</dcterms:created>
  <dcterms:modified xsi:type="dcterms:W3CDTF">2021-10-19T15:40:00Z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Level of sensitivity">
    <vt:lpwstr>Standard treatment</vt:lpwstr>
  </property>
  <property fmtid="{D5CDD505-2E9C-101B-9397-08002B2CF9AE}" pid="6" name="Last edited using">
    <vt:lpwstr>LW 7.0.1, Build 20200226</vt:lpwstr>
  </property>
  <property fmtid="{D5CDD505-2E9C-101B-9397-08002B2CF9AE}" pid="7" name="CPTemplateID">
    <vt:lpwstr>CP-006</vt:lpwstr>
  </property>
</Properties>
</file>