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4EB0E" w14:textId="151404AA" w:rsidR="00AC317D" w:rsidRPr="00493A63" w:rsidRDefault="00680DFF" w:rsidP="00680DFF">
      <w:pPr>
        <w:pStyle w:val="Pagedecouverture"/>
        <w:rPr>
          <w:noProof/>
        </w:rPr>
      </w:pPr>
      <w:bookmarkStart w:id="0" w:name="LW_BM_COVERPAGE"/>
      <w:r>
        <w:rPr>
          <w:noProof/>
        </w:rPr>
        <w:pict w14:anchorId="7C17D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416F53F-3AAD-4CB8-9212-B697A1858E10" style="width:455.25pt;height:310.5pt">
            <v:imagedata r:id="rId11" o:title=""/>
          </v:shape>
        </w:pict>
      </w:r>
    </w:p>
    <w:bookmarkEnd w:id="0"/>
    <w:p w14:paraId="448A3BAC" w14:textId="77777777" w:rsidR="00AC317D" w:rsidRPr="00493A63" w:rsidRDefault="00AC317D" w:rsidP="00AC317D">
      <w:pPr>
        <w:rPr>
          <w:noProof/>
        </w:rPr>
        <w:sectPr w:rsidR="00AC317D" w:rsidRPr="00493A63" w:rsidSect="00680DFF">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14:paraId="0620092F" w14:textId="77777777" w:rsidR="003B027E" w:rsidRPr="00493A63" w:rsidRDefault="00AC5BBD" w:rsidP="00DA05C2">
      <w:pPr>
        <w:pStyle w:val="Heading1"/>
        <w:rPr>
          <w:noProof/>
        </w:rPr>
      </w:pPr>
      <w:bookmarkStart w:id="1" w:name="_Toc66179158"/>
      <w:bookmarkStart w:id="2" w:name="_GoBack"/>
      <w:bookmarkEnd w:id="2"/>
      <w:r w:rsidRPr="00493A63">
        <w:rPr>
          <w:noProof/>
        </w:rPr>
        <w:lastRenderedPageBreak/>
        <w:t>Wprowadzenie</w:t>
      </w:r>
      <w:bookmarkEnd w:id="1"/>
    </w:p>
    <w:p w14:paraId="160CFF6F" w14:textId="77777777" w:rsidR="00DB2226" w:rsidRPr="00493A63" w:rsidRDefault="00DB2226" w:rsidP="00DB2226">
      <w:pPr>
        <w:rPr>
          <w:noProof/>
        </w:rPr>
      </w:pPr>
    </w:p>
    <w:p w14:paraId="0BAFF103" w14:textId="60E8902B" w:rsidR="006A222D" w:rsidRPr="00493A63" w:rsidDel="004A5DE1" w:rsidRDefault="006A222D" w:rsidP="006A222D">
      <w:pPr>
        <w:rPr>
          <w:noProof/>
          <w:sz w:val="24"/>
          <w:szCs w:val="24"/>
        </w:rPr>
      </w:pPr>
      <w:r w:rsidRPr="00493A63">
        <w:rPr>
          <w:noProof/>
          <w:sz w:val="24"/>
          <w:szCs w:val="24"/>
        </w:rPr>
        <w:t>W Planie działania UE</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nielegalnego handlu bronią palną na lata 2020–2025</w:t>
      </w:r>
      <w:r w:rsidRPr="00493A63">
        <w:rPr>
          <w:rStyle w:val="FootnoteReference"/>
          <w:noProof/>
          <w:sz w:val="24"/>
          <w:szCs w:val="24"/>
        </w:rPr>
        <w:footnoteReference w:id="2"/>
      </w:r>
      <w:r w:rsidR="00493A63" w:rsidRPr="00493A63">
        <w:rPr>
          <w:rStyle w:val="FootnoteReference"/>
          <w:noProof/>
          <w:sz w:val="24"/>
          <w:szCs w:val="24"/>
        </w:rPr>
        <w:t xml:space="preserve"> </w:t>
      </w:r>
      <w:r w:rsidRPr="00493A63">
        <w:rPr>
          <w:noProof/>
          <w:sz w:val="24"/>
          <w:szCs w:val="24"/>
        </w:rPr>
        <w:t>przyjętym</w:t>
      </w:r>
      <w:r w:rsidR="00C61CB6" w:rsidRPr="00493A63">
        <w:rPr>
          <w:noProof/>
          <w:sz w:val="24"/>
          <w:szCs w:val="24"/>
        </w:rPr>
        <w:t xml:space="preserve"> w</w:t>
      </w:r>
      <w:r w:rsidR="00C61CB6">
        <w:rPr>
          <w:noProof/>
          <w:sz w:val="24"/>
          <w:szCs w:val="24"/>
        </w:rPr>
        <w:t> </w:t>
      </w:r>
      <w:r w:rsidR="00C61CB6" w:rsidRPr="00493A63">
        <w:rPr>
          <w:noProof/>
          <w:sz w:val="24"/>
          <w:szCs w:val="24"/>
        </w:rPr>
        <w:t>lip</w:t>
      </w:r>
      <w:r w:rsidRPr="00493A63">
        <w:rPr>
          <w:noProof/>
          <w:sz w:val="24"/>
          <w:szCs w:val="24"/>
        </w:rPr>
        <w:t>cu 2020</w:t>
      </w:r>
      <w:r w:rsidR="00493A63" w:rsidRPr="00493A63">
        <w:rPr>
          <w:noProof/>
          <w:sz w:val="24"/>
          <w:szCs w:val="24"/>
        </w:rPr>
        <w:t> </w:t>
      </w:r>
      <w:r w:rsidRPr="00493A63">
        <w:rPr>
          <w:noProof/>
          <w:sz w:val="24"/>
          <w:szCs w:val="24"/>
        </w:rPr>
        <w:t>r. nadano najwyższy priorytet pełnemu wdrożeniu dyrektywy</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 co potwierdzono</w:t>
      </w:r>
      <w:r w:rsidR="00C61CB6" w:rsidRPr="00493A63">
        <w:rPr>
          <w:noProof/>
          <w:sz w:val="24"/>
          <w:szCs w:val="24"/>
        </w:rPr>
        <w:t xml:space="preserve"> w</w:t>
      </w:r>
      <w:r w:rsidR="00C61CB6">
        <w:rPr>
          <w:noProof/>
          <w:sz w:val="24"/>
          <w:szCs w:val="24"/>
        </w:rPr>
        <w:t> </w:t>
      </w:r>
      <w:r w:rsidR="00C61CB6" w:rsidRPr="00493A63">
        <w:rPr>
          <w:noProof/>
          <w:sz w:val="24"/>
          <w:szCs w:val="24"/>
        </w:rPr>
        <w:t>pla</w:t>
      </w:r>
      <w:r w:rsidRPr="00493A63">
        <w:rPr>
          <w:noProof/>
          <w:sz w:val="24"/>
          <w:szCs w:val="24"/>
        </w:rPr>
        <w:t>nie dla UE</w:t>
      </w:r>
      <w:r w:rsidR="00C61CB6" w:rsidRPr="00493A63">
        <w:rPr>
          <w:noProof/>
          <w:sz w:val="24"/>
          <w:szCs w:val="24"/>
        </w:rPr>
        <w:t xml:space="preserve"> w</w:t>
      </w:r>
      <w:r w:rsidR="00C61CB6">
        <w:rPr>
          <w:noProof/>
          <w:sz w:val="24"/>
          <w:szCs w:val="24"/>
        </w:rPr>
        <w:t> </w:t>
      </w:r>
      <w:r w:rsidR="00C61CB6" w:rsidRPr="00493A63">
        <w:rPr>
          <w:noProof/>
          <w:sz w:val="24"/>
          <w:szCs w:val="24"/>
        </w:rPr>
        <w:t>dzi</w:t>
      </w:r>
      <w:r w:rsidRPr="00493A63">
        <w:rPr>
          <w:noProof/>
          <w:sz w:val="24"/>
          <w:szCs w:val="24"/>
        </w:rPr>
        <w:t>edzinie zwalczania terroryzmu</w:t>
      </w:r>
      <w:r w:rsidR="00C61CB6" w:rsidRPr="00493A63">
        <w:rPr>
          <w:noProof/>
          <w:sz w:val="24"/>
          <w:szCs w:val="24"/>
        </w:rPr>
        <w:t xml:space="preserve"> z</w:t>
      </w:r>
      <w:r w:rsidR="00C61CB6">
        <w:rPr>
          <w:noProof/>
          <w:sz w:val="24"/>
          <w:szCs w:val="24"/>
        </w:rPr>
        <w:t> </w:t>
      </w:r>
      <w:r w:rsidR="00C61CB6" w:rsidRPr="00493A63">
        <w:rPr>
          <w:noProof/>
          <w:sz w:val="24"/>
          <w:szCs w:val="24"/>
        </w:rPr>
        <w:t>gru</w:t>
      </w:r>
      <w:r w:rsidRPr="00493A63">
        <w:rPr>
          <w:noProof/>
          <w:sz w:val="24"/>
          <w:szCs w:val="24"/>
        </w:rPr>
        <w:t>dnia 2020</w:t>
      </w:r>
      <w:r w:rsidR="00493A63" w:rsidRPr="00493A63">
        <w:rPr>
          <w:noProof/>
          <w:sz w:val="24"/>
          <w:szCs w:val="24"/>
        </w:rPr>
        <w:t> </w:t>
      </w:r>
      <w:r w:rsidRPr="00493A63">
        <w:rPr>
          <w:noProof/>
          <w:sz w:val="24"/>
          <w:szCs w:val="24"/>
        </w:rPr>
        <w:t>r.</w:t>
      </w:r>
      <w:r w:rsidRPr="00493A63">
        <w:rPr>
          <w:rStyle w:val="FootnoteReference"/>
          <w:noProof/>
          <w:sz w:val="24"/>
          <w:szCs w:val="24"/>
        </w:rPr>
        <w:footnoteReference w:id="3"/>
      </w:r>
      <w:r w:rsidRPr="00493A63">
        <w:rPr>
          <w:noProof/>
          <w:sz w:val="24"/>
          <w:szCs w:val="24"/>
        </w:rPr>
        <w:t xml:space="preserve"> </w:t>
      </w:r>
    </w:p>
    <w:p w14:paraId="3E02A78E" w14:textId="76954A55" w:rsidR="00731B25" w:rsidRPr="00493A63" w:rsidRDefault="00AA667A" w:rsidP="0069310D">
      <w:pPr>
        <w:rPr>
          <w:noProof/>
          <w:sz w:val="24"/>
          <w:szCs w:val="24"/>
        </w:rPr>
      </w:pPr>
      <w:r w:rsidRPr="00493A63">
        <w:rPr>
          <w:noProof/>
          <w:sz w:val="24"/>
          <w:szCs w:val="24"/>
        </w:rPr>
        <w:t>W niniejszym sprawozdaniu przedstawiono ocenę stosowania dyrektywy Rady 91/477/EWG</w:t>
      </w:r>
      <w:r w:rsidR="00C61CB6" w:rsidRPr="00493A63">
        <w:rPr>
          <w:noProof/>
          <w:sz w:val="24"/>
          <w:szCs w:val="24"/>
        </w:rPr>
        <w:t xml:space="preserve"> z</w:t>
      </w:r>
      <w:r w:rsidR="00C61CB6">
        <w:rPr>
          <w:noProof/>
          <w:sz w:val="24"/>
          <w:szCs w:val="24"/>
        </w:rPr>
        <w:t> </w:t>
      </w:r>
      <w:r w:rsidR="00C61CB6" w:rsidRPr="00493A63">
        <w:rPr>
          <w:noProof/>
          <w:sz w:val="24"/>
          <w:szCs w:val="24"/>
        </w:rPr>
        <w:t>dni</w:t>
      </w:r>
      <w:r w:rsidRPr="00493A63">
        <w:rPr>
          <w:noProof/>
          <w:sz w:val="24"/>
          <w:szCs w:val="24"/>
        </w:rPr>
        <w:t>a 18 czerwca 1991</w:t>
      </w:r>
      <w:r w:rsidR="00493A63" w:rsidRPr="00493A63">
        <w:rPr>
          <w:noProof/>
          <w:sz w:val="24"/>
          <w:szCs w:val="24"/>
        </w:rPr>
        <w:t> </w:t>
      </w:r>
      <w:r w:rsidRPr="00493A63">
        <w:rPr>
          <w:noProof/>
          <w:sz w:val="24"/>
          <w:szCs w:val="24"/>
        </w:rPr>
        <w:t>r.</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kontroli nabywania</w:t>
      </w:r>
      <w:r w:rsidR="00C61CB6" w:rsidRPr="00493A63">
        <w:rPr>
          <w:noProof/>
          <w:sz w:val="24"/>
          <w:szCs w:val="24"/>
        </w:rPr>
        <w:t xml:space="preserve"> i</w:t>
      </w:r>
      <w:r w:rsidR="00C61CB6">
        <w:rPr>
          <w:noProof/>
          <w:sz w:val="24"/>
          <w:szCs w:val="24"/>
        </w:rPr>
        <w:t> </w:t>
      </w:r>
      <w:r w:rsidR="00C61CB6" w:rsidRPr="00493A63">
        <w:rPr>
          <w:noProof/>
          <w:sz w:val="24"/>
          <w:szCs w:val="24"/>
        </w:rPr>
        <w:t>pos</w:t>
      </w:r>
      <w:r w:rsidRPr="00493A63">
        <w:rPr>
          <w:noProof/>
          <w:sz w:val="24"/>
          <w:szCs w:val="24"/>
        </w:rPr>
        <w:t>iadania broni (zwanej dalej „dyrektywą</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 zgodnie</w:t>
      </w:r>
      <w:r w:rsidR="00C61CB6" w:rsidRPr="00493A63">
        <w:rPr>
          <w:noProof/>
          <w:sz w:val="24"/>
          <w:szCs w:val="24"/>
        </w:rPr>
        <w:t xml:space="preserve"> z</w:t>
      </w:r>
      <w:r w:rsidR="00C61CB6">
        <w:rPr>
          <w:noProof/>
          <w:sz w:val="24"/>
          <w:szCs w:val="24"/>
        </w:rPr>
        <w:t> </w:t>
      </w:r>
      <w:r w:rsidR="00C61CB6" w:rsidRPr="00493A63">
        <w:rPr>
          <w:noProof/>
          <w:sz w:val="24"/>
          <w:szCs w:val="24"/>
        </w:rPr>
        <w:t>wym</w:t>
      </w:r>
      <w:r w:rsidRPr="00493A63">
        <w:rPr>
          <w:noProof/>
          <w:sz w:val="24"/>
          <w:szCs w:val="24"/>
        </w:rPr>
        <w:t>ogiem określonym</w:t>
      </w:r>
      <w:r w:rsidR="00C61CB6" w:rsidRPr="00493A63">
        <w:rPr>
          <w:noProof/>
          <w:sz w:val="24"/>
          <w:szCs w:val="24"/>
        </w:rPr>
        <w:t xml:space="preserve"> w</w:t>
      </w:r>
      <w:r w:rsidR="00C61CB6">
        <w:rPr>
          <w:noProof/>
          <w:sz w:val="24"/>
          <w:szCs w:val="24"/>
        </w:rPr>
        <w:t> </w:t>
      </w:r>
      <w:r w:rsidR="00C61CB6" w:rsidRPr="00493A63">
        <w:rPr>
          <w:noProof/>
          <w:sz w:val="24"/>
          <w:szCs w:val="24"/>
        </w:rPr>
        <w:t>art</w:t>
      </w:r>
      <w:r w:rsidRPr="00493A63">
        <w:rPr>
          <w:noProof/>
          <w:sz w:val="24"/>
          <w:szCs w:val="24"/>
        </w:rPr>
        <w:t>.</w:t>
      </w:r>
      <w:r w:rsidR="00493A63" w:rsidRPr="00493A63">
        <w:rPr>
          <w:noProof/>
          <w:sz w:val="24"/>
          <w:szCs w:val="24"/>
        </w:rPr>
        <w:t> </w:t>
      </w:r>
      <w:r w:rsidRPr="00493A63">
        <w:rPr>
          <w:noProof/>
          <w:sz w:val="24"/>
          <w:szCs w:val="24"/>
        </w:rPr>
        <w:t>17 tej dyrektywy po jej ostatniej zmianie</w:t>
      </w:r>
      <w:r w:rsidR="00C61CB6" w:rsidRPr="00493A63">
        <w:rPr>
          <w:noProof/>
          <w:sz w:val="24"/>
          <w:szCs w:val="24"/>
        </w:rPr>
        <w:t xml:space="preserve"> w</w:t>
      </w:r>
      <w:r w:rsidR="00C61CB6">
        <w:rPr>
          <w:noProof/>
          <w:sz w:val="24"/>
          <w:szCs w:val="24"/>
        </w:rPr>
        <w:t> </w:t>
      </w:r>
      <w:r w:rsidR="00C61CB6" w:rsidRPr="00493A63">
        <w:rPr>
          <w:noProof/>
          <w:sz w:val="24"/>
          <w:szCs w:val="24"/>
        </w:rPr>
        <w:t>2</w:t>
      </w:r>
      <w:r w:rsidRPr="00493A63">
        <w:rPr>
          <w:noProof/>
          <w:sz w:val="24"/>
          <w:szCs w:val="24"/>
        </w:rPr>
        <w:t>017</w:t>
      </w:r>
      <w:r w:rsidR="00493A63" w:rsidRPr="00493A63">
        <w:rPr>
          <w:noProof/>
          <w:sz w:val="24"/>
          <w:szCs w:val="24"/>
        </w:rPr>
        <w:t> </w:t>
      </w:r>
      <w:r w:rsidRPr="00493A63">
        <w:rPr>
          <w:noProof/>
          <w:sz w:val="24"/>
          <w:szCs w:val="24"/>
        </w:rPr>
        <w:t>r.</w:t>
      </w:r>
      <w:r w:rsidRPr="00493A63">
        <w:rPr>
          <w:rStyle w:val="FootnoteReference"/>
          <w:noProof/>
          <w:sz w:val="24"/>
          <w:szCs w:val="24"/>
        </w:rPr>
        <w:footnoteReference w:id="4"/>
      </w:r>
      <w:r w:rsidRPr="00493A63">
        <w:rPr>
          <w:noProof/>
          <w:sz w:val="24"/>
          <w:szCs w:val="24"/>
        </w:rPr>
        <w:t xml:space="preserve"> W międzyczasie dyrektywa</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 wraz</w:t>
      </w:r>
      <w:r w:rsidR="00C61CB6" w:rsidRPr="00493A63">
        <w:rPr>
          <w:noProof/>
          <w:sz w:val="24"/>
          <w:szCs w:val="24"/>
        </w:rPr>
        <w:t xml:space="preserve"> z</w:t>
      </w:r>
      <w:r w:rsidR="00C61CB6">
        <w:rPr>
          <w:noProof/>
          <w:sz w:val="24"/>
          <w:szCs w:val="24"/>
        </w:rPr>
        <w:t> </w:t>
      </w:r>
      <w:r w:rsidR="00C61CB6" w:rsidRPr="00493A63">
        <w:rPr>
          <w:noProof/>
          <w:sz w:val="24"/>
          <w:szCs w:val="24"/>
        </w:rPr>
        <w:t>jej</w:t>
      </w:r>
      <w:r w:rsidRPr="00493A63">
        <w:rPr>
          <w:noProof/>
          <w:sz w:val="24"/>
          <w:szCs w:val="24"/>
        </w:rPr>
        <w:t xml:space="preserve"> późniejszymi zmianami została zastąpiona, uchylona</w:t>
      </w:r>
      <w:r w:rsidR="00C61CB6" w:rsidRPr="00493A63">
        <w:rPr>
          <w:noProof/>
          <w:sz w:val="24"/>
          <w:szCs w:val="24"/>
        </w:rPr>
        <w:t xml:space="preserve"> i</w:t>
      </w:r>
      <w:r w:rsidR="00C61CB6">
        <w:rPr>
          <w:noProof/>
          <w:sz w:val="24"/>
          <w:szCs w:val="24"/>
        </w:rPr>
        <w:t> </w:t>
      </w:r>
      <w:r w:rsidR="00C61CB6" w:rsidRPr="00493A63">
        <w:rPr>
          <w:noProof/>
          <w:sz w:val="24"/>
          <w:szCs w:val="24"/>
        </w:rPr>
        <w:t>uje</w:t>
      </w:r>
      <w:r w:rsidRPr="00493A63">
        <w:rPr>
          <w:noProof/>
          <w:sz w:val="24"/>
          <w:szCs w:val="24"/>
        </w:rPr>
        <w:t>dnolicona dyrektywą Parlamentu Europejskiego</w:t>
      </w:r>
      <w:r w:rsidR="00C61CB6" w:rsidRPr="00493A63">
        <w:rPr>
          <w:noProof/>
          <w:sz w:val="24"/>
          <w:szCs w:val="24"/>
        </w:rPr>
        <w:t xml:space="preserve"> i</w:t>
      </w:r>
      <w:r w:rsidR="00C61CB6">
        <w:rPr>
          <w:noProof/>
          <w:sz w:val="24"/>
          <w:szCs w:val="24"/>
        </w:rPr>
        <w:t> </w:t>
      </w:r>
      <w:r w:rsidR="00C61CB6" w:rsidRPr="00493A63">
        <w:rPr>
          <w:noProof/>
          <w:sz w:val="24"/>
          <w:szCs w:val="24"/>
        </w:rPr>
        <w:t>Rad</w:t>
      </w:r>
      <w:r w:rsidRPr="00493A63">
        <w:rPr>
          <w:noProof/>
          <w:sz w:val="24"/>
          <w:szCs w:val="24"/>
        </w:rPr>
        <w:t>y (UE) 2021/555</w:t>
      </w:r>
      <w:r w:rsidR="00C61CB6" w:rsidRPr="00493A63">
        <w:rPr>
          <w:noProof/>
          <w:sz w:val="24"/>
          <w:szCs w:val="24"/>
        </w:rPr>
        <w:t xml:space="preserve"> z</w:t>
      </w:r>
      <w:r w:rsidR="00C61CB6">
        <w:rPr>
          <w:noProof/>
          <w:sz w:val="24"/>
          <w:szCs w:val="24"/>
        </w:rPr>
        <w:t> </w:t>
      </w:r>
      <w:r w:rsidR="00C61CB6" w:rsidRPr="00493A63">
        <w:rPr>
          <w:noProof/>
          <w:sz w:val="24"/>
          <w:szCs w:val="24"/>
        </w:rPr>
        <w:t>dni</w:t>
      </w:r>
      <w:r w:rsidRPr="00493A63">
        <w:rPr>
          <w:noProof/>
          <w:sz w:val="24"/>
          <w:szCs w:val="24"/>
        </w:rPr>
        <w:t>a 24 marca 2021</w:t>
      </w:r>
      <w:r w:rsidR="00493A63" w:rsidRPr="00493A63">
        <w:rPr>
          <w:noProof/>
          <w:sz w:val="24"/>
          <w:szCs w:val="24"/>
        </w:rPr>
        <w:t> </w:t>
      </w:r>
      <w:r w:rsidRPr="00493A63">
        <w:rPr>
          <w:noProof/>
          <w:sz w:val="24"/>
          <w:szCs w:val="24"/>
        </w:rPr>
        <w:t>r.</w:t>
      </w:r>
      <w:r w:rsidRPr="00493A63">
        <w:rPr>
          <w:rStyle w:val="FootnoteReference"/>
          <w:noProof/>
          <w:sz w:val="24"/>
          <w:szCs w:val="24"/>
        </w:rPr>
        <w:footnoteReference w:id="5"/>
      </w:r>
      <w:r w:rsidRPr="00493A63">
        <w:rPr>
          <w:noProof/>
          <w:sz w:val="24"/>
          <w:szCs w:val="24"/>
        </w:rPr>
        <w:t xml:space="preserve"> W celu zapewnienia jasności numery artykułów,</w:t>
      </w:r>
      <w:r w:rsidR="00C61CB6" w:rsidRPr="00493A63">
        <w:rPr>
          <w:noProof/>
          <w:sz w:val="24"/>
          <w:szCs w:val="24"/>
        </w:rPr>
        <w:t xml:space="preserve"> o</w:t>
      </w:r>
      <w:r w:rsidR="00C61CB6">
        <w:rPr>
          <w:noProof/>
          <w:sz w:val="24"/>
          <w:szCs w:val="24"/>
        </w:rPr>
        <w:t> </w:t>
      </w:r>
      <w:r w:rsidR="00C61CB6" w:rsidRPr="00493A63">
        <w:rPr>
          <w:noProof/>
          <w:sz w:val="24"/>
          <w:szCs w:val="24"/>
        </w:rPr>
        <w:t>któ</w:t>
      </w:r>
      <w:r w:rsidRPr="00493A63">
        <w:rPr>
          <w:noProof/>
          <w:sz w:val="24"/>
          <w:szCs w:val="24"/>
        </w:rPr>
        <w:t>rych mowa</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awozdaniu, odnoszą się do numerów obecnie obowiązującej dyrektywy (UE) 2021/555,</w:t>
      </w:r>
      <w:r w:rsidR="00C61CB6" w:rsidRPr="00493A63">
        <w:rPr>
          <w:noProof/>
          <w:sz w:val="24"/>
          <w:szCs w:val="24"/>
        </w:rPr>
        <w:t xml:space="preserve"> o</w:t>
      </w:r>
      <w:r w:rsidR="00C61CB6">
        <w:rPr>
          <w:noProof/>
          <w:sz w:val="24"/>
          <w:szCs w:val="24"/>
        </w:rPr>
        <w:t> </w:t>
      </w:r>
      <w:r w:rsidR="00C61CB6" w:rsidRPr="00493A63">
        <w:rPr>
          <w:noProof/>
          <w:sz w:val="24"/>
          <w:szCs w:val="24"/>
        </w:rPr>
        <w:t>ile</w:t>
      </w:r>
      <w:r w:rsidRPr="00493A63">
        <w:rPr>
          <w:noProof/>
          <w:sz w:val="24"/>
          <w:szCs w:val="24"/>
        </w:rPr>
        <w:t xml:space="preserve"> nie określono inaczej.</w:t>
      </w:r>
    </w:p>
    <w:p w14:paraId="08776DE6" w14:textId="28E3C556" w:rsidR="00E822AE" w:rsidRPr="00493A63" w:rsidRDefault="004E15AD" w:rsidP="00FB7F6A">
      <w:pPr>
        <w:rPr>
          <w:noProof/>
          <w:sz w:val="24"/>
          <w:szCs w:val="24"/>
        </w:rPr>
      </w:pPr>
      <w:r w:rsidRPr="00493A63">
        <w:rPr>
          <w:noProof/>
          <w:sz w:val="24"/>
          <w:szCs w:val="24"/>
        </w:rPr>
        <w:t>Zgodnie</w:t>
      </w:r>
      <w:r w:rsidR="00C61CB6" w:rsidRPr="00493A63">
        <w:rPr>
          <w:noProof/>
          <w:sz w:val="24"/>
          <w:szCs w:val="24"/>
        </w:rPr>
        <w:t xml:space="preserve"> z</w:t>
      </w:r>
      <w:r w:rsidR="00C61CB6">
        <w:rPr>
          <w:noProof/>
          <w:sz w:val="24"/>
          <w:szCs w:val="24"/>
        </w:rPr>
        <w:t> </w:t>
      </w:r>
      <w:r w:rsidR="00C61CB6" w:rsidRPr="00493A63">
        <w:rPr>
          <w:noProof/>
          <w:sz w:val="24"/>
          <w:szCs w:val="24"/>
        </w:rPr>
        <w:t>art</w:t>
      </w:r>
      <w:r w:rsidRPr="00493A63">
        <w:rPr>
          <w:noProof/>
          <w:sz w:val="24"/>
          <w:szCs w:val="24"/>
        </w:rPr>
        <w:t>.</w:t>
      </w:r>
      <w:r w:rsidR="00493A63" w:rsidRPr="00493A63">
        <w:rPr>
          <w:noProof/>
          <w:sz w:val="24"/>
          <w:szCs w:val="24"/>
        </w:rPr>
        <w:t> </w:t>
      </w:r>
      <w:r w:rsidRPr="00493A63">
        <w:rPr>
          <w:noProof/>
          <w:sz w:val="24"/>
          <w:szCs w:val="24"/>
        </w:rPr>
        <w:t>17 (obecnie art.</w:t>
      </w:r>
      <w:r w:rsidR="00493A63" w:rsidRPr="00493A63">
        <w:rPr>
          <w:noProof/>
          <w:sz w:val="24"/>
          <w:szCs w:val="24"/>
        </w:rPr>
        <w:t> </w:t>
      </w:r>
      <w:r w:rsidRPr="00493A63">
        <w:rPr>
          <w:noProof/>
          <w:sz w:val="24"/>
          <w:szCs w:val="24"/>
        </w:rPr>
        <w:t>24)</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awozdaniu należy szczególnie zbadać kategorie broni palnej oraz kwestie związane</w:t>
      </w:r>
      <w:r w:rsidR="00C61CB6" w:rsidRPr="00493A63">
        <w:rPr>
          <w:noProof/>
          <w:sz w:val="24"/>
          <w:szCs w:val="24"/>
        </w:rPr>
        <w:t xml:space="preserve"> z</w:t>
      </w:r>
      <w:r w:rsidR="00C61CB6">
        <w:rPr>
          <w:noProof/>
          <w:sz w:val="24"/>
          <w:szCs w:val="24"/>
        </w:rPr>
        <w:t> </w:t>
      </w:r>
      <w:r w:rsidR="00C61CB6" w:rsidRPr="00493A63">
        <w:rPr>
          <w:noProof/>
          <w:sz w:val="24"/>
          <w:szCs w:val="24"/>
        </w:rPr>
        <w:t>wdr</w:t>
      </w:r>
      <w:r w:rsidRPr="00493A63">
        <w:rPr>
          <w:noProof/>
          <w:sz w:val="24"/>
          <w:szCs w:val="24"/>
        </w:rPr>
        <w:t>ażaniem systemu europejskiej karty broni palnej, oznakowaniem oraz wpływem nowych technologii, takich jak drukowanie przestrzenne, stosowanie kodu QR</w:t>
      </w:r>
      <w:r w:rsidR="00C61CB6" w:rsidRPr="00493A63">
        <w:rPr>
          <w:noProof/>
          <w:sz w:val="24"/>
          <w:szCs w:val="24"/>
        </w:rPr>
        <w:t xml:space="preserve"> i</w:t>
      </w:r>
      <w:r w:rsidR="00C61CB6">
        <w:rPr>
          <w:noProof/>
          <w:sz w:val="24"/>
          <w:szCs w:val="24"/>
        </w:rPr>
        <w:t> </w:t>
      </w:r>
      <w:r w:rsidR="00C61CB6" w:rsidRPr="00493A63">
        <w:rPr>
          <w:noProof/>
          <w:sz w:val="24"/>
          <w:szCs w:val="24"/>
        </w:rPr>
        <w:t>sto</w:t>
      </w:r>
      <w:r w:rsidRPr="00493A63">
        <w:rPr>
          <w:noProof/>
          <w:sz w:val="24"/>
          <w:szCs w:val="24"/>
        </w:rPr>
        <w:t>sowanie identyfikacji radiowej (RFID). Jak zapowiedziano</w:t>
      </w:r>
      <w:r w:rsidR="00C61CB6" w:rsidRPr="00493A63">
        <w:rPr>
          <w:noProof/>
          <w:sz w:val="24"/>
          <w:szCs w:val="24"/>
        </w:rPr>
        <w:t xml:space="preserve"> w</w:t>
      </w:r>
      <w:r w:rsidR="00C61CB6">
        <w:rPr>
          <w:noProof/>
          <w:sz w:val="24"/>
          <w:szCs w:val="24"/>
        </w:rPr>
        <w:t> </w:t>
      </w:r>
      <w:r w:rsidR="00C61CB6" w:rsidRPr="00493A63">
        <w:rPr>
          <w:noProof/>
          <w:sz w:val="24"/>
          <w:szCs w:val="24"/>
        </w:rPr>
        <w:t>uni</w:t>
      </w:r>
      <w:r w:rsidRPr="00493A63">
        <w:rPr>
          <w:noProof/>
          <w:sz w:val="24"/>
          <w:szCs w:val="24"/>
        </w:rPr>
        <w:t>jnej strategii zwalczania przestępczości zorganizowanej 2021–2025</w:t>
      </w:r>
      <w:r w:rsidRPr="00493A63">
        <w:rPr>
          <w:rStyle w:val="FootnoteReference"/>
          <w:noProof/>
          <w:sz w:val="24"/>
          <w:szCs w:val="24"/>
        </w:rPr>
        <w:footnoteReference w:id="6"/>
      </w:r>
      <w:r w:rsidRPr="00493A63">
        <w:rPr>
          <w:noProof/>
          <w:sz w:val="24"/>
          <w:szCs w:val="24"/>
        </w:rPr>
        <w:t>,</w:t>
      </w:r>
      <w:r w:rsidR="00C61CB6" w:rsidRPr="00493A63">
        <w:rPr>
          <w:noProof/>
          <w:sz w:val="24"/>
          <w:szCs w:val="24"/>
        </w:rPr>
        <w:t xml:space="preserve"> w</w:t>
      </w:r>
      <w:r w:rsidR="00C61CB6">
        <w:rPr>
          <w:noProof/>
          <w:sz w:val="24"/>
          <w:szCs w:val="24"/>
        </w:rPr>
        <w:t> </w:t>
      </w:r>
      <w:r w:rsidR="00C61CB6" w:rsidRPr="00493A63">
        <w:rPr>
          <w:noProof/>
          <w:sz w:val="24"/>
          <w:szCs w:val="24"/>
        </w:rPr>
        <w:t>nin</w:t>
      </w:r>
      <w:r w:rsidRPr="00493A63">
        <w:rPr>
          <w:noProof/>
          <w:sz w:val="24"/>
          <w:szCs w:val="24"/>
        </w:rPr>
        <w:t>iejszym sprawozdaniu określono również wstępne sposoby ulepszenia ram prawnych. Przy opracowywaniu niniejszego sprawozdania Komisja opierała się</w:t>
      </w:r>
      <w:r w:rsidR="00C61CB6" w:rsidRPr="00493A63">
        <w:rPr>
          <w:noProof/>
          <w:sz w:val="24"/>
          <w:szCs w:val="24"/>
        </w:rPr>
        <w:t xml:space="preserve"> w</w:t>
      </w:r>
      <w:r w:rsidR="00C61CB6">
        <w:rPr>
          <w:noProof/>
          <w:sz w:val="24"/>
          <w:szCs w:val="24"/>
        </w:rPr>
        <w:t> </w:t>
      </w:r>
      <w:r w:rsidR="00C61CB6" w:rsidRPr="00493A63">
        <w:rPr>
          <w:noProof/>
          <w:sz w:val="24"/>
          <w:szCs w:val="24"/>
        </w:rPr>
        <w:t>prz</w:t>
      </w:r>
      <w:r w:rsidRPr="00493A63">
        <w:rPr>
          <w:noProof/>
          <w:sz w:val="24"/>
          <w:szCs w:val="24"/>
        </w:rPr>
        <w:t>ede wszystkim na krajowych środkach transpozycji zgłaszanych przez państwa członkowskie oraz na publicznie dostępnych informacjach.</w:t>
      </w:r>
    </w:p>
    <w:p w14:paraId="622C6F25" w14:textId="341DEBD4" w:rsidR="00FB7F6A" w:rsidRPr="00493A63" w:rsidRDefault="00FB7F6A" w:rsidP="00FB7F6A">
      <w:pPr>
        <w:rPr>
          <w:noProof/>
          <w:sz w:val="24"/>
          <w:szCs w:val="24"/>
        </w:rPr>
      </w:pPr>
      <w:r w:rsidRPr="00493A63">
        <w:rPr>
          <w:noProof/>
          <w:sz w:val="24"/>
          <w:szCs w:val="24"/>
        </w:rPr>
        <w:t>Ponadto</w:t>
      </w:r>
      <w:r w:rsidR="00C61CB6" w:rsidRPr="00493A63">
        <w:rPr>
          <w:noProof/>
          <w:sz w:val="24"/>
          <w:szCs w:val="24"/>
        </w:rPr>
        <w:t xml:space="preserve"> w</w:t>
      </w:r>
      <w:r w:rsidR="00C61CB6">
        <w:rPr>
          <w:noProof/>
          <w:sz w:val="24"/>
          <w:szCs w:val="24"/>
        </w:rPr>
        <w:t> </w:t>
      </w:r>
      <w:r w:rsidR="00C61CB6" w:rsidRPr="00493A63">
        <w:rPr>
          <w:noProof/>
          <w:sz w:val="24"/>
          <w:szCs w:val="24"/>
        </w:rPr>
        <w:t>lis</w:t>
      </w:r>
      <w:r w:rsidRPr="00493A63">
        <w:rPr>
          <w:noProof/>
          <w:sz w:val="24"/>
          <w:szCs w:val="24"/>
        </w:rPr>
        <w:t>topadzie 2019</w:t>
      </w:r>
      <w:r w:rsidR="00493A63" w:rsidRPr="00493A63">
        <w:rPr>
          <w:noProof/>
          <w:sz w:val="24"/>
          <w:szCs w:val="24"/>
        </w:rPr>
        <w:t> </w:t>
      </w:r>
      <w:r w:rsidRPr="00493A63">
        <w:rPr>
          <w:noProof/>
          <w:sz w:val="24"/>
          <w:szCs w:val="24"/>
        </w:rPr>
        <w:t>r. Komisja przekazała państwom członkowskim szczegółowy kwestionariusz dotyczący tematów wymienionych</w:t>
      </w:r>
      <w:r w:rsidR="00C61CB6" w:rsidRPr="00493A63">
        <w:rPr>
          <w:noProof/>
          <w:sz w:val="24"/>
          <w:szCs w:val="24"/>
        </w:rPr>
        <w:t xml:space="preserve"> w</w:t>
      </w:r>
      <w:r w:rsidR="00C61CB6">
        <w:rPr>
          <w:noProof/>
          <w:sz w:val="24"/>
          <w:szCs w:val="24"/>
        </w:rPr>
        <w:t> </w:t>
      </w:r>
      <w:r w:rsidR="00C61CB6" w:rsidRPr="00493A63">
        <w:rPr>
          <w:noProof/>
          <w:sz w:val="24"/>
          <w:szCs w:val="24"/>
        </w:rPr>
        <w:t>art</w:t>
      </w:r>
      <w:r w:rsidRPr="00493A63">
        <w:rPr>
          <w:noProof/>
          <w:sz w:val="24"/>
          <w:szCs w:val="24"/>
        </w:rPr>
        <w:t>.</w:t>
      </w:r>
      <w:r w:rsidR="00493A63" w:rsidRPr="00493A63">
        <w:rPr>
          <w:noProof/>
          <w:sz w:val="24"/>
          <w:szCs w:val="24"/>
        </w:rPr>
        <w:t> </w:t>
      </w:r>
      <w:r w:rsidRPr="00493A63">
        <w:rPr>
          <w:noProof/>
          <w:sz w:val="24"/>
          <w:szCs w:val="24"/>
        </w:rPr>
        <w:t>17 (obecnie art.</w:t>
      </w:r>
      <w:r w:rsidR="00493A63" w:rsidRPr="00493A63">
        <w:rPr>
          <w:noProof/>
          <w:sz w:val="24"/>
          <w:szCs w:val="24"/>
        </w:rPr>
        <w:t> </w:t>
      </w:r>
      <w:r w:rsidRPr="00493A63">
        <w:rPr>
          <w:noProof/>
          <w:sz w:val="24"/>
          <w:szCs w:val="24"/>
        </w:rPr>
        <w:t>24)</w:t>
      </w:r>
      <w:r w:rsidR="00C61CB6" w:rsidRPr="00493A63">
        <w:rPr>
          <w:noProof/>
          <w:sz w:val="24"/>
          <w:szCs w:val="24"/>
        </w:rPr>
        <w:t xml:space="preserve"> i</w:t>
      </w:r>
      <w:r w:rsidR="00C61CB6">
        <w:rPr>
          <w:noProof/>
          <w:sz w:val="24"/>
          <w:szCs w:val="24"/>
        </w:rPr>
        <w:t> </w:t>
      </w:r>
      <w:r w:rsidR="00C61CB6" w:rsidRPr="00493A63">
        <w:rPr>
          <w:noProof/>
          <w:sz w:val="24"/>
          <w:szCs w:val="24"/>
        </w:rPr>
        <w:t>uzy</w:t>
      </w:r>
      <w:r w:rsidRPr="00493A63">
        <w:rPr>
          <w:noProof/>
          <w:sz w:val="24"/>
          <w:szCs w:val="24"/>
        </w:rPr>
        <w:t>skała odpowiedzi od</w:t>
      </w:r>
      <w:r w:rsidR="00493A63" w:rsidRPr="00493A63">
        <w:rPr>
          <w:noProof/>
          <w:sz w:val="24"/>
          <w:szCs w:val="24"/>
        </w:rPr>
        <w:t> </w:t>
      </w:r>
      <w:r w:rsidRPr="00493A63">
        <w:rPr>
          <w:noProof/>
          <w:sz w:val="24"/>
          <w:szCs w:val="24"/>
        </w:rPr>
        <w:t>19 państw członkowskich. Komisja przedstawiła podsumowanie tych odpowiedzi podczas posiedzenia komitetu ds. broni palnej</w:t>
      </w:r>
      <w:r w:rsidR="00C61CB6" w:rsidRPr="00493A63">
        <w:rPr>
          <w:noProof/>
          <w:sz w:val="24"/>
          <w:szCs w:val="24"/>
        </w:rPr>
        <w:t xml:space="preserve"> w</w:t>
      </w:r>
      <w:r w:rsidR="00C61CB6">
        <w:rPr>
          <w:noProof/>
          <w:sz w:val="24"/>
          <w:szCs w:val="24"/>
        </w:rPr>
        <w:t> </w:t>
      </w:r>
      <w:r w:rsidR="00C61CB6" w:rsidRPr="00493A63">
        <w:rPr>
          <w:noProof/>
          <w:sz w:val="24"/>
          <w:szCs w:val="24"/>
        </w:rPr>
        <w:t>dni</w:t>
      </w:r>
      <w:r w:rsidRPr="00493A63">
        <w:rPr>
          <w:noProof/>
          <w:sz w:val="24"/>
          <w:szCs w:val="24"/>
        </w:rPr>
        <w:t>u 18 grudnia 2019</w:t>
      </w:r>
      <w:r w:rsidR="00493A63" w:rsidRPr="00493A63">
        <w:rPr>
          <w:noProof/>
          <w:sz w:val="24"/>
          <w:szCs w:val="24"/>
        </w:rPr>
        <w:t> </w:t>
      </w:r>
      <w:r w:rsidRPr="00493A63">
        <w:rPr>
          <w:noProof/>
          <w:sz w:val="24"/>
          <w:szCs w:val="24"/>
        </w:rPr>
        <w:t>r. i na podstawie tych odpowiedzi przeprowadziła wstępne dyskusje</w:t>
      </w:r>
      <w:r w:rsidR="00C61CB6" w:rsidRPr="00493A63">
        <w:rPr>
          <w:noProof/>
          <w:sz w:val="24"/>
          <w:szCs w:val="24"/>
        </w:rPr>
        <w:t xml:space="preserve"> w</w:t>
      </w:r>
      <w:r w:rsidR="00C61CB6">
        <w:rPr>
          <w:noProof/>
          <w:sz w:val="24"/>
          <w:szCs w:val="24"/>
        </w:rPr>
        <w:t> </w:t>
      </w:r>
      <w:r w:rsidR="00C61CB6" w:rsidRPr="00493A63">
        <w:rPr>
          <w:noProof/>
          <w:sz w:val="24"/>
          <w:szCs w:val="24"/>
        </w:rPr>
        <w:t>kom</w:t>
      </w:r>
      <w:r w:rsidRPr="00493A63">
        <w:rPr>
          <w:noProof/>
          <w:sz w:val="24"/>
          <w:szCs w:val="24"/>
        </w:rPr>
        <w:t xml:space="preserve">itecie. </w:t>
      </w:r>
    </w:p>
    <w:p w14:paraId="5DB0DB32" w14:textId="7462A9D9" w:rsidR="00FB7F6A" w:rsidRPr="00493A63" w:rsidRDefault="00FB7F6A" w:rsidP="00FB7F6A">
      <w:pPr>
        <w:rPr>
          <w:noProof/>
          <w:sz w:val="24"/>
          <w:szCs w:val="24"/>
        </w:rPr>
      </w:pPr>
      <w:r w:rsidRPr="00493A63">
        <w:rPr>
          <w:noProof/>
          <w:sz w:val="24"/>
          <w:szCs w:val="24"/>
        </w:rPr>
        <w:t>Co więcej, Komisja aktywnie uczestniczyła</w:t>
      </w:r>
      <w:r w:rsidR="00C61CB6" w:rsidRPr="00493A63">
        <w:rPr>
          <w:noProof/>
          <w:sz w:val="24"/>
          <w:szCs w:val="24"/>
        </w:rPr>
        <w:t xml:space="preserve"> w</w:t>
      </w:r>
      <w:r w:rsidR="00C61CB6">
        <w:rPr>
          <w:noProof/>
          <w:sz w:val="24"/>
          <w:szCs w:val="24"/>
        </w:rPr>
        <w:t> </w:t>
      </w:r>
      <w:r w:rsidR="00C61CB6" w:rsidRPr="00493A63">
        <w:rPr>
          <w:noProof/>
          <w:sz w:val="24"/>
          <w:szCs w:val="24"/>
        </w:rPr>
        <w:t>rea</w:t>
      </w:r>
      <w:r w:rsidRPr="00493A63">
        <w:rPr>
          <w:noProof/>
          <w:sz w:val="24"/>
          <w:szCs w:val="24"/>
        </w:rPr>
        <w:t>lizacji priorytetu dotyczącego broni palnej</w:t>
      </w:r>
      <w:r w:rsidR="00C61CB6" w:rsidRPr="00493A63">
        <w:rPr>
          <w:noProof/>
          <w:sz w:val="24"/>
          <w:szCs w:val="24"/>
        </w:rPr>
        <w:t xml:space="preserve"> w</w:t>
      </w:r>
      <w:r w:rsidR="00C61CB6">
        <w:rPr>
          <w:noProof/>
          <w:sz w:val="24"/>
          <w:szCs w:val="24"/>
        </w:rPr>
        <w:t> </w:t>
      </w:r>
      <w:r w:rsidR="00C61CB6" w:rsidRPr="00493A63">
        <w:rPr>
          <w:noProof/>
          <w:sz w:val="24"/>
          <w:szCs w:val="24"/>
        </w:rPr>
        <w:t>ram</w:t>
      </w:r>
      <w:r w:rsidRPr="00493A63">
        <w:rPr>
          <w:noProof/>
          <w:sz w:val="24"/>
          <w:szCs w:val="24"/>
        </w:rPr>
        <w:t>ach europejskiej multidyscyplinarnej platformy przeciwko zagrożeniom przestępstwami</w:t>
      </w:r>
      <w:r w:rsidRPr="00493A63">
        <w:rPr>
          <w:rStyle w:val="FootnoteReference"/>
          <w:noProof/>
          <w:sz w:val="24"/>
          <w:szCs w:val="24"/>
        </w:rPr>
        <w:footnoteReference w:id="7"/>
      </w:r>
      <w:r w:rsidRPr="00493A63">
        <w:rPr>
          <w:noProof/>
          <w:sz w:val="24"/>
          <w:szCs w:val="24"/>
        </w:rPr>
        <w:t xml:space="preserve"> (zwanej dalej „platformą ds. broni palnej”) oraz</w:t>
      </w:r>
      <w:r w:rsidR="00C61CB6" w:rsidRPr="00493A63">
        <w:rPr>
          <w:noProof/>
          <w:sz w:val="24"/>
          <w:szCs w:val="24"/>
        </w:rPr>
        <w:t xml:space="preserve"> w</w:t>
      </w:r>
      <w:r w:rsidR="00C61CB6">
        <w:rPr>
          <w:noProof/>
          <w:sz w:val="24"/>
          <w:szCs w:val="24"/>
        </w:rPr>
        <w:t> </w:t>
      </w:r>
      <w:r w:rsidR="00C61CB6" w:rsidRPr="00493A63">
        <w:rPr>
          <w:noProof/>
          <w:sz w:val="24"/>
          <w:szCs w:val="24"/>
        </w:rPr>
        <w:t>pra</w:t>
      </w:r>
      <w:r w:rsidRPr="00493A63">
        <w:rPr>
          <w:noProof/>
          <w:sz w:val="24"/>
          <w:szCs w:val="24"/>
        </w:rPr>
        <w:t>cach Grupy Roboczej Europejskich Ekspertów ds. Broni Palnej</w:t>
      </w:r>
      <w:r w:rsidRPr="00493A63">
        <w:rPr>
          <w:rStyle w:val="FootnoteReference"/>
          <w:noProof/>
          <w:sz w:val="24"/>
          <w:szCs w:val="24"/>
        </w:rPr>
        <w:footnoteReference w:id="8"/>
      </w:r>
      <w:r w:rsidRPr="00493A63">
        <w:rPr>
          <w:noProof/>
          <w:sz w:val="24"/>
          <w:szCs w:val="24"/>
        </w:rPr>
        <w:t xml:space="preserve"> – działaniach, które pomogły określić obecne</w:t>
      </w:r>
      <w:r w:rsidR="00C61CB6" w:rsidRPr="00493A63">
        <w:rPr>
          <w:noProof/>
          <w:sz w:val="24"/>
          <w:szCs w:val="24"/>
        </w:rPr>
        <w:t xml:space="preserve"> i</w:t>
      </w:r>
      <w:r w:rsidR="00C61CB6">
        <w:rPr>
          <w:noProof/>
          <w:sz w:val="24"/>
          <w:szCs w:val="24"/>
        </w:rPr>
        <w:t> </w:t>
      </w:r>
      <w:r w:rsidR="00C61CB6" w:rsidRPr="00493A63">
        <w:rPr>
          <w:noProof/>
          <w:sz w:val="24"/>
          <w:szCs w:val="24"/>
        </w:rPr>
        <w:t>pot</w:t>
      </w:r>
      <w:r w:rsidRPr="00493A63">
        <w:rPr>
          <w:noProof/>
          <w:sz w:val="24"/>
          <w:szCs w:val="24"/>
        </w:rPr>
        <w:t>encjalne zagrożenia związane</w:t>
      </w:r>
      <w:r w:rsidR="00C61CB6" w:rsidRPr="00493A63">
        <w:rPr>
          <w:noProof/>
          <w:sz w:val="24"/>
          <w:szCs w:val="24"/>
        </w:rPr>
        <w:t xml:space="preserve"> z</w:t>
      </w:r>
      <w:r w:rsidR="00C61CB6">
        <w:rPr>
          <w:noProof/>
          <w:sz w:val="24"/>
          <w:szCs w:val="24"/>
        </w:rPr>
        <w:t> </w:t>
      </w:r>
      <w:r w:rsidR="00C61CB6" w:rsidRPr="00493A63">
        <w:rPr>
          <w:noProof/>
          <w:sz w:val="24"/>
          <w:szCs w:val="24"/>
        </w:rPr>
        <w:t>bro</w:t>
      </w:r>
      <w:r w:rsidRPr="00493A63">
        <w:rPr>
          <w:noProof/>
          <w:sz w:val="24"/>
          <w:szCs w:val="24"/>
        </w:rPr>
        <w:t>nią palną oraz ich wpływ</w:t>
      </w:r>
      <w:r w:rsidR="00C61CB6" w:rsidRPr="00493A63">
        <w:rPr>
          <w:noProof/>
          <w:sz w:val="24"/>
          <w:szCs w:val="24"/>
        </w:rPr>
        <w:t xml:space="preserve"> w</w:t>
      </w:r>
      <w:r w:rsidR="00C61CB6">
        <w:rPr>
          <w:noProof/>
          <w:sz w:val="24"/>
          <w:szCs w:val="24"/>
        </w:rPr>
        <w:t> </w:t>
      </w:r>
      <w:r w:rsidR="00C61CB6" w:rsidRPr="00493A63">
        <w:rPr>
          <w:noProof/>
          <w:sz w:val="24"/>
          <w:szCs w:val="24"/>
        </w:rPr>
        <w:t>dzi</w:t>
      </w:r>
      <w:r w:rsidRPr="00493A63">
        <w:rPr>
          <w:noProof/>
          <w:sz w:val="24"/>
          <w:szCs w:val="24"/>
        </w:rPr>
        <w:t xml:space="preserve">ałalności przestępczej. </w:t>
      </w:r>
    </w:p>
    <w:p w14:paraId="634241F7" w14:textId="2C239E1B" w:rsidR="006B4827" w:rsidRPr="00493A63" w:rsidRDefault="00731B25" w:rsidP="00731B25">
      <w:pPr>
        <w:rPr>
          <w:noProof/>
          <w:sz w:val="24"/>
          <w:szCs w:val="24"/>
        </w:rPr>
      </w:pPr>
      <w:r w:rsidRPr="00493A63">
        <w:rPr>
          <w:noProof/>
          <w:sz w:val="24"/>
          <w:szCs w:val="24"/>
        </w:rPr>
        <w:t>W związku ze znacznymi opóźnieniami</w:t>
      </w:r>
      <w:r w:rsidR="00C61CB6" w:rsidRPr="00493A63">
        <w:rPr>
          <w:noProof/>
          <w:sz w:val="24"/>
          <w:szCs w:val="24"/>
        </w:rPr>
        <w:t xml:space="preserve"> w</w:t>
      </w:r>
      <w:r w:rsidR="00C61CB6">
        <w:rPr>
          <w:noProof/>
          <w:sz w:val="24"/>
          <w:szCs w:val="24"/>
        </w:rPr>
        <w:t> </w:t>
      </w:r>
      <w:r w:rsidR="00C61CB6" w:rsidRPr="00493A63">
        <w:rPr>
          <w:noProof/>
          <w:sz w:val="24"/>
          <w:szCs w:val="24"/>
        </w:rPr>
        <w:t>tra</w:t>
      </w:r>
      <w:r w:rsidRPr="00493A63">
        <w:rPr>
          <w:noProof/>
          <w:sz w:val="24"/>
          <w:szCs w:val="24"/>
        </w:rPr>
        <w:t>nsponowaniu dyrektywy na szczeblu krajowym</w:t>
      </w:r>
      <w:r w:rsidRPr="00493A63">
        <w:rPr>
          <w:rStyle w:val="FootnoteReference"/>
          <w:noProof/>
          <w:sz w:val="24"/>
          <w:szCs w:val="24"/>
        </w:rPr>
        <w:footnoteReference w:id="9"/>
      </w:r>
      <w:r w:rsidRPr="00493A63">
        <w:rPr>
          <w:noProof/>
          <w:sz w:val="24"/>
          <w:szCs w:val="24"/>
        </w:rPr>
        <w:t xml:space="preserve"> Komisja nie mogła jednak przeprowadzić pełnej oceny zgodności przepisów</w:t>
      </w:r>
      <w:r w:rsidR="00C61CB6" w:rsidRPr="00493A63">
        <w:rPr>
          <w:noProof/>
          <w:sz w:val="24"/>
          <w:szCs w:val="24"/>
        </w:rPr>
        <w:t xml:space="preserve"> i</w:t>
      </w:r>
      <w:r w:rsidR="00C61CB6">
        <w:rPr>
          <w:noProof/>
          <w:sz w:val="24"/>
          <w:szCs w:val="24"/>
        </w:rPr>
        <w:t> </w:t>
      </w:r>
      <w:r w:rsidR="00C61CB6" w:rsidRPr="00493A63">
        <w:rPr>
          <w:noProof/>
          <w:sz w:val="24"/>
          <w:szCs w:val="24"/>
        </w:rPr>
        <w:t>pra</w:t>
      </w:r>
      <w:r w:rsidRPr="00493A63">
        <w:rPr>
          <w:noProof/>
          <w:sz w:val="24"/>
          <w:szCs w:val="24"/>
        </w:rPr>
        <w:t>ktyk krajowych.</w:t>
      </w:r>
    </w:p>
    <w:p w14:paraId="170D126A" w14:textId="127ECE5D" w:rsidR="00657478" w:rsidRPr="00493A63" w:rsidRDefault="00657478" w:rsidP="00DB2226">
      <w:pPr>
        <w:rPr>
          <w:noProof/>
          <w:sz w:val="24"/>
          <w:szCs w:val="24"/>
        </w:rPr>
      </w:pPr>
      <w:r w:rsidRPr="00493A63">
        <w:rPr>
          <w:noProof/>
          <w:sz w:val="24"/>
          <w:szCs w:val="24"/>
        </w:rPr>
        <w:t>W lipcu 2020</w:t>
      </w:r>
      <w:r w:rsidR="00493A63" w:rsidRPr="00493A63">
        <w:rPr>
          <w:noProof/>
          <w:sz w:val="24"/>
          <w:szCs w:val="24"/>
        </w:rPr>
        <w:t> </w:t>
      </w:r>
      <w:r w:rsidRPr="00493A63">
        <w:rPr>
          <w:noProof/>
          <w:sz w:val="24"/>
          <w:szCs w:val="24"/>
        </w:rPr>
        <w:t>r. Biuro Narodów Zjednoczonych ds. Narkotyków</w:t>
      </w:r>
      <w:r w:rsidR="00C61CB6" w:rsidRPr="00493A63">
        <w:rPr>
          <w:noProof/>
          <w:sz w:val="24"/>
          <w:szCs w:val="24"/>
        </w:rPr>
        <w:t xml:space="preserve"> i</w:t>
      </w:r>
      <w:r w:rsidR="00C61CB6">
        <w:rPr>
          <w:noProof/>
          <w:sz w:val="24"/>
          <w:szCs w:val="24"/>
        </w:rPr>
        <w:t> </w:t>
      </w:r>
      <w:r w:rsidR="00C61CB6" w:rsidRPr="00493A63">
        <w:rPr>
          <w:noProof/>
          <w:sz w:val="24"/>
          <w:szCs w:val="24"/>
        </w:rPr>
        <w:t>Prz</w:t>
      </w:r>
      <w:r w:rsidRPr="00493A63">
        <w:rPr>
          <w:noProof/>
          <w:sz w:val="24"/>
          <w:szCs w:val="24"/>
        </w:rPr>
        <w:t>estępczości opublikowało dokument tematyczny zatytułowany „Illicit Trafficking in Firearms, their Parts, Components and Ammunition to, from and across the European Union” [„Nielegalny obrót bronią palną, jej częściami</w:t>
      </w:r>
      <w:r w:rsidR="00C61CB6" w:rsidRPr="00493A63">
        <w:rPr>
          <w:noProof/>
          <w:sz w:val="24"/>
          <w:szCs w:val="24"/>
        </w:rPr>
        <w:t xml:space="preserve"> i</w:t>
      </w:r>
      <w:r w:rsidR="00C61CB6">
        <w:rPr>
          <w:noProof/>
          <w:sz w:val="24"/>
          <w:szCs w:val="24"/>
        </w:rPr>
        <w:t> </w:t>
      </w:r>
      <w:r w:rsidR="00C61CB6" w:rsidRPr="00493A63">
        <w:rPr>
          <w:noProof/>
          <w:sz w:val="24"/>
          <w:szCs w:val="24"/>
        </w:rPr>
        <w:t>kom</w:t>
      </w:r>
      <w:r w:rsidRPr="00493A63">
        <w:rPr>
          <w:noProof/>
          <w:sz w:val="24"/>
          <w:szCs w:val="24"/>
        </w:rPr>
        <w:t>ponentami oraz amunicją do Unii,</w:t>
      </w:r>
      <w:r w:rsidR="00C61CB6" w:rsidRPr="00493A63">
        <w:rPr>
          <w:noProof/>
          <w:sz w:val="24"/>
          <w:szCs w:val="24"/>
        </w:rPr>
        <w:t xml:space="preserve"> z</w:t>
      </w:r>
      <w:r w:rsidR="00C61CB6">
        <w:rPr>
          <w:noProof/>
          <w:sz w:val="24"/>
          <w:szCs w:val="24"/>
        </w:rPr>
        <w:t> </w:t>
      </w:r>
      <w:r w:rsidR="00C61CB6" w:rsidRPr="00493A63">
        <w:rPr>
          <w:noProof/>
          <w:sz w:val="24"/>
          <w:szCs w:val="24"/>
        </w:rPr>
        <w:t>Uni</w:t>
      </w:r>
      <w:r w:rsidRPr="00493A63">
        <w:rPr>
          <w:noProof/>
          <w:sz w:val="24"/>
          <w:szCs w:val="24"/>
        </w:rPr>
        <w:t>i</w:t>
      </w:r>
      <w:r w:rsidR="00C61CB6" w:rsidRPr="00493A63">
        <w:rPr>
          <w:noProof/>
          <w:sz w:val="24"/>
          <w:szCs w:val="24"/>
        </w:rPr>
        <w:t xml:space="preserve"> i</w:t>
      </w:r>
      <w:r w:rsidR="00C61CB6">
        <w:rPr>
          <w:noProof/>
          <w:sz w:val="24"/>
          <w:szCs w:val="24"/>
        </w:rPr>
        <w:t> </w:t>
      </w:r>
      <w:r w:rsidR="00C61CB6" w:rsidRPr="00493A63">
        <w:rPr>
          <w:noProof/>
          <w:sz w:val="24"/>
          <w:szCs w:val="24"/>
        </w:rPr>
        <w:t>wew</w:t>
      </w:r>
      <w:r w:rsidRPr="00493A63">
        <w:rPr>
          <w:noProof/>
          <w:sz w:val="24"/>
          <w:szCs w:val="24"/>
        </w:rPr>
        <w:t>nątrz Unii Europejskiej”],</w:t>
      </w:r>
      <w:r w:rsidR="00C61CB6" w:rsidRPr="00493A63">
        <w:rPr>
          <w:noProof/>
          <w:sz w:val="24"/>
          <w:szCs w:val="24"/>
        </w:rPr>
        <w:t xml:space="preserve"> w</w:t>
      </w:r>
      <w:r w:rsidR="00C61CB6">
        <w:rPr>
          <w:noProof/>
          <w:sz w:val="24"/>
          <w:szCs w:val="24"/>
        </w:rPr>
        <w:t> </w:t>
      </w:r>
      <w:r w:rsidR="00C61CB6" w:rsidRPr="00493A63">
        <w:rPr>
          <w:noProof/>
          <w:sz w:val="24"/>
          <w:szCs w:val="24"/>
        </w:rPr>
        <w:t>któ</w:t>
      </w:r>
      <w:r w:rsidRPr="00493A63">
        <w:rPr>
          <w:noProof/>
          <w:sz w:val="24"/>
          <w:szCs w:val="24"/>
        </w:rPr>
        <w:t>rym przedstawiono ważne rozważania</w:t>
      </w:r>
      <w:r w:rsidR="00C61CB6" w:rsidRPr="00493A63">
        <w:rPr>
          <w:noProof/>
          <w:sz w:val="24"/>
          <w:szCs w:val="24"/>
        </w:rPr>
        <w:t xml:space="preserve"> i</w:t>
      </w:r>
      <w:r w:rsidR="00C61CB6">
        <w:rPr>
          <w:noProof/>
          <w:sz w:val="24"/>
          <w:szCs w:val="24"/>
        </w:rPr>
        <w:t> </w:t>
      </w:r>
      <w:r w:rsidR="00C61CB6" w:rsidRPr="00493A63">
        <w:rPr>
          <w:noProof/>
          <w:sz w:val="24"/>
          <w:szCs w:val="24"/>
        </w:rPr>
        <w:t>zal</w:t>
      </w:r>
      <w:r w:rsidRPr="00493A63">
        <w:rPr>
          <w:noProof/>
          <w:sz w:val="24"/>
          <w:szCs w:val="24"/>
        </w:rPr>
        <w:t>ecenia polityczne dotyczące obecnych zagrożeń</w:t>
      </w:r>
      <w:r w:rsidR="00C61CB6" w:rsidRPr="00493A63">
        <w:rPr>
          <w:noProof/>
          <w:sz w:val="24"/>
          <w:szCs w:val="24"/>
        </w:rPr>
        <w:t xml:space="preserve"> i</w:t>
      </w:r>
      <w:r w:rsidR="00C61CB6">
        <w:rPr>
          <w:noProof/>
          <w:sz w:val="24"/>
          <w:szCs w:val="24"/>
        </w:rPr>
        <w:t> </w:t>
      </w:r>
      <w:r w:rsidR="00C61CB6" w:rsidRPr="00493A63">
        <w:rPr>
          <w:noProof/>
          <w:sz w:val="24"/>
          <w:szCs w:val="24"/>
        </w:rPr>
        <w:t>luk</w:t>
      </w:r>
      <w:r w:rsidRPr="00493A63">
        <w:rPr>
          <w:noProof/>
          <w:sz w:val="24"/>
          <w:szCs w:val="24"/>
        </w:rPr>
        <w:t xml:space="preserve"> prawnych</w:t>
      </w:r>
      <w:r w:rsidR="00C61CB6" w:rsidRPr="00493A63">
        <w:rPr>
          <w:noProof/>
          <w:sz w:val="24"/>
          <w:szCs w:val="24"/>
        </w:rPr>
        <w:t xml:space="preserve"> w</w:t>
      </w:r>
      <w:r w:rsidR="00C61CB6">
        <w:rPr>
          <w:noProof/>
          <w:sz w:val="24"/>
          <w:szCs w:val="24"/>
        </w:rPr>
        <w:t> </w:t>
      </w:r>
      <w:r w:rsidR="00C61CB6" w:rsidRPr="00493A63">
        <w:rPr>
          <w:noProof/>
          <w:sz w:val="24"/>
          <w:szCs w:val="24"/>
        </w:rPr>
        <w:t>zak</w:t>
      </w:r>
      <w:r w:rsidRPr="00493A63">
        <w:rPr>
          <w:noProof/>
          <w:sz w:val="24"/>
          <w:szCs w:val="24"/>
        </w:rPr>
        <w:t>resie kontroli broni palnej na szczeblu globalnym</w:t>
      </w:r>
      <w:r w:rsidRPr="00493A63">
        <w:rPr>
          <w:rStyle w:val="FootnoteReference"/>
          <w:noProof/>
        </w:rPr>
        <w:footnoteReference w:id="10"/>
      </w:r>
      <w:r w:rsidRPr="00493A63">
        <w:rPr>
          <w:noProof/>
        </w:rPr>
        <w:t>.</w:t>
      </w:r>
    </w:p>
    <w:p w14:paraId="60EC5075" w14:textId="15FD91FE" w:rsidR="00FA3E53" w:rsidRPr="00493A63" w:rsidRDefault="00AC5BBD" w:rsidP="00DA05C2">
      <w:pPr>
        <w:pStyle w:val="Heading1"/>
        <w:rPr>
          <w:noProof/>
        </w:rPr>
      </w:pPr>
      <w:bookmarkStart w:id="3" w:name="_Toc66179159"/>
      <w:r w:rsidRPr="00493A63">
        <w:rPr>
          <w:noProof/>
        </w:rPr>
        <w:t xml:space="preserve">Wdrożenie </w:t>
      </w:r>
      <w:bookmarkEnd w:id="3"/>
      <w:r w:rsidRPr="00493A63">
        <w:rPr>
          <w:noProof/>
        </w:rPr>
        <w:t>dyrektywy</w:t>
      </w:r>
      <w:r w:rsidR="00C61CB6" w:rsidRPr="00493A63">
        <w:rPr>
          <w:noProof/>
        </w:rPr>
        <w:t xml:space="preserve"> w</w:t>
      </w:r>
      <w:r w:rsidR="00C61CB6">
        <w:rPr>
          <w:noProof/>
        </w:rPr>
        <w:t> </w:t>
      </w:r>
      <w:r w:rsidR="00C61CB6" w:rsidRPr="00493A63">
        <w:rPr>
          <w:noProof/>
        </w:rPr>
        <w:t>spr</w:t>
      </w:r>
      <w:r w:rsidRPr="00493A63">
        <w:rPr>
          <w:noProof/>
        </w:rPr>
        <w:t>awie broni palnej</w:t>
      </w:r>
    </w:p>
    <w:p w14:paraId="3678DC2E" w14:textId="00115D45" w:rsidR="00897B8C" w:rsidRPr="00493A63" w:rsidRDefault="00FA3E53" w:rsidP="008978B0">
      <w:pPr>
        <w:keepNext/>
        <w:rPr>
          <w:rStyle w:val="italic"/>
          <w:noProof/>
          <w:sz w:val="24"/>
          <w:szCs w:val="24"/>
        </w:rPr>
      </w:pPr>
      <w:r w:rsidRPr="00493A63">
        <w:rPr>
          <w:noProof/>
          <w:sz w:val="24"/>
          <w:szCs w:val="24"/>
        </w:rPr>
        <w:t>Dyrektywa</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 reguluje nabywanie, posiadanie</w:t>
      </w:r>
      <w:r w:rsidR="00C61CB6" w:rsidRPr="00493A63">
        <w:rPr>
          <w:noProof/>
          <w:sz w:val="24"/>
          <w:szCs w:val="24"/>
        </w:rPr>
        <w:t xml:space="preserve"> i</w:t>
      </w:r>
      <w:r w:rsidR="00C61CB6">
        <w:rPr>
          <w:noProof/>
          <w:sz w:val="24"/>
          <w:szCs w:val="24"/>
        </w:rPr>
        <w:t> </w:t>
      </w:r>
      <w:r w:rsidR="00C61CB6" w:rsidRPr="00493A63">
        <w:rPr>
          <w:noProof/>
          <w:sz w:val="24"/>
          <w:szCs w:val="24"/>
        </w:rPr>
        <w:t>wym</w:t>
      </w:r>
      <w:r w:rsidRPr="00493A63">
        <w:rPr>
          <w:noProof/>
          <w:sz w:val="24"/>
          <w:szCs w:val="24"/>
        </w:rPr>
        <w:t>ianę handlową w UE broni palnej do użytku cywilnego (np. broni palnej stosowanej do strzelectwa sportowego</w:t>
      </w:r>
      <w:r w:rsidR="00C61CB6" w:rsidRPr="00493A63">
        <w:rPr>
          <w:noProof/>
          <w:sz w:val="24"/>
          <w:szCs w:val="24"/>
        </w:rPr>
        <w:t xml:space="preserve"> i</w:t>
      </w:r>
      <w:r w:rsidR="00C61CB6">
        <w:rPr>
          <w:noProof/>
          <w:sz w:val="24"/>
          <w:szCs w:val="24"/>
        </w:rPr>
        <w:t> </w:t>
      </w:r>
      <w:r w:rsidR="00C61CB6" w:rsidRPr="00493A63">
        <w:rPr>
          <w:noProof/>
          <w:sz w:val="24"/>
          <w:szCs w:val="24"/>
        </w:rPr>
        <w:t>pol</w:t>
      </w:r>
      <w:r w:rsidRPr="00493A63">
        <w:rPr>
          <w:noProof/>
          <w:sz w:val="24"/>
          <w:szCs w:val="24"/>
        </w:rPr>
        <w:t>owań). Określono</w:t>
      </w:r>
      <w:r w:rsidR="00C61CB6" w:rsidRPr="00493A63">
        <w:rPr>
          <w:noProof/>
          <w:sz w:val="24"/>
          <w:szCs w:val="24"/>
        </w:rPr>
        <w:t xml:space="preserve"> w</w:t>
      </w:r>
      <w:r w:rsidR="00C61CB6">
        <w:rPr>
          <w:noProof/>
          <w:sz w:val="24"/>
          <w:szCs w:val="24"/>
        </w:rPr>
        <w:t> </w:t>
      </w:r>
      <w:r w:rsidR="00C61CB6" w:rsidRPr="00493A63">
        <w:rPr>
          <w:noProof/>
          <w:sz w:val="24"/>
          <w:szCs w:val="24"/>
        </w:rPr>
        <w:t>nie</w:t>
      </w:r>
      <w:r w:rsidRPr="00493A63">
        <w:rPr>
          <w:noProof/>
          <w:sz w:val="24"/>
          <w:szCs w:val="24"/>
        </w:rPr>
        <w:t>j wspólne normy minimalne, które wszystkie państwa członkowskie muszą transponować do swoich krajowych przepisów dotyczących broni, i ma ona zapewnić zrównoważenie celów rynku wewnętrznego (tj. transgraniczny przepływ broni palnej)</w:t>
      </w:r>
      <w:r w:rsidR="00C61CB6" w:rsidRPr="00493A63">
        <w:rPr>
          <w:noProof/>
          <w:sz w:val="24"/>
          <w:szCs w:val="24"/>
        </w:rPr>
        <w:t xml:space="preserve"> i</w:t>
      </w:r>
      <w:r w:rsidR="00C61CB6">
        <w:rPr>
          <w:noProof/>
          <w:sz w:val="24"/>
          <w:szCs w:val="24"/>
        </w:rPr>
        <w:t> </w:t>
      </w:r>
      <w:r w:rsidR="00C61CB6" w:rsidRPr="00493A63">
        <w:rPr>
          <w:noProof/>
          <w:sz w:val="24"/>
          <w:szCs w:val="24"/>
        </w:rPr>
        <w:t>cel</w:t>
      </w:r>
      <w:r w:rsidRPr="00493A63">
        <w:rPr>
          <w:noProof/>
          <w:sz w:val="24"/>
          <w:szCs w:val="24"/>
        </w:rPr>
        <w:t>ów polityki bezpieczeństwa (tj. wysoki poziom bezpieczeństwa</w:t>
      </w:r>
      <w:r w:rsidR="00C61CB6" w:rsidRPr="00493A63">
        <w:rPr>
          <w:noProof/>
          <w:sz w:val="24"/>
          <w:szCs w:val="24"/>
        </w:rPr>
        <w:t xml:space="preserve"> i</w:t>
      </w:r>
      <w:r w:rsidR="00C61CB6">
        <w:rPr>
          <w:noProof/>
          <w:sz w:val="24"/>
          <w:szCs w:val="24"/>
        </w:rPr>
        <w:t> </w:t>
      </w:r>
      <w:r w:rsidR="00C61CB6" w:rsidRPr="00493A63">
        <w:rPr>
          <w:noProof/>
          <w:sz w:val="24"/>
          <w:szCs w:val="24"/>
        </w:rPr>
        <w:t>och</w:t>
      </w:r>
      <w:r w:rsidRPr="00493A63">
        <w:rPr>
          <w:noProof/>
          <w:sz w:val="24"/>
          <w:szCs w:val="24"/>
        </w:rPr>
        <w:t>rony przed przestępstwami</w:t>
      </w:r>
      <w:r w:rsidR="00C61CB6" w:rsidRPr="00493A63">
        <w:rPr>
          <w:noProof/>
          <w:sz w:val="24"/>
          <w:szCs w:val="24"/>
        </w:rPr>
        <w:t xml:space="preserve"> i</w:t>
      </w:r>
      <w:r w:rsidR="00C61CB6">
        <w:rPr>
          <w:noProof/>
          <w:sz w:val="24"/>
          <w:szCs w:val="24"/>
        </w:rPr>
        <w:t> </w:t>
      </w:r>
      <w:r w:rsidR="00C61CB6" w:rsidRPr="00493A63">
        <w:rPr>
          <w:noProof/>
          <w:sz w:val="24"/>
          <w:szCs w:val="24"/>
        </w:rPr>
        <w:t>nie</w:t>
      </w:r>
      <w:r w:rsidRPr="00493A63">
        <w:rPr>
          <w:noProof/>
          <w:sz w:val="24"/>
          <w:szCs w:val="24"/>
        </w:rPr>
        <w:t>legalnym handlem) w UE. Dyrektywa ta stanowi rozwój dorobku Schengen, ponieważ jest częścią wspólnego zestawu przepisów unijnych umożliwiających swobodny przepływ osób.</w:t>
      </w:r>
      <w:r w:rsidRPr="00493A63">
        <w:rPr>
          <w:rStyle w:val="italic"/>
          <w:noProof/>
          <w:sz w:val="24"/>
          <w:szCs w:val="24"/>
        </w:rPr>
        <w:t xml:space="preserve"> </w:t>
      </w:r>
    </w:p>
    <w:p w14:paraId="31698768" w14:textId="08A9B068" w:rsidR="00A35DAB" w:rsidRPr="00493A63" w:rsidRDefault="00154FB1" w:rsidP="008978B0">
      <w:pPr>
        <w:keepNext/>
        <w:rPr>
          <w:noProof/>
          <w:sz w:val="24"/>
          <w:szCs w:val="24"/>
        </w:rPr>
      </w:pPr>
      <w:r w:rsidRPr="00493A63">
        <w:rPr>
          <w:noProof/>
          <w:sz w:val="24"/>
          <w:szCs w:val="24"/>
        </w:rPr>
        <w:t>Dyrektywę zmieniono po wejściu</w:t>
      </w:r>
      <w:r w:rsidR="00C61CB6" w:rsidRPr="00493A63">
        <w:rPr>
          <w:noProof/>
          <w:sz w:val="24"/>
          <w:szCs w:val="24"/>
        </w:rPr>
        <w:t xml:space="preserve"> w</w:t>
      </w:r>
      <w:r w:rsidR="00C61CB6">
        <w:rPr>
          <w:noProof/>
          <w:sz w:val="24"/>
          <w:szCs w:val="24"/>
        </w:rPr>
        <w:t> </w:t>
      </w:r>
      <w:r w:rsidR="00C61CB6" w:rsidRPr="00493A63">
        <w:rPr>
          <w:noProof/>
          <w:sz w:val="24"/>
          <w:szCs w:val="24"/>
        </w:rPr>
        <w:t>życ</w:t>
      </w:r>
      <w:r w:rsidRPr="00493A63">
        <w:rPr>
          <w:noProof/>
          <w:sz w:val="24"/>
          <w:szCs w:val="24"/>
        </w:rPr>
        <w:t>ie protokołu ONZ przeciwko nielegalnemu wytwarzaniu broni palnej (protokołu</w:t>
      </w:r>
      <w:r w:rsidR="00C61CB6" w:rsidRPr="00493A63">
        <w:rPr>
          <w:noProof/>
          <w:sz w:val="24"/>
          <w:szCs w:val="24"/>
        </w:rPr>
        <w:t xml:space="preserve"> o</w:t>
      </w:r>
      <w:r w:rsidR="00C61CB6">
        <w:rPr>
          <w:noProof/>
          <w:sz w:val="24"/>
          <w:szCs w:val="24"/>
        </w:rPr>
        <w:t> </w:t>
      </w:r>
      <w:r w:rsidR="00C61CB6" w:rsidRPr="00493A63">
        <w:rPr>
          <w:noProof/>
          <w:sz w:val="24"/>
          <w:szCs w:val="24"/>
        </w:rPr>
        <w:t>han</w:t>
      </w:r>
      <w:r w:rsidRPr="00493A63">
        <w:rPr>
          <w:noProof/>
          <w:sz w:val="24"/>
          <w:szCs w:val="24"/>
        </w:rPr>
        <w:t>dlu bronią)</w:t>
      </w:r>
      <w:r w:rsidR="00C61CB6" w:rsidRPr="00493A63">
        <w:rPr>
          <w:noProof/>
          <w:sz w:val="24"/>
          <w:szCs w:val="24"/>
        </w:rPr>
        <w:t xml:space="preserve"> w</w:t>
      </w:r>
      <w:r w:rsidR="00C61CB6">
        <w:rPr>
          <w:noProof/>
          <w:sz w:val="24"/>
          <w:szCs w:val="24"/>
        </w:rPr>
        <w:t> </w:t>
      </w:r>
      <w:r w:rsidR="00C61CB6" w:rsidRPr="00493A63">
        <w:rPr>
          <w:noProof/>
          <w:sz w:val="24"/>
          <w:szCs w:val="24"/>
        </w:rPr>
        <w:t>2</w:t>
      </w:r>
      <w:r w:rsidRPr="00493A63">
        <w:rPr>
          <w:noProof/>
          <w:sz w:val="24"/>
          <w:szCs w:val="24"/>
        </w:rPr>
        <w:t>005</w:t>
      </w:r>
      <w:r w:rsidR="00493A63" w:rsidRPr="00493A63">
        <w:rPr>
          <w:noProof/>
          <w:sz w:val="24"/>
          <w:szCs w:val="24"/>
        </w:rPr>
        <w:t> </w:t>
      </w:r>
      <w:r w:rsidRPr="00493A63">
        <w:rPr>
          <w:noProof/>
          <w:sz w:val="24"/>
          <w:szCs w:val="24"/>
        </w:rPr>
        <w:t>r.</w:t>
      </w:r>
      <w:r w:rsidRPr="00493A63">
        <w:rPr>
          <w:rStyle w:val="FootnoteReference"/>
          <w:noProof/>
          <w:sz w:val="24"/>
          <w:szCs w:val="24"/>
        </w:rPr>
        <w:footnoteReference w:id="11"/>
      </w:r>
      <w:r w:rsidRPr="00493A63">
        <w:rPr>
          <w:noProof/>
          <w:sz w:val="24"/>
          <w:szCs w:val="24"/>
        </w:rPr>
        <w:t>,</w:t>
      </w:r>
      <w:r w:rsidR="00C61CB6" w:rsidRPr="00493A63">
        <w:rPr>
          <w:noProof/>
          <w:sz w:val="24"/>
          <w:szCs w:val="24"/>
        </w:rPr>
        <w:t xml:space="preserve"> a</w:t>
      </w:r>
      <w:r w:rsidR="00C61CB6">
        <w:rPr>
          <w:noProof/>
          <w:sz w:val="24"/>
          <w:szCs w:val="24"/>
        </w:rPr>
        <w:t> </w:t>
      </w:r>
      <w:r w:rsidR="00C61CB6" w:rsidRPr="00493A63">
        <w:rPr>
          <w:noProof/>
          <w:sz w:val="24"/>
          <w:szCs w:val="24"/>
        </w:rPr>
        <w:t>nas</w:t>
      </w:r>
      <w:r w:rsidRPr="00493A63">
        <w:rPr>
          <w:noProof/>
          <w:sz w:val="24"/>
          <w:szCs w:val="24"/>
        </w:rPr>
        <w:t>tępnie</w:t>
      </w:r>
      <w:r w:rsidR="00C61CB6" w:rsidRPr="00493A63">
        <w:rPr>
          <w:noProof/>
          <w:sz w:val="24"/>
          <w:szCs w:val="24"/>
        </w:rPr>
        <w:t xml:space="preserve"> w</w:t>
      </w:r>
      <w:r w:rsidR="00C61CB6">
        <w:rPr>
          <w:noProof/>
          <w:sz w:val="24"/>
          <w:szCs w:val="24"/>
        </w:rPr>
        <w:t> </w:t>
      </w:r>
      <w:r w:rsidR="00C61CB6" w:rsidRPr="00493A63">
        <w:rPr>
          <w:noProof/>
          <w:sz w:val="24"/>
          <w:szCs w:val="24"/>
        </w:rPr>
        <w:t>2</w:t>
      </w:r>
      <w:r w:rsidRPr="00493A63">
        <w:rPr>
          <w:noProof/>
          <w:sz w:val="24"/>
          <w:szCs w:val="24"/>
        </w:rPr>
        <w:t>017</w:t>
      </w:r>
      <w:r w:rsidR="00493A63" w:rsidRPr="00493A63">
        <w:rPr>
          <w:noProof/>
          <w:sz w:val="24"/>
          <w:szCs w:val="24"/>
        </w:rPr>
        <w:t> </w:t>
      </w:r>
      <w:r w:rsidRPr="00493A63">
        <w:rPr>
          <w:noProof/>
          <w:sz w:val="24"/>
          <w:szCs w:val="24"/>
        </w:rPr>
        <w:t>r.</w:t>
      </w:r>
      <w:r w:rsidR="00C61CB6" w:rsidRPr="00493A63">
        <w:rPr>
          <w:noProof/>
          <w:sz w:val="24"/>
          <w:szCs w:val="24"/>
        </w:rPr>
        <w:t xml:space="preserve"> w</w:t>
      </w:r>
      <w:r w:rsidR="00C61CB6">
        <w:rPr>
          <w:noProof/>
          <w:sz w:val="24"/>
          <w:szCs w:val="24"/>
        </w:rPr>
        <w:t> </w:t>
      </w:r>
      <w:r w:rsidR="00C61CB6" w:rsidRPr="00493A63">
        <w:rPr>
          <w:noProof/>
          <w:sz w:val="24"/>
          <w:szCs w:val="24"/>
        </w:rPr>
        <w:t>nas</w:t>
      </w:r>
      <w:r w:rsidRPr="00493A63">
        <w:rPr>
          <w:noProof/>
          <w:sz w:val="24"/>
          <w:szCs w:val="24"/>
        </w:rPr>
        <w:t>tępstwie ataków terrorystycznych</w:t>
      </w:r>
      <w:r w:rsidR="00C61CB6" w:rsidRPr="00493A63">
        <w:rPr>
          <w:noProof/>
          <w:sz w:val="24"/>
          <w:szCs w:val="24"/>
        </w:rPr>
        <w:t xml:space="preserve"> z</w:t>
      </w:r>
      <w:r w:rsidR="00C61CB6">
        <w:rPr>
          <w:noProof/>
          <w:sz w:val="24"/>
          <w:szCs w:val="24"/>
        </w:rPr>
        <w:t> </w:t>
      </w:r>
      <w:r w:rsidR="00C61CB6" w:rsidRPr="00493A63">
        <w:rPr>
          <w:noProof/>
          <w:sz w:val="24"/>
          <w:szCs w:val="24"/>
        </w:rPr>
        <w:t>2</w:t>
      </w:r>
      <w:r w:rsidRPr="00493A63">
        <w:rPr>
          <w:noProof/>
          <w:sz w:val="24"/>
          <w:szCs w:val="24"/>
        </w:rPr>
        <w:t>015</w:t>
      </w:r>
      <w:r w:rsidR="00493A63" w:rsidRPr="00493A63">
        <w:rPr>
          <w:noProof/>
          <w:sz w:val="24"/>
          <w:szCs w:val="24"/>
        </w:rPr>
        <w:t> </w:t>
      </w:r>
      <w:r w:rsidRPr="00493A63">
        <w:rPr>
          <w:noProof/>
          <w:sz w:val="24"/>
          <w:szCs w:val="24"/>
        </w:rPr>
        <w:t>r.</w:t>
      </w:r>
    </w:p>
    <w:p w14:paraId="5FB267E5" w14:textId="77777777" w:rsidR="00A35DAB" w:rsidRPr="00493A63" w:rsidRDefault="00A35DAB" w:rsidP="008978B0">
      <w:pPr>
        <w:keepNext/>
        <w:rPr>
          <w:noProof/>
          <w:sz w:val="24"/>
          <w:szCs w:val="24"/>
        </w:rPr>
        <w:sectPr w:rsidR="00A35DAB" w:rsidRPr="00493A63" w:rsidSect="00AC317D">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pPr>
    </w:p>
    <w:p w14:paraId="45576169" w14:textId="77777777" w:rsidR="00963C52" w:rsidRPr="00493A63" w:rsidRDefault="00963C52" w:rsidP="001860DF">
      <w:pPr>
        <w:rPr>
          <w:noProof/>
        </w:rPr>
      </w:pPr>
      <w:r w:rsidRPr="00493A63">
        <w:rPr>
          <w:noProof/>
          <w:sz w:val="24"/>
          <w:szCs w:val="24"/>
          <w:lang w:val="en-GB"/>
        </w:rPr>
        <mc:AlternateContent>
          <mc:Choice Requires="wpg">
            <w:drawing>
              <wp:inline distT="0" distB="0" distL="0" distR="0" wp14:anchorId="3873D7CD" wp14:editId="6AA51E14">
                <wp:extent cx="8916821" cy="4947938"/>
                <wp:effectExtent l="0" t="0" r="10160" b="13970"/>
                <wp:docPr id="1" name="130 Grupo"/>
                <wp:cNvGraphicFramePr/>
                <a:graphic xmlns:a="http://schemas.openxmlformats.org/drawingml/2006/main">
                  <a:graphicData uri="http://schemas.microsoft.com/office/word/2010/wordprocessingGroup">
                    <wpg:wgp>
                      <wpg:cNvGrpSpPr/>
                      <wpg:grpSpPr>
                        <a:xfrm>
                          <a:off x="0" y="0"/>
                          <a:ext cx="8916821" cy="4947938"/>
                          <a:chOff x="0" y="0"/>
                          <a:chExt cx="11940125" cy="7000466"/>
                        </a:xfrm>
                      </wpg:grpSpPr>
                      <wps:wsp>
                        <wps:cNvPr id="3" name="4 CuadroTexto"/>
                        <wps:cNvSpPr txBox="1"/>
                        <wps:spPr>
                          <a:xfrm>
                            <a:off x="270307" y="36063"/>
                            <a:ext cx="1884684" cy="763596"/>
                          </a:xfrm>
                          <a:prstGeom prst="rect">
                            <a:avLst/>
                          </a:prstGeom>
                          <a:noFill/>
                        </wps:spPr>
                        <wps:txbx>
                          <w:txbxContent>
                            <w:p w14:paraId="39BB964B" w14:textId="77777777" w:rsidR="00C61CB6" w:rsidRDefault="00C61CB6" w:rsidP="00963C52">
                              <w:pPr>
                                <w:pStyle w:val="NormalWeb"/>
                                <w:spacing w:before="0" w:beforeAutospacing="0" w:after="0" w:afterAutospacing="0"/>
                              </w:pPr>
                              <w:r>
                                <w:rPr>
                                  <w:rFonts w:ascii="DejaVu Serif" w:hAnsi="DejaVu Serif"/>
                                  <w:b/>
                                  <w:bCs/>
                                  <w:color w:val="1F4E79" w:themeColor="accent1" w:themeShade="80"/>
                                </w:rPr>
                                <w:t>CEL STRATEGICZNY</w:t>
                              </w:r>
                            </w:p>
                          </w:txbxContent>
                        </wps:txbx>
                        <wps:bodyPr wrap="square" rtlCol="0">
                          <a:noAutofit/>
                        </wps:bodyPr>
                      </wps:wsp>
                      <wps:wsp>
                        <wps:cNvPr id="4" name="5 CuadroTexto"/>
                        <wps:cNvSpPr txBox="1"/>
                        <wps:spPr>
                          <a:xfrm>
                            <a:off x="270307" y="1045312"/>
                            <a:ext cx="1909279" cy="863205"/>
                          </a:xfrm>
                          <a:prstGeom prst="rect">
                            <a:avLst/>
                          </a:prstGeom>
                          <a:noFill/>
                        </wps:spPr>
                        <wps:txbx>
                          <w:txbxContent>
                            <w:p w14:paraId="41B18521" w14:textId="77777777" w:rsidR="00C61CB6" w:rsidRDefault="00C61CB6" w:rsidP="00963C52">
                              <w:pPr>
                                <w:pStyle w:val="NormalWeb"/>
                                <w:spacing w:before="0" w:beforeAutospacing="0" w:after="0" w:afterAutospacing="0"/>
                              </w:pPr>
                              <w:r>
                                <w:rPr>
                                  <w:rFonts w:ascii="DejaVu Serif" w:hAnsi="DejaVu Serif"/>
                                  <w:b/>
                                  <w:bCs/>
                                  <w:color w:val="2E74B5" w:themeColor="accent1" w:themeShade="BF"/>
                                </w:rPr>
                                <w:t>CELE SZCZEGÓŁOWE</w:t>
                              </w:r>
                            </w:p>
                          </w:txbxContent>
                        </wps:txbx>
                        <wps:bodyPr wrap="square" rtlCol="0">
                          <a:noAutofit/>
                        </wps:bodyPr>
                      </wps:wsp>
                      <wps:wsp>
                        <wps:cNvPr id="5" name="6 CuadroTexto"/>
                        <wps:cNvSpPr txBox="1"/>
                        <wps:spPr>
                          <a:xfrm>
                            <a:off x="345149" y="2441657"/>
                            <a:ext cx="2066291" cy="863596"/>
                          </a:xfrm>
                          <a:prstGeom prst="rect">
                            <a:avLst/>
                          </a:prstGeom>
                          <a:noFill/>
                        </wps:spPr>
                        <wps:txbx>
                          <w:txbxContent>
                            <w:p w14:paraId="7568AAE3" w14:textId="77777777" w:rsidR="00C61CB6" w:rsidRDefault="00C61CB6" w:rsidP="00963C52">
                              <w:pPr>
                                <w:pStyle w:val="NormalWeb"/>
                                <w:spacing w:before="0" w:beforeAutospacing="0" w:after="0" w:afterAutospacing="0"/>
                              </w:pPr>
                              <w:r>
                                <w:rPr>
                                  <w:rFonts w:ascii="DejaVu Serif" w:hAnsi="DejaVu Serif"/>
                                  <w:b/>
                                  <w:bCs/>
                                  <w:color w:val="00B0F0"/>
                                </w:rPr>
                                <w:t>CELE OPERACYJNE</w:t>
                              </w:r>
                            </w:p>
                          </w:txbxContent>
                        </wps:txbx>
                        <wps:bodyPr wrap="square" rtlCol="0">
                          <a:noAutofit/>
                        </wps:bodyPr>
                      </wps:wsp>
                      <wps:wsp>
                        <wps:cNvPr id="6" name="7 CuadroTexto"/>
                        <wps:cNvSpPr txBox="1"/>
                        <wps:spPr>
                          <a:xfrm>
                            <a:off x="484244" y="3260109"/>
                            <a:ext cx="1774189" cy="810720"/>
                          </a:xfrm>
                          <a:prstGeom prst="rect">
                            <a:avLst/>
                          </a:prstGeom>
                          <a:noFill/>
                        </wps:spPr>
                        <wps:txbx>
                          <w:txbxContent>
                            <w:p w14:paraId="41CA1120" w14:textId="77777777" w:rsidR="00C61CB6" w:rsidRDefault="00C61CB6" w:rsidP="00963C52">
                              <w:pPr>
                                <w:pStyle w:val="NormalWeb"/>
                                <w:spacing w:before="0" w:beforeAutospacing="0" w:after="0" w:afterAutospacing="0"/>
                              </w:pPr>
                              <w:r>
                                <w:rPr>
                                  <w:rFonts w:ascii="DejaVu Serif" w:hAnsi="DejaVu Serif"/>
                                  <w:b/>
                                  <w:bCs/>
                                  <w:i/>
                                  <w:iCs/>
                                  <w:color w:val="000000" w:themeColor="text1"/>
                                  <w:sz w:val="32"/>
                                  <w:szCs w:val="32"/>
                                </w:rPr>
                                <w:t>Przepisy dyrektywy</w:t>
                              </w:r>
                            </w:p>
                          </w:txbxContent>
                        </wps:txbx>
                        <wps:bodyPr wrap="square" rtlCol="0">
                          <a:noAutofit/>
                        </wps:bodyPr>
                      </wps:wsp>
                      <wps:wsp>
                        <wps:cNvPr id="7" name="8 Rectángulo redondeado"/>
                        <wps:cNvSpPr/>
                        <wps:spPr>
                          <a:xfrm>
                            <a:off x="2411491" y="0"/>
                            <a:ext cx="9528634" cy="427617"/>
                          </a:xfrm>
                          <a:prstGeom prst="round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C9D5F3" w14:textId="77777777" w:rsidR="00C61CB6" w:rsidRDefault="00C61CB6" w:rsidP="00963C52">
                              <w:pPr>
                                <w:pStyle w:val="NormalWeb"/>
                                <w:spacing w:before="0" w:beforeAutospacing="0" w:after="0" w:afterAutospacing="0"/>
                                <w:jc w:val="center"/>
                              </w:pPr>
                              <w:r>
                                <w:rPr>
                                  <w:rFonts w:ascii="DejaVu Serif" w:hAnsi="DejaVu Serif"/>
                                  <w:color w:val="FFFFFF" w:themeColor="light1"/>
                                </w:rPr>
                                <w:t>Dobrze działający rynek wewnętrzny</w:t>
                              </w:r>
                            </w:p>
                          </w:txbxContent>
                        </wps:txbx>
                        <wps:bodyPr rtlCol="0" anchor="ctr"/>
                      </wps:wsp>
                      <wps:wsp>
                        <wps:cNvPr id="8" name="9 Rectángulo redondeado"/>
                        <wps:cNvSpPr/>
                        <wps:spPr>
                          <a:xfrm>
                            <a:off x="2481966" y="981520"/>
                            <a:ext cx="4482380" cy="468526"/>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10F7E3" w14:textId="77777777" w:rsidR="00C61CB6" w:rsidRDefault="00C61CB6" w:rsidP="00963C52">
                              <w:pPr>
                                <w:pStyle w:val="NormalWeb"/>
                                <w:spacing w:before="0" w:beforeAutospacing="0" w:after="0" w:afterAutospacing="0"/>
                                <w:jc w:val="center"/>
                              </w:pPr>
                              <w:r>
                                <w:rPr>
                                  <w:rFonts w:ascii="DejaVu Serif" w:hAnsi="DejaVu Serif"/>
                                  <w:color w:val="FFFFFF" w:themeColor="light1"/>
                                </w:rPr>
                                <w:t>Umożliwienie transgranicznego przepływu broni palnej</w:t>
                              </w:r>
                            </w:p>
                          </w:txbxContent>
                        </wps:txbx>
                        <wps:bodyPr rtlCol="0" anchor="ctr"/>
                      </wps:wsp>
                      <wps:wsp>
                        <wps:cNvPr id="9" name="10 Rectángulo redondeado"/>
                        <wps:cNvSpPr/>
                        <wps:spPr>
                          <a:xfrm>
                            <a:off x="7402806" y="1016035"/>
                            <a:ext cx="4340008" cy="615266"/>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5B5005" w14:textId="77777777" w:rsidR="00C61CB6" w:rsidRPr="00493A63" w:rsidRDefault="00C61CB6" w:rsidP="00963C52">
                              <w:pPr>
                                <w:pStyle w:val="NormalWeb"/>
                                <w:spacing w:before="0" w:beforeAutospacing="0" w:after="0" w:afterAutospacing="0"/>
                                <w:jc w:val="center"/>
                                <w:rPr>
                                  <w:sz w:val="20"/>
                                  <w:szCs w:val="20"/>
                                </w:rPr>
                              </w:pPr>
                              <w:r w:rsidRPr="00493A63">
                                <w:rPr>
                                  <w:rFonts w:ascii="DejaVu Serif" w:hAnsi="DejaVu Serif"/>
                                  <w:color w:val="FFFFFF" w:themeColor="light1"/>
                                  <w:sz w:val="20"/>
                                  <w:szCs w:val="20"/>
                                </w:rPr>
                                <w:t>Utrzymanie wysokiego poziomu bezpieczeństwa i ochrony przed przestępstwami i nielegalnym handlem</w:t>
                              </w:r>
                            </w:p>
                          </w:txbxContent>
                        </wps:txbx>
                        <wps:bodyPr rtlCol="0" anchor="ctr"/>
                      </wps:wsp>
                      <wps:wsp>
                        <wps:cNvPr id="10" name="12 Forma"/>
                        <wps:cNvCnPr>
                          <a:stCxn id="4294967295" idx="2"/>
                          <a:endCxn id="4294967295" idx="0"/>
                        </wps:cNvCnPr>
                        <wps:spPr>
                          <a:xfrm rot="5400000">
                            <a:off x="5650388" y="-543057"/>
                            <a:ext cx="554746" cy="2496095"/>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12 Forma"/>
                        <wps:cNvCnPr>
                          <a:stCxn id="4294967295" idx="2"/>
                          <a:endCxn id="4294967295" idx="0"/>
                        </wps:cNvCnPr>
                        <wps:spPr>
                          <a:xfrm rot="16200000" flipH="1">
                            <a:off x="8004705" y="-401281"/>
                            <a:ext cx="589418" cy="2247213"/>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20 Rectángulo redondeado"/>
                        <wps:cNvSpPr/>
                        <wps:spPr>
                          <a:xfrm>
                            <a:off x="2502015" y="1972432"/>
                            <a:ext cx="2150812" cy="1287793"/>
                          </a:xfrm>
                          <a:prstGeom prst="roundRect">
                            <a:avLst/>
                          </a:prstGeom>
                          <a:solidFill>
                            <a:schemeClr val="bg1"/>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621525" w14:textId="77777777" w:rsidR="00C61CB6" w:rsidRDefault="00C61CB6" w:rsidP="00963C52">
                              <w:pPr>
                                <w:pStyle w:val="NormalWeb"/>
                                <w:spacing w:before="0" w:beforeAutospacing="0" w:after="0" w:afterAutospacing="0"/>
                                <w:jc w:val="center"/>
                              </w:pPr>
                              <w:r>
                                <w:rPr>
                                  <w:rFonts w:ascii="DejaVu Serif" w:hAnsi="DejaVu Serif"/>
                                  <w:color w:val="000000" w:themeColor="text1"/>
                                  <w:sz w:val="20"/>
                                  <w:szCs w:val="20"/>
                                </w:rPr>
                                <w:t>Harmonizacja prawodawstwa/procedur państw członkowskich w zakresie broni palnej</w:t>
                              </w:r>
                            </w:p>
                          </w:txbxContent>
                        </wps:txbx>
                        <wps:bodyPr rtlCol="0" anchor="ctr"/>
                      </wps:wsp>
                      <wps:wsp>
                        <wps:cNvPr id="13" name="22 Rectángulo redondeado"/>
                        <wps:cNvSpPr/>
                        <wps:spPr>
                          <a:xfrm>
                            <a:off x="4745020" y="1991695"/>
                            <a:ext cx="2276774" cy="1277674"/>
                          </a:xfrm>
                          <a:prstGeom prst="roundRect">
                            <a:avLst/>
                          </a:prstGeom>
                          <a:solidFill>
                            <a:schemeClr val="bg1"/>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389100" w14:textId="77777777" w:rsidR="00C61CB6" w:rsidRPr="00493A63" w:rsidRDefault="00C61CB6" w:rsidP="00963C52">
                              <w:pPr>
                                <w:pStyle w:val="NormalWeb"/>
                                <w:spacing w:before="0" w:beforeAutospacing="0" w:after="0" w:afterAutospacing="0"/>
                                <w:jc w:val="center"/>
                                <w:rPr>
                                  <w:sz w:val="16"/>
                                  <w:szCs w:val="16"/>
                                </w:rPr>
                              </w:pPr>
                              <w:r w:rsidRPr="00493A63">
                                <w:rPr>
                                  <w:rFonts w:ascii="DejaVu Serif" w:hAnsi="DejaVu Serif"/>
                                  <w:color w:val="000000" w:themeColor="text1"/>
                                  <w:sz w:val="16"/>
                                  <w:szCs w:val="16"/>
                                </w:rPr>
                                <w:t>Dalsze uproszczenie procedur związanych z nabywaniem, posiadaniem i transferem broni palnej (szczególnie do celów myślistwa i strzelectwa sportowego)</w:t>
                              </w:r>
                            </w:p>
                          </w:txbxContent>
                        </wps:txbx>
                        <wps:bodyPr rtlCol="0" anchor="ctr"/>
                      </wps:wsp>
                      <wps:wsp>
                        <wps:cNvPr id="14" name="23 Rectángulo redondeado"/>
                        <wps:cNvSpPr/>
                        <wps:spPr>
                          <a:xfrm>
                            <a:off x="7268368" y="1980136"/>
                            <a:ext cx="2150812" cy="1280089"/>
                          </a:xfrm>
                          <a:prstGeom prst="roundRect">
                            <a:avLst/>
                          </a:prstGeom>
                          <a:solidFill>
                            <a:schemeClr val="bg1"/>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7DE1D" w14:textId="77777777" w:rsidR="00C61CB6" w:rsidRDefault="00C61CB6" w:rsidP="00963C52">
                              <w:pPr>
                                <w:pStyle w:val="NormalWeb"/>
                                <w:spacing w:before="0" w:beforeAutospacing="0" w:after="0" w:afterAutospacing="0"/>
                                <w:jc w:val="center"/>
                              </w:pPr>
                              <w:r>
                                <w:rPr>
                                  <w:rFonts w:ascii="DejaVu Serif" w:hAnsi="DejaVu Serif"/>
                                  <w:color w:val="000000" w:themeColor="text1"/>
                                  <w:sz w:val="20"/>
                                  <w:szCs w:val="20"/>
                                </w:rPr>
                                <w:t>Zapobieganie nielegalnemu wytwarzaniu broni palnej i obrotowi taką bronią</w:t>
                              </w:r>
                            </w:p>
                          </w:txbxContent>
                        </wps:txbx>
                        <wps:bodyPr rtlCol="0" anchor="ctr"/>
                      </wps:wsp>
                      <wps:wsp>
                        <wps:cNvPr id="15" name="27 Rectángulo redondeado"/>
                        <wps:cNvSpPr/>
                        <wps:spPr>
                          <a:xfrm>
                            <a:off x="9592012" y="1964728"/>
                            <a:ext cx="2150812" cy="1277210"/>
                          </a:xfrm>
                          <a:prstGeom prst="roundRect">
                            <a:avLst/>
                          </a:prstGeom>
                          <a:solidFill>
                            <a:schemeClr val="bg1"/>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BC7BDC" w14:textId="77777777" w:rsidR="00C61CB6" w:rsidRDefault="00C61CB6" w:rsidP="00963C52">
                              <w:pPr>
                                <w:pStyle w:val="NormalWeb"/>
                                <w:spacing w:before="0" w:beforeAutospacing="0" w:after="0" w:afterAutospacing="0"/>
                                <w:jc w:val="center"/>
                              </w:pPr>
                              <w:r>
                                <w:rPr>
                                  <w:rFonts w:ascii="DejaVu Serif" w:hAnsi="DejaVu Serif"/>
                                  <w:color w:val="000000" w:themeColor="text1"/>
                                  <w:sz w:val="20"/>
                                  <w:szCs w:val="20"/>
                                </w:rPr>
                                <w:t>Lepsze śledzenie broni palnej</w:t>
                              </w:r>
                            </w:p>
                          </w:txbxContent>
                        </wps:txbx>
                        <wps:bodyPr rtlCol="0" anchor="ctr"/>
                      </wps:wsp>
                      <wps:wsp>
                        <wps:cNvPr id="16" name="12 Forma"/>
                        <wps:cNvCnPr>
                          <a:stCxn id="4294967295" idx="2"/>
                          <a:endCxn id="4294967295" idx="0"/>
                        </wps:cNvCnPr>
                        <wps:spPr>
                          <a:xfrm rot="5400000">
                            <a:off x="3880924" y="1173643"/>
                            <a:ext cx="495286" cy="1102292"/>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12 Forma"/>
                        <wps:cNvCnPr>
                          <a:stCxn id="4294967295" idx="2"/>
                          <a:endCxn id="4294967295" idx="0"/>
                        </wps:cNvCnPr>
                        <wps:spPr>
                          <a:xfrm rot="5400000">
                            <a:off x="8636475" y="1193590"/>
                            <a:ext cx="493846" cy="1079247"/>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12 Forma"/>
                        <wps:cNvCnPr>
                          <a:stCxn id="4294967295" idx="2"/>
                          <a:endCxn id="4294967295" idx="0"/>
                        </wps:cNvCnPr>
                        <wps:spPr>
                          <a:xfrm rot="16200000" flipH="1">
                            <a:off x="5027354" y="1129504"/>
                            <a:ext cx="514548" cy="1209831"/>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12 Forma"/>
                        <wps:cNvCnPr>
                          <a:stCxn id="4294967295" idx="2"/>
                          <a:endCxn id="4294967295" idx="0"/>
                        </wps:cNvCnPr>
                        <wps:spPr>
                          <a:xfrm rot="16200000" flipH="1">
                            <a:off x="9806000" y="1103310"/>
                            <a:ext cx="478438" cy="1244397"/>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42 Rectángulo redondeado"/>
                        <wps:cNvSpPr/>
                        <wps:spPr>
                          <a:xfrm>
                            <a:off x="2411489" y="3411339"/>
                            <a:ext cx="9528634" cy="3361923"/>
                          </a:xfrm>
                          <a:prstGeom prst="roundRect">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43 Rectángulo"/>
                        <wps:cNvSpPr/>
                        <wps:spPr>
                          <a:xfrm>
                            <a:off x="2645455" y="4482379"/>
                            <a:ext cx="2024319" cy="3755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20EB2D" w14:textId="77777777" w:rsidR="00C61CB6" w:rsidRDefault="00C61CB6" w:rsidP="00963C52">
                              <w:pPr>
                                <w:pStyle w:val="NormalWeb"/>
                                <w:spacing w:before="0" w:beforeAutospacing="0" w:after="0" w:afterAutospacing="0"/>
                                <w:jc w:val="center"/>
                              </w:pPr>
                              <w:r>
                                <w:rPr>
                                  <w:rFonts w:ascii="DejaVu Serif" w:hAnsi="DejaVu Serif"/>
                                  <w:color w:val="000000" w:themeColor="text1"/>
                                  <w:sz w:val="20"/>
                                  <w:szCs w:val="20"/>
                                </w:rPr>
                                <w:t>Kategorie broni palnej</w:t>
                              </w:r>
                            </w:p>
                          </w:txbxContent>
                        </wps:txbx>
                        <wps:bodyPr rtlCol="0" anchor="ctr"/>
                      </wps:wsp>
                      <wps:wsp>
                        <wps:cNvPr id="22" name="47 Rectángulo"/>
                        <wps:cNvSpPr/>
                        <wps:spPr>
                          <a:xfrm>
                            <a:off x="4868381" y="3584141"/>
                            <a:ext cx="2066315" cy="75988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010FD7" w14:textId="77777777" w:rsidR="00C61CB6" w:rsidRPr="00493A63" w:rsidRDefault="00C61CB6" w:rsidP="00963C52">
                              <w:pPr>
                                <w:pStyle w:val="NormalWeb"/>
                                <w:spacing w:before="0" w:beforeAutospacing="0" w:after="0" w:afterAutospacing="0"/>
                                <w:rPr>
                                  <w:sz w:val="16"/>
                                  <w:szCs w:val="16"/>
                                </w:rPr>
                              </w:pPr>
                              <w:r w:rsidRPr="00493A63">
                                <w:rPr>
                                  <w:rFonts w:ascii="DejaVu Serif" w:hAnsi="DejaVu Serif"/>
                                  <w:color w:val="000000" w:themeColor="text1"/>
                                  <w:sz w:val="16"/>
                                  <w:szCs w:val="16"/>
                                </w:rPr>
                                <w:t>Wydawanie licencji sprzedawcom, pośrednikom i prywatnym posiadaczom broni</w:t>
                              </w:r>
                            </w:p>
                          </w:txbxContent>
                        </wps:txbx>
                        <wps:bodyPr rtlCol="0" anchor="ctr"/>
                      </wps:wsp>
                      <wps:wsp>
                        <wps:cNvPr id="23" name="49 Rectángulo"/>
                        <wps:cNvSpPr/>
                        <wps:spPr>
                          <a:xfrm>
                            <a:off x="7352843" y="3532777"/>
                            <a:ext cx="2349742" cy="28527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0B8F78" w14:textId="77777777" w:rsidR="00C61CB6" w:rsidRPr="00493A63" w:rsidRDefault="00C61CB6" w:rsidP="00963C52">
                              <w:pPr>
                                <w:pStyle w:val="NormalWeb"/>
                                <w:spacing w:before="0" w:beforeAutospacing="0" w:after="0" w:afterAutospacing="0"/>
                                <w:rPr>
                                  <w:sz w:val="16"/>
                                  <w:szCs w:val="16"/>
                                </w:rPr>
                              </w:pPr>
                              <w:r w:rsidRPr="00493A63">
                                <w:rPr>
                                  <w:rFonts w:ascii="DejaVu Serif" w:hAnsi="DejaVu Serif"/>
                                  <w:color w:val="000000" w:themeColor="text1"/>
                                  <w:sz w:val="16"/>
                                  <w:szCs w:val="16"/>
                                </w:rPr>
                                <w:t>Pozbawianie broni cech użytkowych</w:t>
                              </w:r>
                            </w:p>
                          </w:txbxContent>
                        </wps:txbx>
                        <wps:bodyPr rtlCol="0" anchor="ctr"/>
                      </wps:wsp>
                      <wps:wsp>
                        <wps:cNvPr id="24" name="50 Rectángulo"/>
                        <wps:cNvSpPr/>
                        <wps:spPr>
                          <a:xfrm>
                            <a:off x="7358535" y="4786824"/>
                            <a:ext cx="2187801" cy="35442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DB4976" w14:textId="77777777" w:rsidR="00C61CB6" w:rsidRPr="00493A63" w:rsidRDefault="00C61CB6" w:rsidP="00963C52">
                              <w:pPr>
                                <w:pStyle w:val="NormalWeb"/>
                                <w:spacing w:before="0" w:beforeAutospacing="0" w:after="0" w:afterAutospacing="0"/>
                                <w:rPr>
                                  <w:sz w:val="16"/>
                                  <w:szCs w:val="16"/>
                                </w:rPr>
                              </w:pPr>
                              <w:r w:rsidRPr="00493A63">
                                <w:rPr>
                                  <w:rFonts w:ascii="DejaVu Serif" w:hAnsi="DejaVu Serif"/>
                                  <w:color w:val="000000" w:themeColor="text1"/>
                                  <w:sz w:val="16"/>
                                  <w:szCs w:val="16"/>
                                </w:rPr>
                                <w:t>Broń salutacyjna i akustyczna</w:t>
                              </w:r>
                            </w:p>
                          </w:txbxContent>
                        </wps:txbx>
                        <wps:bodyPr rtlCol="0" anchor="ctr"/>
                      </wps:wsp>
                      <wps:wsp>
                        <wps:cNvPr id="25" name="51 Rectángulo"/>
                        <wps:cNvSpPr/>
                        <wps:spPr>
                          <a:xfrm>
                            <a:off x="9806053" y="3570301"/>
                            <a:ext cx="1963803" cy="5005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6C3476" w14:textId="77777777" w:rsidR="00C61CB6" w:rsidRPr="00493A63" w:rsidRDefault="00C61CB6" w:rsidP="00963C52">
                              <w:pPr>
                                <w:pStyle w:val="NormalWeb"/>
                                <w:spacing w:before="0" w:beforeAutospacing="0" w:after="0" w:afterAutospacing="0"/>
                                <w:rPr>
                                  <w:sz w:val="16"/>
                                  <w:szCs w:val="16"/>
                                </w:rPr>
                              </w:pPr>
                              <w:r w:rsidRPr="00493A63">
                                <w:rPr>
                                  <w:rFonts w:ascii="DejaVu Serif" w:hAnsi="DejaVu Serif"/>
                                  <w:color w:val="000000" w:themeColor="text1"/>
                                  <w:sz w:val="16"/>
                                  <w:szCs w:val="16"/>
                                </w:rPr>
                                <w:t>Oznakowanie i możliwości śledzenia broni palnej</w:t>
                              </w:r>
                            </w:p>
                          </w:txbxContent>
                        </wps:txbx>
                        <wps:bodyPr rtlCol="0" anchor="ctr"/>
                      </wps:wsp>
                      <wps:wsp>
                        <wps:cNvPr id="26" name="51 Rectángulo"/>
                        <wps:cNvSpPr/>
                        <wps:spPr>
                          <a:xfrm>
                            <a:off x="7352843" y="3876308"/>
                            <a:ext cx="2299771" cy="79507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AE4E98" w14:textId="77777777" w:rsidR="00C61CB6" w:rsidRPr="00493A63" w:rsidRDefault="00C61CB6" w:rsidP="00963C52">
                              <w:pPr>
                                <w:pStyle w:val="NormalWeb"/>
                                <w:spacing w:before="0" w:beforeAutospacing="0" w:after="0" w:afterAutospacing="0"/>
                                <w:rPr>
                                  <w:sz w:val="16"/>
                                  <w:szCs w:val="16"/>
                                </w:rPr>
                              </w:pPr>
                              <w:r w:rsidRPr="00493A63">
                                <w:rPr>
                                  <w:rFonts w:ascii="DejaVu Serif" w:hAnsi="DejaVu Serif"/>
                                  <w:i/>
                                  <w:iCs/>
                                  <w:color w:val="000000" w:themeColor="text1"/>
                                  <w:sz w:val="16"/>
                                  <w:szCs w:val="16"/>
                                </w:rPr>
                                <w:t>Rozporządzenie wykonawcze (UE) 2018/337 ustanawiające wspólne wytyczne dotyczące norm i technik pozbawiania broni cech użytkowych</w:t>
                              </w:r>
                            </w:p>
                          </w:txbxContent>
                        </wps:txbx>
                        <wps:bodyPr rtlCol="0" anchor="ctr"/>
                      </wps:wsp>
                      <wps:wsp>
                        <wps:cNvPr id="27" name="51 Rectángulo"/>
                        <wps:cNvSpPr/>
                        <wps:spPr>
                          <a:xfrm>
                            <a:off x="9808036" y="4187519"/>
                            <a:ext cx="2065826" cy="1276088"/>
                          </a:xfrm>
                          <a:prstGeom prst="rect">
                            <a:avLst/>
                          </a:prstGeom>
                          <a:solidFill>
                            <a:schemeClr val="bg1"/>
                          </a:solidFill>
                          <a:ln>
                            <a:solidFill>
                              <a:srgbClr val="CC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55F14F" w14:textId="3CD39D32" w:rsidR="00C61CB6" w:rsidRDefault="00C61CB6" w:rsidP="00963C52">
                              <w:pPr>
                                <w:pStyle w:val="NormalWeb"/>
                                <w:spacing w:before="0" w:beforeAutospacing="0" w:after="0" w:afterAutospacing="0"/>
                              </w:pPr>
                              <w:r>
                                <w:rPr>
                                  <w:rFonts w:ascii="DejaVu Serif" w:hAnsi="DejaVu Serif"/>
                                  <w:i/>
                                  <w:iCs/>
                                  <w:color w:val="000000" w:themeColor="text1"/>
                                  <w:sz w:val="18"/>
                                  <w:szCs w:val="18"/>
                                </w:rPr>
                                <w:t>Dyrektywa wykonawcza (UE) 2019/68 ustanawiająca specyfikacje techniczne dotyczące oznakowania broni palnej i jej istotnych komponentów</w:t>
                              </w:r>
                            </w:p>
                          </w:txbxContent>
                        </wps:txbx>
                        <wps:bodyPr rtlCol="0" anchor="ctr"/>
                      </wps:wsp>
                      <wps:wsp>
                        <wps:cNvPr id="28" name="47 Rectángulo"/>
                        <wps:cNvSpPr/>
                        <wps:spPr>
                          <a:xfrm>
                            <a:off x="2645449" y="3569939"/>
                            <a:ext cx="2021309" cy="77408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442A6A" w14:textId="77777777" w:rsidR="00C61CB6" w:rsidRPr="00493A63" w:rsidRDefault="00C61CB6" w:rsidP="00963C52">
                              <w:pPr>
                                <w:pStyle w:val="NormalWeb"/>
                                <w:spacing w:before="0" w:beforeAutospacing="0" w:after="0" w:afterAutospacing="0"/>
                                <w:rPr>
                                  <w:sz w:val="16"/>
                                  <w:szCs w:val="16"/>
                                </w:rPr>
                              </w:pPr>
                              <w:r w:rsidRPr="00493A63">
                                <w:rPr>
                                  <w:rFonts w:ascii="DejaVu Serif" w:hAnsi="DejaVu Serif"/>
                                  <w:color w:val="000000" w:themeColor="text1"/>
                                  <w:sz w:val="16"/>
                                  <w:szCs w:val="16"/>
                                </w:rPr>
                                <w:t>Wydawanie licencji sprzedawcom, pośrednikom i prywatnym posiadaczom broni</w:t>
                              </w:r>
                            </w:p>
                          </w:txbxContent>
                        </wps:txbx>
                        <wps:bodyPr rtlCol="0" anchor="ctr"/>
                      </wps:wsp>
                      <wps:wsp>
                        <wps:cNvPr id="29" name="48 Rectángulo"/>
                        <wps:cNvSpPr/>
                        <wps:spPr>
                          <a:xfrm>
                            <a:off x="2616718" y="5171038"/>
                            <a:ext cx="2050044" cy="859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0DEF2" w14:textId="77777777" w:rsidR="00C61CB6" w:rsidRDefault="00C61CB6" w:rsidP="00963C52">
                              <w:pPr>
                                <w:pStyle w:val="NormalWeb"/>
                                <w:spacing w:before="0" w:beforeAutospacing="0" w:after="0" w:afterAutospacing="0"/>
                              </w:pPr>
                              <w:r>
                                <w:rPr>
                                  <w:rFonts w:ascii="DejaVu Serif" w:hAnsi="DejaVu Serif"/>
                                  <w:color w:val="000000" w:themeColor="text1"/>
                                  <w:sz w:val="20"/>
                                  <w:szCs w:val="20"/>
                                </w:rPr>
                                <w:t>Skomputeryzowany system rejestracji danych i wymiana informacji</w:t>
                              </w:r>
                            </w:p>
                          </w:txbxContent>
                        </wps:txbx>
                        <wps:bodyPr rtlCol="0" anchor="ctr"/>
                      </wps:wsp>
                      <wps:wsp>
                        <wps:cNvPr id="30" name="51 Rectángulo"/>
                        <wps:cNvSpPr/>
                        <wps:spPr>
                          <a:xfrm>
                            <a:off x="0" y="4070558"/>
                            <a:ext cx="2243889" cy="1339724"/>
                          </a:xfrm>
                          <a:prstGeom prst="rect">
                            <a:avLst/>
                          </a:prstGeom>
                          <a:solidFill>
                            <a:schemeClr val="bg1"/>
                          </a:solidFill>
                          <a:ln>
                            <a:solidFill>
                              <a:srgbClr val="CC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BCB0C6" w14:textId="77777777" w:rsidR="00C61CB6" w:rsidRDefault="00C61CB6" w:rsidP="00963C52">
                              <w:pPr>
                                <w:pStyle w:val="NormalWeb"/>
                                <w:spacing w:before="0" w:beforeAutospacing="0" w:after="0" w:afterAutospacing="0"/>
                              </w:pPr>
                              <w:r>
                                <w:rPr>
                                  <w:rFonts w:ascii="DejaVu Serif" w:hAnsi="DejaVu Serif"/>
                                  <w:i/>
                                  <w:iCs/>
                                  <w:color w:val="000000" w:themeColor="text1"/>
                                  <w:sz w:val="18"/>
                                  <w:szCs w:val="18"/>
                                </w:rPr>
                                <w:t>Rozporządzenie delegowane (UE) 2019/686 dotyczące systematycznej wymiany drogą elektroniczną informacji dotyczących transferu broni palnej w Unii</w:t>
                              </w:r>
                            </w:p>
                          </w:txbxContent>
                        </wps:txbx>
                        <wps:bodyPr rtlCol="0" anchor="ctr"/>
                      </wps:wsp>
                      <wps:wsp>
                        <wps:cNvPr id="31" name="51 Rectángulo"/>
                        <wps:cNvSpPr/>
                        <wps:spPr>
                          <a:xfrm>
                            <a:off x="9144" y="5463049"/>
                            <a:ext cx="2221992" cy="1537417"/>
                          </a:xfrm>
                          <a:prstGeom prst="rect">
                            <a:avLst/>
                          </a:prstGeom>
                          <a:solidFill>
                            <a:schemeClr val="bg1"/>
                          </a:solidFill>
                          <a:ln>
                            <a:solidFill>
                              <a:srgbClr val="CC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98CA9" w14:textId="410938E5" w:rsidR="00C61CB6" w:rsidRDefault="00C61CB6" w:rsidP="00963C52">
                              <w:pPr>
                                <w:pStyle w:val="NormalWeb"/>
                                <w:spacing w:before="0" w:beforeAutospacing="0" w:after="0" w:afterAutospacing="0"/>
                                <w:jc w:val="both"/>
                              </w:pPr>
                              <w:r>
                                <w:rPr>
                                  <w:rFonts w:ascii="DejaVu Serif" w:hAnsi="DejaVu Serif"/>
                                  <w:i/>
                                  <w:iCs/>
                                  <w:color w:val="000000" w:themeColor="text1"/>
                                  <w:sz w:val="18"/>
                                  <w:szCs w:val="18"/>
                                </w:rPr>
                                <w:t>Rozporządzenie delegowane (UE) 2021/1423 dotyczące systematycznej wymiany drogą elektroniczną informacji o odmowach wydania pozwolenia na nabycie lub posiadanie broni palnej</w:t>
                              </w:r>
                            </w:p>
                          </w:txbxContent>
                        </wps:txbx>
                        <wps:bodyPr rtlCol="0" anchor="ctr"/>
                      </wps:wsp>
                      <wps:wsp>
                        <wps:cNvPr id="32" name="50 Rectángulo"/>
                        <wps:cNvSpPr/>
                        <wps:spPr>
                          <a:xfrm>
                            <a:off x="7358535" y="5234210"/>
                            <a:ext cx="2187801" cy="35442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3404C8" w14:textId="2ABA7893" w:rsidR="00C61CB6" w:rsidRPr="00493A63" w:rsidRDefault="00C61CB6" w:rsidP="00963C52">
                              <w:pPr>
                                <w:pStyle w:val="NormalWeb"/>
                                <w:spacing w:before="0" w:beforeAutospacing="0" w:after="0" w:afterAutospacing="0"/>
                                <w:rPr>
                                  <w:sz w:val="16"/>
                                  <w:szCs w:val="16"/>
                                </w:rPr>
                              </w:pPr>
                              <w:r w:rsidRPr="00493A63">
                                <w:rPr>
                                  <w:rFonts w:ascii="DejaVu Serif" w:hAnsi="DejaVu Serif"/>
                                  <w:color w:val="000000" w:themeColor="text1"/>
                                  <w:sz w:val="16"/>
                                  <w:szCs w:val="16"/>
                                </w:rPr>
                                <w:t>Broń alarmowa i sygnałowa</w:t>
                              </w:r>
                            </w:p>
                          </w:txbxContent>
                        </wps:txbx>
                        <wps:bodyPr rtlCol="0" anchor="ctr"/>
                      </wps:wsp>
                      <wps:wsp>
                        <wps:cNvPr id="33" name="51 Rectángulo"/>
                        <wps:cNvSpPr/>
                        <wps:spPr>
                          <a:xfrm>
                            <a:off x="7358496" y="5679916"/>
                            <a:ext cx="2233498" cy="9230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0FA307" w14:textId="4D587DE1" w:rsidR="00C61CB6" w:rsidRPr="00493A63" w:rsidRDefault="00C61CB6" w:rsidP="00963C52">
                              <w:pPr>
                                <w:pStyle w:val="NormalWeb"/>
                                <w:spacing w:before="0" w:beforeAutospacing="0" w:after="0" w:afterAutospacing="0"/>
                                <w:rPr>
                                  <w:sz w:val="16"/>
                                  <w:szCs w:val="16"/>
                                </w:rPr>
                              </w:pPr>
                              <w:r w:rsidRPr="00493A63">
                                <w:rPr>
                                  <w:rFonts w:ascii="DejaVu Serif" w:hAnsi="DejaVu Serif"/>
                                  <w:i/>
                                  <w:iCs/>
                                  <w:color w:val="000000" w:themeColor="text1"/>
                                  <w:sz w:val="16"/>
                                  <w:szCs w:val="16"/>
                                </w:rPr>
                                <w:t>Dyrektywa wykonawcza (UE) 2019/69 ustanawiająca specyfikacje techniczne dotyczące broni alarmowej i sygnałowej</w:t>
                              </w:r>
                            </w:p>
                          </w:txbxContent>
                        </wps:txbx>
                        <wps:bodyPr rtlCol="0" anchor="ctr"/>
                      </wps:wsp>
                      <wps:wsp>
                        <wps:cNvPr id="34" name="48 Rectángulo"/>
                        <wps:cNvSpPr/>
                        <wps:spPr>
                          <a:xfrm>
                            <a:off x="4852715" y="5171565"/>
                            <a:ext cx="2066317" cy="85867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E6B95" w14:textId="77777777" w:rsidR="00C61CB6" w:rsidRDefault="00C61CB6" w:rsidP="00963C52">
                              <w:pPr>
                                <w:pStyle w:val="NormalWeb"/>
                                <w:spacing w:before="0" w:beforeAutospacing="0" w:after="0" w:afterAutospacing="0"/>
                              </w:pPr>
                              <w:r>
                                <w:rPr>
                                  <w:rFonts w:ascii="DejaVu Serif" w:hAnsi="DejaVu Serif"/>
                                  <w:color w:val="000000" w:themeColor="text1"/>
                                  <w:sz w:val="20"/>
                                  <w:szCs w:val="20"/>
                                </w:rPr>
                                <w:t>Skomputeryzowany system rejestracji danych i wymiana informacji</w:t>
                              </w:r>
                            </w:p>
                          </w:txbxContent>
                        </wps:txbx>
                        <wps:bodyPr rtlCol="0" anchor="ctr"/>
                      </wps:wsp>
                      <wps:wsp>
                        <wps:cNvPr id="35" name="43 Rectángulo"/>
                        <wps:cNvSpPr/>
                        <wps:spPr>
                          <a:xfrm>
                            <a:off x="4850130" y="4496410"/>
                            <a:ext cx="2068909" cy="3615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04281E" w14:textId="77777777" w:rsidR="00C61CB6" w:rsidRDefault="00C61CB6" w:rsidP="00963C52">
                              <w:pPr>
                                <w:pStyle w:val="NormalWeb"/>
                                <w:spacing w:before="0" w:beforeAutospacing="0" w:after="0" w:afterAutospacing="0"/>
                                <w:jc w:val="center"/>
                              </w:pPr>
                              <w:r>
                                <w:rPr>
                                  <w:rFonts w:ascii="DejaVu Serif" w:hAnsi="DejaVu Serif"/>
                                  <w:color w:val="000000" w:themeColor="text1"/>
                                  <w:sz w:val="20"/>
                                  <w:szCs w:val="20"/>
                                </w:rPr>
                                <w:t>Kategorie broni palnej</w:t>
                              </w:r>
                            </w:p>
                          </w:txbxContent>
                        </wps:txbx>
                        <wps:bodyPr rtlCol="0" anchor="ctr"/>
                      </wps:wsp>
                      <wps:wsp>
                        <wps:cNvPr id="36" name="44 Rectángulo"/>
                        <wps:cNvSpPr/>
                        <wps:spPr>
                          <a:xfrm>
                            <a:off x="4875766" y="6121065"/>
                            <a:ext cx="2043270" cy="3372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4324FA" w14:textId="551A2535" w:rsidR="00C61CB6" w:rsidRDefault="00C61CB6" w:rsidP="00963C52">
                              <w:pPr>
                                <w:pStyle w:val="NormalWeb"/>
                                <w:spacing w:before="0" w:beforeAutospacing="0" w:after="0" w:afterAutospacing="0"/>
                              </w:pPr>
                              <w:r>
                                <w:rPr>
                                  <w:rFonts w:ascii="DejaVu Serif" w:hAnsi="DejaVu Serif"/>
                                  <w:color w:val="000000" w:themeColor="text1"/>
                                  <w:sz w:val="20"/>
                                  <w:szCs w:val="20"/>
                                </w:rPr>
                                <w:t>Europejska karta broni palnej</w:t>
                              </w:r>
                            </w:p>
                          </w:txbxContent>
                        </wps:txbx>
                        <wps:bodyPr rtlCol="0" anchor="ctr"/>
                      </wps:wsp>
                      <wps:wsp>
                        <wps:cNvPr id="37" name="48 Rectángulo"/>
                        <wps:cNvSpPr/>
                        <wps:spPr>
                          <a:xfrm>
                            <a:off x="9808028" y="5588630"/>
                            <a:ext cx="1962043" cy="9735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9DB646" w14:textId="77777777" w:rsidR="00C61CB6" w:rsidRDefault="00C61CB6" w:rsidP="00963C52">
                              <w:pPr>
                                <w:pStyle w:val="NormalWeb"/>
                                <w:spacing w:before="0" w:beforeAutospacing="0" w:after="0" w:afterAutospacing="0"/>
                              </w:pPr>
                              <w:r>
                                <w:rPr>
                                  <w:rFonts w:ascii="DejaVu Serif" w:hAnsi="DejaVu Serif"/>
                                  <w:color w:val="000000" w:themeColor="text1"/>
                                  <w:sz w:val="20"/>
                                  <w:szCs w:val="20"/>
                                </w:rPr>
                                <w:t>Skomputeryzowany system rejestracji danych i wymiana informacji</w:t>
                              </w:r>
                            </w:p>
                          </w:txbxContent>
                        </wps:txbx>
                        <wps:bodyPr rtlCol="0" anchor="ctr"/>
                      </wps:wsp>
                      <wps:wsp>
                        <wps:cNvPr id="38" name="Elbow Connector 38"/>
                        <wps:cNvCnPr>
                          <a:stCxn id="4294967295" idx="1"/>
                          <a:endCxn id="4294967295" idx="3"/>
                        </wps:cNvCnPr>
                        <wps:spPr>
                          <a:xfrm rot="10800000">
                            <a:off x="2243890" y="5185039"/>
                            <a:ext cx="372831" cy="278565"/>
                          </a:xfrm>
                          <a:prstGeom prst="bentConnector3">
                            <a:avLst>
                              <a:gd name="adj1" fmla="val 50000"/>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9" name="Elbow Connector 39"/>
                        <wps:cNvCnPr>
                          <a:stCxn id="4294967295" idx="1"/>
                          <a:endCxn id="4294967295" idx="3"/>
                        </wps:cNvCnPr>
                        <wps:spPr>
                          <a:xfrm rot="10800000" flipV="1">
                            <a:off x="2231136" y="5463603"/>
                            <a:ext cx="385584" cy="567256"/>
                          </a:xfrm>
                          <a:prstGeom prst="bentConnector3">
                            <a:avLst>
                              <a:gd name="adj1" fmla="val 50000"/>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0" name="Elbow Connector 40"/>
                        <wps:cNvCnPr/>
                        <wps:spPr>
                          <a:xfrm rot="5400000">
                            <a:off x="7075487" y="3983277"/>
                            <a:ext cx="554721" cy="21"/>
                          </a:xfrm>
                          <a:prstGeom prst="bentConnector4">
                            <a:avLst>
                              <a:gd name="adj1" fmla="val -19"/>
                              <a:gd name="adj2" fmla="val 1379156250"/>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1" name="Elbow Connector 41"/>
                        <wps:cNvCnPr/>
                        <wps:spPr>
                          <a:xfrm rot="5400000">
                            <a:off x="6993267" y="5775549"/>
                            <a:ext cx="730569" cy="33"/>
                          </a:xfrm>
                          <a:prstGeom prst="bentConnector4">
                            <a:avLst>
                              <a:gd name="adj1" fmla="val -1590"/>
                              <a:gd name="adj2" fmla="val 914500000"/>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873D7CD" id="130 Grupo" o:spid="_x0000_s1026" style="width:702.1pt;height:389.6pt;mso-position-horizontal-relative:char;mso-position-vertical-relative:line" coordsize="119401,7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">
                <v:shapetype id="_x0000_t202" coordsize="21600,21600" o:spt="202" path="m,l,21600r21600,l21600,xe">
                  <v:stroke joinstyle="miter"/>
                  <v:path gradientshapeok="t" o:connecttype="rect"/>
                </v:shapetype>
                <v:shape id="4 CuadroTexto" o:spid="_x0000_s1027" type="#_x0000_t202" style="position:absolute;left:2703;top:360;width:18846;height:7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9BB964B" w14:textId="77777777" w:rsidR="00C61CB6" w:rsidRDefault="00C61CB6" w:rsidP="00963C52">
                        <w:pPr>
                          <w:pStyle w:val="NormalWeb"/>
                          <w:spacing w:before="0" w:beforeAutospacing="0" w:after="0" w:afterAutospacing="0"/>
                        </w:pPr>
                        <w:r>
                          <w:rPr>
                            <w:rFonts w:ascii="DejaVu Serif" w:hAnsi="DejaVu Serif"/>
                            <w:b/>
                            <w:bCs/>
                            <w:color w:val="1F4E79" w:themeColor="accent1" w:themeShade="80"/>
                          </w:rPr>
                          <w:t>CEL STRATEGICZNY</w:t>
                        </w:r>
                      </w:p>
                    </w:txbxContent>
                  </v:textbox>
                </v:shape>
                <v:shape id="5 CuadroTexto" o:spid="_x0000_s1028" type="#_x0000_t202" style="position:absolute;left:2703;top:10453;width:19092;height:8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1B18521" w14:textId="77777777" w:rsidR="00C61CB6" w:rsidRDefault="00C61CB6" w:rsidP="00963C52">
                        <w:pPr>
                          <w:pStyle w:val="NormalWeb"/>
                          <w:spacing w:before="0" w:beforeAutospacing="0" w:after="0" w:afterAutospacing="0"/>
                        </w:pPr>
                        <w:r>
                          <w:rPr>
                            <w:rFonts w:ascii="DejaVu Serif" w:hAnsi="DejaVu Serif"/>
                            <w:b/>
                            <w:bCs/>
                            <w:color w:val="2E74B5" w:themeColor="accent1" w:themeShade="BF"/>
                          </w:rPr>
                          <w:t>CELE SZCZEGÓŁOWE</w:t>
                        </w:r>
                      </w:p>
                    </w:txbxContent>
                  </v:textbox>
                </v:shape>
                <v:shape id="6 CuadroTexto" o:spid="_x0000_s1029" type="#_x0000_t202" style="position:absolute;left:3451;top:24416;width:20663;height:8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568AAE3" w14:textId="77777777" w:rsidR="00C61CB6" w:rsidRDefault="00C61CB6" w:rsidP="00963C52">
                        <w:pPr>
                          <w:pStyle w:val="NormalWeb"/>
                          <w:spacing w:before="0" w:beforeAutospacing="0" w:after="0" w:afterAutospacing="0"/>
                        </w:pPr>
                        <w:r>
                          <w:rPr>
                            <w:rFonts w:ascii="DejaVu Serif" w:hAnsi="DejaVu Serif"/>
                            <w:b/>
                            <w:bCs/>
                            <w:color w:val="00B0F0"/>
                          </w:rPr>
                          <w:t>CELE OPERACYJNE</w:t>
                        </w:r>
                      </w:p>
                    </w:txbxContent>
                  </v:textbox>
                </v:shape>
                <v:shape id="7 CuadroTexto" o:spid="_x0000_s1030" type="#_x0000_t202" style="position:absolute;left:4842;top:32601;width:17742;height:8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1CA1120" w14:textId="77777777" w:rsidR="00C61CB6" w:rsidRDefault="00C61CB6" w:rsidP="00963C52">
                        <w:pPr>
                          <w:pStyle w:val="NormalWeb"/>
                          <w:spacing w:before="0" w:beforeAutospacing="0" w:after="0" w:afterAutospacing="0"/>
                        </w:pPr>
                        <w:r>
                          <w:rPr>
                            <w:rFonts w:ascii="DejaVu Serif" w:hAnsi="DejaVu Serif"/>
                            <w:b/>
                            <w:bCs/>
                            <w:i/>
                            <w:iCs/>
                            <w:color w:val="000000" w:themeColor="text1"/>
                            <w:sz w:val="32"/>
                            <w:szCs w:val="32"/>
                          </w:rPr>
                          <w:t>Przepisy dyrektywy</w:t>
                        </w:r>
                      </w:p>
                    </w:txbxContent>
                  </v:textbox>
                </v:shape>
                <v:roundrect id="8 Rectángulo redondeado" o:spid="_x0000_s1031" style="position:absolute;left:24114;width:95287;height:42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" fillcolor="#1f3763 [1608]" strokecolor="#1f4d78 [1604]" strokeweight="1pt">
                  <v:stroke joinstyle="miter"/>
                  <v:textbox>
                    <w:txbxContent>
                      <w:p w14:paraId="13C9D5F3" w14:textId="77777777" w:rsidR="00C61CB6" w:rsidRDefault="00C61CB6" w:rsidP="00963C52">
                        <w:pPr>
                          <w:pStyle w:val="NormalWeb"/>
                          <w:spacing w:before="0" w:beforeAutospacing="0" w:after="0" w:afterAutospacing="0"/>
                          <w:jc w:val="center"/>
                        </w:pPr>
                        <w:r>
                          <w:rPr>
                            <w:rFonts w:ascii="DejaVu Serif" w:hAnsi="DejaVu Serif"/>
                            <w:color w:val="FFFFFF" w:themeColor="light1"/>
                          </w:rPr>
                          <w:t>Dobrze działający rynek wewnętrzny</w:t>
                        </w:r>
                      </w:p>
                    </w:txbxContent>
                  </v:textbox>
                </v:roundrect>
                <v:roundrect id="9 Rectángulo redondeado" o:spid="_x0000_s1032" style="position:absolute;left:24819;top:9815;width:44824;height:46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" fillcolor="#2e74b5 [2404]" strokecolor="#1f4d78 [1604]" strokeweight="1pt">
                  <v:stroke joinstyle="miter"/>
                  <v:textbox>
                    <w:txbxContent>
                      <w:p w14:paraId="3E10F7E3" w14:textId="77777777" w:rsidR="00C61CB6" w:rsidRDefault="00C61CB6" w:rsidP="00963C52">
                        <w:pPr>
                          <w:pStyle w:val="NormalWeb"/>
                          <w:spacing w:before="0" w:beforeAutospacing="0" w:after="0" w:afterAutospacing="0"/>
                          <w:jc w:val="center"/>
                        </w:pPr>
                        <w:r>
                          <w:rPr>
                            <w:rFonts w:ascii="DejaVu Serif" w:hAnsi="DejaVu Serif"/>
                            <w:color w:val="FFFFFF" w:themeColor="light1"/>
                          </w:rPr>
                          <w:t>Umożliwienie transgranicznego przepływu broni palnej</w:t>
                        </w:r>
                      </w:p>
                    </w:txbxContent>
                  </v:textbox>
                </v:roundrect>
                <v:roundrect id="10 Rectángulo redondeado" o:spid="_x0000_s1033" style="position:absolute;left:74028;top:10160;width:43400;height:61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" fillcolor="#2e74b5 [2404]" strokecolor="#1f4d78 [1604]" strokeweight="1pt">
                  <v:stroke joinstyle="miter"/>
                  <v:textbox>
                    <w:txbxContent>
                      <w:p w14:paraId="7B5B5005" w14:textId="77777777" w:rsidR="00C61CB6" w:rsidRPr="00493A63" w:rsidRDefault="00C61CB6" w:rsidP="00963C52">
                        <w:pPr>
                          <w:pStyle w:val="NormalWeb"/>
                          <w:spacing w:before="0" w:beforeAutospacing="0" w:after="0" w:afterAutospacing="0"/>
                          <w:jc w:val="center"/>
                          <w:rPr>
                            <w:sz w:val="20"/>
                            <w:szCs w:val="20"/>
                          </w:rPr>
                        </w:pPr>
                        <w:r w:rsidRPr="00493A63">
                          <w:rPr>
                            <w:rFonts w:ascii="DejaVu Serif" w:hAnsi="DejaVu Serif"/>
                            <w:color w:val="FFFFFF" w:themeColor="light1"/>
                            <w:sz w:val="20"/>
                            <w:szCs w:val="20"/>
                          </w:rPr>
                          <w:t>Utrzymanie wysokiego poziomu bezpieczeństwa i ochrony przed przestępstwami i nielegalnym handlem</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2 Forma" o:spid="_x0000_s1034" type="#_x0000_t34" style="position:absolute;left:56504;top:-5431;width:5547;height:2496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" strokecolor="#a5a5a5 [2092]" strokeweight="2.25pt">
                  <v:stroke endarrow="open"/>
                </v:shape>
                <v:shape id="12 Forma" o:spid="_x0000_s1035" type="#_x0000_t34" style="position:absolute;left:80047;top:-4013;width:5894;height:2247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" strokecolor="#a5a5a5 [2092]" strokeweight="2.25pt">
                  <v:stroke endarrow="open"/>
                </v:shape>
                <v:roundrect id="20 Rectángulo redondeado" o:spid="_x0000_s1036" style="position:absolute;left:25020;top:19724;width:21508;height:128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" fillcolor="white [3212]" strokecolor="#0cf" strokeweight="2.25pt">
                  <v:stroke joinstyle="miter"/>
                  <v:textbox>
                    <w:txbxContent>
                      <w:p w14:paraId="6F621525" w14:textId="77777777" w:rsidR="00C61CB6" w:rsidRDefault="00C61CB6" w:rsidP="00963C52">
                        <w:pPr>
                          <w:pStyle w:val="NormalWeb"/>
                          <w:spacing w:before="0" w:beforeAutospacing="0" w:after="0" w:afterAutospacing="0"/>
                          <w:jc w:val="center"/>
                        </w:pPr>
                        <w:r>
                          <w:rPr>
                            <w:rFonts w:ascii="DejaVu Serif" w:hAnsi="DejaVu Serif"/>
                            <w:color w:val="000000" w:themeColor="text1"/>
                            <w:sz w:val="20"/>
                            <w:szCs w:val="20"/>
                          </w:rPr>
                          <w:t>Harmonizacja prawodawstwa/procedur państw członkowskich w zakresie broni palnej</w:t>
                        </w:r>
                      </w:p>
                    </w:txbxContent>
                  </v:textbox>
                </v:roundrect>
                <v:roundrect id="22 Rectángulo redondeado" o:spid="_x0000_s1037" style="position:absolute;left:47450;top:19916;width:22767;height:127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" fillcolor="white [3212]" strokecolor="#0cf" strokeweight="2.25pt">
                  <v:stroke joinstyle="miter"/>
                  <v:textbox>
                    <w:txbxContent>
                      <w:p w14:paraId="39389100" w14:textId="77777777" w:rsidR="00C61CB6" w:rsidRPr="00493A63" w:rsidRDefault="00C61CB6" w:rsidP="00963C52">
                        <w:pPr>
                          <w:pStyle w:val="NormalWeb"/>
                          <w:spacing w:before="0" w:beforeAutospacing="0" w:after="0" w:afterAutospacing="0"/>
                          <w:jc w:val="center"/>
                          <w:rPr>
                            <w:sz w:val="16"/>
                            <w:szCs w:val="16"/>
                          </w:rPr>
                        </w:pPr>
                        <w:r w:rsidRPr="00493A63">
                          <w:rPr>
                            <w:rFonts w:ascii="DejaVu Serif" w:hAnsi="DejaVu Serif"/>
                            <w:color w:val="000000" w:themeColor="text1"/>
                            <w:sz w:val="16"/>
                            <w:szCs w:val="16"/>
                          </w:rPr>
                          <w:t>Dalsze uproszczenie procedur związanych z nabywaniem, posiadaniem i transferem broni palnej (szczególnie do celów myślistwa i strzelectwa sportowego)</w:t>
                        </w:r>
                      </w:p>
                    </w:txbxContent>
                  </v:textbox>
                </v:roundrect>
                <v:roundrect id="23 Rectángulo redondeado" o:spid="_x0000_s1038" style="position:absolute;left:72683;top:19801;width:21508;height:12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" fillcolor="white [3212]" strokecolor="#0cf" strokeweight="2.25pt">
                  <v:stroke joinstyle="miter"/>
                  <v:textbox>
                    <w:txbxContent>
                      <w:p w14:paraId="35F7DE1D" w14:textId="77777777" w:rsidR="00C61CB6" w:rsidRDefault="00C61CB6" w:rsidP="00963C52">
                        <w:pPr>
                          <w:pStyle w:val="NormalWeb"/>
                          <w:spacing w:before="0" w:beforeAutospacing="0" w:after="0" w:afterAutospacing="0"/>
                          <w:jc w:val="center"/>
                        </w:pPr>
                        <w:r>
                          <w:rPr>
                            <w:rFonts w:ascii="DejaVu Serif" w:hAnsi="DejaVu Serif"/>
                            <w:color w:val="000000" w:themeColor="text1"/>
                            <w:sz w:val="20"/>
                            <w:szCs w:val="20"/>
                          </w:rPr>
                          <w:t>Zapobieganie nielegalnemu wytwarzaniu broni palnej i obrotowi taką bronią</w:t>
                        </w:r>
                      </w:p>
                    </w:txbxContent>
                  </v:textbox>
                </v:roundrect>
                <v:roundrect id="27 Rectángulo redondeado" o:spid="_x0000_s1039" style="position:absolute;left:95920;top:19647;width:21508;height:127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" fillcolor="white [3212]" strokecolor="#0cf" strokeweight="2.25pt">
                  <v:stroke joinstyle="miter"/>
                  <v:textbox>
                    <w:txbxContent>
                      <w:p w14:paraId="7FBC7BDC" w14:textId="77777777" w:rsidR="00C61CB6" w:rsidRDefault="00C61CB6" w:rsidP="00963C52">
                        <w:pPr>
                          <w:pStyle w:val="NormalWeb"/>
                          <w:spacing w:before="0" w:beforeAutospacing="0" w:after="0" w:afterAutospacing="0"/>
                          <w:jc w:val="center"/>
                        </w:pPr>
                        <w:r>
                          <w:rPr>
                            <w:rFonts w:ascii="DejaVu Serif" w:hAnsi="DejaVu Serif"/>
                            <w:color w:val="000000" w:themeColor="text1"/>
                            <w:sz w:val="20"/>
                            <w:szCs w:val="20"/>
                          </w:rPr>
                          <w:t>Lepsze śledzenie broni palnej</w:t>
                        </w:r>
                      </w:p>
                    </w:txbxContent>
                  </v:textbox>
                </v:roundrect>
                <v:shape id="12 Forma" o:spid="_x0000_s1040" type="#_x0000_t34" style="position:absolute;left:38809;top:11736;width:4953;height:1102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" strokecolor="#a5a5a5 [2092]" strokeweight="2.25pt">
                  <v:stroke endarrow="open"/>
                </v:shape>
                <v:shape id="12 Forma" o:spid="_x0000_s1041" type="#_x0000_t34" style="position:absolute;left:86364;top:11935;width:4939;height:1079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" strokecolor="#a5a5a5 [2092]" strokeweight="2.25pt">
                  <v:stroke endarrow="open"/>
                </v:shape>
                <v:shape id="12 Forma" o:spid="_x0000_s1042" type="#_x0000_t34" style="position:absolute;left:50273;top:11295;width:5145;height:1209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" strokecolor="#a5a5a5 [2092]" strokeweight="2.25pt">
                  <v:stroke endarrow="open"/>
                </v:shape>
                <v:shape id="12 Forma" o:spid="_x0000_s1043" type="#_x0000_t34" style="position:absolute;left:98059;top:11033;width:4785;height:124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" strokecolor="#a5a5a5 [2092]" strokeweight="2.25pt">
                  <v:stroke endarrow="open"/>
                </v:shape>
                <v:roundrect id="42 Rectángulo redondeado" o:spid="_x0000_s1044" style="position:absolute;left:24114;top:34113;width:95287;height:3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" fillcolor="#ccf" stroked="f" strokeweight="1pt">
                  <v:stroke joinstyle="miter"/>
                </v:roundrect>
                <v:rect id="43 Rectángulo" o:spid="_x0000_s1045" style="position:absolute;left:26454;top:44823;width:20243;height:3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" fillcolor="white [3212]" stroked="f" strokeweight="1pt">
                  <v:textbox>
                    <w:txbxContent>
                      <w:p w14:paraId="0520EB2D" w14:textId="77777777" w:rsidR="00C61CB6" w:rsidRDefault="00C61CB6" w:rsidP="00963C52">
                        <w:pPr>
                          <w:pStyle w:val="NormalWeb"/>
                          <w:spacing w:before="0" w:beforeAutospacing="0" w:after="0" w:afterAutospacing="0"/>
                          <w:jc w:val="center"/>
                        </w:pPr>
                        <w:r>
                          <w:rPr>
                            <w:rFonts w:ascii="DejaVu Serif" w:hAnsi="DejaVu Serif"/>
                            <w:color w:val="000000" w:themeColor="text1"/>
                            <w:sz w:val="20"/>
                            <w:szCs w:val="20"/>
                          </w:rPr>
                          <w:t>Kategorie broni palnej</w:t>
                        </w:r>
                      </w:p>
                    </w:txbxContent>
                  </v:textbox>
                </v:rect>
                <v:rect id="47 Rectángulo" o:spid="_x0000_s1046" style="position:absolute;left:48683;top:35841;width:20663;height:7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" fillcolor="white [3212]" stroked="f" strokeweight="1pt">
                  <v:textbox>
                    <w:txbxContent>
                      <w:p w14:paraId="7C010FD7" w14:textId="77777777" w:rsidR="00C61CB6" w:rsidRPr="00493A63" w:rsidRDefault="00C61CB6" w:rsidP="00963C52">
                        <w:pPr>
                          <w:pStyle w:val="NormalWeb"/>
                          <w:spacing w:before="0" w:beforeAutospacing="0" w:after="0" w:afterAutospacing="0"/>
                          <w:rPr>
                            <w:sz w:val="16"/>
                            <w:szCs w:val="16"/>
                          </w:rPr>
                        </w:pPr>
                        <w:r w:rsidRPr="00493A63">
                          <w:rPr>
                            <w:rFonts w:ascii="DejaVu Serif" w:hAnsi="DejaVu Serif"/>
                            <w:color w:val="000000" w:themeColor="text1"/>
                            <w:sz w:val="16"/>
                            <w:szCs w:val="16"/>
                          </w:rPr>
                          <w:t>Wydawanie licencji sprzedawcom, pośrednikom i prywatnym posiadaczom broni</w:t>
                        </w:r>
                      </w:p>
                    </w:txbxContent>
                  </v:textbox>
                </v:rect>
                <v:rect id="49 Rectángulo" o:spid="_x0000_s1047" style="position:absolute;left:73528;top:35327;width:23497;height:2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" fillcolor="white [3212]" stroked="f" strokeweight="1pt">
                  <v:textbox>
                    <w:txbxContent>
                      <w:p w14:paraId="060B8F78" w14:textId="77777777" w:rsidR="00C61CB6" w:rsidRPr="00493A63" w:rsidRDefault="00C61CB6" w:rsidP="00963C52">
                        <w:pPr>
                          <w:pStyle w:val="NormalWeb"/>
                          <w:spacing w:before="0" w:beforeAutospacing="0" w:after="0" w:afterAutospacing="0"/>
                          <w:rPr>
                            <w:sz w:val="16"/>
                            <w:szCs w:val="16"/>
                          </w:rPr>
                        </w:pPr>
                        <w:r w:rsidRPr="00493A63">
                          <w:rPr>
                            <w:rFonts w:ascii="DejaVu Serif" w:hAnsi="DejaVu Serif"/>
                            <w:color w:val="000000" w:themeColor="text1"/>
                            <w:sz w:val="16"/>
                            <w:szCs w:val="16"/>
                          </w:rPr>
                          <w:t>Pozbawianie broni cech użytkowych</w:t>
                        </w:r>
                      </w:p>
                    </w:txbxContent>
                  </v:textbox>
                </v:rect>
                <v:rect id="50 Rectángulo" o:spid="_x0000_s1048" style="position:absolute;left:73585;top:47868;width:21878;height:3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" fillcolor="white [3212]" stroked="f" strokeweight="1pt">
                  <v:textbox>
                    <w:txbxContent>
                      <w:p w14:paraId="7ADB4976" w14:textId="77777777" w:rsidR="00C61CB6" w:rsidRPr="00493A63" w:rsidRDefault="00C61CB6" w:rsidP="00963C52">
                        <w:pPr>
                          <w:pStyle w:val="NormalWeb"/>
                          <w:spacing w:before="0" w:beforeAutospacing="0" w:after="0" w:afterAutospacing="0"/>
                          <w:rPr>
                            <w:sz w:val="16"/>
                            <w:szCs w:val="16"/>
                          </w:rPr>
                        </w:pPr>
                        <w:r w:rsidRPr="00493A63">
                          <w:rPr>
                            <w:rFonts w:ascii="DejaVu Serif" w:hAnsi="DejaVu Serif"/>
                            <w:color w:val="000000" w:themeColor="text1"/>
                            <w:sz w:val="16"/>
                            <w:szCs w:val="16"/>
                          </w:rPr>
                          <w:t>Broń salutacyjna i akustyczna</w:t>
                        </w:r>
                      </w:p>
                    </w:txbxContent>
                  </v:textbox>
                </v:rect>
                <v:rect id="51 Rectángulo" o:spid="_x0000_s1049" style="position:absolute;left:98060;top:35703;width:19638;height:5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" fillcolor="white [3212]" stroked="f" strokeweight="1pt">
                  <v:textbox>
                    <w:txbxContent>
                      <w:p w14:paraId="516C3476" w14:textId="77777777" w:rsidR="00C61CB6" w:rsidRPr="00493A63" w:rsidRDefault="00C61CB6" w:rsidP="00963C52">
                        <w:pPr>
                          <w:pStyle w:val="NormalWeb"/>
                          <w:spacing w:before="0" w:beforeAutospacing="0" w:after="0" w:afterAutospacing="0"/>
                          <w:rPr>
                            <w:sz w:val="16"/>
                            <w:szCs w:val="16"/>
                          </w:rPr>
                        </w:pPr>
                        <w:r w:rsidRPr="00493A63">
                          <w:rPr>
                            <w:rFonts w:ascii="DejaVu Serif" w:hAnsi="DejaVu Serif"/>
                            <w:color w:val="000000" w:themeColor="text1"/>
                            <w:sz w:val="16"/>
                            <w:szCs w:val="16"/>
                          </w:rPr>
                          <w:t>Oznakowanie i możliwości śledzenia broni palnej</w:t>
                        </w:r>
                      </w:p>
                    </w:txbxContent>
                  </v:textbox>
                </v:rect>
                <v:rect id="51 Rectángulo" o:spid="_x0000_s1050" style="position:absolute;left:73528;top:38763;width:22998;height: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" fillcolor="white [3212]" stroked="f" strokeweight="1pt">
                  <v:textbox>
                    <w:txbxContent>
                      <w:p w14:paraId="19AE4E98" w14:textId="77777777" w:rsidR="00C61CB6" w:rsidRPr="00493A63" w:rsidRDefault="00C61CB6" w:rsidP="00963C52">
                        <w:pPr>
                          <w:pStyle w:val="NormalWeb"/>
                          <w:spacing w:before="0" w:beforeAutospacing="0" w:after="0" w:afterAutospacing="0"/>
                          <w:rPr>
                            <w:sz w:val="16"/>
                            <w:szCs w:val="16"/>
                          </w:rPr>
                        </w:pPr>
                        <w:r w:rsidRPr="00493A63">
                          <w:rPr>
                            <w:rFonts w:ascii="DejaVu Serif" w:hAnsi="DejaVu Serif"/>
                            <w:i/>
                            <w:iCs/>
                            <w:color w:val="000000" w:themeColor="text1"/>
                            <w:sz w:val="16"/>
                            <w:szCs w:val="16"/>
                          </w:rPr>
                          <w:t>Rozporządzenie wykonawcze (UE) 2018/337 ustanawiające wspólne wytyczne dotyczące norm i technik pozbawiania broni cech użytkowych</w:t>
                        </w:r>
                      </w:p>
                    </w:txbxContent>
                  </v:textbox>
                </v:rect>
                <v:rect id="51 Rectángulo" o:spid="_x0000_s1051" style="position:absolute;left:98080;top:41875;width:20658;height:12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" fillcolor="white [3212]" strokecolor="#ccf" strokeweight="1pt">
                  <v:textbox>
                    <w:txbxContent>
                      <w:p w14:paraId="4655F14F" w14:textId="3CD39D32" w:rsidR="00C61CB6" w:rsidRDefault="00C61CB6" w:rsidP="00963C52">
                        <w:pPr>
                          <w:pStyle w:val="NormalWeb"/>
                          <w:spacing w:before="0" w:beforeAutospacing="0" w:after="0" w:afterAutospacing="0"/>
                        </w:pPr>
                        <w:r>
                          <w:rPr>
                            <w:rFonts w:ascii="DejaVu Serif" w:hAnsi="DejaVu Serif"/>
                            <w:i/>
                            <w:iCs/>
                            <w:color w:val="000000" w:themeColor="text1"/>
                            <w:sz w:val="18"/>
                            <w:szCs w:val="18"/>
                          </w:rPr>
                          <w:t>Dyrektywa wykonawcza (UE) 2019/68 ustanawiająca specyfikacje techniczne dotyczące oznakowania broni palnej i jej istotnych komponentów</w:t>
                        </w:r>
                      </w:p>
                    </w:txbxContent>
                  </v:textbox>
                </v:rect>
                <v:rect id="47 Rectángulo" o:spid="_x0000_s1052" style="position:absolute;left:26454;top:35699;width:20213;height:7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" fillcolor="white [3212]" stroked="f" strokeweight="1pt">
                  <v:textbox>
                    <w:txbxContent>
                      <w:p w14:paraId="1B442A6A" w14:textId="77777777" w:rsidR="00C61CB6" w:rsidRPr="00493A63" w:rsidRDefault="00C61CB6" w:rsidP="00963C52">
                        <w:pPr>
                          <w:pStyle w:val="NormalWeb"/>
                          <w:spacing w:before="0" w:beforeAutospacing="0" w:after="0" w:afterAutospacing="0"/>
                          <w:rPr>
                            <w:sz w:val="16"/>
                            <w:szCs w:val="16"/>
                          </w:rPr>
                        </w:pPr>
                        <w:r w:rsidRPr="00493A63">
                          <w:rPr>
                            <w:rFonts w:ascii="DejaVu Serif" w:hAnsi="DejaVu Serif"/>
                            <w:color w:val="000000" w:themeColor="text1"/>
                            <w:sz w:val="16"/>
                            <w:szCs w:val="16"/>
                          </w:rPr>
                          <w:t>Wydawanie licencji sprzedawcom, pośrednikom i prywatnym posiadaczom broni</w:t>
                        </w:r>
                      </w:p>
                    </w:txbxContent>
                  </v:textbox>
                </v:rect>
                <v:rect id="48 Rectángulo" o:spid="_x0000_s1053" style="position:absolute;left:26167;top:51710;width:20500;height:8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" fillcolor="white [3212]" stroked="f" strokeweight="1pt">
                  <v:textbox>
                    <w:txbxContent>
                      <w:p w14:paraId="4880DEF2" w14:textId="77777777" w:rsidR="00C61CB6" w:rsidRDefault="00C61CB6" w:rsidP="00963C52">
                        <w:pPr>
                          <w:pStyle w:val="NormalWeb"/>
                          <w:spacing w:before="0" w:beforeAutospacing="0" w:after="0" w:afterAutospacing="0"/>
                        </w:pPr>
                        <w:r>
                          <w:rPr>
                            <w:rFonts w:ascii="DejaVu Serif" w:hAnsi="DejaVu Serif"/>
                            <w:color w:val="000000" w:themeColor="text1"/>
                            <w:sz w:val="20"/>
                            <w:szCs w:val="20"/>
                          </w:rPr>
                          <w:t>Skomputeryzowany system rejestracji danych i wymiana informacji</w:t>
                        </w:r>
                      </w:p>
                    </w:txbxContent>
                  </v:textbox>
                </v:rect>
                <v:rect id="51 Rectángulo" o:spid="_x0000_s1054" style="position:absolute;top:40705;width:22438;height:1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" fillcolor="white [3212]" strokecolor="#ccf" strokeweight="1pt">
                  <v:textbox>
                    <w:txbxContent>
                      <w:p w14:paraId="79BCB0C6" w14:textId="77777777" w:rsidR="00C61CB6" w:rsidRDefault="00C61CB6" w:rsidP="00963C52">
                        <w:pPr>
                          <w:pStyle w:val="NormalWeb"/>
                          <w:spacing w:before="0" w:beforeAutospacing="0" w:after="0" w:afterAutospacing="0"/>
                        </w:pPr>
                        <w:r>
                          <w:rPr>
                            <w:rFonts w:ascii="DejaVu Serif" w:hAnsi="DejaVu Serif"/>
                            <w:i/>
                            <w:iCs/>
                            <w:color w:val="000000" w:themeColor="text1"/>
                            <w:sz w:val="18"/>
                            <w:szCs w:val="18"/>
                          </w:rPr>
                          <w:t>Rozporządzenie delegowane (UE) 2019/686 dotyczące systematycznej wymiany drogą elektroniczną informacji dotyczących transferu broni palnej w Unii</w:t>
                        </w:r>
                      </w:p>
                    </w:txbxContent>
                  </v:textbox>
                </v:rect>
                <v:rect id="51 Rectángulo" o:spid="_x0000_s1055" style="position:absolute;left:91;top:54630;width:22220;height:15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" fillcolor="white [3212]" strokecolor="#ccf" strokeweight="1pt">
                  <v:textbox>
                    <w:txbxContent>
                      <w:p w14:paraId="00398CA9" w14:textId="410938E5" w:rsidR="00C61CB6" w:rsidRDefault="00C61CB6" w:rsidP="00963C52">
                        <w:pPr>
                          <w:pStyle w:val="NormalWeb"/>
                          <w:spacing w:before="0" w:beforeAutospacing="0" w:after="0" w:afterAutospacing="0"/>
                          <w:jc w:val="both"/>
                        </w:pPr>
                        <w:r>
                          <w:rPr>
                            <w:rFonts w:ascii="DejaVu Serif" w:hAnsi="DejaVu Serif"/>
                            <w:i/>
                            <w:iCs/>
                            <w:color w:val="000000" w:themeColor="text1"/>
                            <w:sz w:val="18"/>
                            <w:szCs w:val="18"/>
                          </w:rPr>
                          <w:t>Rozporządzenie delegowane (UE) 2021/1423 dotyczące systematycznej wymiany drogą elektroniczną informacji o odmowach wydania pozwolenia na nabycie lub posiadanie broni palnej</w:t>
                        </w:r>
                      </w:p>
                    </w:txbxContent>
                  </v:textbox>
                </v:rect>
                <v:rect id="50 Rectángulo" o:spid="_x0000_s1056" style="position:absolute;left:73585;top:52342;width:21878;height:3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" fillcolor="white [3212]" stroked="f" strokeweight="1pt">
                  <v:textbox>
                    <w:txbxContent>
                      <w:p w14:paraId="393404C8" w14:textId="2ABA7893" w:rsidR="00C61CB6" w:rsidRPr="00493A63" w:rsidRDefault="00C61CB6" w:rsidP="00963C52">
                        <w:pPr>
                          <w:pStyle w:val="NormalWeb"/>
                          <w:spacing w:before="0" w:beforeAutospacing="0" w:after="0" w:afterAutospacing="0"/>
                          <w:rPr>
                            <w:sz w:val="16"/>
                            <w:szCs w:val="16"/>
                          </w:rPr>
                        </w:pPr>
                        <w:r w:rsidRPr="00493A63">
                          <w:rPr>
                            <w:rFonts w:ascii="DejaVu Serif" w:hAnsi="DejaVu Serif"/>
                            <w:color w:val="000000" w:themeColor="text1"/>
                            <w:sz w:val="16"/>
                            <w:szCs w:val="16"/>
                          </w:rPr>
                          <w:t>Broń alarmowa i sygnałowa</w:t>
                        </w:r>
                      </w:p>
                    </w:txbxContent>
                  </v:textbox>
                </v:rect>
                <v:rect id="51 Rectángulo" o:spid="_x0000_s1057" style="position:absolute;left:73584;top:56799;width:22335;height:9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v:textbox>
                    <w:txbxContent>
                      <w:p w14:paraId="220FA307" w14:textId="4D587DE1" w:rsidR="00C61CB6" w:rsidRPr="00493A63" w:rsidRDefault="00C61CB6" w:rsidP="00963C52">
                        <w:pPr>
                          <w:pStyle w:val="NormalWeb"/>
                          <w:spacing w:before="0" w:beforeAutospacing="0" w:after="0" w:afterAutospacing="0"/>
                          <w:rPr>
                            <w:sz w:val="16"/>
                            <w:szCs w:val="16"/>
                          </w:rPr>
                        </w:pPr>
                        <w:r w:rsidRPr="00493A63">
                          <w:rPr>
                            <w:rFonts w:ascii="DejaVu Serif" w:hAnsi="DejaVu Serif"/>
                            <w:i/>
                            <w:iCs/>
                            <w:color w:val="000000" w:themeColor="text1"/>
                            <w:sz w:val="16"/>
                            <w:szCs w:val="16"/>
                          </w:rPr>
                          <w:t>Dyrektywa wykonawcza (UE) 2019/69 ustanawiająca specyfikacje techniczne dotyczące broni alarmowej i sygnałowej</w:t>
                        </w:r>
                      </w:p>
                    </w:txbxContent>
                  </v:textbox>
                </v:rect>
                <v:rect id="48 Rectángulo" o:spid="_x0000_s1058" style="position:absolute;left:48527;top:51715;width:20663;height:8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" fillcolor="white [3212]" stroked="f" strokeweight="1pt">
                  <v:textbox>
                    <w:txbxContent>
                      <w:p w14:paraId="603E6B95" w14:textId="77777777" w:rsidR="00C61CB6" w:rsidRDefault="00C61CB6" w:rsidP="00963C52">
                        <w:pPr>
                          <w:pStyle w:val="NormalWeb"/>
                          <w:spacing w:before="0" w:beforeAutospacing="0" w:after="0" w:afterAutospacing="0"/>
                        </w:pPr>
                        <w:r>
                          <w:rPr>
                            <w:rFonts w:ascii="DejaVu Serif" w:hAnsi="DejaVu Serif"/>
                            <w:color w:val="000000" w:themeColor="text1"/>
                            <w:sz w:val="20"/>
                            <w:szCs w:val="20"/>
                          </w:rPr>
                          <w:t>Skomputeryzowany system rejestracji danych i wymiana informacji</w:t>
                        </w:r>
                      </w:p>
                    </w:txbxContent>
                  </v:textbox>
                </v:rect>
                <v:rect id="43 Rectángulo" o:spid="_x0000_s1059" style="position:absolute;left:48501;top:44964;width:20689;height:3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" fillcolor="white [3212]" stroked="f" strokeweight="1pt">
                  <v:textbox>
                    <w:txbxContent>
                      <w:p w14:paraId="2C04281E" w14:textId="77777777" w:rsidR="00C61CB6" w:rsidRDefault="00C61CB6" w:rsidP="00963C52">
                        <w:pPr>
                          <w:pStyle w:val="NormalWeb"/>
                          <w:spacing w:before="0" w:beforeAutospacing="0" w:after="0" w:afterAutospacing="0"/>
                          <w:jc w:val="center"/>
                        </w:pPr>
                        <w:r>
                          <w:rPr>
                            <w:rFonts w:ascii="DejaVu Serif" w:hAnsi="DejaVu Serif"/>
                            <w:color w:val="000000" w:themeColor="text1"/>
                            <w:sz w:val="20"/>
                            <w:szCs w:val="20"/>
                          </w:rPr>
                          <w:t>Kategorie broni palnej</w:t>
                        </w:r>
                      </w:p>
                    </w:txbxContent>
                  </v:textbox>
                </v:rect>
                <v:rect id="44 Rectángulo" o:spid="_x0000_s1060" style="position:absolute;left:48757;top:61210;width:20433;height:3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" fillcolor="white [3212]" stroked="f" strokeweight="1pt">
                  <v:textbox>
                    <w:txbxContent>
                      <w:p w14:paraId="7C4324FA" w14:textId="551A2535" w:rsidR="00C61CB6" w:rsidRDefault="00C61CB6" w:rsidP="00963C52">
                        <w:pPr>
                          <w:pStyle w:val="NormalWeb"/>
                          <w:spacing w:before="0" w:beforeAutospacing="0" w:after="0" w:afterAutospacing="0"/>
                        </w:pPr>
                        <w:r>
                          <w:rPr>
                            <w:rFonts w:ascii="DejaVu Serif" w:hAnsi="DejaVu Serif"/>
                            <w:color w:val="000000" w:themeColor="text1"/>
                            <w:sz w:val="20"/>
                            <w:szCs w:val="20"/>
                          </w:rPr>
                          <w:t>Europejska karta broni palnej</w:t>
                        </w:r>
                      </w:p>
                    </w:txbxContent>
                  </v:textbox>
                </v:rect>
                <v:rect id="48 Rectángulo" o:spid="_x0000_s1061" style="position:absolute;left:98080;top:55886;width:19620;height:9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" fillcolor="white [3212]" stroked="f" strokeweight="1pt">
                  <v:textbox>
                    <w:txbxContent>
                      <w:p w14:paraId="759DB646" w14:textId="77777777" w:rsidR="00C61CB6" w:rsidRDefault="00C61CB6" w:rsidP="00963C52">
                        <w:pPr>
                          <w:pStyle w:val="NormalWeb"/>
                          <w:spacing w:before="0" w:beforeAutospacing="0" w:after="0" w:afterAutospacing="0"/>
                        </w:pPr>
                        <w:r>
                          <w:rPr>
                            <w:rFonts w:ascii="DejaVu Serif" w:hAnsi="DejaVu Serif"/>
                            <w:color w:val="000000" w:themeColor="text1"/>
                            <w:sz w:val="20"/>
                            <w:szCs w:val="20"/>
                          </w:rPr>
                          <w:t>Skomputeryzowany system rejestracji danych i wymiana informacji</w:t>
                        </w:r>
                      </w:p>
                    </w:txbxContent>
                  </v:textbox>
                </v:rect>
                <v:shape id="Elbow Connector 38" o:spid="_x0000_s1062" type="#_x0000_t34" style="position:absolute;left:22438;top:51850;width:3729;height:278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" strokecolor="#5b9bd5 [3204]" strokeweight="2.25pt">
                  <v:stroke startarrow="block" endarrow="block"/>
                </v:shape>
                <v:shape id="Elbow Connector 39" o:spid="_x0000_s1063" type="#_x0000_t34" style="position:absolute;left:22311;top:54636;width:3856;height:567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" strokecolor="#5b9bd5 [3204]" strokeweight="2.25pt">
                  <v:stroke startarrow="block"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40" o:spid="_x0000_s1064" type="#_x0000_t35" style="position:absolute;left:70754;top:39833;width:5547;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" adj="-4,297897750" strokecolor="#5b9bd5 [3204]" strokeweight="2.25pt">
                  <v:stroke startarrow="block" endarrow="block"/>
                </v:shape>
                <v:shape id="Elbow Connector 41" o:spid="_x0000_s1065" type="#_x0000_t35" style="position:absolute;left:69932;top:57755;width:7306;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" adj="-343,197532000" strokecolor="#5b9bd5 [3204]" strokeweight="2.25pt">
                  <v:stroke startarrow="block" endarrow="block"/>
                </v:shape>
                <w10:anchorlock/>
              </v:group>
            </w:pict>
          </mc:Fallback>
        </mc:AlternateContent>
      </w:r>
    </w:p>
    <w:p w14:paraId="1100F152" w14:textId="05A317F0" w:rsidR="00A35DAB" w:rsidRPr="00493A63" w:rsidRDefault="004E15AD" w:rsidP="00963C52">
      <w:pPr>
        <w:jc w:val="center"/>
        <w:rPr>
          <w:noProof/>
        </w:rPr>
      </w:pPr>
      <w:r w:rsidRPr="00493A63">
        <w:rPr>
          <w:noProof/>
        </w:rPr>
        <w:t>Wizualne przedstawienie dyrektywy</w:t>
      </w:r>
      <w:r w:rsidR="00C61CB6" w:rsidRPr="00493A63">
        <w:rPr>
          <w:noProof/>
        </w:rPr>
        <w:t xml:space="preserve"> w</w:t>
      </w:r>
      <w:r w:rsidR="00C61CB6">
        <w:rPr>
          <w:noProof/>
        </w:rPr>
        <w:t> </w:t>
      </w:r>
      <w:r w:rsidR="00C61CB6" w:rsidRPr="00493A63">
        <w:rPr>
          <w:noProof/>
        </w:rPr>
        <w:t>spr</w:t>
      </w:r>
      <w:r w:rsidRPr="00493A63">
        <w:rPr>
          <w:noProof/>
        </w:rPr>
        <w:t>awie broni palnej</w:t>
      </w:r>
    </w:p>
    <w:p w14:paraId="698C6C92" w14:textId="77777777" w:rsidR="00A35DAB" w:rsidRPr="00493A63" w:rsidRDefault="00A35DAB" w:rsidP="00C1104C">
      <w:pPr>
        <w:jc w:val="center"/>
        <w:rPr>
          <w:noProof/>
        </w:rPr>
        <w:sectPr w:rsidR="00A35DAB" w:rsidRPr="00493A63" w:rsidSect="000B6EEE">
          <w:headerReference w:type="even" r:id="rId24"/>
          <w:headerReference w:type="default" r:id="rId25"/>
          <w:footerReference w:type="even" r:id="rId26"/>
          <w:footerReference w:type="default" r:id="rId27"/>
          <w:headerReference w:type="first" r:id="rId28"/>
          <w:footerReference w:type="first" r:id="rId29"/>
          <w:pgSz w:w="16838" w:h="11906" w:orient="landscape"/>
          <w:pgMar w:top="1587" w:right="1020" w:bottom="1701" w:left="1020" w:header="601" w:footer="1077" w:gutter="0"/>
          <w:cols w:space="720"/>
          <w:titlePg/>
          <w:docGrid w:linePitch="326"/>
        </w:sectPr>
      </w:pPr>
    </w:p>
    <w:p w14:paraId="1A259FDD" w14:textId="0E157DEC" w:rsidR="0004239C" w:rsidRPr="00493A63" w:rsidRDefault="0004239C" w:rsidP="00C1104C">
      <w:pPr>
        <w:jc w:val="center"/>
        <w:rPr>
          <w:noProof/>
        </w:rPr>
      </w:pPr>
    </w:p>
    <w:p w14:paraId="30729E47" w14:textId="2CFC2D76" w:rsidR="00AC5BBD" w:rsidRPr="00493A63" w:rsidRDefault="00DD21AB" w:rsidP="00BC25EE">
      <w:pPr>
        <w:pStyle w:val="Heading2"/>
        <w:rPr>
          <w:noProof/>
        </w:rPr>
      </w:pPr>
      <w:bookmarkStart w:id="4" w:name="_Toc66179160"/>
      <w:r w:rsidRPr="00493A63">
        <w:rPr>
          <w:noProof/>
        </w:rPr>
        <w:t>Zadania Komisji</w:t>
      </w:r>
      <w:bookmarkEnd w:id="4"/>
    </w:p>
    <w:p w14:paraId="382EDE17" w14:textId="1E1B729F" w:rsidR="00F355F2" w:rsidRPr="00493A63" w:rsidRDefault="00F355F2" w:rsidP="00DB2226">
      <w:pPr>
        <w:rPr>
          <w:noProof/>
          <w:sz w:val="24"/>
          <w:szCs w:val="24"/>
        </w:rPr>
      </w:pPr>
      <w:r w:rsidRPr="00493A63">
        <w:rPr>
          <w:noProof/>
          <w:sz w:val="24"/>
          <w:szCs w:val="24"/>
        </w:rPr>
        <w:t>Dyrektywa</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 zawiera wymóg, aby Komisja przyjęła zarówno akty wykonawcze, jak</w:t>
      </w:r>
      <w:r w:rsidR="00C61CB6" w:rsidRPr="00493A63">
        <w:rPr>
          <w:noProof/>
          <w:sz w:val="24"/>
          <w:szCs w:val="24"/>
        </w:rPr>
        <w:t xml:space="preserve"> i</w:t>
      </w:r>
      <w:r w:rsidR="00C61CB6">
        <w:rPr>
          <w:noProof/>
          <w:sz w:val="24"/>
          <w:szCs w:val="24"/>
        </w:rPr>
        <w:t> </w:t>
      </w:r>
      <w:r w:rsidR="00C61CB6" w:rsidRPr="00493A63">
        <w:rPr>
          <w:noProof/>
          <w:sz w:val="24"/>
          <w:szCs w:val="24"/>
        </w:rPr>
        <w:t>del</w:t>
      </w:r>
      <w:r w:rsidRPr="00493A63">
        <w:rPr>
          <w:noProof/>
          <w:sz w:val="24"/>
          <w:szCs w:val="24"/>
        </w:rPr>
        <w:t>egowane</w:t>
      </w:r>
      <w:r w:rsidR="00C61CB6" w:rsidRPr="00493A63">
        <w:rPr>
          <w:noProof/>
          <w:sz w:val="24"/>
          <w:szCs w:val="24"/>
        </w:rPr>
        <w:t>. W</w:t>
      </w:r>
      <w:r w:rsidR="00C61CB6">
        <w:rPr>
          <w:noProof/>
          <w:sz w:val="24"/>
          <w:szCs w:val="24"/>
        </w:rPr>
        <w:t> </w:t>
      </w:r>
      <w:r w:rsidR="00C61CB6" w:rsidRPr="00493A63">
        <w:rPr>
          <w:noProof/>
          <w:sz w:val="24"/>
          <w:szCs w:val="24"/>
        </w:rPr>
        <w:t>zwi</w:t>
      </w:r>
      <w:r w:rsidRPr="00493A63">
        <w:rPr>
          <w:noProof/>
          <w:sz w:val="24"/>
          <w:szCs w:val="24"/>
        </w:rPr>
        <w:t>ązku</w:t>
      </w:r>
      <w:r w:rsidR="00C61CB6" w:rsidRPr="00493A63">
        <w:rPr>
          <w:noProof/>
          <w:sz w:val="24"/>
          <w:szCs w:val="24"/>
        </w:rPr>
        <w:t xml:space="preserve"> z</w:t>
      </w:r>
      <w:r w:rsidR="00C61CB6">
        <w:rPr>
          <w:noProof/>
          <w:sz w:val="24"/>
          <w:szCs w:val="24"/>
        </w:rPr>
        <w:t> </w:t>
      </w:r>
      <w:r w:rsidR="00C61CB6" w:rsidRPr="00493A63">
        <w:rPr>
          <w:noProof/>
          <w:sz w:val="24"/>
          <w:szCs w:val="24"/>
        </w:rPr>
        <w:t>tym</w:t>
      </w:r>
      <w:r w:rsidRPr="00493A63">
        <w:rPr>
          <w:noProof/>
          <w:sz w:val="24"/>
          <w:szCs w:val="24"/>
        </w:rPr>
        <w:t xml:space="preserve"> od wejścia</w:t>
      </w:r>
      <w:r w:rsidR="00C61CB6" w:rsidRPr="00493A63">
        <w:rPr>
          <w:noProof/>
          <w:sz w:val="24"/>
          <w:szCs w:val="24"/>
        </w:rPr>
        <w:t xml:space="preserve"> w</w:t>
      </w:r>
      <w:r w:rsidR="00C61CB6">
        <w:rPr>
          <w:noProof/>
          <w:sz w:val="24"/>
          <w:szCs w:val="24"/>
        </w:rPr>
        <w:t> </w:t>
      </w:r>
      <w:r w:rsidR="00C61CB6" w:rsidRPr="00493A63">
        <w:rPr>
          <w:noProof/>
          <w:sz w:val="24"/>
          <w:szCs w:val="24"/>
        </w:rPr>
        <w:t>życ</w:t>
      </w:r>
      <w:r w:rsidRPr="00493A63">
        <w:rPr>
          <w:noProof/>
          <w:sz w:val="24"/>
          <w:szCs w:val="24"/>
        </w:rPr>
        <w:t>ie dyrektywy Komisja przyjęła:</w:t>
      </w:r>
    </w:p>
    <w:p w14:paraId="506D48C8" w14:textId="0FDEADC0" w:rsidR="005D1672" w:rsidRPr="00493A63" w:rsidRDefault="005D1672" w:rsidP="005D1672">
      <w:pPr>
        <w:pStyle w:val="ListParagraph"/>
        <w:numPr>
          <w:ilvl w:val="0"/>
          <w:numId w:val="21"/>
        </w:numPr>
        <w:rPr>
          <w:noProof/>
          <w:sz w:val="24"/>
          <w:szCs w:val="24"/>
        </w:rPr>
      </w:pPr>
      <w:r w:rsidRPr="00493A63">
        <w:rPr>
          <w:noProof/>
          <w:sz w:val="24"/>
          <w:szCs w:val="24"/>
        </w:rPr>
        <w:t>w dniu 5 marca 2018</w:t>
      </w:r>
      <w:r w:rsidR="00493A63" w:rsidRPr="00493A63">
        <w:rPr>
          <w:noProof/>
          <w:sz w:val="24"/>
          <w:szCs w:val="24"/>
        </w:rPr>
        <w:t> </w:t>
      </w:r>
      <w:r w:rsidRPr="00493A63">
        <w:rPr>
          <w:noProof/>
          <w:sz w:val="24"/>
          <w:szCs w:val="24"/>
        </w:rPr>
        <w:t>r. (zgodnie</w:t>
      </w:r>
      <w:r w:rsidR="00C61CB6" w:rsidRPr="00493A63">
        <w:rPr>
          <w:noProof/>
          <w:sz w:val="24"/>
          <w:szCs w:val="24"/>
        </w:rPr>
        <w:t xml:space="preserve"> z</w:t>
      </w:r>
      <w:r w:rsidR="00C61CB6">
        <w:rPr>
          <w:noProof/>
          <w:sz w:val="24"/>
          <w:szCs w:val="24"/>
        </w:rPr>
        <w:t> </w:t>
      </w:r>
      <w:r w:rsidR="00C61CB6" w:rsidRPr="00493A63">
        <w:rPr>
          <w:noProof/>
          <w:sz w:val="24"/>
          <w:szCs w:val="24"/>
        </w:rPr>
        <w:t>art</w:t>
      </w:r>
      <w:r w:rsidRPr="00493A63">
        <w:rPr>
          <w:noProof/>
          <w:sz w:val="24"/>
          <w:szCs w:val="24"/>
        </w:rPr>
        <w:t>.</w:t>
      </w:r>
      <w:r w:rsidR="00493A63" w:rsidRPr="00493A63">
        <w:rPr>
          <w:noProof/>
          <w:sz w:val="24"/>
          <w:szCs w:val="24"/>
        </w:rPr>
        <w:t> </w:t>
      </w:r>
      <w:r w:rsidRPr="00493A63">
        <w:rPr>
          <w:noProof/>
          <w:sz w:val="24"/>
          <w:szCs w:val="24"/>
        </w:rPr>
        <w:t>15 ust.</w:t>
      </w:r>
      <w:r w:rsidR="00493A63" w:rsidRPr="00493A63">
        <w:rPr>
          <w:noProof/>
          <w:sz w:val="24"/>
          <w:szCs w:val="24"/>
        </w:rPr>
        <w:t> </w:t>
      </w:r>
      <w:r w:rsidRPr="00493A63">
        <w:rPr>
          <w:noProof/>
          <w:sz w:val="24"/>
          <w:szCs w:val="24"/>
        </w:rPr>
        <w:t xml:space="preserve">2) rozporządzenie wykonawcze (UE) 2018/337 zmieniające rozporządzenie wykonawcze (UE) 2015/2403 ustanawiające wspólne </w:t>
      </w:r>
      <w:r w:rsidRPr="00493A63">
        <w:rPr>
          <w:b/>
          <w:noProof/>
          <w:sz w:val="24"/>
          <w:szCs w:val="24"/>
        </w:rPr>
        <w:t>wytyczne dotyczące norm</w:t>
      </w:r>
      <w:r w:rsidR="00C61CB6" w:rsidRPr="00493A63">
        <w:rPr>
          <w:b/>
          <w:noProof/>
          <w:sz w:val="24"/>
          <w:szCs w:val="24"/>
        </w:rPr>
        <w:t xml:space="preserve"> i</w:t>
      </w:r>
      <w:r w:rsidR="00C61CB6">
        <w:rPr>
          <w:b/>
          <w:noProof/>
          <w:sz w:val="24"/>
          <w:szCs w:val="24"/>
        </w:rPr>
        <w:t> </w:t>
      </w:r>
      <w:r w:rsidR="00C61CB6" w:rsidRPr="00493A63">
        <w:rPr>
          <w:b/>
          <w:noProof/>
          <w:sz w:val="24"/>
          <w:szCs w:val="24"/>
        </w:rPr>
        <w:t>tec</w:t>
      </w:r>
      <w:r w:rsidRPr="00493A63">
        <w:rPr>
          <w:b/>
          <w:noProof/>
          <w:sz w:val="24"/>
          <w:szCs w:val="24"/>
        </w:rPr>
        <w:t>hnik pozbawiania broni cech użytkowych</w:t>
      </w:r>
      <w:r w:rsidR="00C61CB6" w:rsidRPr="00493A63">
        <w:rPr>
          <w:noProof/>
          <w:sz w:val="24"/>
          <w:szCs w:val="24"/>
        </w:rPr>
        <w:t xml:space="preserve"> w</w:t>
      </w:r>
      <w:r w:rsidR="00C61CB6">
        <w:rPr>
          <w:noProof/>
          <w:sz w:val="24"/>
          <w:szCs w:val="24"/>
        </w:rPr>
        <w:t> </w:t>
      </w:r>
      <w:r w:rsidR="00C61CB6" w:rsidRPr="00493A63">
        <w:rPr>
          <w:noProof/>
          <w:sz w:val="24"/>
          <w:szCs w:val="24"/>
        </w:rPr>
        <w:t>cel</w:t>
      </w:r>
      <w:r w:rsidRPr="00493A63">
        <w:rPr>
          <w:noProof/>
          <w:sz w:val="24"/>
          <w:szCs w:val="24"/>
        </w:rPr>
        <w:t xml:space="preserve">u zagwarantowania, że broń palna pozbawiona cech użytkowych trwale nie nadaje się do użytku; </w:t>
      </w:r>
    </w:p>
    <w:p w14:paraId="0B8DF388" w14:textId="1F945BA5" w:rsidR="005D1672" w:rsidRPr="00493A63" w:rsidRDefault="005D1672" w:rsidP="005D1672">
      <w:pPr>
        <w:pStyle w:val="ListParagraph"/>
        <w:numPr>
          <w:ilvl w:val="0"/>
          <w:numId w:val="21"/>
        </w:numPr>
        <w:rPr>
          <w:noProof/>
          <w:sz w:val="24"/>
          <w:szCs w:val="24"/>
        </w:rPr>
      </w:pPr>
      <w:r w:rsidRPr="00493A63">
        <w:rPr>
          <w:noProof/>
          <w:sz w:val="24"/>
          <w:szCs w:val="24"/>
        </w:rPr>
        <w:t>w dniu 16 stycznia 2019</w:t>
      </w:r>
      <w:r w:rsidR="00493A63" w:rsidRPr="00493A63">
        <w:rPr>
          <w:noProof/>
          <w:sz w:val="24"/>
          <w:szCs w:val="24"/>
        </w:rPr>
        <w:t> </w:t>
      </w:r>
      <w:r w:rsidRPr="00493A63">
        <w:rPr>
          <w:noProof/>
          <w:sz w:val="24"/>
          <w:szCs w:val="24"/>
        </w:rPr>
        <w:t>r. (zgodnie</w:t>
      </w:r>
      <w:r w:rsidR="00C61CB6" w:rsidRPr="00493A63">
        <w:rPr>
          <w:noProof/>
          <w:sz w:val="24"/>
          <w:szCs w:val="24"/>
        </w:rPr>
        <w:t xml:space="preserve"> z</w:t>
      </w:r>
      <w:r w:rsidR="00C61CB6">
        <w:rPr>
          <w:noProof/>
          <w:sz w:val="24"/>
          <w:szCs w:val="24"/>
        </w:rPr>
        <w:t> </w:t>
      </w:r>
      <w:r w:rsidR="00C61CB6" w:rsidRPr="00493A63">
        <w:rPr>
          <w:noProof/>
          <w:sz w:val="24"/>
          <w:szCs w:val="24"/>
        </w:rPr>
        <w:t>art</w:t>
      </w:r>
      <w:r w:rsidRPr="00493A63">
        <w:rPr>
          <w:noProof/>
          <w:sz w:val="24"/>
          <w:szCs w:val="24"/>
        </w:rPr>
        <w:t>.</w:t>
      </w:r>
      <w:r w:rsidR="00493A63" w:rsidRPr="00493A63">
        <w:rPr>
          <w:noProof/>
          <w:sz w:val="24"/>
          <w:szCs w:val="24"/>
        </w:rPr>
        <w:t> </w:t>
      </w:r>
      <w:r w:rsidRPr="00493A63">
        <w:rPr>
          <w:noProof/>
          <w:sz w:val="24"/>
          <w:szCs w:val="24"/>
        </w:rPr>
        <w:t>4 ust.</w:t>
      </w:r>
      <w:r w:rsidR="00493A63" w:rsidRPr="00493A63">
        <w:rPr>
          <w:noProof/>
          <w:sz w:val="24"/>
          <w:szCs w:val="24"/>
        </w:rPr>
        <w:t> </w:t>
      </w:r>
      <w:r w:rsidRPr="00493A63">
        <w:rPr>
          <w:noProof/>
          <w:sz w:val="24"/>
          <w:szCs w:val="24"/>
        </w:rPr>
        <w:t xml:space="preserve">3) dyrektywę wykonawczą (UE) 2019/68 ustanawiającą specyfikacje techniczne dotyczące </w:t>
      </w:r>
      <w:r w:rsidRPr="00493A63">
        <w:rPr>
          <w:b/>
          <w:noProof/>
          <w:sz w:val="24"/>
          <w:szCs w:val="24"/>
        </w:rPr>
        <w:t>oznakowania broni palnej</w:t>
      </w:r>
      <w:r w:rsidR="00C61CB6" w:rsidRPr="00493A63">
        <w:rPr>
          <w:noProof/>
          <w:sz w:val="24"/>
          <w:szCs w:val="24"/>
        </w:rPr>
        <w:t xml:space="preserve"> i</w:t>
      </w:r>
      <w:r w:rsidR="00C61CB6">
        <w:rPr>
          <w:noProof/>
          <w:sz w:val="24"/>
          <w:szCs w:val="24"/>
        </w:rPr>
        <w:t> </w:t>
      </w:r>
      <w:r w:rsidR="00C61CB6" w:rsidRPr="00493A63">
        <w:rPr>
          <w:noProof/>
          <w:sz w:val="24"/>
          <w:szCs w:val="24"/>
        </w:rPr>
        <w:t>jej</w:t>
      </w:r>
      <w:r w:rsidRPr="00493A63">
        <w:rPr>
          <w:noProof/>
          <w:sz w:val="24"/>
          <w:szCs w:val="24"/>
        </w:rPr>
        <w:t xml:space="preserve"> istotnych komponentów zgodnie</w:t>
      </w:r>
      <w:r w:rsidR="00C61CB6" w:rsidRPr="00493A63">
        <w:rPr>
          <w:noProof/>
          <w:sz w:val="24"/>
          <w:szCs w:val="24"/>
        </w:rPr>
        <w:t xml:space="preserve"> z</w:t>
      </w:r>
      <w:r w:rsidR="00C61CB6">
        <w:rPr>
          <w:noProof/>
          <w:sz w:val="24"/>
          <w:szCs w:val="24"/>
        </w:rPr>
        <w:t> </w:t>
      </w:r>
      <w:r w:rsidR="00C61CB6" w:rsidRPr="00493A63">
        <w:rPr>
          <w:noProof/>
          <w:sz w:val="24"/>
          <w:szCs w:val="24"/>
        </w:rPr>
        <w:t>dyr</w:t>
      </w:r>
      <w:r w:rsidRPr="00493A63">
        <w:rPr>
          <w:noProof/>
          <w:sz w:val="24"/>
          <w:szCs w:val="24"/>
        </w:rPr>
        <w:t>ektywą Rady 91/477/EWG</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kontroli nabywania</w:t>
      </w:r>
      <w:r w:rsidR="00C61CB6" w:rsidRPr="00493A63">
        <w:rPr>
          <w:noProof/>
          <w:sz w:val="24"/>
          <w:szCs w:val="24"/>
        </w:rPr>
        <w:t xml:space="preserve"> i</w:t>
      </w:r>
      <w:r w:rsidR="00C61CB6">
        <w:rPr>
          <w:noProof/>
          <w:sz w:val="24"/>
          <w:szCs w:val="24"/>
        </w:rPr>
        <w:t> </w:t>
      </w:r>
      <w:r w:rsidR="00C61CB6" w:rsidRPr="00493A63">
        <w:rPr>
          <w:noProof/>
          <w:sz w:val="24"/>
          <w:szCs w:val="24"/>
        </w:rPr>
        <w:t>pos</w:t>
      </w:r>
      <w:r w:rsidRPr="00493A63">
        <w:rPr>
          <w:noProof/>
          <w:sz w:val="24"/>
          <w:szCs w:val="24"/>
        </w:rPr>
        <w:t>iadania broni (zob. sekcja 5.4.2);</w:t>
      </w:r>
    </w:p>
    <w:p w14:paraId="5FC457D6" w14:textId="46F280E5" w:rsidR="005D1672" w:rsidRPr="00493A63" w:rsidRDefault="008A1C4F" w:rsidP="005D1672">
      <w:pPr>
        <w:pStyle w:val="ListParagraph"/>
        <w:numPr>
          <w:ilvl w:val="0"/>
          <w:numId w:val="21"/>
        </w:numPr>
        <w:rPr>
          <w:noProof/>
          <w:sz w:val="24"/>
          <w:szCs w:val="24"/>
        </w:rPr>
      </w:pPr>
      <w:r w:rsidRPr="00493A63">
        <w:rPr>
          <w:noProof/>
          <w:sz w:val="24"/>
          <w:szCs w:val="24"/>
        </w:rPr>
        <w:t>w dniu 16 stycznia 2019</w:t>
      </w:r>
      <w:r w:rsidR="00493A63" w:rsidRPr="00493A63">
        <w:rPr>
          <w:noProof/>
          <w:sz w:val="24"/>
          <w:szCs w:val="24"/>
        </w:rPr>
        <w:t> </w:t>
      </w:r>
      <w:r w:rsidRPr="00493A63">
        <w:rPr>
          <w:noProof/>
          <w:sz w:val="24"/>
          <w:szCs w:val="24"/>
        </w:rPr>
        <w:t>r. (zgodnie</w:t>
      </w:r>
      <w:r w:rsidR="00C61CB6" w:rsidRPr="00493A63">
        <w:rPr>
          <w:noProof/>
          <w:sz w:val="24"/>
          <w:szCs w:val="24"/>
        </w:rPr>
        <w:t xml:space="preserve"> z</w:t>
      </w:r>
      <w:r w:rsidR="00C61CB6">
        <w:rPr>
          <w:noProof/>
          <w:sz w:val="24"/>
          <w:szCs w:val="24"/>
        </w:rPr>
        <w:t> </w:t>
      </w:r>
      <w:r w:rsidR="00C61CB6" w:rsidRPr="00493A63">
        <w:rPr>
          <w:noProof/>
          <w:sz w:val="24"/>
          <w:szCs w:val="24"/>
        </w:rPr>
        <w:t>art</w:t>
      </w:r>
      <w:r w:rsidRPr="00493A63">
        <w:rPr>
          <w:noProof/>
          <w:sz w:val="24"/>
          <w:szCs w:val="24"/>
        </w:rPr>
        <w:t>.</w:t>
      </w:r>
      <w:r w:rsidR="00493A63" w:rsidRPr="00493A63">
        <w:rPr>
          <w:noProof/>
          <w:sz w:val="24"/>
          <w:szCs w:val="24"/>
        </w:rPr>
        <w:t> </w:t>
      </w:r>
      <w:r w:rsidRPr="00493A63">
        <w:rPr>
          <w:noProof/>
          <w:sz w:val="24"/>
          <w:szCs w:val="24"/>
        </w:rPr>
        <w:t>14 ust.</w:t>
      </w:r>
      <w:r w:rsidR="00493A63" w:rsidRPr="00493A63">
        <w:rPr>
          <w:noProof/>
          <w:sz w:val="24"/>
          <w:szCs w:val="24"/>
        </w:rPr>
        <w:t> </w:t>
      </w:r>
      <w:r w:rsidRPr="00493A63">
        <w:rPr>
          <w:noProof/>
          <w:sz w:val="24"/>
          <w:szCs w:val="24"/>
        </w:rPr>
        <w:t xml:space="preserve">3) dyrektywę wykonawczą (UE) 2019/69 ustanawiającą specyfikacje techniczne dotyczące </w:t>
      </w:r>
      <w:r w:rsidRPr="00493A63">
        <w:rPr>
          <w:b/>
          <w:noProof/>
          <w:sz w:val="24"/>
          <w:szCs w:val="24"/>
        </w:rPr>
        <w:t>broni alarmowej</w:t>
      </w:r>
      <w:r w:rsidR="00C61CB6" w:rsidRPr="00493A63">
        <w:rPr>
          <w:b/>
          <w:noProof/>
          <w:sz w:val="24"/>
          <w:szCs w:val="24"/>
        </w:rPr>
        <w:t xml:space="preserve"> i</w:t>
      </w:r>
      <w:r w:rsidR="00C61CB6">
        <w:rPr>
          <w:b/>
          <w:noProof/>
          <w:sz w:val="24"/>
          <w:szCs w:val="24"/>
        </w:rPr>
        <w:t> </w:t>
      </w:r>
      <w:r w:rsidR="00C61CB6" w:rsidRPr="00493A63">
        <w:rPr>
          <w:b/>
          <w:noProof/>
          <w:sz w:val="24"/>
          <w:szCs w:val="24"/>
        </w:rPr>
        <w:t>syg</w:t>
      </w:r>
      <w:r w:rsidRPr="00493A63">
        <w:rPr>
          <w:b/>
          <w:noProof/>
          <w:sz w:val="24"/>
          <w:szCs w:val="24"/>
        </w:rPr>
        <w:t>nałowej</w:t>
      </w:r>
      <w:r w:rsidRPr="00493A63">
        <w:rPr>
          <w:noProof/>
          <w:sz w:val="24"/>
          <w:szCs w:val="24"/>
        </w:rPr>
        <w:t xml:space="preserve"> zgodnie</w:t>
      </w:r>
      <w:r w:rsidR="00C61CB6" w:rsidRPr="00493A63">
        <w:rPr>
          <w:noProof/>
          <w:sz w:val="24"/>
          <w:szCs w:val="24"/>
        </w:rPr>
        <w:t xml:space="preserve"> z</w:t>
      </w:r>
      <w:r w:rsidR="00C61CB6">
        <w:rPr>
          <w:noProof/>
          <w:sz w:val="24"/>
          <w:szCs w:val="24"/>
        </w:rPr>
        <w:t> </w:t>
      </w:r>
      <w:r w:rsidR="00C61CB6" w:rsidRPr="00493A63">
        <w:rPr>
          <w:noProof/>
          <w:sz w:val="24"/>
          <w:szCs w:val="24"/>
        </w:rPr>
        <w:t>dyr</w:t>
      </w:r>
      <w:r w:rsidRPr="00493A63">
        <w:rPr>
          <w:noProof/>
          <w:sz w:val="24"/>
          <w:szCs w:val="24"/>
        </w:rPr>
        <w:t>ektywą Rady 91/477/EWG</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kontroli nabywania</w:t>
      </w:r>
      <w:r w:rsidR="00C61CB6" w:rsidRPr="00493A63">
        <w:rPr>
          <w:noProof/>
          <w:sz w:val="24"/>
          <w:szCs w:val="24"/>
        </w:rPr>
        <w:t xml:space="preserve"> i</w:t>
      </w:r>
      <w:r w:rsidR="00C61CB6">
        <w:rPr>
          <w:noProof/>
          <w:sz w:val="24"/>
          <w:szCs w:val="24"/>
        </w:rPr>
        <w:t> </w:t>
      </w:r>
      <w:r w:rsidR="00C61CB6" w:rsidRPr="00493A63">
        <w:rPr>
          <w:noProof/>
          <w:sz w:val="24"/>
          <w:szCs w:val="24"/>
        </w:rPr>
        <w:t>pos</w:t>
      </w:r>
      <w:r w:rsidRPr="00493A63">
        <w:rPr>
          <w:noProof/>
          <w:sz w:val="24"/>
          <w:szCs w:val="24"/>
        </w:rPr>
        <w:t xml:space="preserve">iadania broni; </w:t>
      </w:r>
    </w:p>
    <w:p w14:paraId="0A6A85C3" w14:textId="6F51FAE0" w:rsidR="005D1672" w:rsidRPr="00493A63" w:rsidRDefault="008A1C4F" w:rsidP="0004239C">
      <w:pPr>
        <w:pStyle w:val="ListParagraph"/>
        <w:numPr>
          <w:ilvl w:val="0"/>
          <w:numId w:val="21"/>
        </w:numPr>
        <w:rPr>
          <w:noProof/>
        </w:rPr>
      </w:pPr>
      <w:r w:rsidRPr="00493A63">
        <w:rPr>
          <w:noProof/>
          <w:sz w:val="24"/>
          <w:szCs w:val="24"/>
        </w:rPr>
        <w:t>w dniu 16 stycznia 2019</w:t>
      </w:r>
      <w:r w:rsidR="00493A63" w:rsidRPr="00493A63">
        <w:rPr>
          <w:noProof/>
          <w:sz w:val="24"/>
          <w:szCs w:val="24"/>
        </w:rPr>
        <w:t> </w:t>
      </w:r>
      <w:r w:rsidRPr="00493A63">
        <w:rPr>
          <w:noProof/>
          <w:sz w:val="24"/>
          <w:szCs w:val="24"/>
        </w:rPr>
        <w:t>r. (zgodnie</w:t>
      </w:r>
      <w:r w:rsidR="00C61CB6" w:rsidRPr="00493A63">
        <w:rPr>
          <w:noProof/>
          <w:sz w:val="24"/>
          <w:szCs w:val="24"/>
        </w:rPr>
        <w:t xml:space="preserve"> z</w:t>
      </w:r>
      <w:r w:rsidR="00C61CB6">
        <w:rPr>
          <w:noProof/>
          <w:sz w:val="24"/>
          <w:szCs w:val="24"/>
        </w:rPr>
        <w:t> </w:t>
      </w:r>
      <w:r w:rsidR="00C61CB6" w:rsidRPr="00493A63">
        <w:rPr>
          <w:noProof/>
          <w:sz w:val="24"/>
          <w:szCs w:val="24"/>
        </w:rPr>
        <w:t>art</w:t>
      </w:r>
      <w:r w:rsidRPr="00493A63">
        <w:rPr>
          <w:noProof/>
          <w:sz w:val="24"/>
          <w:szCs w:val="24"/>
        </w:rPr>
        <w:t>.</w:t>
      </w:r>
      <w:r w:rsidR="00493A63" w:rsidRPr="00493A63">
        <w:rPr>
          <w:noProof/>
          <w:sz w:val="24"/>
          <w:szCs w:val="24"/>
        </w:rPr>
        <w:t> </w:t>
      </w:r>
      <w:r w:rsidRPr="00493A63">
        <w:rPr>
          <w:noProof/>
          <w:sz w:val="24"/>
          <w:szCs w:val="24"/>
        </w:rPr>
        <w:t>18 ust.</w:t>
      </w:r>
      <w:r w:rsidR="00493A63" w:rsidRPr="00493A63">
        <w:rPr>
          <w:noProof/>
          <w:sz w:val="24"/>
          <w:szCs w:val="24"/>
        </w:rPr>
        <w:t> </w:t>
      </w:r>
      <w:r w:rsidRPr="00493A63">
        <w:rPr>
          <w:noProof/>
          <w:sz w:val="24"/>
          <w:szCs w:val="24"/>
        </w:rPr>
        <w:t>4</w:t>
      </w:r>
      <w:r w:rsidR="00C61CB6" w:rsidRPr="00493A63">
        <w:rPr>
          <w:noProof/>
          <w:sz w:val="24"/>
          <w:szCs w:val="24"/>
        </w:rPr>
        <w:t xml:space="preserve"> i</w:t>
      </w:r>
      <w:r w:rsidR="00C61CB6">
        <w:rPr>
          <w:noProof/>
          <w:sz w:val="24"/>
          <w:szCs w:val="24"/>
        </w:rPr>
        <w:t> </w:t>
      </w:r>
      <w:r w:rsidR="00C61CB6" w:rsidRPr="00493A63">
        <w:rPr>
          <w:noProof/>
          <w:sz w:val="24"/>
          <w:szCs w:val="24"/>
        </w:rPr>
        <w:t>art</w:t>
      </w:r>
      <w:r w:rsidRPr="00493A63">
        <w:rPr>
          <w:noProof/>
          <w:sz w:val="24"/>
          <w:szCs w:val="24"/>
        </w:rPr>
        <w:t>.</w:t>
      </w:r>
      <w:r w:rsidR="00493A63" w:rsidRPr="00493A63">
        <w:rPr>
          <w:noProof/>
          <w:sz w:val="24"/>
          <w:szCs w:val="24"/>
        </w:rPr>
        <w:t> </w:t>
      </w:r>
      <w:r w:rsidRPr="00493A63">
        <w:rPr>
          <w:noProof/>
          <w:sz w:val="24"/>
          <w:szCs w:val="24"/>
        </w:rPr>
        <w:t>21 ust.</w:t>
      </w:r>
      <w:r w:rsidR="00493A63" w:rsidRPr="00493A63">
        <w:rPr>
          <w:noProof/>
          <w:sz w:val="24"/>
          <w:szCs w:val="24"/>
        </w:rPr>
        <w:t> </w:t>
      </w:r>
      <w:r w:rsidRPr="00493A63">
        <w:rPr>
          <w:noProof/>
          <w:sz w:val="24"/>
          <w:szCs w:val="24"/>
        </w:rPr>
        <w:t xml:space="preserve">5) rozporządzenie delegowane Komisji (UE) 2019/686 ustanawiające, na podstawie dyrektywy Rady 91/477/EWG, szczegółowe zasady </w:t>
      </w:r>
      <w:r w:rsidRPr="00493A63">
        <w:rPr>
          <w:b/>
          <w:noProof/>
          <w:sz w:val="24"/>
          <w:szCs w:val="24"/>
        </w:rPr>
        <w:t>systematycznej wymiany drogą elektroniczną informacji dotyczących transferu broni palnej</w:t>
      </w:r>
      <w:r w:rsidR="00C61CB6" w:rsidRPr="00493A63">
        <w:rPr>
          <w:b/>
          <w:noProof/>
          <w:sz w:val="24"/>
          <w:szCs w:val="24"/>
        </w:rPr>
        <w:t xml:space="preserve"> </w:t>
      </w:r>
      <w:r w:rsidR="00C61CB6" w:rsidRPr="00493A63">
        <w:rPr>
          <w:noProof/>
          <w:sz w:val="24"/>
          <w:szCs w:val="24"/>
        </w:rPr>
        <w:t>w</w:t>
      </w:r>
      <w:r w:rsidR="00C61CB6">
        <w:rPr>
          <w:b/>
          <w:noProof/>
          <w:sz w:val="24"/>
          <w:szCs w:val="24"/>
        </w:rPr>
        <w:t> </w:t>
      </w:r>
      <w:r w:rsidR="00C61CB6" w:rsidRPr="00493A63">
        <w:rPr>
          <w:noProof/>
          <w:sz w:val="24"/>
          <w:szCs w:val="24"/>
        </w:rPr>
        <w:t>Uni</w:t>
      </w:r>
      <w:r w:rsidRPr="00493A63">
        <w:rPr>
          <w:noProof/>
          <w:sz w:val="24"/>
          <w:szCs w:val="24"/>
        </w:rPr>
        <w:t xml:space="preserve">i (zob. sekcja 5.4.1); </w:t>
      </w:r>
    </w:p>
    <w:p w14:paraId="3DF8AC11" w14:textId="657BF282" w:rsidR="005D1672" w:rsidRPr="00493A63" w:rsidRDefault="008A1C4F" w:rsidP="0004239C">
      <w:pPr>
        <w:pStyle w:val="ListParagraph"/>
        <w:numPr>
          <w:ilvl w:val="0"/>
          <w:numId w:val="21"/>
        </w:numPr>
        <w:rPr>
          <w:noProof/>
          <w:sz w:val="24"/>
          <w:szCs w:val="24"/>
        </w:rPr>
      </w:pPr>
      <w:r w:rsidRPr="00493A63">
        <w:rPr>
          <w:noProof/>
          <w:sz w:val="24"/>
          <w:szCs w:val="24"/>
        </w:rPr>
        <w:t>w dniu 21 maja 2021</w:t>
      </w:r>
      <w:r w:rsidR="00493A63" w:rsidRPr="00493A63">
        <w:rPr>
          <w:noProof/>
          <w:sz w:val="24"/>
          <w:szCs w:val="24"/>
        </w:rPr>
        <w:t> </w:t>
      </w:r>
      <w:r w:rsidRPr="00493A63">
        <w:rPr>
          <w:noProof/>
          <w:sz w:val="24"/>
          <w:szCs w:val="24"/>
        </w:rPr>
        <w:t xml:space="preserve">r. rozporządzenie delegowane Komisji </w:t>
      </w:r>
      <w:r w:rsidRPr="00493A63">
        <w:rPr>
          <w:noProof/>
        </w:rPr>
        <w:t>(UE) 2021/1423</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 xml:space="preserve">awie </w:t>
      </w:r>
      <w:r w:rsidRPr="00493A63">
        <w:rPr>
          <w:b/>
          <w:noProof/>
          <w:sz w:val="24"/>
          <w:szCs w:val="24"/>
        </w:rPr>
        <w:t>odmów wydania pozwolenia na nabycie lub posiadanie broni palnej</w:t>
      </w:r>
      <w:r w:rsidRPr="00493A63">
        <w:rPr>
          <w:noProof/>
          <w:sz w:val="24"/>
          <w:szCs w:val="24"/>
        </w:rPr>
        <w:t xml:space="preserve">; </w:t>
      </w:r>
    </w:p>
    <w:p w14:paraId="5276732C" w14:textId="2C0A3E4D" w:rsidR="001254DD" w:rsidRPr="00493A63" w:rsidRDefault="005D54E5" w:rsidP="0004239C">
      <w:pPr>
        <w:pStyle w:val="ListParagraph"/>
        <w:numPr>
          <w:ilvl w:val="0"/>
          <w:numId w:val="21"/>
        </w:numPr>
        <w:spacing w:after="0" w:line="240" w:lineRule="auto"/>
        <w:rPr>
          <w:noProof/>
        </w:rPr>
      </w:pPr>
      <w:r w:rsidRPr="00493A63">
        <w:rPr>
          <w:noProof/>
          <w:sz w:val="24"/>
          <w:szCs w:val="24"/>
        </w:rPr>
        <w:t>dwa projekty pilotażowe</w:t>
      </w:r>
      <w:r w:rsidR="00C61CB6" w:rsidRPr="00493A63">
        <w:rPr>
          <w:noProof/>
          <w:sz w:val="24"/>
          <w:szCs w:val="24"/>
        </w:rPr>
        <w:t xml:space="preserve"> w</w:t>
      </w:r>
      <w:r w:rsidR="00C61CB6">
        <w:rPr>
          <w:noProof/>
          <w:sz w:val="24"/>
          <w:szCs w:val="24"/>
        </w:rPr>
        <w:t> </w:t>
      </w:r>
      <w:r w:rsidR="00C61CB6" w:rsidRPr="00493A63">
        <w:rPr>
          <w:noProof/>
          <w:sz w:val="24"/>
          <w:szCs w:val="24"/>
        </w:rPr>
        <w:t>cel</w:t>
      </w:r>
      <w:r w:rsidRPr="00493A63">
        <w:rPr>
          <w:noProof/>
          <w:sz w:val="24"/>
          <w:szCs w:val="24"/>
        </w:rPr>
        <w:t>u wdrożenia współpracy administracyjnej</w:t>
      </w:r>
      <w:r w:rsidR="00C61CB6" w:rsidRPr="00493A63">
        <w:rPr>
          <w:noProof/>
          <w:sz w:val="24"/>
          <w:szCs w:val="24"/>
        </w:rPr>
        <w:t xml:space="preserve"> w</w:t>
      </w:r>
      <w:r w:rsidR="00C61CB6">
        <w:rPr>
          <w:noProof/>
          <w:sz w:val="24"/>
          <w:szCs w:val="24"/>
        </w:rPr>
        <w:t> </w:t>
      </w:r>
      <w:r w:rsidR="00C61CB6" w:rsidRPr="00493A63">
        <w:rPr>
          <w:noProof/>
          <w:sz w:val="24"/>
          <w:szCs w:val="24"/>
        </w:rPr>
        <w:t>odn</w:t>
      </w:r>
      <w:r w:rsidRPr="00493A63">
        <w:rPr>
          <w:noProof/>
          <w:sz w:val="24"/>
          <w:szCs w:val="24"/>
        </w:rPr>
        <w:t>iesieniu do dwóch powyższych rozporządzeń delegowanych Komisji (zgodnie</w:t>
      </w:r>
      <w:r w:rsidR="00C61CB6" w:rsidRPr="00493A63">
        <w:rPr>
          <w:noProof/>
          <w:sz w:val="24"/>
          <w:szCs w:val="24"/>
        </w:rPr>
        <w:t xml:space="preserve"> z</w:t>
      </w:r>
      <w:r w:rsidR="00C61CB6">
        <w:rPr>
          <w:noProof/>
          <w:sz w:val="24"/>
          <w:szCs w:val="24"/>
        </w:rPr>
        <w:t> </w:t>
      </w:r>
      <w:r w:rsidR="00C61CB6" w:rsidRPr="00493A63">
        <w:rPr>
          <w:noProof/>
          <w:sz w:val="24"/>
          <w:szCs w:val="24"/>
        </w:rPr>
        <w:t>art</w:t>
      </w:r>
      <w:r w:rsidRPr="00493A63">
        <w:rPr>
          <w:noProof/>
          <w:sz w:val="24"/>
          <w:szCs w:val="24"/>
        </w:rPr>
        <w:t>.</w:t>
      </w:r>
      <w:r w:rsidR="00493A63" w:rsidRPr="00493A63">
        <w:rPr>
          <w:noProof/>
          <w:sz w:val="24"/>
          <w:szCs w:val="24"/>
        </w:rPr>
        <w:t> </w:t>
      </w:r>
      <w:r w:rsidRPr="00493A63">
        <w:rPr>
          <w:noProof/>
          <w:sz w:val="24"/>
          <w:szCs w:val="24"/>
        </w:rPr>
        <w:t>4 rozporządzenia (UE) nr</w:t>
      </w:r>
      <w:r w:rsidR="00493A63" w:rsidRPr="00493A63">
        <w:rPr>
          <w:noProof/>
          <w:sz w:val="24"/>
          <w:szCs w:val="24"/>
        </w:rPr>
        <w:t> </w:t>
      </w:r>
      <w:r w:rsidRPr="00493A63">
        <w:rPr>
          <w:noProof/>
          <w:sz w:val="24"/>
          <w:szCs w:val="24"/>
        </w:rPr>
        <w:t>1024/2012 regulującego system wymiany informacji na rynku wewnętrznym).</w:t>
      </w:r>
      <w:bookmarkStart w:id="5" w:name="_Toc65663048"/>
      <w:bookmarkStart w:id="6" w:name="_Toc65663472"/>
      <w:bookmarkStart w:id="7" w:name="_Toc65663502"/>
      <w:bookmarkEnd w:id="5"/>
      <w:bookmarkEnd w:id="6"/>
      <w:bookmarkEnd w:id="7"/>
    </w:p>
    <w:p w14:paraId="252D4FC1" w14:textId="2376E13A" w:rsidR="00DC2766" w:rsidRPr="00493A63" w:rsidRDefault="00DC2766" w:rsidP="00BC25EE">
      <w:pPr>
        <w:pStyle w:val="Heading2"/>
        <w:rPr>
          <w:noProof/>
        </w:rPr>
      </w:pPr>
      <w:bookmarkStart w:id="8" w:name="_Toc66179161"/>
      <w:r w:rsidRPr="00493A63">
        <w:rPr>
          <w:noProof/>
        </w:rPr>
        <w:t>Transpozycja dyrektywy</w:t>
      </w:r>
      <w:r w:rsidR="00C61CB6" w:rsidRPr="00493A63">
        <w:rPr>
          <w:noProof/>
        </w:rPr>
        <w:t xml:space="preserve"> i</w:t>
      </w:r>
      <w:r w:rsidR="00C61CB6">
        <w:rPr>
          <w:noProof/>
        </w:rPr>
        <w:t> </w:t>
      </w:r>
      <w:r w:rsidR="00C61CB6" w:rsidRPr="00493A63">
        <w:rPr>
          <w:noProof/>
        </w:rPr>
        <w:t>pra</w:t>
      </w:r>
      <w:r w:rsidRPr="00493A63">
        <w:rPr>
          <w:noProof/>
        </w:rPr>
        <w:t>wa wtórnego przez państwa członkowskie</w:t>
      </w:r>
      <w:bookmarkEnd w:id="8"/>
    </w:p>
    <w:p w14:paraId="3C206A35" w14:textId="40C27873" w:rsidR="00550BB3" w:rsidRPr="00493A63" w:rsidRDefault="002236A2" w:rsidP="00A337CB">
      <w:pPr>
        <w:rPr>
          <w:noProof/>
          <w:sz w:val="24"/>
          <w:szCs w:val="24"/>
        </w:rPr>
      </w:pPr>
      <w:r w:rsidRPr="00493A63">
        <w:rPr>
          <w:noProof/>
          <w:sz w:val="24"/>
          <w:szCs w:val="24"/>
        </w:rPr>
        <w:t>Dyrektywę</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 zmienioną</w:t>
      </w:r>
      <w:r w:rsidR="00C61CB6" w:rsidRPr="00493A63">
        <w:rPr>
          <w:noProof/>
          <w:sz w:val="24"/>
          <w:szCs w:val="24"/>
        </w:rPr>
        <w:t xml:space="preserve"> w</w:t>
      </w:r>
      <w:r w:rsidR="00C61CB6">
        <w:rPr>
          <w:noProof/>
          <w:sz w:val="24"/>
          <w:szCs w:val="24"/>
        </w:rPr>
        <w:t> </w:t>
      </w:r>
      <w:r w:rsidR="00C61CB6" w:rsidRPr="00493A63">
        <w:rPr>
          <w:noProof/>
          <w:sz w:val="24"/>
          <w:szCs w:val="24"/>
        </w:rPr>
        <w:t>2</w:t>
      </w:r>
      <w:r w:rsidRPr="00493A63">
        <w:rPr>
          <w:noProof/>
          <w:sz w:val="24"/>
          <w:szCs w:val="24"/>
        </w:rPr>
        <w:t>017</w:t>
      </w:r>
      <w:r w:rsidR="00493A63" w:rsidRPr="00493A63">
        <w:rPr>
          <w:noProof/>
          <w:sz w:val="24"/>
          <w:szCs w:val="24"/>
        </w:rPr>
        <w:t> </w:t>
      </w:r>
      <w:r w:rsidRPr="00493A63">
        <w:rPr>
          <w:noProof/>
          <w:sz w:val="24"/>
          <w:szCs w:val="24"/>
        </w:rPr>
        <w:t>r. należało transponować do dnia 14 września 2018</w:t>
      </w:r>
      <w:r w:rsidR="00493A63" w:rsidRPr="00493A63">
        <w:rPr>
          <w:noProof/>
          <w:sz w:val="24"/>
          <w:szCs w:val="24"/>
        </w:rPr>
        <w:t> </w:t>
      </w:r>
      <w:r w:rsidRPr="00493A63">
        <w:rPr>
          <w:noProof/>
          <w:sz w:val="24"/>
          <w:szCs w:val="24"/>
        </w:rPr>
        <w:t>r.,</w:t>
      </w:r>
      <w:r w:rsidR="00C61CB6" w:rsidRPr="00493A63">
        <w:rPr>
          <w:noProof/>
          <w:sz w:val="24"/>
          <w:szCs w:val="24"/>
        </w:rPr>
        <w:t xml:space="preserve"> z</w:t>
      </w:r>
      <w:r w:rsidR="00C61CB6">
        <w:rPr>
          <w:noProof/>
          <w:sz w:val="24"/>
          <w:szCs w:val="24"/>
        </w:rPr>
        <w:t> </w:t>
      </w:r>
      <w:r w:rsidR="00C61CB6" w:rsidRPr="00493A63">
        <w:rPr>
          <w:noProof/>
          <w:sz w:val="24"/>
          <w:szCs w:val="24"/>
        </w:rPr>
        <w:t>wyj</w:t>
      </w:r>
      <w:r w:rsidRPr="00493A63">
        <w:rPr>
          <w:noProof/>
          <w:sz w:val="24"/>
          <w:szCs w:val="24"/>
        </w:rPr>
        <w:t>ątkiem art.</w:t>
      </w:r>
      <w:r w:rsidR="00493A63" w:rsidRPr="00493A63">
        <w:rPr>
          <w:noProof/>
          <w:sz w:val="24"/>
          <w:szCs w:val="24"/>
        </w:rPr>
        <w:t> </w:t>
      </w:r>
      <w:r w:rsidRPr="00493A63">
        <w:rPr>
          <w:noProof/>
          <w:sz w:val="24"/>
          <w:szCs w:val="24"/>
        </w:rPr>
        <w:t>4 ust.</w:t>
      </w:r>
      <w:r w:rsidR="00493A63" w:rsidRPr="00493A63">
        <w:rPr>
          <w:noProof/>
          <w:sz w:val="24"/>
          <w:szCs w:val="24"/>
        </w:rPr>
        <w:t> </w:t>
      </w:r>
      <w:r w:rsidRPr="00493A63">
        <w:rPr>
          <w:noProof/>
          <w:sz w:val="24"/>
          <w:szCs w:val="24"/>
        </w:rPr>
        <w:t>4 dotyczącego regulacji działalności sprzedawców broni</w:t>
      </w:r>
      <w:r w:rsidR="00C61CB6" w:rsidRPr="00493A63">
        <w:rPr>
          <w:noProof/>
          <w:sz w:val="24"/>
          <w:szCs w:val="24"/>
        </w:rPr>
        <w:t xml:space="preserve"> i</w:t>
      </w:r>
      <w:r w:rsidR="00C61CB6">
        <w:rPr>
          <w:noProof/>
          <w:sz w:val="24"/>
          <w:szCs w:val="24"/>
        </w:rPr>
        <w:t> </w:t>
      </w:r>
      <w:r w:rsidR="00C61CB6" w:rsidRPr="00493A63">
        <w:rPr>
          <w:noProof/>
          <w:sz w:val="24"/>
          <w:szCs w:val="24"/>
        </w:rPr>
        <w:t>poś</w:t>
      </w:r>
      <w:r w:rsidRPr="00493A63">
        <w:rPr>
          <w:noProof/>
          <w:sz w:val="24"/>
          <w:szCs w:val="24"/>
        </w:rPr>
        <w:t>redników</w:t>
      </w:r>
      <w:r w:rsidR="00C61CB6" w:rsidRPr="00493A63">
        <w:rPr>
          <w:noProof/>
          <w:sz w:val="24"/>
          <w:szCs w:val="24"/>
        </w:rPr>
        <w:t xml:space="preserve"> w</w:t>
      </w:r>
      <w:r w:rsidR="00C61CB6">
        <w:rPr>
          <w:noProof/>
          <w:sz w:val="24"/>
          <w:szCs w:val="24"/>
        </w:rPr>
        <w:t> </w:t>
      </w:r>
      <w:r w:rsidR="00C61CB6" w:rsidRPr="00493A63">
        <w:rPr>
          <w:noProof/>
          <w:sz w:val="24"/>
          <w:szCs w:val="24"/>
        </w:rPr>
        <w:t>han</w:t>
      </w:r>
      <w:r w:rsidRPr="00493A63">
        <w:rPr>
          <w:noProof/>
          <w:sz w:val="24"/>
          <w:szCs w:val="24"/>
        </w:rPr>
        <w:t>dlu bronią oraz art.</w:t>
      </w:r>
      <w:r w:rsidR="00493A63" w:rsidRPr="00493A63">
        <w:rPr>
          <w:noProof/>
          <w:sz w:val="24"/>
          <w:szCs w:val="24"/>
        </w:rPr>
        <w:t> </w:t>
      </w:r>
      <w:r w:rsidRPr="00493A63">
        <w:rPr>
          <w:noProof/>
          <w:sz w:val="24"/>
          <w:szCs w:val="24"/>
        </w:rPr>
        <w:t>4 ust.</w:t>
      </w:r>
      <w:r w:rsidR="00493A63" w:rsidRPr="00493A63">
        <w:rPr>
          <w:noProof/>
          <w:sz w:val="24"/>
          <w:szCs w:val="24"/>
        </w:rPr>
        <w:t> </w:t>
      </w:r>
      <w:r w:rsidRPr="00493A63">
        <w:rPr>
          <w:noProof/>
          <w:sz w:val="24"/>
          <w:szCs w:val="24"/>
        </w:rPr>
        <w:t>5 dotyczącego utworzenia systemu rejestracji danych, które należało transponować do dnia 14 grudnia 2019</w:t>
      </w:r>
      <w:r w:rsidR="00493A63" w:rsidRPr="00493A63">
        <w:rPr>
          <w:noProof/>
          <w:sz w:val="24"/>
          <w:szCs w:val="24"/>
        </w:rPr>
        <w:t> </w:t>
      </w:r>
      <w:r w:rsidRPr="00493A63">
        <w:rPr>
          <w:noProof/>
          <w:sz w:val="24"/>
          <w:szCs w:val="24"/>
        </w:rPr>
        <w:t xml:space="preserve">r. </w:t>
      </w:r>
    </w:p>
    <w:p w14:paraId="0E61C043" w14:textId="3B94C979" w:rsidR="00F61A6A" w:rsidRPr="00493A63" w:rsidRDefault="00A337CB" w:rsidP="00E011F0">
      <w:pPr>
        <w:rPr>
          <w:noProof/>
          <w:sz w:val="24"/>
          <w:szCs w:val="24"/>
        </w:rPr>
      </w:pPr>
      <w:r w:rsidRPr="00493A63">
        <w:rPr>
          <w:noProof/>
          <w:sz w:val="24"/>
          <w:szCs w:val="24"/>
        </w:rPr>
        <w:t>W lipcu 2019</w:t>
      </w:r>
      <w:r w:rsidR="00493A63" w:rsidRPr="00493A63">
        <w:rPr>
          <w:noProof/>
          <w:sz w:val="24"/>
          <w:szCs w:val="24"/>
        </w:rPr>
        <w:t> </w:t>
      </w:r>
      <w:r w:rsidRPr="00493A63">
        <w:rPr>
          <w:noProof/>
          <w:sz w:val="24"/>
          <w:szCs w:val="24"/>
        </w:rPr>
        <w:t>r. Komisja wysłała 20 państwom członkowskim uzasadnioną opinię dotyczącą pierwszego</w:t>
      </w:r>
      <w:r w:rsidR="00C61CB6" w:rsidRPr="00493A63">
        <w:rPr>
          <w:noProof/>
          <w:sz w:val="24"/>
          <w:szCs w:val="24"/>
        </w:rPr>
        <w:t xml:space="preserve"> z</w:t>
      </w:r>
      <w:r w:rsidR="00C61CB6">
        <w:rPr>
          <w:noProof/>
          <w:sz w:val="24"/>
          <w:szCs w:val="24"/>
        </w:rPr>
        <w:t> </w:t>
      </w:r>
      <w:r w:rsidR="00C61CB6" w:rsidRPr="00493A63">
        <w:rPr>
          <w:noProof/>
          <w:sz w:val="24"/>
          <w:szCs w:val="24"/>
        </w:rPr>
        <w:t>tyc</w:t>
      </w:r>
      <w:r w:rsidRPr="00493A63">
        <w:rPr>
          <w:noProof/>
          <w:sz w:val="24"/>
          <w:szCs w:val="24"/>
        </w:rPr>
        <w:t>h terminów</w:t>
      </w:r>
      <w:r w:rsidRPr="00493A63">
        <w:rPr>
          <w:rStyle w:val="FootnoteReference"/>
          <w:noProof/>
          <w:sz w:val="24"/>
          <w:szCs w:val="24"/>
        </w:rPr>
        <w:footnoteReference w:id="12"/>
      </w:r>
      <w:r w:rsidRPr="00493A63">
        <w:rPr>
          <w:noProof/>
          <w:sz w:val="24"/>
          <w:szCs w:val="24"/>
        </w:rPr>
        <w:t>,</w:t>
      </w:r>
      <w:r w:rsidR="00C61CB6" w:rsidRPr="00493A63">
        <w:rPr>
          <w:noProof/>
          <w:sz w:val="24"/>
          <w:szCs w:val="24"/>
        </w:rPr>
        <w:t xml:space="preserve"> a</w:t>
      </w:r>
      <w:r w:rsidR="00C61CB6">
        <w:rPr>
          <w:noProof/>
          <w:sz w:val="24"/>
          <w:szCs w:val="24"/>
        </w:rPr>
        <w:t> </w:t>
      </w:r>
      <w:r w:rsidR="00C61CB6" w:rsidRPr="00493A63">
        <w:rPr>
          <w:noProof/>
          <w:sz w:val="24"/>
          <w:szCs w:val="24"/>
        </w:rPr>
        <w:t>nas</w:t>
      </w:r>
      <w:r w:rsidRPr="00493A63">
        <w:rPr>
          <w:noProof/>
          <w:sz w:val="24"/>
          <w:szCs w:val="24"/>
        </w:rPr>
        <w:t>tępnie</w:t>
      </w:r>
      <w:r w:rsidR="00C61CB6" w:rsidRPr="00493A63">
        <w:rPr>
          <w:noProof/>
          <w:sz w:val="24"/>
          <w:szCs w:val="24"/>
        </w:rPr>
        <w:t xml:space="preserve"> w</w:t>
      </w:r>
      <w:r w:rsidR="00C61CB6">
        <w:rPr>
          <w:noProof/>
          <w:sz w:val="24"/>
          <w:szCs w:val="24"/>
        </w:rPr>
        <w:t> </w:t>
      </w:r>
      <w:r w:rsidR="00C61CB6" w:rsidRPr="00493A63">
        <w:rPr>
          <w:noProof/>
          <w:sz w:val="24"/>
          <w:szCs w:val="24"/>
        </w:rPr>
        <w:t>odn</w:t>
      </w:r>
      <w:r w:rsidRPr="00493A63">
        <w:rPr>
          <w:noProof/>
          <w:sz w:val="24"/>
          <w:szCs w:val="24"/>
        </w:rPr>
        <w:t>iesieniu do drugiego</w:t>
      </w:r>
      <w:r w:rsidR="00C61CB6" w:rsidRPr="00493A63">
        <w:rPr>
          <w:noProof/>
          <w:sz w:val="24"/>
          <w:szCs w:val="24"/>
        </w:rPr>
        <w:t xml:space="preserve"> z</w:t>
      </w:r>
      <w:r w:rsidR="00C61CB6">
        <w:rPr>
          <w:noProof/>
          <w:sz w:val="24"/>
          <w:szCs w:val="24"/>
        </w:rPr>
        <w:t> </w:t>
      </w:r>
      <w:r w:rsidR="00C61CB6" w:rsidRPr="00493A63">
        <w:rPr>
          <w:noProof/>
          <w:sz w:val="24"/>
          <w:szCs w:val="24"/>
        </w:rPr>
        <w:t>tyc</w:t>
      </w:r>
      <w:r w:rsidRPr="00493A63">
        <w:rPr>
          <w:noProof/>
          <w:sz w:val="24"/>
          <w:szCs w:val="24"/>
        </w:rPr>
        <w:t>h terminów</w:t>
      </w:r>
      <w:r w:rsidR="00C61CB6" w:rsidRPr="00493A63">
        <w:rPr>
          <w:noProof/>
          <w:sz w:val="24"/>
          <w:szCs w:val="24"/>
        </w:rPr>
        <w:t xml:space="preserve"> w</w:t>
      </w:r>
      <w:r w:rsidR="00C61CB6">
        <w:rPr>
          <w:noProof/>
          <w:sz w:val="24"/>
          <w:szCs w:val="24"/>
        </w:rPr>
        <w:t> </w:t>
      </w:r>
      <w:r w:rsidR="00C61CB6" w:rsidRPr="00493A63">
        <w:rPr>
          <w:noProof/>
          <w:sz w:val="24"/>
          <w:szCs w:val="24"/>
        </w:rPr>
        <w:t>dni</w:t>
      </w:r>
      <w:r w:rsidRPr="00493A63">
        <w:rPr>
          <w:noProof/>
          <w:sz w:val="24"/>
          <w:szCs w:val="24"/>
        </w:rPr>
        <w:t>u 24 stycznia 2020</w:t>
      </w:r>
      <w:r w:rsidR="00493A63" w:rsidRPr="00493A63">
        <w:rPr>
          <w:noProof/>
          <w:sz w:val="24"/>
          <w:szCs w:val="24"/>
        </w:rPr>
        <w:t> </w:t>
      </w:r>
      <w:r w:rsidRPr="00493A63">
        <w:rPr>
          <w:noProof/>
          <w:sz w:val="24"/>
          <w:szCs w:val="24"/>
        </w:rPr>
        <w:t>r. wysłała 17 państwom członkowskim wezwania do usunięcia uchybienia</w:t>
      </w:r>
      <w:r w:rsidRPr="00493A63">
        <w:rPr>
          <w:rStyle w:val="FootnoteReference"/>
          <w:noProof/>
          <w:sz w:val="24"/>
          <w:szCs w:val="24"/>
        </w:rPr>
        <w:footnoteReference w:id="13"/>
      </w:r>
      <w:r w:rsidR="00C61CB6" w:rsidRPr="00493A63">
        <w:rPr>
          <w:noProof/>
          <w:sz w:val="24"/>
          <w:szCs w:val="24"/>
        </w:rPr>
        <w:t xml:space="preserve"> w</w:t>
      </w:r>
      <w:r w:rsidR="00C61CB6">
        <w:rPr>
          <w:noProof/>
          <w:sz w:val="24"/>
          <w:szCs w:val="24"/>
        </w:rPr>
        <w:t> </w:t>
      </w:r>
      <w:r w:rsidR="00C61CB6" w:rsidRPr="00493A63">
        <w:rPr>
          <w:noProof/>
          <w:sz w:val="24"/>
          <w:szCs w:val="24"/>
        </w:rPr>
        <w:t>zwi</w:t>
      </w:r>
      <w:r w:rsidRPr="00493A63">
        <w:rPr>
          <w:noProof/>
          <w:sz w:val="24"/>
          <w:szCs w:val="24"/>
        </w:rPr>
        <w:t>ązku</w:t>
      </w:r>
      <w:r w:rsidR="00C61CB6" w:rsidRPr="00493A63">
        <w:rPr>
          <w:noProof/>
          <w:sz w:val="24"/>
          <w:szCs w:val="24"/>
        </w:rPr>
        <w:t xml:space="preserve"> z</w:t>
      </w:r>
      <w:r w:rsidR="00C61CB6">
        <w:rPr>
          <w:noProof/>
          <w:sz w:val="24"/>
          <w:szCs w:val="24"/>
        </w:rPr>
        <w:t> </w:t>
      </w:r>
      <w:r w:rsidR="00C61CB6" w:rsidRPr="00493A63">
        <w:rPr>
          <w:noProof/>
          <w:sz w:val="24"/>
          <w:szCs w:val="24"/>
        </w:rPr>
        <w:t>nie</w:t>
      </w:r>
      <w:r w:rsidRPr="00493A63">
        <w:rPr>
          <w:noProof/>
          <w:sz w:val="24"/>
          <w:szCs w:val="24"/>
        </w:rPr>
        <w:t xml:space="preserve">zgłoszeniem przez nie ich krajowych środków transpozycji. </w:t>
      </w:r>
      <w:bookmarkStart w:id="9" w:name="_Toc65663052"/>
      <w:bookmarkStart w:id="10" w:name="_Toc65663476"/>
      <w:bookmarkStart w:id="11" w:name="_Toc65663506"/>
      <w:bookmarkEnd w:id="9"/>
      <w:bookmarkEnd w:id="10"/>
      <w:bookmarkEnd w:id="11"/>
    </w:p>
    <w:p w14:paraId="3DE18416" w14:textId="2D3DEDBF" w:rsidR="00E60200" w:rsidRPr="00493A63" w:rsidRDefault="00E60200" w:rsidP="00E011F0">
      <w:pPr>
        <w:rPr>
          <w:noProof/>
          <w:sz w:val="24"/>
          <w:szCs w:val="24"/>
        </w:rPr>
      </w:pPr>
      <w:r w:rsidRPr="00493A63">
        <w:rPr>
          <w:noProof/>
          <w:sz w:val="24"/>
          <w:szCs w:val="24"/>
        </w:rPr>
        <w:t>Termin transpozycji dwóch dyrektyw wykonawczych Komisji</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oznakowania broni palnej oraz</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alarmowej</w:t>
      </w:r>
      <w:r w:rsidR="00C61CB6" w:rsidRPr="00493A63">
        <w:rPr>
          <w:noProof/>
          <w:sz w:val="24"/>
          <w:szCs w:val="24"/>
        </w:rPr>
        <w:t xml:space="preserve"> i</w:t>
      </w:r>
      <w:r w:rsidR="00C61CB6">
        <w:rPr>
          <w:noProof/>
          <w:sz w:val="24"/>
          <w:szCs w:val="24"/>
        </w:rPr>
        <w:t> </w:t>
      </w:r>
      <w:r w:rsidR="00C61CB6" w:rsidRPr="00493A63">
        <w:rPr>
          <w:noProof/>
          <w:sz w:val="24"/>
          <w:szCs w:val="24"/>
        </w:rPr>
        <w:t>syg</w:t>
      </w:r>
      <w:r w:rsidRPr="00493A63">
        <w:rPr>
          <w:noProof/>
          <w:sz w:val="24"/>
          <w:szCs w:val="24"/>
        </w:rPr>
        <w:t>nałowej wyznaczono na dzień 17 stycznia 2020</w:t>
      </w:r>
      <w:r w:rsidR="00493A63" w:rsidRPr="00493A63">
        <w:rPr>
          <w:noProof/>
          <w:sz w:val="24"/>
          <w:szCs w:val="24"/>
        </w:rPr>
        <w:t> </w:t>
      </w:r>
      <w:r w:rsidRPr="00493A63">
        <w:rPr>
          <w:noProof/>
          <w:sz w:val="24"/>
          <w:szCs w:val="24"/>
        </w:rPr>
        <w:t>r</w:t>
      </w:r>
      <w:r w:rsidR="00C61CB6" w:rsidRPr="00493A63">
        <w:rPr>
          <w:noProof/>
          <w:sz w:val="24"/>
          <w:szCs w:val="24"/>
        </w:rPr>
        <w:t>. W</w:t>
      </w:r>
      <w:r w:rsidR="00C61CB6">
        <w:rPr>
          <w:noProof/>
          <w:sz w:val="24"/>
          <w:szCs w:val="24"/>
        </w:rPr>
        <w:t> </w:t>
      </w:r>
      <w:r w:rsidR="00C61CB6" w:rsidRPr="00493A63">
        <w:rPr>
          <w:noProof/>
          <w:sz w:val="24"/>
          <w:szCs w:val="24"/>
        </w:rPr>
        <w:t>dni</w:t>
      </w:r>
      <w:r w:rsidRPr="00493A63">
        <w:rPr>
          <w:noProof/>
          <w:sz w:val="24"/>
          <w:szCs w:val="24"/>
        </w:rPr>
        <w:t>u 28 maja 2020</w:t>
      </w:r>
      <w:r w:rsidR="00493A63" w:rsidRPr="00493A63">
        <w:rPr>
          <w:noProof/>
          <w:sz w:val="24"/>
          <w:szCs w:val="24"/>
        </w:rPr>
        <w:t> </w:t>
      </w:r>
      <w:r w:rsidRPr="00493A63">
        <w:rPr>
          <w:noProof/>
          <w:sz w:val="24"/>
          <w:szCs w:val="24"/>
        </w:rPr>
        <w:t>r. Komisja wszczęła postępowania</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uchybienia zobowiązaniom państwa członkowskiego przeciwko 19 państwom członkowskim (w sprawie oznakowania broni palnej)</w:t>
      </w:r>
      <w:r w:rsidRPr="00493A63">
        <w:rPr>
          <w:rStyle w:val="FootnoteReference"/>
          <w:noProof/>
          <w:sz w:val="24"/>
          <w:szCs w:val="24"/>
        </w:rPr>
        <w:footnoteReference w:id="14"/>
      </w:r>
      <w:r w:rsidRPr="00493A63">
        <w:rPr>
          <w:noProof/>
          <w:sz w:val="24"/>
          <w:szCs w:val="24"/>
        </w:rPr>
        <w:t xml:space="preserve"> oraz przeciwko 17 państwom członkowskim (w sprawie broni alarmowej</w:t>
      </w:r>
      <w:r w:rsidR="00C61CB6" w:rsidRPr="00493A63">
        <w:rPr>
          <w:noProof/>
          <w:sz w:val="24"/>
          <w:szCs w:val="24"/>
        </w:rPr>
        <w:t xml:space="preserve"> i</w:t>
      </w:r>
      <w:r w:rsidR="00C61CB6">
        <w:rPr>
          <w:noProof/>
          <w:sz w:val="24"/>
          <w:szCs w:val="24"/>
        </w:rPr>
        <w:t> </w:t>
      </w:r>
      <w:r w:rsidR="00C61CB6" w:rsidRPr="00493A63">
        <w:rPr>
          <w:noProof/>
          <w:sz w:val="24"/>
          <w:szCs w:val="24"/>
        </w:rPr>
        <w:t>syg</w:t>
      </w:r>
      <w:r w:rsidRPr="00493A63">
        <w:rPr>
          <w:noProof/>
          <w:sz w:val="24"/>
          <w:szCs w:val="24"/>
        </w:rPr>
        <w:t>nałowej)</w:t>
      </w:r>
      <w:r w:rsidRPr="00493A63">
        <w:rPr>
          <w:rStyle w:val="FootnoteReference"/>
          <w:noProof/>
          <w:sz w:val="24"/>
          <w:szCs w:val="24"/>
        </w:rPr>
        <w:footnoteReference w:id="15"/>
      </w:r>
      <w:r w:rsidRPr="00493A63">
        <w:rPr>
          <w:noProof/>
        </w:rPr>
        <w:t>.</w:t>
      </w:r>
      <w:r w:rsidRPr="00493A63">
        <w:rPr>
          <w:noProof/>
          <w:sz w:val="24"/>
          <w:szCs w:val="24"/>
        </w:rPr>
        <w:t xml:space="preserve"> </w:t>
      </w:r>
    </w:p>
    <w:p w14:paraId="0F950DC5" w14:textId="2D4BEE0E" w:rsidR="009A7A34" w:rsidRPr="00493A63" w:rsidRDefault="001A1789" w:rsidP="00AD6223">
      <w:pPr>
        <w:rPr>
          <w:noProof/>
          <w:sz w:val="24"/>
          <w:szCs w:val="24"/>
        </w:rPr>
      </w:pPr>
      <w:r w:rsidRPr="00493A63">
        <w:rPr>
          <w:noProof/>
          <w:sz w:val="24"/>
          <w:szCs w:val="24"/>
        </w:rPr>
        <w:t>Na dzień 15 sierpnia 2021</w:t>
      </w:r>
      <w:r w:rsidR="00493A63" w:rsidRPr="00493A63">
        <w:rPr>
          <w:noProof/>
          <w:sz w:val="24"/>
          <w:szCs w:val="24"/>
        </w:rPr>
        <w:t> </w:t>
      </w:r>
      <w:r w:rsidRPr="00493A63">
        <w:rPr>
          <w:noProof/>
          <w:sz w:val="24"/>
          <w:szCs w:val="24"/>
        </w:rPr>
        <w:t>r. toczyło się</w:t>
      </w:r>
      <w:r w:rsidR="00493A63" w:rsidRPr="00493A63">
        <w:rPr>
          <w:noProof/>
          <w:sz w:val="24"/>
          <w:szCs w:val="24"/>
        </w:rPr>
        <w:t> </w:t>
      </w:r>
      <w:r w:rsidRPr="00493A63">
        <w:rPr>
          <w:noProof/>
          <w:sz w:val="24"/>
          <w:szCs w:val="24"/>
        </w:rPr>
        <w:t>80 postępowań</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uchybienia zobowiązaniom państwa członkowskiego dotyczących dyrektywy</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w:t>
      </w:r>
      <w:r w:rsidR="00C61CB6" w:rsidRPr="00493A63">
        <w:rPr>
          <w:noProof/>
          <w:sz w:val="24"/>
          <w:szCs w:val="24"/>
        </w:rPr>
        <w:t xml:space="preserve"> i</w:t>
      </w:r>
      <w:r w:rsidR="00C61CB6">
        <w:rPr>
          <w:noProof/>
          <w:sz w:val="24"/>
          <w:szCs w:val="24"/>
        </w:rPr>
        <w:t> </w:t>
      </w:r>
      <w:r w:rsidR="00C61CB6" w:rsidRPr="00493A63">
        <w:rPr>
          <w:noProof/>
          <w:sz w:val="24"/>
          <w:szCs w:val="24"/>
        </w:rPr>
        <w:t>pra</w:t>
      </w:r>
      <w:r w:rsidRPr="00493A63">
        <w:rPr>
          <w:noProof/>
          <w:sz w:val="24"/>
          <w:szCs w:val="24"/>
        </w:rPr>
        <w:t>wa wtórnego. Wszystkie te postępowania dotyczyły braku zawiadomienia</w:t>
      </w:r>
      <w:r w:rsidR="00C61CB6" w:rsidRPr="00493A63">
        <w:rPr>
          <w:noProof/>
          <w:sz w:val="24"/>
          <w:szCs w:val="24"/>
        </w:rPr>
        <w:t xml:space="preserve"> o</w:t>
      </w:r>
      <w:r w:rsidR="00C61CB6">
        <w:rPr>
          <w:noProof/>
          <w:sz w:val="24"/>
          <w:szCs w:val="24"/>
        </w:rPr>
        <w:t> </w:t>
      </w:r>
      <w:r w:rsidR="00C61CB6" w:rsidRPr="00493A63">
        <w:rPr>
          <w:noProof/>
          <w:sz w:val="24"/>
          <w:szCs w:val="24"/>
        </w:rPr>
        <w:t>kra</w:t>
      </w:r>
      <w:r w:rsidRPr="00493A63">
        <w:rPr>
          <w:noProof/>
          <w:sz w:val="24"/>
          <w:szCs w:val="24"/>
        </w:rPr>
        <w:t>jowych środkach transpozycji</w:t>
      </w:r>
      <w:r w:rsidR="00C61CB6" w:rsidRPr="00493A63">
        <w:rPr>
          <w:noProof/>
          <w:sz w:val="24"/>
          <w:szCs w:val="24"/>
        </w:rPr>
        <w:t>. W</w:t>
      </w:r>
      <w:r w:rsidR="00C61CB6">
        <w:rPr>
          <w:noProof/>
          <w:sz w:val="24"/>
          <w:szCs w:val="24"/>
        </w:rPr>
        <w:t> </w:t>
      </w:r>
      <w:r w:rsidR="00C61CB6" w:rsidRPr="00493A63">
        <w:rPr>
          <w:noProof/>
          <w:sz w:val="24"/>
          <w:szCs w:val="24"/>
        </w:rPr>
        <w:t>mię</w:t>
      </w:r>
      <w:r w:rsidRPr="00493A63">
        <w:rPr>
          <w:noProof/>
          <w:sz w:val="24"/>
          <w:szCs w:val="24"/>
        </w:rPr>
        <w:t>dzyczasie od szeregu państw członkowskich Komisja otrzymała zgłoszenia dotyczące pełnej transpozycji</w:t>
      </w:r>
      <w:r w:rsidR="00C61CB6" w:rsidRPr="00493A63">
        <w:rPr>
          <w:noProof/>
          <w:sz w:val="24"/>
          <w:szCs w:val="24"/>
        </w:rPr>
        <w:t>. W</w:t>
      </w:r>
      <w:r w:rsidR="00C61CB6">
        <w:rPr>
          <w:noProof/>
          <w:sz w:val="24"/>
          <w:szCs w:val="24"/>
        </w:rPr>
        <w:t> </w:t>
      </w:r>
      <w:r w:rsidR="00C61CB6" w:rsidRPr="00493A63">
        <w:rPr>
          <w:noProof/>
          <w:sz w:val="24"/>
          <w:szCs w:val="24"/>
        </w:rPr>
        <w:t>zwi</w:t>
      </w:r>
      <w:r w:rsidRPr="00493A63">
        <w:rPr>
          <w:noProof/>
          <w:sz w:val="24"/>
          <w:szCs w:val="24"/>
        </w:rPr>
        <w:t>ązku</w:t>
      </w:r>
      <w:r w:rsidR="00C61CB6" w:rsidRPr="00493A63">
        <w:rPr>
          <w:noProof/>
          <w:sz w:val="24"/>
          <w:szCs w:val="24"/>
        </w:rPr>
        <w:t xml:space="preserve"> z</w:t>
      </w:r>
      <w:r w:rsidR="00C61CB6">
        <w:rPr>
          <w:noProof/>
          <w:sz w:val="24"/>
          <w:szCs w:val="24"/>
        </w:rPr>
        <w:t> </w:t>
      </w:r>
      <w:r w:rsidR="00C61CB6" w:rsidRPr="00493A63">
        <w:rPr>
          <w:noProof/>
          <w:sz w:val="24"/>
          <w:szCs w:val="24"/>
        </w:rPr>
        <w:t>tym</w:t>
      </w:r>
      <w:r w:rsidRPr="00493A63">
        <w:rPr>
          <w:noProof/>
          <w:sz w:val="24"/>
          <w:szCs w:val="24"/>
        </w:rPr>
        <w:t xml:space="preserve"> oczekuje się zakończenia szeregu postępowań</w:t>
      </w:r>
      <w:r w:rsidR="00C61CB6" w:rsidRPr="00493A63">
        <w:rPr>
          <w:noProof/>
          <w:sz w:val="24"/>
          <w:szCs w:val="24"/>
        </w:rPr>
        <w:t xml:space="preserve"> w</w:t>
      </w:r>
      <w:r w:rsidR="00C61CB6">
        <w:rPr>
          <w:noProof/>
          <w:sz w:val="24"/>
          <w:szCs w:val="24"/>
        </w:rPr>
        <w:t> </w:t>
      </w:r>
      <w:r w:rsidR="00C61CB6" w:rsidRPr="00493A63">
        <w:rPr>
          <w:noProof/>
          <w:sz w:val="24"/>
          <w:szCs w:val="24"/>
        </w:rPr>
        <w:t>nad</w:t>
      </w:r>
      <w:r w:rsidRPr="00493A63">
        <w:rPr>
          <w:noProof/>
          <w:sz w:val="24"/>
          <w:szCs w:val="24"/>
        </w:rPr>
        <w:t>chodzących miesiącach.</w:t>
      </w:r>
    </w:p>
    <w:p w14:paraId="7A0A99D7" w14:textId="5C687C96" w:rsidR="00FB7F6A" w:rsidRPr="00493A63" w:rsidRDefault="00FB7F6A" w:rsidP="00FB7F6A">
      <w:pPr>
        <w:rPr>
          <w:noProof/>
          <w:sz w:val="24"/>
          <w:szCs w:val="24"/>
        </w:rPr>
      </w:pPr>
      <w:r w:rsidRPr="00493A63">
        <w:rPr>
          <w:noProof/>
          <w:sz w:val="24"/>
          <w:szCs w:val="24"/>
        </w:rPr>
        <w:t>Komisja przeprowadziła kontrolę transpozycji</w:t>
      </w:r>
      <w:r w:rsidR="00C61CB6" w:rsidRPr="00493A63">
        <w:rPr>
          <w:noProof/>
          <w:sz w:val="24"/>
          <w:szCs w:val="24"/>
        </w:rPr>
        <w:t xml:space="preserve"> i</w:t>
      </w:r>
      <w:r w:rsidR="00C61CB6">
        <w:rPr>
          <w:noProof/>
          <w:sz w:val="24"/>
          <w:szCs w:val="24"/>
        </w:rPr>
        <w:t> </w:t>
      </w:r>
      <w:r w:rsidR="00C61CB6" w:rsidRPr="00493A63">
        <w:rPr>
          <w:noProof/>
          <w:sz w:val="24"/>
          <w:szCs w:val="24"/>
        </w:rPr>
        <w:t>zba</w:t>
      </w:r>
      <w:r w:rsidRPr="00493A63">
        <w:rPr>
          <w:noProof/>
          <w:sz w:val="24"/>
          <w:szCs w:val="24"/>
        </w:rPr>
        <w:t>dała, czy państwa członkowskie</w:t>
      </w:r>
      <w:r w:rsidR="00C61CB6" w:rsidRPr="00493A63">
        <w:rPr>
          <w:noProof/>
          <w:sz w:val="24"/>
          <w:szCs w:val="24"/>
        </w:rPr>
        <w:t xml:space="preserve"> w</w:t>
      </w:r>
      <w:r w:rsidR="00C61CB6">
        <w:rPr>
          <w:noProof/>
          <w:sz w:val="24"/>
          <w:szCs w:val="24"/>
        </w:rPr>
        <w:t> </w:t>
      </w:r>
      <w:r w:rsidR="00C61CB6" w:rsidRPr="00493A63">
        <w:rPr>
          <w:noProof/>
          <w:sz w:val="24"/>
          <w:szCs w:val="24"/>
        </w:rPr>
        <w:t>peł</w:t>
      </w:r>
      <w:r w:rsidRPr="00493A63">
        <w:rPr>
          <w:noProof/>
          <w:sz w:val="24"/>
          <w:szCs w:val="24"/>
        </w:rPr>
        <w:t>ni transponowały prawo Unii do swoich systemów prawnych,</w:t>
      </w:r>
      <w:r w:rsidR="00C61CB6" w:rsidRPr="00493A63">
        <w:rPr>
          <w:noProof/>
          <w:sz w:val="24"/>
          <w:szCs w:val="24"/>
        </w:rPr>
        <w:t xml:space="preserve"> z</w:t>
      </w:r>
      <w:r w:rsidR="00C61CB6">
        <w:rPr>
          <w:noProof/>
          <w:sz w:val="24"/>
          <w:szCs w:val="24"/>
        </w:rPr>
        <w:t> </w:t>
      </w:r>
      <w:r w:rsidR="00C61CB6" w:rsidRPr="00493A63">
        <w:rPr>
          <w:noProof/>
          <w:sz w:val="24"/>
          <w:szCs w:val="24"/>
        </w:rPr>
        <w:t>uwz</w:t>
      </w:r>
      <w:r w:rsidRPr="00493A63">
        <w:rPr>
          <w:noProof/>
          <w:sz w:val="24"/>
          <w:szCs w:val="24"/>
        </w:rPr>
        <w:t>ględnieniem państw członkowskich, które zgłosiły krajowe środki transpozycji</w:t>
      </w:r>
      <w:r w:rsidR="00C61CB6" w:rsidRPr="00493A63">
        <w:rPr>
          <w:noProof/>
          <w:sz w:val="24"/>
          <w:szCs w:val="24"/>
        </w:rPr>
        <w:t xml:space="preserve"> w</w:t>
      </w:r>
      <w:r w:rsidR="00C61CB6">
        <w:rPr>
          <w:noProof/>
          <w:sz w:val="24"/>
          <w:szCs w:val="24"/>
        </w:rPr>
        <w:t> </w:t>
      </w:r>
      <w:r w:rsidR="00C61CB6" w:rsidRPr="00493A63">
        <w:rPr>
          <w:noProof/>
          <w:sz w:val="24"/>
          <w:szCs w:val="24"/>
        </w:rPr>
        <w:t>ter</w:t>
      </w:r>
      <w:r w:rsidRPr="00493A63">
        <w:rPr>
          <w:noProof/>
          <w:sz w:val="24"/>
          <w:szCs w:val="24"/>
        </w:rPr>
        <w:t>minie. Komisja zbadała także środki, które nie zostały zgłoszone,</w:t>
      </w:r>
      <w:r w:rsidR="00C61CB6" w:rsidRPr="00493A63">
        <w:rPr>
          <w:noProof/>
          <w:sz w:val="24"/>
          <w:szCs w:val="24"/>
        </w:rPr>
        <w:t xml:space="preserve"> w</w:t>
      </w:r>
      <w:r w:rsidR="00C61CB6">
        <w:rPr>
          <w:noProof/>
          <w:sz w:val="24"/>
          <w:szCs w:val="24"/>
        </w:rPr>
        <w:t> </w:t>
      </w:r>
      <w:r w:rsidR="00C61CB6" w:rsidRPr="00493A63">
        <w:rPr>
          <w:noProof/>
          <w:sz w:val="24"/>
          <w:szCs w:val="24"/>
        </w:rPr>
        <w:t>cel</w:t>
      </w:r>
      <w:r w:rsidRPr="00493A63">
        <w:rPr>
          <w:noProof/>
          <w:sz w:val="24"/>
          <w:szCs w:val="24"/>
        </w:rPr>
        <w:t>u oceny kompletności transpozycji.</w:t>
      </w:r>
    </w:p>
    <w:p w14:paraId="3A9A7DB7" w14:textId="743ED4C1" w:rsidR="005B4200" w:rsidRPr="00493A63" w:rsidRDefault="005E2C14" w:rsidP="00AD6223">
      <w:pPr>
        <w:rPr>
          <w:noProof/>
          <w:sz w:val="24"/>
          <w:szCs w:val="24"/>
        </w:rPr>
      </w:pPr>
      <w:r w:rsidRPr="00493A63">
        <w:rPr>
          <w:noProof/>
          <w:sz w:val="24"/>
          <w:szCs w:val="24"/>
        </w:rPr>
        <w:t>W opisanej poniżej wstępnej ocenie skoncentrowano się na najważniejszych zmianach</w:t>
      </w:r>
      <w:r w:rsidR="00C61CB6" w:rsidRPr="00493A63">
        <w:rPr>
          <w:noProof/>
          <w:sz w:val="24"/>
          <w:szCs w:val="24"/>
        </w:rPr>
        <w:t xml:space="preserve"> w</w:t>
      </w:r>
      <w:r w:rsidR="00C61CB6">
        <w:rPr>
          <w:noProof/>
          <w:sz w:val="24"/>
          <w:szCs w:val="24"/>
        </w:rPr>
        <w:t> </w:t>
      </w:r>
      <w:r w:rsidR="00C61CB6" w:rsidRPr="00493A63">
        <w:rPr>
          <w:noProof/>
          <w:sz w:val="24"/>
          <w:szCs w:val="24"/>
        </w:rPr>
        <w:t>dyr</w:t>
      </w:r>
      <w:r w:rsidRPr="00493A63">
        <w:rPr>
          <w:noProof/>
          <w:sz w:val="24"/>
          <w:szCs w:val="24"/>
        </w:rPr>
        <w:t>ektywie wprowadzonych</w:t>
      </w:r>
      <w:r w:rsidR="00C61CB6" w:rsidRPr="00493A63">
        <w:rPr>
          <w:noProof/>
          <w:sz w:val="24"/>
          <w:szCs w:val="24"/>
        </w:rPr>
        <w:t xml:space="preserve"> w</w:t>
      </w:r>
      <w:r w:rsidR="00C61CB6">
        <w:rPr>
          <w:noProof/>
          <w:sz w:val="24"/>
          <w:szCs w:val="24"/>
        </w:rPr>
        <w:t> </w:t>
      </w:r>
      <w:r w:rsidR="00C61CB6" w:rsidRPr="00493A63">
        <w:rPr>
          <w:noProof/>
          <w:sz w:val="24"/>
          <w:szCs w:val="24"/>
        </w:rPr>
        <w:t>2</w:t>
      </w:r>
      <w:r w:rsidRPr="00493A63">
        <w:rPr>
          <w:noProof/>
          <w:sz w:val="24"/>
          <w:szCs w:val="24"/>
        </w:rPr>
        <w:t>017</w:t>
      </w:r>
      <w:r w:rsidR="00493A63" w:rsidRPr="00493A63">
        <w:rPr>
          <w:noProof/>
          <w:sz w:val="24"/>
          <w:szCs w:val="24"/>
        </w:rPr>
        <w:t> </w:t>
      </w:r>
      <w:r w:rsidRPr="00493A63">
        <w:rPr>
          <w:noProof/>
          <w:sz w:val="24"/>
          <w:szCs w:val="24"/>
        </w:rPr>
        <w:t>r.</w:t>
      </w:r>
      <w:r w:rsidR="00C61CB6" w:rsidRPr="00493A63">
        <w:rPr>
          <w:noProof/>
          <w:sz w:val="24"/>
          <w:szCs w:val="24"/>
        </w:rPr>
        <w:t xml:space="preserve"> i</w:t>
      </w:r>
      <w:r w:rsidR="00C61CB6">
        <w:rPr>
          <w:noProof/>
          <w:sz w:val="24"/>
          <w:szCs w:val="24"/>
        </w:rPr>
        <w:t> </w:t>
      </w:r>
      <w:r w:rsidR="00C61CB6" w:rsidRPr="00493A63">
        <w:rPr>
          <w:noProof/>
          <w:sz w:val="24"/>
          <w:szCs w:val="24"/>
        </w:rPr>
        <w:t>w</w:t>
      </w:r>
      <w:r w:rsidR="00C61CB6">
        <w:rPr>
          <w:noProof/>
          <w:sz w:val="24"/>
          <w:szCs w:val="24"/>
        </w:rPr>
        <w:t> </w:t>
      </w:r>
      <w:r w:rsidR="00C61CB6" w:rsidRPr="00493A63">
        <w:rPr>
          <w:noProof/>
          <w:sz w:val="24"/>
          <w:szCs w:val="24"/>
        </w:rPr>
        <w:t>dwó</w:t>
      </w:r>
      <w:r w:rsidRPr="00493A63">
        <w:rPr>
          <w:noProof/>
          <w:sz w:val="24"/>
          <w:szCs w:val="24"/>
        </w:rPr>
        <w:t>ch dyrektywach wykonawczych wprowadzonych</w:t>
      </w:r>
      <w:r w:rsidR="00C61CB6" w:rsidRPr="00493A63">
        <w:rPr>
          <w:noProof/>
          <w:sz w:val="24"/>
          <w:szCs w:val="24"/>
        </w:rPr>
        <w:t xml:space="preserve"> w</w:t>
      </w:r>
      <w:r w:rsidR="00C61CB6">
        <w:rPr>
          <w:noProof/>
          <w:sz w:val="24"/>
          <w:szCs w:val="24"/>
        </w:rPr>
        <w:t> </w:t>
      </w:r>
      <w:r w:rsidR="00C61CB6" w:rsidRPr="00493A63">
        <w:rPr>
          <w:noProof/>
          <w:sz w:val="24"/>
          <w:szCs w:val="24"/>
        </w:rPr>
        <w:t>2</w:t>
      </w:r>
      <w:r w:rsidRPr="00493A63">
        <w:rPr>
          <w:noProof/>
          <w:sz w:val="24"/>
          <w:szCs w:val="24"/>
        </w:rPr>
        <w:t>019</w:t>
      </w:r>
      <w:r w:rsidR="00493A63" w:rsidRPr="00493A63">
        <w:rPr>
          <w:noProof/>
          <w:sz w:val="24"/>
          <w:szCs w:val="24"/>
        </w:rPr>
        <w:t> </w:t>
      </w:r>
      <w:r w:rsidRPr="00493A63">
        <w:rPr>
          <w:noProof/>
          <w:sz w:val="24"/>
          <w:szCs w:val="24"/>
        </w:rPr>
        <w:t>r.</w:t>
      </w:r>
    </w:p>
    <w:p w14:paraId="53D5B41D" w14:textId="0B4DFBD8" w:rsidR="002077F4" w:rsidRPr="00493A63" w:rsidRDefault="003E5DCD" w:rsidP="00706EAC">
      <w:pPr>
        <w:rPr>
          <w:noProof/>
          <w:sz w:val="24"/>
          <w:szCs w:val="24"/>
        </w:rPr>
      </w:pPr>
      <w:r w:rsidRPr="00493A63">
        <w:rPr>
          <w:noProof/>
          <w:sz w:val="24"/>
          <w:szCs w:val="24"/>
        </w:rPr>
        <w:t xml:space="preserve">Art. 1 dyrektywy </w:t>
      </w:r>
      <w:bookmarkStart w:id="12" w:name="_Toc66179162"/>
      <w:r w:rsidRPr="00493A63">
        <w:rPr>
          <w:noProof/>
          <w:sz w:val="24"/>
          <w:szCs w:val="24"/>
        </w:rPr>
        <w:t xml:space="preserve">zawiera </w:t>
      </w:r>
      <w:bookmarkEnd w:id="12"/>
      <w:r w:rsidRPr="00493A63">
        <w:rPr>
          <w:noProof/>
          <w:sz w:val="24"/>
          <w:szCs w:val="24"/>
        </w:rPr>
        <w:t xml:space="preserve">15 </w:t>
      </w:r>
      <w:r w:rsidRPr="00493A63">
        <w:rPr>
          <w:b/>
          <w:noProof/>
          <w:sz w:val="24"/>
          <w:szCs w:val="24"/>
        </w:rPr>
        <w:t>definicji</w:t>
      </w:r>
      <w:r w:rsidRPr="00493A63">
        <w:rPr>
          <w:noProof/>
          <w:sz w:val="24"/>
          <w:szCs w:val="24"/>
        </w:rPr>
        <w:t>,</w:t>
      </w:r>
      <w:r w:rsidR="00C61CB6" w:rsidRPr="00493A63">
        <w:rPr>
          <w:noProof/>
          <w:sz w:val="24"/>
          <w:szCs w:val="24"/>
        </w:rPr>
        <w:t xml:space="preserve"> z</w:t>
      </w:r>
      <w:r w:rsidR="00C61CB6">
        <w:rPr>
          <w:noProof/>
          <w:sz w:val="24"/>
          <w:szCs w:val="24"/>
        </w:rPr>
        <w:t> </w:t>
      </w:r>
      <w:r w:rsidR="00C61CB6" w:rsidRPr="00493A63">
        <w:rPr>
          <w:noProof/>
          <w:sz w:val="24"/>
          <w:szCs w:val="24"/>
        </w:rPr>
        <w:t>cze</w:t>
      </w:r>
      <w:r w:rsidRPr="00493A63">
        <w:rPr>
          <w:noProof/>
          <w:sz w:val="24"/>
          <w:szCs w:val="24"/>
        </w:rPr>
        <w:t>go 5 to całkiem nowe definicje,</w:t>
      </w:r>
      <w:r w:rsidR="00C61CB6" w:rsidRPr="00493A63">
        <w:rPr>
          <w:noProof/>
          <w:sz w:val="24"/>
          <w:szCs w:val="24"/>
        </w:rPr>
        <w:t xml:space="preserve"> a</w:t>
      </w:r>
      <w:r w:rsidR="00C61CB6">
        <w:rPr>
          <w:noProof/>
          <w:sz w:val="24"/>
          <w:szCs w:val="24"/>
        </w:rPr>
        <w:t> </w:t>
      </w:r>
      <w:r w:rsidR="00C61CB6" w:rsidRPr="00493A63">
        <w:rPr>
          <w:noProof/>
          <w:sz w:val="24"/>
          <w:szCs w:val="24"/>
        </w:rPr>
        <w:t>poz</w:t>
      </w:r>
      <w:r w:rsidRPr="00493A63">
        <w:rPr>
          <w:noProof/>
          <w:sz w:val="24"/>
          <w:szCs w:val="24"/>
        </w:rPr>
        <w:t>ostałe to definicje zaktualizowane</w:t>
      </w:r>
      <w:r w:rsidR="00C61CB6" w:rsidRPr="00493A63">
        <w:rPr>
          <w:noProof/>
          <w:sz w:val="24"/>
          <w:szCs w:val="24"/>
        </w:rPr>
        <w:t>. W</w:t>
      </w:r>
      <w:r w:rsidR="00C61CB6">
        <w:rPr>
          <w:noProof/>
          <w:sz w:val="24"/>
          <w:szCs w:val="24"/>
        </w:rPr>
        <w:t> </w:t>
      </w:r>
      <w:r w:rsidR="00C61CB6" w:rsidRPr="00493A63">
        <w:rPr>
          <w:noProof/>
          <w:sz w:val="24"/>
          <w:szCs w:val="24"/>
        </w:rPr>
        <w:t>szc</w:t>
      </w:r>
      <w:r w:rsidRPr="00493A63">
        <w:rPr>
          <w:noProof/>
          <w:sz w:val="24"/>
          <w:szCs w:val="24"/>
        </w:rPr>
        <w:t>zególności zapewniają one stosowanie</w:t>
      </w:r>
      <w:r w:rsidR="00C61CB6" w:rsidRPr="00493A63">
        <w:rPr>
          <w:noProof/>
          <w:sz w:val="24"/>
          <w:szCs w:val="24"/>
        </w:rPr>
        <w:t xml:space="preserve"> w</w:t>
      </w:r>
      <w:r w:rsidR="00C61CB6">
        <w:rPr>
          <w:noProof/>
          <w:sz w:val="24"/>
          <w:szCs w:val="24"/>
        </w:rPr>
        <w:t> </w:t>
      </w:r>
      <w:r w:rsidR="00C61CB6" w:rsidRPr="00493A63">
        <w:rPr>
          <w:noProof/>
          <w:sz w:val="24"/>
          <w:szCs w:val="24"/>
        </w:rPr>
        <w:t>spo</w:t>
      </w:r>
      <w:r w:rsidRPr="00493A63">
        <w:rPr>
          <w:noProof/>
          <w:sz w:val="24"/>
          <w:szCs w:val="24"/>
        </w:rPr>
        <w:t>sób spójny</w:t>
      </w:r>
      <w:r w:rsidR="00C61CB6" w:rsidRPr="00493A63">
        <w:rPr>
          <w:noProof/>
          <w:sz w:val="24"/>
          <w:szCs w:val="24"/>
        </w:rPr>
        <w:t xml:space="preserve"> w</w:t>
      </w:r>
      <w:r w:rsidR="00C61CB6">
        <w:rPr>
          <w:noProof/>
          <w:sz w:val="24"/>
          <w:szCs w:val="24"/>
        </w:rPr>
        <w:t> </w:t>
      </w:r>
      <w:r w:rsidR="00C61CB6" w:rsidRPr="00493A63">
        <w:rPr>
          <w:noProof/>
          <w:sz w:val="24"/>
          <w:szCs w:val="24"/>
        </w:rPr>
        <w:t>cał</w:t>
      </w:r>
      <w:r w:rsidRPr="00493A63">
        <w:rPr>
          <w:noProof/>
          <w:sz w:val="24"/>
          <w:szCs w:val="24"/>
        </w:rPr>
        <w:t>ej UE zakresu przedmiotowego (np. broń alarmowa</w:t>
      </w:r>
      <w:r w:rsidR="00C61CB6" w:rsidRPr="00493A63">
        <w:rPr>
          <w:noProof/>
          <w:sz w:val="24"/>
          <w:szCs w:val="24"/>
        </w:rPr>
        <w:t xml:space="preserve"> i</w:t>
      </w:r>
      <w:r w:rsidR="00C61CB6">
        <w:rPr>
          <w:noProof/>
          <w:sz w:val="24"/>
          <w:szCs w:val="24"/>
        </w:rPr>
        <w:t> </w:t>
      </w:r>
      <w:r w:rsidR="00C61CB6" w:rsidRPr="00493A63">
        <w:rPr>
          <w:noProof/>
          <w:sz w:val="24"/>
          <w:szCs w:val="24"/>
        </w:rPr>
        <w:t>syg</w:t>
      </w:r>
      <w:r w:rsidRPr="00493A63">
        <w:rPr>
          <w:noProof/>
          <w:sz w:val="24"/>
          <w:szCs w:val="24"/>
        </w:rPr>
        <w:t>nałowa, broń salutacyjna</w:t>
      </w:r>
      <w:r w:rsidR="00C61CB6" w:rsidRPr="00493A63">
        <w:rPr>
          <w:noProof/>
          <w:sz w:val="24"/>
          <w:szCs w:val="24"/>
        </w:rPr>
        <w:t xml:space="preserve"> i</w:t>
      </w:r>
      <w:r w:rsidR="00C61CB6">
        <w:rPr>
          <w:noProof/>
          <w:sz w:val="24"/>
          <w:szCs w:val="24"/>
        </w:rPr>
        <w:t> </w:t>
      </w:r>
      <w:r w:rsidR="00C61CB6" w:rsidRPr="00493A63">
        <w:rPr>
          <w:noProof/>
          <w:sz w:val="24"/>
          <w:szCs w:val="24"/>
        </w:rPr>
        <w:t>aku</w:t>
      </w:r>
      <w:r w:rsidRPr="00493A63">
        <w:rPr>
          <w:noProof/>
          <w:sz w:val="24"/>
          <w:szCs w:val="24"/>
        </w:rPr>
        <w:t xml:space="preserve">styczna) oraz zakresu podmiotowego (np. kolekcjonerzy, muzea, pośrednicy) dyrektywy. </w:t>
      </w:r>
    </w:p>
    <w:p w14:paraId="42511469" w14:textId="7E78045D" w:rsidR="00FB7F6A" w:rsidRPr="00493A63" w:rsidRDefault="001A1789" w:rsidP="00FB7F6A">
      <w:pPr>
        <w:rPr>
          <w:noProof/>
          <w:sz w:val="24"/>
          <w:szCs w:val="24"/>
        </w:rPr>
      </w:pPr>
      <w:r w:rsidRPr="00493A63">
        <w:rPr>
          <w:noProof/>
          <w:sz w:val="24"/>
          <w:szCs w:val="24"/>
        </w:rPr>
        <w:t>Wszystkie definicje zostały transponowane przez 22 państwa członkowskie (Belgię, Bułgarię, Czechy, Danię, Niemcy, Estonię, Irlandię, Grecję, Hiszpanię, Francję, Chorwację, Włochy, Cypr, Łotwę, Litwę, Węgry, Maltę, Austrię, Polskę, Portugalię, Rumunię</w:t>
      </w:r>
      <w:r w:rsidR="00C61CB6" w:rsidRPr="00493A63">
        <w:rPr>
          <w:noProof/>
          <w:sz w:val="24"/>
          <w:szCs w:val="24"/>
        </w:rPr>
        <w:t xml:space="preserve"> i</w:t>
      </w:r>
      <w:r w:rsidR="00C61CB6">
        <w:rPr>
          <w:noProof/>
          <w:sz w:val="24"/>
          <w:szCs w:val="24"/>
        </w:rPr>
        <w:t> </w:t>
      </w:r>
      <w:r w:rsidR="00C61CB6" w:rsidRPr="00493A63">
        <w:rPr>
          <w:noProof/>
          <w:sz w:val="24"/>
          <w:szCs w:val="24"/>
        </w:rPr>
        <w:t>Fin</w:t>
      </w:r>
      <w:r w:rsidRPr="00493A63">
        <w:rPr>
          <w:noProof/>
          <w:sz w:val="24"/>
          <w:szCs w:val="24"/>
        </w:rPr>
        <w:t>landię), trzy państwa członkowskie transponowały jedynie część definicji (Niderlandy, Słowacja</w:t>
      </w:r>
      <w:r w:rsidR="00C61CB6" w:rsidRPr="00493A63">
        <w:rPr>
          <w:noProof/>
          <w:sz w:val="24"/>
          <w:szCs w:val="24"/>
        </w:rPr>
        <w:t xml:space="preserve"> i</w:t>
      </w:r>
      <w:r w:rsidR="00C61CB6">
        <w:rPr>
          <w:noProof/>
          <w:sz w:val="24"/>
          <w:szCs w:val="24"/>
        </w:rPr>
        <w:t> </w:t>
      </w:r>
      <w:r w:rsidR="00C61CB6" w:rsidRPr="00493A63">
        <w:rPr>
          <w:noProof/>
          <w:sz w:val="24"/>
          <w:szCs w:val="24"/>
        </w:rPr>
        <w:t>Szw</w:t>
      </w:r>
      <w:r w:rsidRPr="00493A63">
        <w:rPr>
          <w:noProof/>
          <w:sz w:val="24"/>
          <w:szCs w:val="24"/>
        </w:rPr>
        <w:t>ecja),</w:t>
      </w:r>
      <w:r w:rsidR="00C61CB6" w:rsidRPr="00493A63">
        <w:rPr>
          <w:noProof/>
          <w:sz w:val="24"/>
          <w:szCs w:val="24"/>
        </w:rPr>
        <w:t xml:space="preserve"> a</w:t>
      </w:r>
      <w:r w:rsidR="00C61CB6">
        <w:rPr>
          <w:noProof/>
          <w:sz w:val="24"/>
          <w:szCs w:val="24"/>
        </w:rPr>
        <w:t> </w:t>
      </w:r>
      <w:r w:rsidR="00C61CB6" w:rsidRPr="00493A63">
        <w:rPr>
          <w:noProof/>
          <w:sz w:val="24"/>
          <w:szCs w:val="24"/>
        </w:rPr>
        <w:t>dwa</w:t>
      </w:r>
      <w:r w:rsidRPr="00493A63">
        <w:rPr>
          <w:noProof/>
          <w:sz w:val="24"/>
          <w:szCs w:val="24"/>
        </w:rPr>
        <w:t xml:space="preserve"> państwa członkowskie nie zgłosiły żadnych krajowych środków transpozycji (Luksemburg</w:t>
      </w:r>
      <w:r w:rsidR="00C61CB6" w:rsidRPr="00493A63">
        <w:rPr>
          <w:noProof/>
          <w:sz w:val="24"/>
          <w:szCs w:val="24"/>
        </w:rPr>
        <w:t xml:space="preserve"> i</w:t>
      </w:r>
      <w:r w:rsidR="00C61CB6">
        <w:rPr>
          <w:noProof/>
          <w:sz w:val="24"/>
          <w:szCs w:val="24"/>
        </w:rPr>
        <w:t> </w:t>
      </w:r>
      <w:r w:rsidR="00C61CB6" w:rsidRPr="00493A63">
        <w:rPr>
          <w:noProof/>
          <w:sz w:val="24"/>
          <w:szCs w:val="24"/>
        </w:rPr>
        <w:t>Sło</w:t>
      </w:r>
      <w:r w:rsidRPr="00493A63">
        <w:rPr>
          <w:noProof/>
          <w:sz w:val="24"/>
          <w:szCs w:val="24"/>
        </w:rPr>
        <w:t>wenia).</w:t>
      </w:r>
    </w:p>
    <w:p w14:paraId="64D33742" w14:textId="3ABD8048" w:rsidR="0044117E" w:rsidRPr="00493A63" w:rsidRDefault="00ED00CD" w:rsidP="00706EAC">
      <w:pPr>
        <w:rPr>
          <w:noProof/>
          <w:sz w:val="24"/>
          <w:szCs w:val="24"/>
        </w:rPr>
      </w:pPr>
      <w:r w:rsidRPr="00493A63">
        <w:rPr>
          <w:noProof/>
          <w:sz w:val="24"/>
          <w:szCs w:val="24"/>
        </w:rPr>
        <w:t>W dyrektywie</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 xml:space="preserve">awie broni palnej wprowadzono nowe przepisy dotyczące działalności </w:t>
      </w:r>
      <w:r w:rsidRPr="00493A63">
        <w:rPr>
          <w:b/>
          <w:noProof/>
          <w:sz w:val="24"/>
          <w:szCs w:val="24"/>
        </w:rPr>
        <w:t>sprzedawców</w:t>
      </w:r>
      <w:r w:rsidR="00C61CB6" w:rsidRPr="00493A63">
        <w:rPr>
          <w:b/>
          <w:noProof/>
          <w:sz w:val="24"/>
          <w:szCs w:val="24"/>
        </w:rPr>
        <w:t xml:space="preserve"> i</w:t>
      </w:r>
      <w:r w:rsidR="00C61CB6">
        <w:rPr>
          <w:b/>
          <w:noProof/>
          <w:sz w:val="24"/>
          <w:szCs w:val="24"/>
        </w:rPr>
        <w:t> </w:t>
      </w:r>
      <w:r w:rsidR="00C61CB6" w:rsidRPr="00493A63">
        <w:rPr>
          <w:b/>
          <w:noProof/>
          <w:sz w:val="24"/>
          <w:szCs w:val="24"/>
        </w:rPr>
        <w:t>poś</w:t>
      </w:r>
      <w:r w:rsidRPr="00493A63">
        <w:rPr>
          <w:b/>
          <w:noProof/>
          <w:sz w:val="24"/>
          <w:szCs w:val="24"/>
        </w:rPr>
        <w:t>redników</w:t>
      </w:r>
      <w:r w:rsidRPr="00493A63">
        <w:rPr>
          <w:noProof/>
          <w:sz w:val="24"/>
          <w:szCs w:val="24"/>
        </w:rPr>
        <w:t xml:space="preserve"> (art.</w:t>
      </w:r>
      <w:r w:rsidR="00493A63" w:rsidRPr="00493A63">
        <w:rPr>
          <w:noProof/>
          <w:sz w:val="24"/>
          <w:szCs w:val="24"/>
        </w:rPr>
        <w:t> </w:t>
      </w:r>
      <w:r w:rsidRPr="00493A63">
        <w:rPr>
          <w:noProof/>
          <w:sz w:val="24"/>
          <w:szCs w:val="24"/>
        </w:rPr>
        <w:t>1 ust.</w:t>
      </w:r>
      <w:r w:rsidR="00493A63" w:rsidRPr="00493A63">
        <w:rPr>
          <w:noProof/>
          <w:sz w:val="24"/>
          <w:szCs w:val="24"/>
        </w:rPr>
        <w:t> </w:t>
      </w:r>
      <w:r w:rsidRPr="00493A63">
        <w:rPr>
          <w:noProof/>
          <w:sz w:val="24"/>
          <w:szCs w:val="24"/>
        </w:rPr>
        <w:t>1, art.</w:t>
      </w:r>
      <w:r w:rsidR="00493A63" w:rsidRPr="00493A63">
        <w:rPr>
          <w:noProof/>
          <w:sz w:val="24"/>
          <w:szCs w:val="24"/>
        </w:rPr>
        <w:t> </w:t>
      </w:r>
      <w:r w:rsidRPr="00493A63">
        <w:rPr>
          <w:noProof/>
          <w:sz w:val="24"/>
          <w:szCs w:val="24"/>
        </w:rPr>
        <w:t>4 ust.</w:t>
      </w:r>
      <w:r w:rsidR="00493A63" w:rsidRPr="00493A63">
        <w:rPr>
          <w:noProof/>
          <w:sz w:val="24"/>
          <w:szCs w:val="24"/>
        </w:rPr>
        <w:t> </w:t>
      </w:r>
      <w:r w:rsidRPr="00493A63">
        <w:rPr>
          <w:noProof/>
          <w:sz w:val="24"/>
          <w:szCs w:val="24"/>
        </w:rPr>
        <w:t>4</w:t>
      </w:r>
      <w:r w:rsidR="00C61CB6" w:rsidRPr="00493A63">
        <w:rPr>
          <w:noProof/>
          <w:sz w:val="24"/>
          <w:szCs w:val="24"/>
        </w:rPr>
        <w:t xml:space="preserve"> i</w:t>
      </w:r>
      <w:r w:rsidR="00C61CB6">
        <w:rPr>
          <w:noProof/>
          <w:sz w:val="24"/>
          <w:szCs w:val="24"/>
        </w:rPr>
        <w:t> </w:t>
      </w:r>
      <w:r w:rsidR="00C61CB6" w:rsidRPr="00493A63">
        <w:rPr>
          <w:noProof/>
          <w:sz w:val="24"/>
          <w:szCs w:val="24"/>
        </w:rPr>
        <w:t>5</w:t>
      </w:r>
      <w:r w:rsidRPr="00493A63">
        <w:rPr>
          <w:noProof/>
          <w:sz w:val="24"/>
          <w:szCs w:val="24"/>
        </w:rPr>
        <w:t xml:space="preserve"> oraz art.</w:t>
      </w:r>
      <w:r w:rsidR="00493A63" w:rsidRPr="00493A63">
        <w:rPr>
          <w:noProof/>
          <w:sz w:val="24"/>
          <w:szCs w:val="24"/>
        </w:rPr>
        <w:t> </w:t>
      </w:r>
      <w:r w:rsidRPr="00493A63">
        <w:rPr>
          <w:noProof/>
          <w:sz w:val="24"/>
          <w:szCs w:val="24"/>
        </w:rPr>
        <w:t>13 ust.</w:t>
      </w:r>
      <w:r w:rsidR="00493A63" w:rsidRPr="00493A63">
        <w:rPr>
          <w:noProof/>
          <w:sz w:val="24"/>
          <w:szCs w:val="24"/>
        </w:rPr>
        <w:t> </w:t>
      </w:r>
      <w:r w:rsidRPr="00493A63">
        <w:rPr>
          <w:noProof/>
          <w:sz w:val="24"/>
          <w:szCs w:val="24"/>
        </w:rPr>
        <w:t>2). Wszystkie państwa członkowskie oprócz trzech (Dania, Luksemburg</w:t>
      </w:r>
      <w:r w:rsidR="00C61CB6" w:rsidRPr="00493A63">
        <w:rPr>
          <w:noProof/>
          <w:sz w:val="24"/>
          <w:szCs w:val="24"/>
        </w:rPr>
        <w:t xml:space="preserve"> i</w:t>
      </w:r>
      <w:r w:rsidR="00C61CB6">
        <w:rPr>
          <w:noProof/>
          <w:sz w:val="24"/>
          <w:szCs w:val="24"/>
        </w:rPr>
        <w:t> </w:t>
      </w:r>
      <w:r w:rsidR="00C61CB6" w:rsidRPr="00493A63">
        <w:rPr>
          <w:noProof/>
          <w:sz w:val="24"/>
          <w:szCs w:val="24"/>
        </w:rPr>
        <w:t>Sło</w:t>
      </w:r>
      <w:r w:rsidRPr="00493A63">
        <w:rPr>
          <w:noProof/>
          <w:sz w:val="24"/>
          <w:szCs w:val="24"/>
        </w:rPr>
        <w:t>wenia) transponowały wszystkie te przepisy.</w:t>
      </w:r>
    </w:p>
    <w:p w14:paraId="2812DF00" w14:textId="3F9DF842" w:rsidR="00EC4238" w:rsidRPr="00493A63" w:rsidRDefault="000648CB" w:rsidP="00EC4238">
      <w:pPr>
        <w:rPr>
          <w:noProof/>
          <w:sz w:val="24"/>
          <w:szCs w:val="24"/>
        </w:rPr>
      </w:pPr>
      <w:r w:rsidRPr="00493A63">
        <w:rPr>
          <w:noProof/>
          <w:sz w:val="24"/>
          <w:szCs w:val="24"/>
        </w:rPr>
        <w:t>Art. 4 ust.</w:t>
      </w:r>
      <w:r w:rsidR="00493A63" w:rsidRPr="00493A63">
        <w:rPr>
          <w:noProof/>
          <w:sz w:val="24"/>
          <w:szCs w:val="24"/>
        </w:rPr>
        <w:t> </w:t>
      </w:r>
      <w:r w:rsidRPr="00493A63">
        <w:rPr>
          <w:noProof/>
          <w:sz w:val="24"/>
          <w:szCs w:val="24"/>
        </w:rPr>
        <w:t>1</w:t>
      </w:r>
      <w:r w:rsidR="00C61CB6" w:rsidRPr="00493A63">
        <w:rPr>
          <w:noProof/>
          <w:sz w:val="24"/>
          <w:szCs w:val="24"/>
        </w:rPr>
        <w:t xml:space="preserve"> i</w:t>
      </w:r>
      <w:r w:rsidR="00C61CB6">
        <w:rPr>
          <w:noProof/>
          <w:sz w:val="24"/>
          <w:szCs w:val="24"/>
        </w:rPr>
        <w:t> </w:t>
      </w:r>
      <w:r w:rsidR="00C61CB6" w:rsidRPr="00493A63">
        <w:rPr>
          <w:noProof/>
          <w:sz w:val="24"/>
          <w:szCs w:val="24"/>
        </w:rPr>
        <w:t>2</w:t>
      </w:r>
      <w:r w:rsidRPr="00493A63">
        <w:rPr>
          <w:noProof/>
          <w:sz w:val="24"/>
          <w:szCs w:val="24"/>
        </w:rPr>
        <w:t xml:space="preserve"> znacząco zmienił przepisy dotyczące </w:t>
      </w:r>
      <w:r w:rsidRPr="00493A63">
        <w:rPr>
          <w:b/>
          <w:noProof/>
          <w:sz w:val="24"/>
          <w:szCs w:val="24"/>
        </w:rPr>
        <w:t>oznakowania</w:t>
      </w:r>
      <w:r w:rsidRPr="00493A63">
        <w:rPr>
          <w:noProof/>
          <w:sz w:val="24"/>
          <w:szCs w:val="24"/>
        </w:rPr>
        <w:t>. Wszystkie państwa członkowskie oprócz dwóch (Luksemburg</w:t>
      </w:r>
      <w:r w:rsidR="00C61CB6" w:rsidRPr="00493A63">
        <w:rPr>
          <w:noProof/>
          <w:sz w:val="24"/>
          <w:szCs w:val="24"/>
        </w:rPr>
        <w:t xml:space="preserve"> i</w:t>
      </w:r>
      <w:r w:rsidR="00C61CB6">
        <w:rPr>
          <w:noProof/>
          <w:sz w:val="24"/>
          <w:szCs w:val="24"/>
        </w:rPr>
        <w:t> </w:t>
      </w:r>
      <w:r w:rsidR="00C61CB6" w:rsidRPr="00493A63">
        <w:rPr>
          <w:noProof/>
          <w:sz w:val="24"/>
          <w:szCs w:val="24"/>
        </w:rPr>
        <w:t>Sło</w:t>
      </w:r>
      <w:r w:rsidRPr="00493A63">
        <w:rPr>
          <w:noProof/>
          <w:sz w:val="24"/>
          <w:szCs w:val="24"/>
        </w:rPr>
        <w:t>wenia) transponowały wszystkie te przepisy.</w:t>
      </w:r>
    </w:p>
    <w:p w14:paraId="5184CDF2" w14:textId="69DF3313" w:rsidR="007338CC" w:rsidRPr="00493A63" w:rsidRDefault="00033EC7" w:rsidP="00682ABD">
      <w:pPr>
        <w:rPr>
          <w:noProof/>
          <w:sz w:val="24"/>
          <w:szCs w:val="24"/>
        </w:rPr>
      </w:pPr>
      <w:r w:rsidRPr="00493A63">
        <w:rPr>
          <w:noProof/>
          <w:sz w:val="24"/>
          <w:szCs w:val="24"/>
        </w:rPr>
        <w:t>Ponadto 18 państw członkowskich transponowało przepisy dyrektywy wykonawczej (UE) 2019/68 dotyczące oznakowania (Belgia, Czechy, Dania, Niemcy, Estonia, Grecja, Hiszpania, Francja, Chorwacja, Cypr, Łotwa, Litwa, Węgry, Malta, Niderlandy, Austria, Portugalia</w:t>
      </w:r>
      <w:r w:rsidR="00C61CB6" w:rsidRPr="00493A63">
        <w:rPr>
          <w:noProof/>
          <w:sz w:val="24"/>
          <w:szCs w:val="24"/>
        </w:rPr>
        <w:t xml:space="preserve"> i</w:t>
      </w:r>
      <w:r w:rsidR="00C61CB6">
        <w:rPr>
          <w:noProof/>
          <w:sz w:val="24"/>
          <w:szCs w:val="24"/>
        </w:rPr>
        <w:t> </w:t>
      </w:r>
      <w:r w:rsidR="00C61CB6" w:rsidRPr="00493A63">
        <w:rPr>
          <w:noProof/>
          <w:sz w:val="24"/>
          <w:szCs w:val="24"/>
        </w:rPr>
        <w:t>Sło</w:t>
      </w:r>
      <w:r w:rsidRPr="00493A63">
        <w:rPr>
          <w:noProof/>
          <w:sz w:val="24"/>
          <w:szCs w:val="24"/>
        </w:rPr>
        <w:t>wacja),</w:t>
      </w:r>
      <w:r w:rsidR="00C61CB6" w:rsidRPr="00493A63">
        <w:rPr>
          <w:noProof/>
          <w:sz w:val="24"/>
          <w:szCs w:val="24"/>
        </w:rPr>
        <w:t xml:space="preserve"> a</w:t>
      </w:r>
      <w:r w:rsidR="00C61CB6">
        <w:rPr>
          <w:noProof/>
          <w:sz w:val="24"/>
          <w:szCs w:val="24"/>
        </w:rPr>
        <w:t> </w:t>
      </w:r>
      <w:r w:rsidR="00C61CB6" w:rsidRPr="00493A63">
        <w:rPr>
          <w:noProof/>
          <w:sz w:val="24"/>
          <w:szCs w:val="24"/>
        </w:rPr>
        <w:t>dzi</w:t>
      </w:r>
      <w:r w:rsidRPr="00493A63">
        <w:rPr>
          <w:noProof/>
          <w:sz w:val="24"/>
          <w:szCs w:val="24"/>
        </w:rPr>
        <w:t>ewięć państw członkowskich nie zgłosiło żadnych środków lub nie przeprowadziło kompletnej transpozycji (Bułgaria, Irlandia, Włochy, Luksemburg, Polska, Rumunia, Słowenia, Finlandia, Szwecja).</w:t>
      </w:r>
    </w:p>
    <w:p w14:paraId="2CEDD14A" w14:textId="29E759D2" w:rsidR="00111A2D" w:rsidRPr="00493A63" w:rsidRDefault="003456D1" w:rsidP="00111A2D">
      <w:pPr>
        <w:rPr>
          <w:noProof/>
          <w:sz w:val="24"/>
          <w:szCs w:val="24"/>
        </w:rPr>
      </w:pPr>
      <w:r w:rsidRPr="00493A63">
        <w:rPr>
          <w:noProof/>
          <w:sz w:val="24"/>
          <w:szCs w:val="24"/>
        </w:rPr>
        <w:t>W art.</w:t>
      </w:r>
      <w:r w:rsidR="00493A63" w:rsidRPr="00493A63">
        <w:rPr>
          <w:noProof/>
          <w:sz w:val="24"/>
          <w:szCs w:val="24"/>
        </w:rPr>
        <w:t> </w:t>
      </w:r>
      <w:r w:rsidRPr="00493A63">
        <w:rPr>
          <w:noProof/>
          <w:sz w:val="24"/>
          <w:szCs w:val="24"/>
        </w:rPr>
        <w:t>4 ust.</w:t>
      </w:r>
      <w:r w:rsidR="00493A63" w:rsidRPr="00493A63">
        <w:rPr>
          <w:noProof/>
          <w:sz w:val="24"/>
          <w:szCs w:val="24"/>
        </w:rPr>
        <w:t> </w:t>
      </w:r>
      <w:r w:rsidRPr="00493A63">
        <w:rPr>
          <w:noProof/>
          <w:sz w:val="24"/>
          <w:szCs w:val="24"/>
        </w:rPr>
        <w:t>5</w:t>
      </w:r>
      <w:r w:rsidR="00C61CB6" w:rsidRPr="00493A63">
        <w:rPr>
          <w:noProof/>
          <w:sz w:val="24"/>
          <w:szCs w:val="24"/>
        </w:rPr>
        <w:t xml:space="preserve"> i</w:t>
      </w:r>
      <w:r w:rsidR="00C61CB6">
        <w:rPr>
          <w:noProof/>
          <w:sz w:val="24"/>
          <w:szCs w:val="24"/>
        </w:rPr>
        <w:t> </w:t>
      </w:r>
      <w:r w:rsidR="00C61CB6" w:rsidRPr="00493A63">
        <w:rPr>
          <w:noProof/>
          <w:sz w:val="24"/>
          <w:szCs w:val="24"/>
        </w:rPr>
        <w:t>art</w:t>
      </w:r>
      <w:r w:rsidRPr="00493A63">
        <w:rPr>
          <w:noProof/>
          <w:sz w:val="24"/>
          <w:szCs w:val="24"/>
        </w:rPr>
        <w:t>.</w:t>
      </w:r>
      <w:r w:rsidR="00493A63" w:rsidRPr="00493A63">
        <w:rPr>
          <w:noProof/>
          <w:sz w:val="24"/>
          <w:szCs w:val="24"/>
        </w:rPr>
        <w:t> </w:t>
      </w:r>
      <w:r w:rsidRPr="00493A63">
        <w:rPr>
          <w:noProof/>
          <w:sz w:val="24"/>
          <w:szCs w:val="24"/>
        </w:rPr>
        <w:t>18 ust.</w:t>
      </w:r>
      <w:r w:rsidR="00493A63" w:rsidRPr="00493A63">
        <w:rPr>
          <w:noProof/>
          <w:sz w:val="24"/>
          <w:szCs w:val="24"/>
        </w:rPr>
        <w:t> </w:t>
      </w:r>
      <w:r w:rsidRPr="00493A63">
        <w:rPr>
          <w:noProof/>
          <w:sz w:val="24"/>
          <w:szCs w:val="24"/>
        </w:rPr>
        <w:t>4 zmienionej</w:t>
      </w:r>
      <w:r w:rsidR="00C61CB6" w:rsidRPr="00493A63">
        <w:rPr>
          <w:noProof/>
          <w:sz w:val="24"/>
          <w:szCs w:val="24"/>
        </w:rPr>
        <w:t xml:space="preserve"> w</w:t>
      </w:r>
      <w:r w:rsidR="00C61CB6">
        <w:rPr>
          <w:noProof/>
          <w:sz w:val="24"/>
          <w:szCs w:val="24"/>
        </w:rPr>
        <w:t> </w:t>
      </w:r>
      <w:r w:rsidR="00C61CB6" w:rsidRPr="00493A63">
        <w:rPr>
          <w:noProof/>
          <w:sz w:val="24"/>
          <w:szCs w:val="24"/>
        </w:rPr>
        <w:t>2</w:t>
      </w:r>
      <w:r w:rsidRPr="00493A63">
        <w:rPr>
          <w:noProof/>
          <w:sz w:val="24"/>
          <w:szCs w:val="24"/>
        </w:rPr>
        <w:t>017</w:t>
      </w:r>
      <w:r w:rsidR="00493A63" w:rsidRPr="00493A63">
        <w:rPr>
          <w:noProof/>
          <w:sz w:val="24"/>
          <w:szCs w:val="24"/>
        </w:rPr>
        <w:t> </w:t>
      </w:r>
      <w:r w:rsidRPr="00493A63">
        <w:rPr>
          <w:noProof/>
          <w:sz w:val="24"/>
          <w:szCs w:val="24"/>
        </w:rPr>
        <w:t>r. dyrektywy</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 zapewniono zwiększenie ilości</w:t>
      </w:r>
      <w:r w:rsidR="00C61CB6" w:rsidRPr="00493A63">
        <w:rPr>
          <w:noProof/>
          <w:sz w:val="24"/>
          <w:szCs w:val="24"/>
        </w:rPr>
        <w:t xml:space="preserve"> i</w:t>
      </w:r>
      <w:r w:rsidR="00C61CB6">
        <w:rPr>
          <w:noProof/>
          <w:sz w:val="24"/>
          <w:szCs w:val="24"/>
        </w:rPr>
        <w:t> </w:t>
      </w:r>
      <w:r w:rsidR="00C61CB6" w:rsidRPr="00493A63">
        <w:rPr>
          <w:noProof/>
          <w:sz w:val="24"/>
          <w:szCs w:val="24"/>
        </w:rPr>
        <w:t>pod</w:t>
      </w:r>
      <w:r w:rsidRPr="00493A63">
        <w:rPr>
          <w:noProof/>
          <w:sz w:val="24"/>
          <w:szCs w:val="24"/>
        </w:rPr>
        <w:t>niesienie jakości danych przechowywanych</w:t>
      </w:r>
      <w:r w:rsidR="00C61CB6" w:rsidRPr="00493A63">
        <w:rPr>
          <w:noProof/>
          <w:sz w:val="24"/>
          <w:szCs w:val="24"/>
        </w:rPr>
        <w:t xml:space="preserve"> w</w:t>
      </w:r>
      <w:r w:rsidR="00C61CB6">
        <w:rPr>
          <w:noProof/>
          <w:sz w:val="24"/>
          <w:szCs w:val="24"/>
        </w:rPr>
        <w:t> </w:t>
      </w:r>
      <w:r w:rsidR="00C61CB6" w:rsidRPr="00493A63">
        <w:rPr>
          <w:b/>
          <w:noProof/>
          <w:sz w:val="24"/>
          <w:szCs w:val="24"/>
        </w:rPr>
        <w:t>sys</w:t>
      </w:r>
      <w:r w:rsidRPr="00493A63">
        <w:rPr>
          <w:b/>
          <w:noProof/>
          <w:sz w:val="24"/>
          <w:szCs w:val="24"/>
        </w:rPr>
        <w:t>temach rejestracji danych oraz wymianę informacji</w:t>
      </w:r>
      <w:r w:rsidR="00C61CB6" w:rsidRPr="00493A63">
        <w:rPr>
          <w:noProof/>
          <w:sz w:val="24"/>
          <w:szCs w:val="24"/>
        </w:rPr>
        <w:t xml:space="preserve"> z</w:t>
      </w:r>
      <w:r w:rsidR="00C61CB6">
        <w:rPr>
          <w:noProof/>
          <w:sz w:val="24"/>
          <w:szCs w:val="24"/>
        </w:rPr>
        <w:t> </w:t>
      </w:r>
      <w:r w:rsidR="00C61CB6" w:rsidRPr="00493A63">
        <w:rPr>
          <w:noProof/>
          <w:sz w:val="24"/>
          <w:szCs w:val="24"/>
        </w:rPr>
        <w:t>wła</w:t>
      </w:r>
      <w:r w:rsidRPr="00493A63">
        <w:rPr>
          <w:noProof/>
          <w:sz w:val="24"/>
          <w:szCs w:val="24"/>
        </w:rPr>
        <w:t>ściwymi organami krajowymi</w:t>
      </w:r>
      <w:r w:rsidR="00C61CB6" w:rsidRPr="00493A63">
        <w:rPr>
          <w:noProof/>
          <w:sz w:val="24"/>
          <w:szCs w:val="24"/>
        </w:rPr>
        <w:t xml:space="preserve"> i</w:t>
      </w:r>
      <w:r w:rsidR="00C61CB6">
        <w:rPr>
          <w:noProof/>
          <w:sz w:val="24"/>
          <w:szCs w:val="24"/>
        </w:rPr>
        <w:t> </w:t>
      </w:r>
      <w:r w:rsidR="00C61CB6" w:rsidRPr="00493A63">
        <w:rPr>
          <w:noProof/>
          <w:sz w:val="24"/>
          <w:szCs w:val="24"/>
        </w:rPr>
        <w:t>mię</w:t>
      </w:r>
      <w:r w:rsidRPr="00493A63">
        <w:rPr>
          <w:noProof/>
          <w:sz w:val="24"/>
          <w:szCs w:val="24"/>
        </w:rPr>
        <w:t>dzy nimi. Pełnej transpozycji tych przepisów dokonały 23 państwa członkowskie (Belgia, Bułgaria, Czechy, Niemcy, Estonia, Grecja, Hiszpania, Francja, Chorwacja, Włochy, Cypr, Łotwa, Litwa, Węgry, Malta, Niderlandy, Austria, Polska, Portugalia, Rumunia, Słowacja, Finlandia</w:t>
      </w:r>
      <w:r w:rsidR="00C61CB6" w:rsidRPr="00493A63">
        <w:rPr>
          <w:noProof/>
          <w:sz w:val="24"/>
          <w:szCs w:val="24"/>
        </w:rPr>
        <w:t xml:space="preserve"> i</w:t>
      </w:r>
      <w:r w:rsidR="00C61CB6">
        <w:rPr>
          <w:noProof/>
          <w:sz w:val="24"/>
          <w:szCs w:val="24"/>
        </w:rPr>
        <w:t> </w:t>
      </w:r>
      <w:r w:rsidR="00C61CB6" w:rsidRPr="00493A63">
        <w:rPr>
          <w:noProof/>
          <w:sz w:val="24"/>
          <w:szCs w:val="24"/>
        </w:rPr>
        <w:t>Szw</w:t>
      </w:r>
      <w:r w:rsidRPr="00493A63">
        <w:rPr>
          <w:noProof/>
          <w:sz w:val="24"/>
          <w:szCs w:val="24"/>
        </w:rPr>
        <w:t>ecja),</w:t>
      </w:r>
      <w:r w:rsidR="00C61CB6" w:rsidRPr="00493A63">
        <w:rPr>
          <w:noProof/>
          <w:sz w:val="24"/>
          <w:szCs w:val="24"/>
        </w:rPr>
        <w:t xml:space="preserve"> a</w:t>
      </w:r>
      <w:r w:rsidR="00C61CB6">
        <w:rPr>
          <w:noProof/>
          <w:sz w:val="24"/>
          <w:szCs w:val="24"/>
        </w:rPr>
        <w:t> </w:t>
      </w:r>
      <w:r w:rsidR="00C61CB6" w:rsidRPr="00493A63">
        <w:rPr>
          <w:noProof/>
          <w:sz w:val="24"/>
          <w:szCs w:val="24"/>
        </w:rPr>
        <w:t>czt</w:t>
      </w:r>
      <w:r w:rsidRPr="00493A63">
        <w:rPr>
          <w:noProof/>
          <w:sz w:val="24"/>
          <w:szCs w:val="24"/>
        </w:rPr>
        <w:t>ery państwa członkowskie nie zgłosiły żadnych środków lub nie przeprowadziły kompletnej transpozycji</w:t>
      </w:r>
      <w:r w:rsidR="00C61CB6" w:rsidRPr="00493A63">
        <w:rPr>
          <w:noProof/>
          <w:sz w:val="24"/>
          <w:szCs w:val="24"/>
        </w:rPr>
        <w:t xml:space="preserve"> w</w:t>
      </w:r>
      <w:r w:rsidR="00C61CB6">
        <w:rPr>
          <w:noProof/>
          <w:sz w:val="24"/>
          <w:szCs w:val="24"/>
        </w:rPr>
        <w:t> </w:t>
      </w:r>
      <w:r w:rsidR="00C61CB6" w:rsidRPr="00493A63">
        <w:rPr>
          <w:noProof/>
          <w:sz w:val="24"/>
          <w:szCs w:val="24"/>
        </w:rPr>
        <w:t>odn</w:t>
      </w:r>
      <w:r w:rsidRPr="00493A63">
        <w:rPr>
          <w:noProof/>
          <w:sz w:val="24"/>
          <w:szCs w:val="24"/>
        </w:rPr>
        <w:t>iesieniu do tych przepisów (Dania, Irlandia, Luksemburg</w:t>
      </w:r>
      <w:r w:rsidR="00C61CB6" w:rsidRPr="00493A63">
        <w:rPr>
          <w:noProof/>
          <w:sz w:val="24"/>
          <w:szCs w:val="24"/>
        </w:rPr>
        <w:t xml:space="preserve"> i</w:t>
      </w:r>
      <w:r w:rsidR="00C61CB6">
        <w:rPr>
          <w:noProof/>
          <w:sz w:val="24"/>
          <w:szCs w:val="24"/>
        </w:rPr>
        <w:t> </w:t>
      </w:r>
      <w:r w:rsidR="00C61CB6" w:rsidRPr="00493A63">
        <w:rPr>
          <w:noProof/>
          <w:sz w:val="24"/>
          <w:szCs w:val="24"/>
        </w:rPr>
        <w:t>Sło</w:t>
      </w:r>
      <w:r w:rsidRPr="00493A63">
        <w:rPr>
          <w:noProof/>
          <w:sz w:val="24"/>
          <w:szCs w:val="24"/>
        </w:rPr>
        <w:t>wenia).</w:t>
      </w:r>
    </w:p>
    <w:p w14:paraId="48A65DB5" w14:textId="1B61492F" w:rsidR="00DC72DD" w:rsidRPr="00493A63" w:rsidRDefault="00C572E2" w:rsidP="00DC72DD">
      <w:pPr>
        <w:rPr>
          <w:noProof/>
          <w:sz w:val="24"/>
          <w:szCs w:val="24"/>
        </w:rPr>
      </w:pPr>
      <w:r w:rsidRPr="00493A63">
        <w:rPr>
          <w:noProof/>
          <w:sz w:val="24"/>
          <w:szCs w:val="24"/>
        </w:rPr>
        <w:t>W art.</w:t>
      </w:r>
      <w:r w:rsidR="00493A63" w:rsidRPr="00493A63">
        <w:rPr>
          <w:noProof/>
          <w:sz w:val="24"/>
          <w:szCs w:val="24"/>
        </w:rPr>
        <w:t> </w:t>
      </w:r>
      <w:r w:rsidRPr="00493A63">
        <w:rPr>
          <w:noProof/>
          <w:sz w:val="24"/>
          <w:szCs w:val="24"/>
        </w:rPr>
        <w:t>9 ust.</w:t>
      </w:r>
      <w:r w:rsidR="00493A63" w:rsidRPr="00493A63">
        <w:rPr>
          <w:noProof/>
          <w:sz w:val="24"/>
          <w:szCs w:val="24"/>
        </w:rPr>
        <w:t> </w:t>
      </w:r>
      <w:r w:rsidRPr="00493A63">
        <w:rPr>
          <w:noProof/>
          <w:sz w:val="24"/>
          <w:szCs w:val="24"/>
        </w:rPr>
        <w:t>1 dyrektywy</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 xml:space="preserve">awie broni palnej określono bardziej rygorystyczne przepisy dotyczące najniebezpieczniejszych rodzajów broni palnej, klasyfikujące je do </w:t>
      </w:r>
      <w:r w:rsidRPr="00493A63">
        <w:rPr>
          <w:b/>
          <w:noProof/>
          <w:sz w:val="24"/>
          <w:szCs w:val="24"/>
        </w:rPr>
        <w:t>kategorii A</w:t>
      </w:r>
      <w:r w:rsidRPr="00493A63">
        <w:rPr>
          <w:noProof/>
          <w:sz w:val="24"/>
          <w:szCs w:val="24"/>
        </w:rPr>
        <w:t>, zgodnie</w:t>
      </w:r>
      <w:r w:rsidR="00C61CB6" w:rsidRPr="00493A63">
        <w:rPr>
          <w:noProof/>
          <w:sz w:val="24"/>
          <w:szCs w:val="24"/>
        </w:rPr>
        <w:t xml:space="preserve"> z</w:t>
      </w:r>
      <w:r w:rsidR="00C61CB6">
        <w:rPr>
          <w:noProof/>
          <w:sz w:val="24"/>
          <w:szCs w:val="24"/>
        </w:rPr>
        <w:t> </w:t>
      </w:r>
      <w:r w:rsidR="00C61CB6" w:rsidRPr="00493A63">
        <w:rPr>
          <w:noProof/>
          <w:sz w:val="24"/>
          <w:szCs w:val="24"/>
        </w:rPr>
        <w:t>któ</w:t>
      </w:r>
      <w:r w:rsidRPr="00493A63">
        <w:rPr>
          <w:noProof/>
          <w:sz w:val="24"/>
          <w:szCs w:val="24"/>
        </w:rPr>
        <w:t>rymi –</w:t>
      </w:r>
      <w:r w:rsidR="00C61CB6" w:rsidRPr="00493A63">
        <w:rPr>
          <w:noProof/>
          <w:sz w:val="24"/>
          <w:szCs w:val="24"/>
        </w:rPr>
        <w:t xml:space="preserve"> z</w:t>
      </w:r>
      <w:r w:rsidR="00C61CB6">
        <w:rPr>
          <w:noProof/>
          <w:sz w:val="24"/>
          <w:szCs w:val="24"/>
        </w:rPr>
        <w:t> </w:t>
      </w:r>
      <w:r w:rsidR="00C61CB6" w:rsidRPr="00493A63">
        <w:rPr>
          <w:noProof/>
          <w:sz w:val="24"/>
          <w:szCs w:val="24"/>
        </w:rPr>
        <w:t>pew</w:t>
      </w:r>
      <w:r w:rsidRPr="00493A63">
        <w:rPr>
          <w:noProof/>
          <w:sz w:val="24"/>
          <w:szCs w:val="24"/>
        </w:rPr>
        <w:t>nymi ograniczonymi</w:t>
      </w:r>
      <w:r w:rsidR="00C61CB6" w:rsidRPr="00493A63">
        <w:rPr>
          <w:noProof/>
          <w:sz w:val="24"/>
          <w:szCs w:val="24"/>
        </w:rPr>
        <w:t xml:space="preserve"> i</w:t>
      </w:r>
      <w:r w:rsidR="00C61CB6">
        <w:rPr>
          <w:noProof/>
          <w:sz w:val="24"/>
          <w:szCs w:val="24"/>
        </w:rPr>
        <w:t> </w:t>
      </w:r>
      <w:r w:rsidR="00C61CB6" w:rsidRPr="00493A63">
        <w:rPr>
          <w:noProof/>
          <w:sz w:val="24"/>
          <w:szCs w:val="24"/>
        </w:rPr>
        <w:t>nal</w:t>
      </w:r>
      <w:r w:rsidRPr="00493A63">
        <w:rPr>
          <w:noProof/>
          <w:sz w:val="24"/>
          <w:szCs w:val="24"/>
        </w:rPr>
        <w:t>eżycie uzasadnionymi wyjątkami – zabrania się nabywania</w:t>
      </w:r>
      <w:r w:rsidR="00C61CB6" w:rsidRPr="00493A63">
        <w:rPr>
          <w:noProof/>
          <w:sz w:val="24"/>
          <w:szCs w:val="24"/>
        </w:rPr>
        <w:t xml:space="preserve"> i</w:t>
      </w:r>
      <w:r w:rsidR="00C61CB6">
        <w:rPr>
          <w:noProof/>
          <w:sz w:val="24"/>
          <w:szCs w:val="24"/>
        </w:rPr>
        <w:t> </w:t>
      </w:r>
      <w:r w:rsidR="00C61CB6" w:rsidRPr="00493A63">
        <w:rPr>
          <w:noProof/>
          <w:sz w:val="24"/>
          <w:szCs w:val="24"/>
        </w:rPr>
        <w:t>pos</w:t>
      </w:r>
      <w:r w:rsidRPr="00493A63">
        <w:rPr>
          <w:noProof/>
          <w:sz w:val="24"/>
          <w:szCs w:val="24"/>
        </w:rPr>
        <w:t>iadania takiej broni palnej oraz wprowadzania jej do obrotu. Wszystkie państwa członkowskie oprócz dwóch (Luksemburg</w:t>
      </w:r>
      <w:r w:rsidR="00C61CB6" w:rsidRPr="00493A63">
        <w:rPr>
          <w:noProof/>
          <w:sz w:val="24"/>
          <w:szCs w:val="24"/>
        </w:rPr>
        <w:t xml:space="preserve"> i</w:t>
      </w:r>
      <w:r w:rsidR="00C61CB6">
        <w:rPr>
          <w:noProof/>
          <w:sz w:val="24"/>
          <w:szCs w:val="24"/>
        </w:rPr>
        <w:t> </w:t>
      </w:r>
      <w:r w:rsidR="00C61CB6" w:rsidRPr="00493A63">
        <w:rPr>
          <w:noProof/>
          <w:sz w:val="24"/>
          <w:szCs w:val="24"/>
        </w:rPr>
        <w:t>Sło</w:t>
      </w:r>
      <w:r w:rsidRPr="00493A63">
        <w:rPr>
          <w:noProof/>
          <w:sz w:val="24"/>
          <w:szCs w:val="24"/>
        </w:rPr>
        <w:t>wenia) transponowały przepisy art.</w:t>
      </w:r>
      <w:r w:rsidR="00493A63" w:rsidRPr="00493A63">
        <w:rPr>
          <w:noProof/>
          <w:sz w:val="24"/>
          <w:szCs w:val="24"/>
        </w:rPr>
        <w:t> </w:t>
      </w:r>
      <w:r w:rsidRPr="00493A63">
        <w:rPr>
          <w:noProof/>
          <w:sz w:val="24"/>
          <w:szCs w:val="24"/>
        </w:rPr>
        <w:t>9 ust.</w:t>
      </w:r>
      <w:r w:rsidR="00493A63" w:rsidRPr="00493A63">
        <w:rPr>
          <w:noProof/>
          <w:sz w:val="24"/>
          <w:szCs w:val="24"/>
        </w:rPr>
        <w:t> </w:t>
      </w:r>
      <w:r w:rsidRPr="00493A63">
        <w:rPr>
          <w:noProof/>
          <w:sz w:val="24"/>
          <w:szCs w:val="24"/>
        </w:rPr>
        <w:t>1.</w:t>
      </w:r>
    </w:p>
    <w:p w14:paraId="4CE1FE17" w14:textId="6888FFB9" w:rsidR="005541D0" w:rsidRPr="00493A63" w:rsidRDefault="00C70046" w:rsidP="005541D0">
      <w:pPr>
        <w:rPr>
          <w:noProof/>
          <w:sz w:val="24"/>
          <w:szCs w:val="24"/>
        </w:rPr>
      </w:pPr>
      <w:r w:rsidRPr="00493A63">
        <w:rPr>
          <w:noProof/>
          <w:sz w:val="24"/>
          <w:szCs w:val="24"/>
        </w:rPr>
        <w:t>W dyrektywie</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 xml:space="preserve">awie broni palnej zaktualizowano szereg artykułów dotyczących </w:t>
      </w:r>
      <w:r w:rsidRPr="00493A63">
        <w:rPr>
          <w:b/>
          <w:noProof/>
          <w:sz w:val="24"/>
          <w:szCs w:val="24"/>
        </w:rPr>
        <w:t>europejskiej karty broni palnej</w:t>
      </w:r>
      <w:r w:rsidRPr="00493A63">
        <w:rPr>
          <w:noProof/>
          <w:sz w:val="24"/>
          <w:szCs w:val="24"/>
        </w:rPr>
        <w:t>,</w:t>
      </w:r>
      <w:r w:rsidR="00C61CB6" w:rsidRPr="00493A63">
        <w:rPr>
          <w:noProof/>
          <w:sz w:val="24"/>
          <w:szCs w:val="24"/>
        </w:rPr>
        <w:t xml:space="preserve"> w</w:t>
      </w:r>
      <w:r w:rsidR="00C61CB6">
        <w:rPr>
          <w:noProof/>
          <w:sz w:val="24"/>
          <w:szCs w:val="24"/>
        </w:rPr>
        <w:t> </w:t>
      </w:r>
      <w:r w:rsidR="00C61CB6" w:rsidRPr="00493A63">
        <w:rPr>
          <w:noProof/>
          <w:sz w:val="24"/>
          <w:szCs w:val="24"/>
        </w:rPr>
        <w:t>tym</w:t>
      </w:r>
      <w:r w:rsidRPr="00493A63">
        <w:rPr>
          <w:noProof/>
          <w:sz w:val="24"/>
          <w:szCs w:val="24"/>
        </w:rPr>
        <w:t xml:space="preserve"> jej definicję, obowiązek zamieszczenia</w:t>
      </w:r>
      <w:r w:rsidR="00C61CB6" w:rsidRPr="00493A63">
        <w:rPr>
          <w:noProof/>
          <w:sz w:val="24"/>
          <w:szCs w:val="24"/>
        </w:rPr>
        <w:t xml:space="preserve"> w</w:t>
      </w:r>
      <w:r w:rsidR="00C61CB6">
        <w:rPr>
          <w:noProof/>
          <w:sz w:val="24"/>
          <w:szCs w:val="24"/>
        </w:rPr>
        <w:t> </w:t>
      </w:r>
      <w:r w:rsidR="00C61CB6" w:rsidRPr="00493A63">
        <w:rPr>
          <w:noProof/>
          <w:sz w:val="24"/>
          <w:szCs w:val="24"/>
        </w:rPr>
        <w:t>eur</w:t>
      </w:r>
      <w:r w:rsidRPr="00493A63">
        <w:rPr>
          <w:noProof/>
          <w:sz w:val="24"/>
          <w:szCs w:val="24"/>
        </w:rPr>
        <w:t>opejskiej karcie broni palnej oświadczenia oraz poinformowania pozostałych państw członkowskich</w:t>
      </w:r>
      <w:r w:rsidR="00C61CB6" w:rsidRPr="00493A63">
        <w:rPr>
          <w:noProof/>
          <w:sz w:val="24"/>
          <w:szCs w:val="24"/>
        </w:rPr>
        <w:t xml:space="preserve"> w</w:t>
      </w:r>
      <w:r w:rsidR="00C61CB6">
        <w:rPr>
          <w:noProof/>
          <w:sz w:val="24"/>
          <w:szCs w:val="24"/>
        </w:rPr>
        <w:t> </w:t>
      </w:r>
      <w:r w:rsidR="00C61CB6" w:rsidRPr="00493A63">
        <w:rPr>
          <w:noProof/>
          <w:sz w:val="24"/>
          <w:szCs w:val="24"/>
        </w:rPr>
        <w:t>prz</w:t>
      </w:r>
      <w:r w:rsidRPr="00493A63">
        <w:rPr>
          <w:noProof/>
          <w:sz w:val="24"/>
          <w:szCs w:val="24"/>
        </w:rPr>
        <w:t>ypadku, gdy broń kategorii B lub C wymaga pozwolenia lub jest niedozwolona. Wszystkie państwa członkowskie oprócz dwóch (Luksemburg</w:t>
      </w:r>
      <w:r w:rsidR="00C61CB6" w:rsidRPr="00493A63">
        <w:rPr>
          <w:noProof/>
          <w:sz w:val="24"/>
          <w:szCs w:val="24"/>
        </w:rPr>
        <w:t xml:space="preserve"> i</w:t>
      </w:r>
      <w:r w:rsidR="00C61CB6">
        <w:rPr>
          <w:noProof/>
          <w:sz w:val="24"/>
          <w:szCs w:val="24"/>
        </w:rPr>
        <w:t> </w:t>
      </w:r>
      <w:r w:rsidR="00C61CB6" w:rsidRPr="00493A63">
        <w:rPr>
          <w:noProof/>
          <w:sz w:val="24"/>
          <w:szCs w:val="24"/>
        </w:rPr>
        <w:t>Sło</w:t>
      </w:r>
      <w:r w:rsidRPr="00493A63">
        <w:rPr>
          <w:noProof/>
          <w:sz w:val="24"/>
          <w:szCs w:val="24"/>
        </w:rPr>
        <w:t>wenia) transponowały wszystkie te przepisy.</w:t>
      </w:r>
    </w:p>
    <w:p w14:paraId="5E7501BB" w14:textId="15233A2A" w:rsidR="005541D0" w:rsidRPr="00493A63" w:rsidRDefault="00033EC7" w:rsidP="005541D0">
      <w:pPr>
        <w:rPr>
          <w:noProof/>
          <w:sz w:val="24"/>
          <w:szCs w:val="24"/>
        </w:rPr>
      </w:pPr>
      <w:r w:rsidRPr="00493A63">
        <w:rPr>
          <w:noProof/>
          <w:sz w:val="24"/>
          <w:szCs w:val="24"/>
        </w:rPr>
        <w:t>Dysponując prostymi narzędziami</w:t>
      </w:r>
      <w:r w:rsidR="00C61CB6" w:rsidRPr="00493A63">
        <w:rPr>
          <w:noProof/>
          <w:sz w:val="24"/>
          <w:szCs w:val="24"/>
        </w:rPr>
        <w:t xml:space="preserve"> i</w:t>
      </w:r>
      <w:r w:rsidR="00C61CB6">
        <w:rPr>
          <w:noProof/>
          <w:sz w:val="24"/>
          <w:szCs w:val="24"/>
        </w:rPr>
        <w:t> </w:t>
      </w:r>
      <w:r w:rsidR="00C61CB6" w:rsidRPr="00493A63">
        <w:rPr>
          <w:noProof/>
          <w:sz w:val="24"/>
          <w:szCs w:val="24"/>
        </w:rPr>
        <w:t>min</w:t>
      </w:r>
      <w:r w:rsidRPr="00493A63">
        <w:rPr>
          <w:noProof/>
          <w:sz w:val="24"/>
          <w:szCs w:val="24"/>
        </w:rPr>
        <w:t xml:space="preserve">imalną wiedzą, niektóre rodzaje </w:t>
      </w:r>
      <w:r w:rsidRPr="00493A63">
        <w:rPr>
          <w:b/>
          <w:noProof/>
          <w:sz w:val="24"/>
          <w:szCs w:val="24"/>
        </w:rPr>
        <w:t>broni alarmowej</w:t>
      </w:r>
      <w:r w:rsidR="00C61CB6" w:rsidRPr="00493A63">
        <w:rPr>
          <w:b/>
          <w:noProof/>
          <w:sz w:val="24"/>
          <w:szCs w:val="24"/>
        </w:rPr>
        <w:t xml:space="preserve"> i</w:t>
      </w:r>
      <w:r w:rsidR="00C61CB6">
        <w:rPr>
          <w:b/>
          <w:noProof/>
          <w:sz w:val="24"/>
          <w:szCs w:val="24"/>
        </w:rPr>
        <w:t> </w:t>
      </w:r>
      <w:r w:rsidR="00C61CB6" w:rsidRPr="00493A63">
        <w:rPr>
          <w:b/>
          <w:noProof/>
          <w:sz w:val="24"/>
          <w:szCs w:val="24"/>
        </w:rPr>
        <w:t>syg</w:t>
      </w:r>
      <w:r w:rsidRPr="00493A63">
        <w:rPr>
          <w:b/>
          <w:noProof/>
          <w:sz w:val="24"/>
          <w:szCs w:val="24"/>
        </w:rPr>
        <w:t xml:space="preserve">nałowej </w:t>
      </w:r>
      <w:r w:rsidRPr="00493A63">
        <w:rPr>
          <w:noProof/>
          <w:sz w:val="24"/>
          <w:szCs w:val="24"/>
        </w:rPr>
        <w:t>można również</w:t>
      </w:r>
      <w:r w:rsidR="00C61CB6" w:rsidRPr="00493A63">
        <w:rPr>
          <w:noProof/>
          <w:sz w:val="24"/>
          <w:szCs w:val="24"/>
        </w:rPr>
        <w:t xml:space="preserve"> z</w:t>
      </w:r>
      <w:r w:rsidR="00C61CB6">
        <w:rPr>
          <w:noProof/>
          <w:sz w:val="24"/>
          <w:szCs w:val="24"/>
        </w:rPr>
        <w:t> </w:t>
      </w:r>
      <w:r w:rsidR="00C61CB6" w:rsidRPr="00493A63">
        <w:rPr>
          <w:noProof/>
          <w:sz w:val="24"/>
          <w:szCs w:val="24"/>
        </w:rPr>
        <w:t>łat</w:t>
      </w:r>
      <w:r w:rsidRPr="00493A63">
        <w:rPr>
          <w:noProof/>
          <w:sz w:val="24"/>
          <w:szCs w:val="24"/>
        </w:rPr>
        <w:t>wością przerobić na broń śmiercionośną. Właściwe organy państw członkowskich</w:t>
      </w:r>
      <w:r w:rsidR="00C61CB6" w:rsidRPr="00493A63">
        <w:rPr>
          <w:noProof/>
          <w:sz w:val="24"/>
          <w:szCs w:val="24"/>
        </w:rPr>
        <w:t xml:space="preserve"> i</w:t>
      </w:r>
      <w:r w:rsidR="00C61CB6">
        <w:rPr>
          <w:noProof/>
          <w:sz w:val="24"/>
          <w:szCs w:val="24"/>
        </w:rPr>
        <w:t> </w:t>
      </w:r>
      <w:r w:rsidR="00C61CB6" w:rsidRPr="00493A63">
        <w:rPr>
          <w:noProof/>
          <w:sz w:val="24"/>
          <w:szCs w:val="24"/>
        </w:rPr>
        <w:t>Kom</w:t>
      </w:r>
      <w:r w:rsidRPr="00493A63">
        <w:rPr>
          <w:noProof/>
          <w:sz w:val="24"/>
          <w:szCs w:val="24"/>
        </w:rPr>
        <w:t>isja określiły ten sposób działania jako szczególne zagrożenie</w:t>
      </w:r>
      <w:r w:rsidRPr="00493A63">
        <w:rPr>
          <w:rStyle w:val="FootnoteReference"/>
          <w:noProof/>
          <w:sz w:val="24"/>
          <w:szCs w:val="24"/>
        </w:rPr>
        <w:footnoteReference w:id="16"/>
      </w:r>
      <w:r w:rsidRPr="00493A63">
        <w:rPr>
          <w:noProof/>
          <w:sz w:val="24"/>
          <w:szCs w:val="24"/>
        </w:rPr>
        <w:t>, co doprowadziło do wprowadzenia</w:t>
      </w:r>
      <w:r w:rsidR="00C61CB6" w:rsidRPr="00493A63">
        <w:rPr>
          <w:noProof/>
          <w:sz w:val="24"/>
          <w:szCs w:val="24"/>
        </w:rPr>
        <w:t xml:space="preserve"> w</w:t>
      </w:r>
      <w:r w:rsidR="00C61CB6">
        <w:rPr>
          <w:noProof/>
          <w:sz w:val="24"/>
          <w:szCs w:val="24"/>
        </w:rPr>
        <w:t> </w:t>
      </w:r>
      <w:r w:rsidR="00C61CB6" w:rsidRPr="00493A63">
        <w:rPr>
          <w:noProof/>
          <w:sz w:val="24"/>
          <w:szCs w:val="24"/>
        </w:rPr>
        <w:t>dyr</w:t>
      </w:r>
      <w:r w:rsidRPr="00493A63">
        <w:rPr>
          <w:noProof/>
          <w:sz w:val="24"/>
          <w:szCs w:val="24"/>
        </w:rPr>
        <w:t>ektywie</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 nowych przepisów (art.</w:t>
      </w:r>
      <w:r w:rsidR="00493A63" w:rsidRPr="00493A63">
        <w:rPr>
          <w:noProof/>
          <w:sz w:val="24"/>
          <w:szCs w:val="24"/>
        </w:rPr>
        <w:t> </w:t>
      </w:r>
      <w:r w:rsidRPr="00493A63">
        <w:rPr>
          <w:noProof/>
          <w:sz w:val="24"/>
          <w:szCs w:val="24"/>
        </w:rPr>
        <w:t>1 ust.</w:t>
      </w:r>
      <w:r w:rsidR="00493A63" w:rsidRPr="00493A63">
        <w:rPr>
          <w:noProof/>
          <w:sz w:val="24"/>
          <w:szCs w:val="24"/>
        </w:rPr>
        <w:t> </w:t>
      </w:r>
      <w:r w:rsidRPr="00493A63">
        <w:rPr>
          <w:noProof/>
          <w:sz w:val="24"/>
          <w:szCs w:val="24"/>
        </w:rPr>
        <w:t>1, art.</w:t>
      </w:r>
      <w:r w:rsidR="00493A63" w:rsidRPr="00493A63">
        <w:rPr>
          <w:noProof/>
          <w:sz w:val="24"/>
          <w:szCs w:val="24"/>
        </w:rPr>
        <w:t> </w:t>
      </w:r>
      <w:r w:rsidRPr="00493A63">
        <w:rPr>
          <w:noProof/>
          <w:sz w:val="24"/>
          <w:szCs w:val="24"/>
        </w:rPr>
        <w:t>14</w:t>
      </w:r>
      <w:r w:rsidR="00C61CB6" w:rsidRPr="00493A63">
        <w:rPr>
          <w:noProof/>
          <w:sz w:val="24"/>
          <w:szCs w:val="24"/>
        </w:rPr>
        <w:t xml:space="preserve"> i</w:t>
      </w:r>
      <w:r w:rsidR="00C61CB6">
        <w:rPr>
          <w:noProof/>
          <w:sz w:val="24"/>
          <w:szCs w:val="24"/>
        </w:rPr>
        <w:t> </w:t>
      </w:r>
      <w:r w:rsidR="00C61CB6" w:rsidRPr="00493A63">
        <w:rPr>
          <w:noProof/>
          <w:sz w:val="24"/>
          <w:szCs w:val="24"/>
        </w:rPr>
        <w:t>zał</w:t>
      </w:r>
      <w:r w:rsidRPr="00493A63">
        <w:rPr>
          <w:noProof/>
          <w:sz w:val="24"/>
          <w:szCs w:val="24"/>
        </w:rPr>
        <w:t>ącznik I). Wszystkie państwa członkowskie oprócz czterech (Luksemburg, Słowenia, Słowacja</w:t>
      </w:r>
      <w:r w:rsidR="00C61CB6" w:rsidRPr="00493A63">
        <w:rPr>
          <w:noProof/>
          <w:sz w:val="24"/>
          <w:szCs w:val="24"/>
        </w:rPr>
        <w:t xml:space="preserve"> i</w:t>
      </w:r>
      <w:r w:rsidR="00C61CB6">
        <w:rPr>
          <w:noProof/>
          <w:sz w:val="24"/>
          <w:szCs w:val="24"/>
        </w:rPr>
        <w:t> </w:t>
      </w:r>
      <w:r w:rsidR="00C61CB6" w:rsidRPr="00493A63">
        <w:rPr>
          <w:noProof/>
          <w:sz w:val="24"/>
          <w:szCs w:val="24"/>
        </w:rPr>
        <w:t>Szw</w:t>
      </w:r>
      <w:r w:rsidRPr="00493A63">
        <w:rPr>
          <w:noProof/>
          <w:sz w:val="24"/>
          <w:szCs w:val="24"/>
        </w:rPr>
        <w:t>ecja) transponowały wszystkie te przepisy.</w:t>
      </w:r>
    </w:p>
    <w:p w14:paraId="4063FF58" w14:textId="2FCB2B64" w:rsidR="001C0B82" w:rsidRPr="00493A63" w:rsidRDefault="001A1789" w:rsidP="001C0B82">
      <w:pPr>
        <w:rPr>
          <w:noProof/>
          <w:sz w:val="24"/>
          <w:szCs w:val="24"/>
        </w:rPr>
      </w:pPr>
      <w:r w:rsidRPr="00493A63">
        <w:rPr>
          <w:noProof/>
          <w:sz w:val="24"/>
          <w:szCs w:val="24"/>
        </w:rPr>
        <w:t>Przepisy dyrektywy wykonawczej (UE) 2019/69 ustanawiającej specyfikacje techniczne dotyczące broni alarmowej</w:t>
      </w:r>
      <w:r w:rsidR="00C61CB6" w:rsidRPr="00493A63">
        <w:rPr>
          <w:noProof/>
          <w:sz w:val="24"/>
          <w:szCs w:val="24"/>
        </w:rPr>
        <w:t xml:space="preserve"> i</w:t>
      </w:r>
      <w:r w:rsidR="00C61CB6">
        <w:rPr>
          <w:noProof/>
          <w:sz w:val="24"/>
          <w:szCs w:val="24"/>
        </w:rPr>
        <w:t> </w:t>
      </w:r>
      <w:r w:rsidR="00C61CB6" w:rsidRPr="00493A63">
        <w:rPr>
          <w:noProof/>
          <w:sz w:val="24"/>
          <w:szCs w:val="24"/>
        </w:rPr>
        <w:t>syg</w:t>
      </w:r>
      <w:r w:rsidRPr="00493A63">
        <w:rPr>
          <w:noProof/>
          <w:sz w:val="24"/>
          <w:szCs w:val="24"/>
        </w:rPr>
        <w:t>nałowej transponowało 13 państw członkowskich (Dania, Niemcy, Estonia, Hiszpania, Francja, Cypr, Łotwa, Litwa, Węgry, Austria, Portugalia, Słowacja</w:t>
      </w:r>
      <w:r w:rsidR="00C61CB6" w:rsidRPr="00493A63">
        <w:rPr>
          <w:noProof/>
          <w:sz w:val="24"/>
          <w:szCs w:val="24"/>
        </w:rPr>
        <w:t xml:space="preserve"> i</w:t>
      </w:r>
      <w:r w:rsidR="00C61CB6">
        <w:rPr>
          <w:noProof/>
          <w:sz w:val="24"/>
          <w:szCs w:val="24"/>
        </w:rPr>
        <w:t> </w:t>
      </w:r>
      <w:r w:rsidR="00C61CB6" w:rsidRPr="00493A63">
        <w:rPr>
          <w:noProof/>
          <w:sz w:val="24"/>
          <w:szCs w:val="24"/>
        </w:rPr>
        <w:t>Fin</w:t>
      </w:r>
      <w:r w:rsidRPr="00493A63">
        <w:rPr>
          <w:noProof/>
          <w:sz w:val="24"/>
          <w:szCs w:val="24"/>
        </w:rPr>
        <w:t>landia),</w:t>
      </w:r>
      <w:r w:rsidR="00C61CB6" w:rsidRPr="00493A63">
        <w:rPr>
          <w:noProof/>
          <w:sz w:val="24"/>
          <w:szCs w:val="24"/>
        </w:rPr>
        <w:t xml:space="preserve"> a</w:t>
      </w:r>
      <w:r w:rsidR="00C61CB6">
        <w:rPr>
          <w:noProof/>
          <w:sz w:val="24"/>
          <w:szCs w:val="24"/>
        </w:rPr>
        <w:t> </w:t>
      </w:r>
      <w:r w:rsidR="00C61CB6" w:rsidRPr="00493A63">
        <w:rPr>
          <w:noProof/>
          <w:sz w:val="24"/>
          <w:szCs w:val="24"/>
        </w:rPr>
        <w:t>1</w:t>
      </w:r>
      <w:r w:rsidRPr="00493A63">
        <w:rPr>
          <w:noProof/>
          <w:sz w:val="24"/>
          <w:szCs w:val="24"/>
        </w:rPr>
        <w:t>4 państw członkowskich nie zgłosiło żadnych środków</w:t>
      </w:r>
      <w:r w:rsidRPr="00493A63">
        <w:rPr>
          <w:noProof/>
        </w:rPr>
        <w:t xml:space="preserve"> </w:t>
      </w:r>
      <w:r w:rsidRPr="00493A63">
        <w:rPr>
          <w:noProof/>
          <w:sz w:val="24"/>
          <w:szCs w:val="24"/>
        </w:rPr>
        <w:t>lub nie przeprowadziło kompletnej transpozycji (Belgia, Bułgaria, Czechy, Irlandia, Grecja, Chorwacja, Włochy, Luksemburg, Malta, Niderlandy, Polska, Rumunia, Słowenia</w:t>
      </w:r>
      <w:r w:rsidR="00C61CB6" w:rsidRPr="00493A63">
        <w:rPr>
          <w:noProof/>
          <w:sz w:val="24"/>
          <w:szCs w:val="24"/>
        </w:rPr>
        <w:t xml:space="preserve"> i</w:t>
      </w:r>
      <w:r w:rsidR="00C61CB6">
        <w:rPr>
          <w:noProof/>
          <w:sz w:val="24"/>
          <w:szCs w:val="24"/>
        </w:rPr>
        <w:t> </w:t>
      </w:r>
      <w:r w:rsidR="00C61CB6" w:rsidRPr="00493A63">
        <w:rPr>
          <w:noProof/>
          <w:sz w:val="24"/>
          <w:szCs w:val="24"/>
        </w:rPr>
        <w:t>Szw</w:t>
      </w:r>
      <w:r w:rsidRPr="00493A63">
        <w:rPr>
          <w:noProof/>
          <w:sz w:val="24"/>
          <w:szCs w:val="24"/>
        </w:rPr>
        <w:t xml:space="preserve">ecja). </w:t>
      </w:r>
    </w:p>
    <w:p w14:paraId="6850FC4E" w14:textId="25C7C58A" w:rsidR="00F536EA" w:rsidRPr="00493A63" w:rsidRDefault="00033EC7" w:rsidP="00F536EA">
      <w:pPr>
        <w:rPr>
          <w:noProof/>
          <w:sz w:val="24"/>
          <w:szCs w:val="24"/>
        </w:rPr>
      </w:pPr>
      <w:r w:rsidRPr="00493A63">
        <w:rPr>
          <w:b/>
          <w:noProof/>
          <w:sz w:val="24"/>
          <w:szCs w:val="24"/>
        </w:rPr>
        <w:t>Broń salutacyjna</w:t>
      </w:r>
      <w:r w:rsidR="00C61CB6" w:rsidRPr="00493A63">
        <w:rPr>
          <w:b/>
          <w:noProof/>
          <w:sz w:val="24"/>
          <w:szCs w:val="24"/>
        </w:rPr>
        <w:t xml:space="preserve"> i</w:t>
      </w:r>
      <w:r w:rsidR="00C61CB6">
        <w:rPr>
          <w:b/>
          <w:noProof/>
          <w:sz w:val="24"/>
          <w:szCs w:val="24"/>
        </w:rPr>
        <w:t> </w:t>
      </w:r>
      <w:r w:rsidR="00C61CB6" w:rsidRPr="00493A63">
        <w:rPr>
          <w:b/>
          <w:noProof/>
          <w:sz w:val="24"/>
          <w:szCs w:val="24"/>
        </w:rPr>
        <w:t>aku</w:t>
      </w:r>
      <w:r w:rsidRPr="00493A63">
        <w:rPr>
          <w:b/>
          <w:noProof/>
          <w:sz w:val="24"/>
          <w:szCs w:val="24"/>
        </w:rPr>
        <w:t>styczna</w:t>
      </w:r>
      <w:r w:rsidRPr="00493A63">
        <w:rPr>
          <w:noProof/>
          <w:sz w:val="24"/>
          <w:szCs w:val="24"/>
        </w:rPr>
        <w:t xml:space="preserve"> to pierwotnie śmiercionośna broń palna zmodyfikowana</w:t>
      </w:r>
      <w:r w:rsidR="00C61CB6" w:rsidRPr="00493A63">
        <w:rPr>
          <w:noProof/>
          <w:sz w:val="24"/>
          <w:szCs w:val="24"/>
        </w:rPr>
        <w:t xml:space="preserve"> w</w:t>
      </w:r>
      <w:r w:rsidR="00C61CB6">
        <w:rPr>
          <w:noProof/>
          <w:sz w:val="24"/>
          <w:szCs w:val="24"/>
        </w:rPr>
        <w:t> </w:t>
      </w:r>
      <w:r w:rsidR="00C61CB6" w:rsidRPr="00493A63">
        <w:rPr>
          <w:noProof/>
          <w:sz w:val="24"/>
          <w:szCs w:val="24"/>
        </w:rPr>
        <w:t>tak</w:t>
      </w:r>
      <w:r w:rsidRPr="00493A63">
        <w:rPr>
          <w:noProof/>
          <w:sz w:val="24"/>
          <w:szCs w:val="24"/>
        </w:rPr>
        <w:t>i sposób, aby nie było możliwe wystrzelenie</w:t>
      </w:r>
      <w:r w:rsidR="00C61CB6" w:rsidRPr="00493A63">
        <w:rPr>
          <w:noProof/>
          <w:sz w:val="24"/>
          <w:szCs w:val="24"/>
        </w:rPr>
        <w:t xml:space="preserve"> z</w:t>
      </w:r>
      <w:r w:rsidR="00C61CB6">
        <w:rPr>
          <w:noProof/>
          <w:sz w:val="24"/>
          <w:szCs w:val="24"/>
        </w:rPr>
        <w:t> </w:t>
      </w:r>
      <w:r w:rsidR="00C61CB6" w:rsidRPr="00493A63">
        <w:rPr>
          <w:noProof/>
          <w:sz w:val="24"/>
          <w:szCs w:val="24"/>
        </w:rPr>
        <w:t>nie</w:t>
      </w:r>
      <w:r w:rsidRPr="00493A63">
        <w:rPr>
          <w:noProof/>
          <w:sz w:val="24"/>
          <w:szCs w:val="24"/>
        </w:rPr>
        <w:t>j pocisku,</w:t>
      </w:r>
      <w:r w:rsidR="00C61CB6" w:rsidRPr="00493A63">
        <w:rPr>
          <w:noProof/>
          <w:sz w:val="24"/>
          <w:szCs w:val="24"/>
        </w:rPr>
        <w:t xml:space="preserve"> a</w:t>
      </w:r>
      <w:r w:rsidR="00C61CB6">
        <w:rPr>
          <w:noProof/>
          <w:sz w:val="24"/>
          <w:szCs w:val="24"/>
        </w:rPr>
        <w:t> </w:t>
      </w:r>
      <w:r w:rsidR="00C61CB6" w:rsidRPr="00493A63">
        <w:rPr>
          <w:noProof/>
          <w:sz w:val="24"/>
          <w:szCs w:val="24"/>
        </w:rPr>
        <w:t>jed</w:t>
      </w:r>
      <w:r w:rsidRPr="00493A63">
        <w:rPr>
          <w:noProof/>
          <w:sz w:val="24"/>
          <w:szCs w:val="24"/>
        </w:rPr>
        <w:t>ynie ślepych nabojów. Ponieważ zwykle modyfikuje się jedynie komorę nabojową</w:t>
      </w:r>
      <w:r w:rsidR="00C61CB6" w:rsidRPr="00493A63">
        <w:rPr>
          <w:noProof/>
          <w:sz w:val="24"/>
          <w:szCs w:val="24"/>
        </w:rPr>
        <w:t xml:space="preserve"> i</w:t>
      </w:r>
      <w:r w:rsidR="00C61CB6">
        <w:rPr>
          <w:noProof/>
          <w:sz w:val="24"/>
          <w:szCs w:val="24"/>
        </w:rPr>
        <w:t> </w:t>
      </w:r>
      <w:r w:rsidR="00C61CB6" w:rsidRPr="00493A63">
        <w:rPr>
          <w:noProof/>
          <w:sz w:val="24"/>
          <w:szCs w:val="24"/>
        </w:rPr>
        <w:t>luf</w:t>
      </w:r>
      <w:r w:rsidRPr="00493A63">
        <w:rPr>
          <w:noProof/>
          <w:sz w:val="24"/>
          <w:szCs w:val="24"/>
        </w:rPr>
        <w:t>ę, każda osoba dysponująca minimalną wiedzą</w:t>
      </w:r>
      <w:r w:rsidR="00C61CB6" w:rsidRPr="00493A63">
        <w:rPr>
          <w:noProof/>
          <w:sz w:val="24"/>
          <w:szCs w:val="24"/>
        </w:rPr>
        <w:t xml:space="preserve"> i</w:t>
      </w:r>
      <w:r w:rsidR="00C61CB6">
        <w:rPr>
          <w:noProof/>
          <w:sz w:val="24"/>
          <w:szCs w:val="24"/>
        </w:rPr>
        <w:t> </w:t>
      </w:r>
      <w:r w:rsidR="00C61CB6" w:rsidRPr="00493A63">
        <w:rPr>
          <w:noProof/>
          <w:sz w:val="24"/>
          <w:szCs w:val="24"/>
        </w:rPr>
        <w:t>pow</w:t>
      </w:r>
      <w:r w:rsidRPr="00493A63">
        <w:rPr>
          <w:noProof/>
          <w:sz w:val="24"/>
          <w:szCs w:val="24"/>
        </w:rPr>
        <w:t>szechnie stosowanymi narzędziami może niezgodnie</w:t>
      </w:r>
      <w:r w:rsidR="00C61CB6" w:rsidRPr="00493A63">
        <w:rPr>
          <w:noProof/>
          <w:sz w:val="24"/>
          <w:szCs w:val="24"/>
        </w:rPr>
        <w:t xml:space="preserve"> z</w:t>
      </w:r>
      <w:r w:rsidR="00C61CB6">
        <w:rPr>
          <w:noProof/>
          <w:sz w:val="24"/>
          <w:szCs w:val="24"/>
        </w:rPr>
        <w:t> </w:t>
      </w:r>
      <w:r w:rsidR="00C61CB6" w:rsidRPr="00493A63">
        <w:rPr>
          <w:noProof/>
          <w:sz w:val="24"/>
          <w:szCs w:val="24"/>
        </w:rPr>
        <w:t>pra</w:t>
      </w:r>
      <w:r w:rsidRPr="00493A63">
        <w:rPr>
          <w:noProof/>
          <w:sz w:val="24"/>
          <w:szCs w:val="24"/>
        </w:rPr>
        <w:t>wem przerobić taką broń</w:t>
      </w:r>
      <w:r w:rsidR="00C61CB6" w:rsidRPr="00493A63">
        <w:rPr>
          <w:noProof/>
          <w:sz w:val="24"/>
          <w:szCs w:val="24"/>
        </w:rPr>
        <w:t xml:space="preserve"> z</w:t>
      </w:r>
      <w:r w:rsidR="00C61CB6">
        <w:rPr>
          <w:noProof/>
          <w:sz w:val="24"/>
          <w:szCs w:val="24"/>
        </w:rPr>
        <w:t> </w:t>
      </w:r>
      <w:r w:rsidR="00C61CB6" w:rsidRPr="00493A63">
        <w:rPr>
          <w:noProof/>
          <w:sz w:val="24"/>
          <w:szCs w:val="24"/>
        </w:rPr>
        <w:t>pow</w:t>
      </w:r>
      <w:r w:rsidRPr="00493A63">
        <w:rPr>
          <w:noProof/>
          <w:sz w:val="24"/>
          <w:szCs w:val="24"/>
        </w:rPr>
        <w:t>rotem na śmiercionośną broń palną. Zagrożenie to również ograniczono</w:t>
      </w:r>
      <w:r w:rsidR="00C61CB6" w:rsidRPr="00493A63">
        <w:rPr>
          <w:noProof/>
          <w:sz w:val="24"/>
          <w:szCs w:val="24"/>
        </w:rPr>
        <w:t xml:space="preserve"> w</w:t>
      </w:r>
      <w:r w:rsidR="00C61CB6">
        <w:rPr>
          <w:noProof/>
          <w:sz w:val="24"/>
          <w:szCs w:val="24"/>
        </w:rPr>
        <w:t> </w:t>
      </w:r>
      <w:r w:rsidR="00C61CB6" w:rsidRPr="00493A63">
        <w:rPr>
          <w:noProof/>
          <w:sz w:val="24"/>
          <w:szCs w:val="24"/>
        </w:rPr>
        <w:t>ram</w:t>
      </w:r>
      <w:r w:rsidRPr="00493A63">
        <w:rPr>
          <w:noProof/>
          <w:sz w:val="24"/>
          <w:szCs w:val="24"/>
        </w:rPr>
        <w:t>ach zmiany dyrektywy</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w:t>
      </w:r>
      <w:r w:rsidR="00C61CB6" w:rsidRPr="00493A63">
        <w:rPr>
          <w:noProof/>
          <w:sz w:val="24"/>
          <w:szCs w:val="24"/>
        </w:rPr>
        <w:t xml:space="preserve"> w</w:t>
      </w:r>
      <w:r w:rsidR="00C61CB6">
        <w:rPr>
          <w:noProof/>
          <w:sz w:val="24"/>
          <w:szCs w:val="24"/>
        </w:rPr>
        <w:t> </w:t>
      </w:r>
      <w:r w:rsidR="00C61CB6" w:rsidRPr="00493A63">
        <w:rPr>
          <w:noProof/>
          <w:sz w:val="24"/>
          <w:szCs w:val="24"/>
        </w:rPr>
        <w:t>2</w:t>
      </w:r>
      <w:r w:rsidRPr="00493A63">
        <w:rPr>
          <w:noProof/>
          <w:sz w:val="24"/>
          <w:szCs w:val="24"/>
        </w:rPr>
        <w:t>017</w:t>
      </w:r>
      <w:r w:rsidR="00493A63" w:rsidRPr="00493A63">
        <w:rPr>
          <w:noProof/>
          <w:sz w:val="24"/>
          <w:szCs w:val="24"/>
        </w:rPr>
        <w:t> </w:t>
      </w:r>
      <w:r w:rsidRPr="00493A63">
        <w:rPr>
          <w:noProof/>
          <w:sz w:val="24"/>
          <w:szCs w:val="24"/>
        </w:rPr>
        <w:t>r., dzięki utrzymaniu tego rodzaju broni</w:t>
      </w:r>
      <w:r w:rsidR="00C61CB6" w:rsidRPr="00493A63">
        <w:rPr>
          <w:noProof/>
          <w:sz w:val="24"/>
          <w:szCs w:val="24"/>
        </w:rPr>
        <w:t xml:space="preserve"> w</w:t>
      </w:r>
      <w:r w:rsidR="00C61CB6">
        <w:rPr>
          <w:noProof/>
          <w:sz w:val="24"/>
          <w:szCs w:val="24"/>
        </w:rPr>
        <w:t> </w:t>
      </w:r>
      <w:r w:rsidR="00C61CB6" w:rsidRPr="00493A63">
        <w:rPr>
          <w:noProof/>
          <w:sz w:val="24"/>
          <w:szCs w:val="24"/>
        </w:rPr>
        <w:t>jej</w:t>
      </w:r>
      <w:r w:rsidRPr="00493A63">
        <w:rPr>
          <w:noProof/>
          <w:sz w:val="24"/>
          <w:szCs w:val="24"/>
        </w:rPr>
        <w:t xml:space="preserve"> pierwotnej kategorii (art.</w:t>
      </w:r>
      <w:r w:rsidR="00493A63" w:rsidRPr="00493A63">
        <w:rPr>
          <w:noProof/>
          <w:sz w:val="24"/>
          <w:szCs w:val="24"/>
        </w:rPr>
        <w:t> </w:t>
      </w:r>
      <w:r w:rsidRPr="00493A63">
        <w:rPr>
          <w:noProof/>
          <w:sz w:val="24"/>
          <w:szCs w:val="24"/>
        </w:rPr>
        <w:t>1 ust.</w:t>
      </w:r>
      <w:r w:rsidR="00493A63" w:rsidRPr="00493A63">
        <w:rPr>
          <w:noProof/>
          <w:sz w:val="24"/>
          <w:szCs w:val="24"/>
        </w:rPr>
        <w:t> </w:t>
      </w:r>
      <w:r w:rsidRPr="00493A63">
        <w:rPr>
          <w:noProof/>
          <w:sz w:val="24"/>
          <w:szCs w:val="24"/>
        </w:rPr>
        <w:t>1 oraz załącznik I). Wszystkie państwa członkowskie oprócz pięciu (Luksemburg, Niderlandy, Słowenia, Słowacja</w:t>
      </w:r>
      <w:r w:rsidR="00C61CB6" w:rsidRPr="00493A63">
        <w:rPr>
          <w:noProof/>
          <w:sz w:val="24"/>
          <w:szCs w:val="24"/>
        </w:rPr>
        <w:t xml:space="preserve"> i</w:t>
      </w:r>
      <w:r w:rsidR="00C61CB6">
        <w:rPr>
          <w:noProof/>
          <w:sz w:val="24"/>
          <w:szCs w:val="24"/>
        </w:rPr>
        <w:t> </w:t>
      </w:r>
      <w:r w:rsidR="00C61CB6" w:rsidRPr="00493A63">
        <w:rPr>
          <w:noProof/>
          <w:sz w:val="24"/>
          <w:szCs w:val="24"/>
        </w:rPr>
        <w:t>Szw</w:t>
      </w:r>
      <w:r w:rsidRPr="00493A63">
        <w:rPr>
          <w:noProof/>
          <w:sz w:val="24"/>
          <w:szCs w:val="24"/>
        </w:rPr>
        <w:t>ecja) transponowały wszystkie te przepisy.</w:t>
      </w:r>
    </w:p>
    <w:p w14:paraId="05EC26E3" w14:textId="087B7A2A" w:rsidR="0018566D" w:rsidRPr="00493A63" w:rsidRDefault="00BB7818" w:rsidP="0018566D">
      <w:pPr>
        <w:rPr>
          <w:noProof/>
          <w:sz w:val="24"/>
          <w:szCs w:val="24"/>
        </w:rPr>
      </w:pPr>
      <w:r w:rsidRPr="00493A63">
        <w:rPr>
          <w:noProof/>
          <w:sz w:val="24"/>
          <w:szCs w:val="24"/>
        </w:rPr>
        <w:t>Od 2017</w:t>
      </w:r>
      <w:r w:rsidR="00493A63" w:rsidRPr="00493A63">
        <w:rPr>
          <w:noProof/>
          <w:sz w:val="24"/>
          <w:szCs w:val="24"/>
        </w:rPr>
        <w:t> </w:t>
      </w:r>
      <w:r w:rsidRPr="00493A63">
        <w:rPr>
          <w:noProof/>
          <w:sz w:val="24"/>
          <w:szCs w:val="24"/>
        </w:rPr>
        <w:t>r.</w:t>
      </w:r>
      <w:r w:rsidR="00C61CB6" w:rsidRPr="00493A63">
        <w:rPr>
          <w:noProof/>
          <w:sz w:val="24"/>
          <w:szCs w:val="24"/>
        </w:rPr>
        <w:t xml:space="preserve"> w</w:t>
      </w:r>
      <w:r w:rsidR="00C61CB6">
        <w:rPr>
          <w:noProof/>
          <w:sz w:val="24"/>
          <w:szCs w:val="24"/>
        </w:rPr>
        <w:t> </w:t>
      </w:r>
      <w:r w:rsidR="00C61CB6" w:rsidRPr="00493A63">
        <w:rPr>
          <w:noProof/>
          <w:sz w:val="24"/>
          <w:szCs w:val="24"/>
        </w:rPr>
        <w:t>art</w:t>
      </w:r>
      <w:r w:rsidRPr="00493A63">
        <w:rPr>
          <w:noProof/>
          <w:sz w:val="24"/>
          <w:szCs w:val="24"/>
        </w:rPr>
        <w:t>.</w:t>
      </w:r>
      <w:r w:rsidR="00493A63" w:rsidRPr="00493A63">
        <w:rPr>
          <w:noProof/>
          <w:sz w:val="24"/>
          <w:szCs w:val="24"/>
        </w:rPr>
        <w:t> </w:t>
      </w:r>
      <w:r w:rsidRPr="00493A63">
        <w:rPr>
          <w:noProof/>
          <w:sz w:val="24"/>
          <w:szCs w:val="24"/>
        </w:rPr>
        <w:t>1 ust.</w:t>
      </w:r>
      <w:r w:rsidR="00493A63" w:rsidRPr="00493A63">
        <w:rPr>
          <w:noProof/>
          <w:sz w:val="24"/>
          <w:szCs w:val="24"/>
        </w:rPr>
        <w:t> </w:t>
      </w:r>
      <w:r w:rsidRPr="00493A63">
        <w:rPr>
          <w:noProof/>
          <w:sz w:val="24"/>
          <w:szCs w:val="24"/>
        </w:rPr>
        <w:t>1 oraz</w:t>
      </w:r>
      <w:r w:rsidR="00C61CB6" w:rsidRPr="00493A63">
        <w:rPr>
          <w:noProof/>
          <w:sz w:val="24"/>
          <w:szCs w:val="24"/>
        </w:rPr>
        <w:t xml:space="preserve"> w</w:t>
      </w:r>
      <w:r w:rsidR="00C61CB6">
        <w:rPr>
          <w:noProof/>
          <w:sz w:val="24"/>
          <w:szCs w:val="24"/>
        </w:rPr>
        <w:t> </w:t>
      </w:r>
      <w:r w:rsidR="00C61CB6" w:rsidRPr="00493A63">
        <w:rPr>
          <w:noProof/>
          <w:sz w:val="24"/>
          <w:szCs w:val="24"/>
        </w:rPr>
        <w:t>art</w:t>
      </w:r>
      <w:r w:rsidRPr="00493A63">
        <w:rPr>
          <w:noProof/>
          <w:sz w:val="24"/>
          <w:szCs w:val="24"/>
        </w:rPr>
        <w:t>.</w:t>
      </w:r>
      <w:r w:rsidR="00493A63" w:rsidRPr="00493A63">
        <w:rPr>
          <w:noProof/>
          <w:sz w:val="24"/>
          <w:szCs w:val="24"/>
        </w:rPr>
        <w:t> </w:t>
      </w:r>
      <w:r w:rsidRPr="00493A63">
        <w:rPr>
          <w:noProof/>
          <w:sz w:val="24"/>
          <w:szCs w:val="24"/>
        </w:rPr>
        <w:t>15 dyrektywy</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 xml:space="preserve">awie broni palnej przewidziano nowe przepisy dotyczące </w:t>
      </w:r>
      <w:r w:rsidRPr="00493A63">
        <w:rPr>
          <w:b/>
          <w:noProof/>
          <w:sz w:val="24"/>
          <w:szCs w:val="24"/>
        </w:rPr>
        <w:t>broni palnej pozbawionej cech użytkowych</w:t>
      </w:r>
      <w:r w:rsidRPr="00493A63">
        <w:rPr>
          <w:noProof/>
          <w:sz w:val="24"/>
          <w:szCs w:val="24"/>
        </w:rPr>
        <w:t>, szczególnie nakładające wymóg złożenia oświadczenia</w:t>
      </w:r>
      <w:r w:rsidR="00C61CB6" w:rsidRPr="00493A63">
        <w:rPr>
          <w:noProof/>
          <w:sz w:val="24"/>
          <w:szCs w:val="24"/>
        </w:rPr>
        <w:t xml:space="preserve"> w</w:t>
      </w:r>
      <w:r w:rsidR="00C61CB6">
        <w:rPr>
          <w:noProof/>
          <w:sz w:val="24"/>
          <w:szCs w:val="24"/>
        </w:rPr>
        <w:t> </w:t>
      </w:r>
      <w:r w:rsidR="00C61CB6" w:rsidRPr="00493A63">
        <w:rPr>
          <w:noProof/>
          <w:sz w:val="24"/>
          <w:szCs w:val="24"/>
        </w:rPr>
        <w:t>prz</w:t>
      </w:r>
      <w:r w:rsidRPr="00493A63">
        <w:rPr>
          <w:noProof/>
          <w:sz w:val="24"/>
          <w:szCs w:val="24"/>
        </w:rPr>
        <w:t>ypadku nabycia lub posiadania takiej broni,</w:t>
      </w:r>
      <w:r w:rsidR="00C61CB6" w:rsidRPr="00493A63">
        <w:rPr>
          <w:noProof/>
          <w:sz w:val="24"/>
          <w:szCs w:val="24"/>
        </w:rPr>
        <w:t xml:space="preserve"> a</w:t>
      </w:r>
      <w:r w:rsidR="00C61CB6">
        <w:rPr>
          <w:noProof/>
          <w:sz w:val="24"/>
          <w:szCs w:val="24"/>
        </w:rPr>
        <w:t> </w:t>
      </w:r>
      <w:r w:rsidR="00C61CB6" w:rsidRPr="00493A63">
        <w:rPr>
          <w:noProof/>
          <w:sz w:val="24"/>
          <w:szCs w:val="24"/>
        </w:rPr>
        <w:t>tak</w:t>
      </w:r>
      <w:r w:rsidRPr="00493A63">
        <w:rPr>
          <w:noProof/>
          <w:sz w:val="24"/>
          <w:szCs w:val="24"/>
        </w:rPr>
        <w:t>że przepisy szczegółowe dotyczące weryfikacji, oznakowania</w:t>
      </w:r>
      <w:r w:rsidR="00C61CB6" w:rsidRPr="00493A63">
        <w:rPr>
          <w:noProof/>
          <w:sz w:val="24"/>
          <w:szCs w:val="24"/>
        </w:rPr>
        <w:t xml:space="preserve"> i</w:t>
      </w:r>
      <w:r w:rsidR="00C61CB6">
        <w:rPr>
          <w:noProof/>
          <w:sz w:val="24"/>
          <w:szCs w:val="24"/>
        </w:rPr>
        <w:t> </w:t>
      </w:r>
      <w:r w:rsidR="00C61CB6" w:rsidRPr="00493A63">
        <w:rPr>
          <w:noProof/>
          <w:sz w:val="24"/>
          <w:szCs w:val="24"/>
        </w:rPr>
        <w:t>tra</w:t>
      </w:r>
      <w:r w:rsidRPr="00493A63">
        <w:rPr>
          <w:noProof/>
          <w:sz w:val="24"/>
          <w:szCs w:val="24"/>
        </w:rPr>
        <w:t>nsferów takiej broni.</w:t>
      </w:r>
    </w:p>
    <w:p w14:paraId="3CF8378C" w14:textId="09D5ABF4" w:rsidR="008F1DC5" w:rsidRPr="00493A63" w:rsidRDefault="005541D0" w:rsidP="007F0A0C">
      <w:pPr>
        <w:rPr>
          <w:noProof/>
          <w:sz w:val="24"/>
          <w:szCs w:val="24"/>
        </w:rPr>
      </w:pPr>
      <w:r w:rsidRPr="00493A63">
        <w:rPr>
          <w:noProof/>
          <w:sz w:val="24"/>
          <w:szCs w:val="24"/>
        </w:rPr>
        <w:t>Wszystkie państwa członkowskie oprócz trzech (Luksemburg, Słowenia</w:t>
      </w:r>
      <w:r w:rsidR="00C61CB6" w:rsidRPr="00493A63">
        <w:rPr>
          <w:noProof/>
          <w:sz w:val="24"/>
          <w:szCs w:val="24"/>
        </w:rPr>
        <w:t xml:space="preserve"> i</w:t>
      </w:r>
      <w:r w:rsidR="00C61CB6">
        <w:rPr>
          <w:noProof/>
          <w:sz w:val="24"/>
          <w:szCs w:val="24"/>
        </w:rPr>
        <w:t> </w:t>
      </w:r>
      <w:r w:rsidR="00C61CB6" w:rsidRPr="00493A63">
        <w:rPr>
          <w:noProof/>
          <w:sz w:val="24"/>
          <w:szCs w:val="24"/>
        </w:rPr>
        <w:t>Szw</w:t>
      </w:r>
      <w:r w:rsidRPr="00493A63">
        <w:rPr>
          <w:noProof/>
          <w:sz w:val="24"/>
          <w:szCs w:val="24"/>
        </w:rPr>
        <w:t xml:space="preserve">ecja) transponowały wszystkie te przepisy. </w:t>
      </w:r>
    </w:p>
    <w:p w14:paraId="5E89429E" w14:textId="4F644F5E" w:rsidR="005541D0" w:rsidRPr="00493A63" w:rsidRDefault="007F0A0C" w:rsidP="007F0A0C">
      <w:pPr>
        <w:rPr>
          <w:noProof/>
          <w:sz w:val="24"/>
          <w:szCs w:val="24"/>
        </w:rPr>
      </w:pPr>
      <w:r w:rsidRPr="00493A63">
        <w:rPr>
          <w:noProof/>
          <w:sz w:val="24"/>
          <w:szCs w:val="24"/>
        </w:rPr>
        <w:t>W związku</w:t>
      </w:r>
      <w:r w:rsidR="00C61CB6" w:rsidRPr="00493A63">
        <w:rPr>
          <w:noProof/>
          <w:sz w:val="24"/>
          <w:szCs w:val="24"/>
        </w:rPr>
        <w:t xml:space="preserve"> z</w:t>
      </w:r>
      <w:r w:rsidR="00C61CB6">
        <w:rPr>
          <w:noProof/>
          <w:sz w:val="24"/>
          <w:szCs w:val="24"/>
        </w:rPr>
        <w:t> </w:t>
      </w:r>
      <w:r w:rsidR="00C61CB6" w:rsidRPr="00493A63">
        <w:rPr>
          <w:noProof/>
          <w:sz w:val="24"/>
          <w:szCs w:val="24"/>
        </w:rPr>
        <w:t>tym</w:t>
      </w:r>
      <w:r w:rsidRPr="00493A63">
        <w:rPr>
          <w:noProof/>
          <w:sz w:val="24"/>
          <w:szCs w:val="24"/>
        </w:rPr>
        <w:t xml:space="preserve"> na dzień 15 sierpnia 2021</w:t>
      </w:r>
      <w:r w:rsidR="00493A63" w:rsidRPr="00493A63">
        <w:rPr>
          <w:noProof/>
          <w:sz w:val="24"/>
          <w:szCs w:val="24"/>
        </w:rPr>
        <w:t> </w:t>
      </w:r>
      <w:r w:rsidRPr="00493A63">
        <w:rPr>
          <w:noProof/>
          <w:sz w:val="24"/>
          <w:szCs w:val="24"/>
        </w:rPr>
        <w:t>r. Komisja może stwierdzić, że jedynie 10 państw członkowskich zakończyło transpozycję przepisów poddanych analizie</w:t>
      </w:r>
      <w:r w:rsidR="00C61CB6" w:rsidRPr="00493A63">
        <w:rPr>
          <w:noProof/>
          <w:sz w:val="24"/>
          <w:szCs w:val="24"/>
        </w:rPr>
        <w:t xml:space="preserve"> w</w:t>
      </w:r>
      <w:r w:rsidR="00C61CB6">
        <w:rPr>
          <w:noProof/>
          <w:sz w:val="24"/>
          <w:szCs w:val="24"/>
        </w:rPr>
        <w:t> </w:t>
      </w:r>
      <w:r w:rsidR="00C61CB6" w:rsidRPr="00493A63">
        <w:rPr>
          <w:noProof/>
          <w:sz w:val="24"/>
          <w:szCs w:val="24"/>
        </w:rPr>
        <w:t>nin</w:t>
      </w:r>
      <w:r w:rsidRPr="00493A63">
        <w:rPr>
          <w:noProof/>
          <w:sz w:val="24"/>
          <w:szCs w:val="24"/>
        </w:rPr>
        <w:t>iejszym sprawozdaniu, które stanowią najważniejsze zmiany wprowadzone dyrektywą</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w:t>
      </w:r>
      <w:r w:rsidR="00C61CB6" w:rsidRPr="00493A63">
        <w:rPr>
          <w:noProof/>
          <w:sz w:val="24"/>
          <w:szCs w:val="24"/>
        </w:rPr>
        <w:t xml:space="preserve"> w</w:t>
      </w:r>
      <w:r w:rsidR="00C61CB6">
        <w:rPr>
          <w:noProof/>
          <w:sz w:val="24"/>
          <w:szCs w:val="24"/>
        </w:rPr>
        <w:t> </w:t>
      </w:r>
      <w:r w:rsidR="00C61CB6" w:rsidRPr="00493A63">
        <w:rPr>
          <w:noProof/>
          <w:sz w:val="24"/>
          <w:szCs w:val="24"/>
        </w:rPr>
        <w:t>2</w:t>
      </w:r>
      <w:r w:rsidRPr="00493A63">
        <w:rPr>
          <w:noProof/>
          <w:sz w:val="24"/>
          <w:szCs w:val="24"/>
        </w:rPr>
        <w:t>017</w:t>
      </w:r>
      <w:r w:rsidR="00493A63" w:rsidRPr="00493A63">
        <w:rPr>
          <w:noProof/>
          <w:sz w:val="24"/>
          <w:szCs w:val="24"/>
        </w:rPr>
        <w:t> </w:t>
      </w:r>
      <w:r w:rsidRPr="00493A63">
        <w:rPr>
          <w:noProof/>
          <w:sz w:val="24"/>
          <w:szCs w:val="24"/>
        </w:rPr>
        <w:t>r.</w:t>
      </w:r>
      <w:r w:rsidR="00C61CB6" w:rsidRPr="00493A63">
        <w:rPr>
          <w:noProof/>
          <w:sz w:val="24"/>
          <w:szCs w:val="24"/>
        </w:rPr>
        <w:t xml:space="preserve"> i</w:t>
      </w:r>
      <w:r w:rsidR="00C61CB6">
        <w:rPr>
          <w:noProof/>
          <w:sz w:val="24"/>
          <w:szCs w:val="24"/>
        </w:rPr>
        <w:t> </w:t>
      </w:r>
      <w:r w:rsidR="00C61CB6" w:rsidRPr="00493A63">
        <w:rPr>
          <w:noProof/>
          <w:sz w:val="24"/>
          <w:szCs w:val="24"/>
        </w:rPr>
        <w:t>dwi</w:t>
      </w:r>
      <w:r w:rsidRPr="00493A63">
        <w:rPr>
          <w:noProof/>
          <w:sz w:val="24"/>
          <w:szCs w:val="24"/>
        </w:rPr>
        <w:t>ema dyrektywami wykonawczymi, (Niemcy, Estonia, Hiszpania, Francja, Cypr, Łotwa, Litwa, Węgry, Austria</w:t>
      </w:r>
      <w:r w:rsidR="00C61CB6" w:rsidRPr="00493A63">
        <w:rPr>
          <w:noProof/>
          <w:sz w:val="24"/>
          <w:szCs w:val="24"/>
        </w:rPr>
        <w:t xml:space="preserve"> i</w:t>
      </w:r>
      <w:r w:rsidR="00C61CB6">
        <w:rPr>
          <w:noProof/>
          <w:sz w:val="24"/>
          <w:szCs w:val="24"/>
        </w:rPr>
        <w:t> </w:t>
      </w:r>
      <w:r w:rsidR="00C61CB6" w:rsidRPr="00493A63">
        <w:rPr>
          <w:noProof/>
          <w:sz w:val="24"/>
          <w:szCs w:val="24"/>
        </w:rPr>
        <w:t>Por</w:t>
      </w:r>
      <w:r w:rsidRPr="00493A63">
        <w:rPr>
          <w:noProof/>
          <w:sz w:val="24"/>
          <w:szCs w:val="24"/>
        </w:rPr>
        <w:t>tugalia), 15 państw członkowskich nie transponowało niektórych przepisów (Belgia, Bułgaria, Czechy, Dania, Irlandia, Grecja, Chorwacja, Włochy, Malta, Niderlandy, Polska, Rumunia, Słowacja, Finlandia</w:t>
      </w:r>
      <w:r w:rsidR="00C61CB6" w:rsidRPr="00493A63">
        <w:rPr>
          <w:noProof/>
          <w:sz w:val="24"/>
          <w:szCs w:val="24"/>
        </w:rPr>
        <w:t xml:space="preserve"> i</w:t>
      </w:r>
      <w:r w:rsidR="00C61CB6">
        <w:rPr>
          <w:noProof/>
          <w:sz w:val="24"/>
          <w:szCs w:val="24"/>
        </w:rPr>
        <w:t> </w:t>
      </w:r>
      <w:r w:rsidR="00C61CB6" w:rsidRPr="00493A63">
        <w:rPr>
          <w:noProof/>
          <w:sz w:val="24"/>
          <w:szCs w:val="24"/>
        </w:rPr>
        <w:t>Szw</w:t>
      </w:r>
      <w:r w:rsidRPr="00493A63">
        <w:rPr>
          <w:noProof/>
          <w:sz w:val="24"/>
          <w:szCs w:val="24"/>
        </w:rPr>
        <w:t>ecja),</w:t>
      </w:r>
      <w:r w:rsidR="00C61CB6" w:rsidRPr="00493A63">
        <w:rPr>
          <w:noProof/>
          <w:sz w:val="24"/>
          <w:szCs w:val="24"/>
        </w:rPr>
        <w:t xml:space="preserve"> a</w:t>
      </w:r>
      <w:r w:rsidR="00C61CB6">
        <w:rPr>
          <w:noProof/>
          <w:sz w:val="24"/>
          <w:szCs w:val="24"/>
        </w:rPr>
        <w:t> </w:t>
      </w:r>
      <w:r w:rsidR="00C61CB6" w:rsidRPr="00493A63">
        <w:rPr>
          <w:noProof/>
          <w:sz w:val="24"/>
          <w:szCs w:val="24"/>
        </w:rPr>
        <w:t>dwa</w:t>
      </w:r>
      <w:r w:rsidRPr="00493A63">
        <w:rPr>
          <w:noProof/>
          <w:sz w:val="24"/>
          <w:szCs w:val="24"/>
        </w:rPr>
        <w:t xml:space="preserve"> państwa członkowskie nie zgłosiły żadnych środków (Luksemburg</w:t>
      </w:r>
      <w:r w:rsidR="00C61CB6" w:rsidRPr="00493A63">
        <w:rPr>
          <w:noProof/>
          <w:sz w:val="24"/>
          <w:szCs w:val="24"/>
        </w:rPr>
        <w:t xml:space="preserve"> i</w:t>
      </w:r>
      <w:r w:rsidR="00C61CB6">
        <w:rPr>
          <w:noProof/>
          <w:sz w:val="24"/>
          <w:szCs w:val="24"/>
        </w:rPr>
        <w:t> </w:t>
      </w:r>
      <w:r w:rsidR="00C61CB6" w:rsidRPr="00493A63">
        <w:rPr>
          <w:noProof/>
          <w:sz w:val="24"/>
          <w:szCs w:val="24"/>
        </w:rPr>
        <w:t>Sło</w:t>
      </w:r>
      <w:r w:rsidRPr="00493A63">
        <w:rPr>
          <w:noProof/>
          <w:sz w:val="24"/>
          <w:szCs w:val="24"/>
        </w:rPr>
        <w:t>wenia).</w:t>
      </w:r>
    </w:p>
    <w:p w14:paraId="7A8B5861" w14:textId="0269C9E8" w:rsidR="00FB7F6A" w:rsidRPr="00493A63" w:rsidRDefault="00FB7F6A" w:rsidP="00FB7F6A">
      <w:pPr>
        <w:rPr>
          <w:noProof/>
          <w:sz w:val="24"/>
          <w:szCs w:val="24"/>
        </w:rPr>
      </w:pPr>
      <w:r w:rsidRPr="00493A63">
        <w:rPr>
          <w:noProof/>
          <w:sz w:val="24"/>
          <w:szCs w:val="24"/>
        </w:rPr>
        <w:t>Opisana powyżej wstępna ocena pozostaje bez uszczerbku dla stanowiska Komisji</w:t>
      </w:r>
      <w:r w:rsidR="00C61CB6" w:rsidRPr="00493A63">
        <w:rPr>
          <w:noProof/>
          <w:sz w:val="24"/>
          <w:szCs w:val="24"/>
        </w:rPr>
        <w:t xml:space="preserve"> w</w:t>
      </w:r>
      <w:r w:rsidR="00C61CB6">
        <w:rPr>
          <w:noProof/>
          <w:sz w:val="24"/>
          <w:szCs w:val="24"/>
        </w:rPr>
        <w:t> </w:t>
      </w:r>
      <w:r w:rsidR="00C61CB6" w:rsidRPr="00493A63">
        <w:rPr>
          <w:noProof/>
          <w:sz w:val="24"/>
          <w:szCs w:val="24"/>
        </w:rPr>
        <w:t>toc</w:t>
      </w:r>
      <w:r w:rsidRPr="00493A63">
        <w:rPr>
          <w:noProof/>
          <w:sz w:val="24"/>
          <w:szCs w:val="24"/>
        </w:rPr>
        <w:t>zących się lub przyszłych postępowaniach</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uchybienia zobowiązaniom państwa członkowskiego. Nie stanowi ona również opinii</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oceny zgodności transponujących przepisów krajowych, której Komisja jeszcze nie przeprowadziła do końca. Na wstępnym etapie oceny Komisja zidentyfikowała już przypadki nieprawidłowej transpozycji</w:t>
      </w:r>
      <w:r w:rsidR="00C61CB6" w:rsidRPr="00493A63">
        <w:rPr>
          <w:noProof/>
          <w:sz w:val="24"/>
          <w:szCs w:val="24"/>
        </w:rPr>
        <w:t xml:space="preserve"> w</w:t>
      </w:r>
      <w:r w:rsidR="00C61CB6">
        <w:rPr>
          <w:noProof/>
          <w:sz w:val="24"/>
          <w:szCs w:val="24"/>
        </w:rPr>
        <w:t> </w:t>
      </w:r>
      <w:r w:rsidR="00C61CB6" w:rsidRPr="00493A63">
        <w:rPr>
          <w:noProof/>
          <w:sz w:val="24"/>
          <w:szCs w:val="24"/>
        </w:rPr>
        <w:t>sze</w:t>
      </w:r>
      <w:r w:rsidRPr="00493A63">
        <w:rPr>
          <w:noProof/>
          <w:sz w:val="24"/>
          <w:szCs w:val="24"/>
        </w:rPr>
        <w:t>regu państw członkowskich.</w:t>
      </w:r>
    </w:p>
    <w:p w14:paraId="5D9B8EB6" w14:textId="38499A6A" w:rsidR="00BF24F7" w:rsidRPr="00493A63" w:rsidRDefault="00BF24F7" w:rsidP="00BF24F7">
      <w:pPr>
        <w:rPr>
          <w:noProof/>
          <w:sz w:val="24"/>
          <w:szCs w:val="24"/>
        </w:rPr>
      </w:pPr>
      <w:r w:rsidRPr="00493A63">
        <w:rPr>
          <w:noProof/>
          <w:sz w:val="24"/>
          <w:szCs w:val="24"/>
        </w:rPr>
        <w:t>W związku</w:t>
      </w:r>
      <w:r w:rsidR="00C61CB6" w:rsidRPr="00493A63">
        <w:rPr>
          <w:noProof/>
          <w:sz w:val="24"/>
          <w:szCs w:val="24"/>
        </w:rPr>
        <w:t xml:space="preserve"> z</w:t>
      </w:r>
      <w:r w:rsidR="00C61CB6">
        <w:rPr>
          <w:noProof/>
          <w:sz w:val="24"/>
          <w:szCs w:val="24"/>
        </w:rPr>
        <w:t> </w:t>
      </w:r>
      <w:r w:rsidR="00C61CB6" w:rsidRPr="00493A63">
        <w:rPr>
          <w:noProof/>
          <w:sz w:val="24"/>
          <w:szCs w:val="24"/>
        </w:rPr>
        <w:t>tym</w:t>
      </w:r>
      <w:r w:rsidRPr="00493A63">
        <w:rPr>
          <w:noProof/>
          <w:sz w:val="24"/>
          <w:szCs w:val="24"/>
        </w:rPr>
        <w:t xml:space="preserve"> Komisja zintensyfikuje swoje działania</w:t>
      </w:r>
      <w:r w:rsidR="00C61CB6" w:rsidRPr="00493A63">
        <w:rPr>
          <w:noProof/>
          <w:sz w:val="24"/>
          <w:szCs w:val="24"/>
        </w:rPr>
        <w:t xml:space="preserve"> w</w:t>
      </w:r>
      <w:r w:rsidR="00C61CB6">
        <w:rPr>
          <w:noProof/>
          <w:sz w:val="24"/>
          <w:szCs w:val="24"/>
        </w:rPr>
        <w:t> </w:t>
      </w:r>
      <w:r w:rsidR="00C61CB6" w:rsidRPr="00493A63">
        <w:rPr>
          <w:noProof/>
          <w:sz w:val="24"/>
          <w:szCs w:val="24"/>
        </w:rPr>
        <w:t>zak</w:t>
      </w:r>
      <w:r w:rsidRPr="00493A63">
        <w:rPr>
          <w:noProof/>
          <w:sz w:val="24"/>
          <w:szCs w:val="24"/>
        </w:rPr>
        <w:t>resie monitorowania wdrażania dyrektywy</w:t>
      </w:r>
      <w:r w:rsidR="00C61CB6" w:rsidRPr="00493A63">
        <w:rPr>
          <w:noProof/>
          <w:sz w:val="24"/>
          <w:szCs w:val="24"/>
        </w:rPr>
        <w:t xml:space="preserve"> w</w:t>
      </w:r>
      <w:r w:rsidR="00C61CB6">
        <w:rPr>
          <w:noProof/>
          <w:sz w:val="24"/>
          <w:szCs w:val="24"/>
        </w:rPr>
        <w:t> </w:t>
      </w:r>
      <w:r w:rsidR="00C61CB6" w:rsidRPr="00493A63">
        <w:rPr>
          <w:noProof/>
          <w:sz w:val="24"/>
          <w:szCs w:val="24"/>
        </w:rPr>
        <w:t>pań</w:t>
      </w:r>
      <w:r w:rsidRPr="00493A63">
        <w:rPr>
          <w:noProof/>
          <w:sz w:val="24"/>
          <w:szCs w:val="24"/>
        </w:rPr>
        <w:t>stwach członkowskich</w:t>
      </w:r>
      <w:r w:rsidR="00C61CB6" w:rsidRPr="00493A63">
        <w:rPr>
          <w:noProof/>
          <w:sz w:val="24"/>
          <w:szCs w:val="24"/>
        </w:rPr>
        <w:t xml:space="preserve"> i</w:t>
      </w:r>
      <w:r w:rsidR="00C61CB6">
        <w:rPr>
          <w:noProof/>
          <w:sz w:val="24"/>
          <w:szCs w:val="24"/>
        </w:rPr>
        <w:t> </w:t>
      </w:r>
      <w:r w:rsidR="00C61CB6" w:rsidRPr="00493A63">
        <w:rPr>
          <w:noProof/>
          <w:sz w:val="24"/>
          <w:szCs w:val="24"/>
        </w:rPr>
        <w:t>w</w:t>
      </w:r>
      <w:r w:rsidR="00C61CB6">
        <w:rPr>
          <w:noProof/>
          <w:sz w:val="24"/>
          <w:szCs w:val="24"/>
        </w:rPr>
        <w:t> </w:t>
      </w:r>
      <w:r w:rsidR="00C61CB6" w:rsidRPr="00493A63">
        <w:rPr>
          <w:noProof/>
          <w:sz w:val="24"/>
          <w:szCs w:val="24"/>
        </w:rPr>
        <w:t>raz</w:t>
      </w:r>
      <w:r w:rsidRPr="00493A63">
        <w:rPr>
          <w:noProof/>
          <w:sz w:val="24"/>
          <w:szCs w:val="24"/>
        </w:rPr>
        <w:t>ie potrzeby</w:t>
      </w:r>
      <w:r w:rsidR="00C61CB6" w:rsidRPr="00493A63">
        <w:rPr>
          <w:noProof/>
          <w:sz w:val="24"/>
          <w:szCs w:val="24"/>
        </w:rPr>
        <w:t xml:space="preserve"> w</w:t>
      </w:r>
      <w:r w:rsidR="00C61CB6">
        <w:rPr>
          <w:noProof/>
          <w:sz w:val="24"/>
          <w:szCs w:val="24"/>
        </w:rPr>
        <w:t> </w:t>
      </w:r>
      <w:r w:rsidR="00C61CB6" w:rsidRPr="00493A63">
        <w:rPr>
          <w:noProof/>
          <w:sz w:val="24"/>
          <w:szCs w:val="24"/>
        </w:rPr>
        <w:t>peł</w:t>
      </w:r>
      <w:r w:rsidRPr="00493A63">
        <w:rPr>
          <w:noProof/>
          <w:sz w:val="24"/>
          <w:szCs w:val="24"/>
        </w:rPr>
        <w:t>ni wykorzysta uprawnienia powierzone jej na mocy Traktatu.</w:t>
      </w:r>
    </w:p>
    <w:p w14:paraId="27ADAFB3" w14:textId="77777777" w:rsidR="00ED00CD" w:rsidRPr="00493A63" w:rsidRDefault="00ED00CD" w:rsidP="00DA05C2">
      <w:pPr>
        <w:pStyle w:val="Heading1"/>
        <w:rPr>
          <w:noProof/>
        </w:rPr>
      </w:pPr>
      <w:r w:rsidRPr="00493A63">
        <w:rPr>
          <w:noProof/>
        </w:rPr>
        <w:t>Skoncentrowanie na konkretnych kwestiach</w:t>
      </w:r>
    </w:p>
    <w:p w14:paraId="4D3A1FB9" w14:textId="77777777" w:rsidR="001644E0" w:rsidRPr="00493A63" w:rsidRDefault="001644E0" w:rsidP="0014591F">
      <w:pPr>
        <w:pStyle w:val="Heading2"/>
        <w:rPr>
          <w:noProof/>
        </w:rPr>
      </w:pPr>
      <w:bookmarkStart w:id="13" w:name="_Toc66179163"/>
      <w:r w:rsidRPr="00493A63">
        <w:rPr>
          <w:noProof/>
        </w:rPr>
        <w:t>Kategorie broni</w:t>
      </w:r>
      <w:bookmarkEnd w:id="13"/>
    </w:p>
    <w:p w14:paraId="49DFD0CD" w14:textId="137CF423" w:rsidR="006958D1" w:rsidRPr="00493A63" w:rsidRDefault="005E2C14" w:rsidP="004E3E94">
      <w:pPr>
        <w:pStyle w:val="Heading3"/>
        <w:rPr>
          <w:noProof/>
        </w:rPr>
      </w:pPr>
      <w:bookmarkStart w:id="14" w:name="_Toc66179164"/>
      <w:r w:rsidRPr="00493A63">
        <w:rPr>
          <w:noProof/>
        </w:rPr>
        <w:t>Ogólne kwestie dotyczące kategoryzacji</w:t>
      </w:r>
      <w:bookmarkEnd w:id="14"/>
    </w:p>
    <w:p w14:paraId="2A5A2516" w14:textId="254DB6C9" w:rsidR="005C3C89" w:rsidRPr="00493A63" w:rsidRDefault="00FE37C2" w:rsidP="00370D6C">
      <w:pPr>
        <w:rPr>
          <w:noProof/>
          <w:sz w:val="24"/>
          <w:szCs w:val="24"/>
        </w:rPr>
      </w:pPr>
      <w:r w:rsidRPr="00493A63">
        <w:rPr>
          <w:noProof/>
          <w:sz w:val="24"/>
          <w:szCs w:val="24"/>
        </w:rPr>
        <w:t>Analiza transpozycji przepisów, które stanowią najważniejsze zmiany</w:t>
      </w:r>
      <w:r w:rsidR="00C61CB6" w:rsidRPr="00493A63">
        <w:rPr>
          <w:noProof/>
          <w:sz w:val="24"/>
          <w:szCs w:val="24"/>
        </w:rPr>
        <w:t xml:space="preserve"> w</w:t>
      </w:r>
      <w:r w:rsidR="00C61CB6">
        <w:rPr>
          <w:noProof/>
          <w:sz w:val="24"/>
          <w:szCs w:val="24"/>
        </w:rPr>
        <w:t> </w:t>
      </w:r>
      <w:r w:rsidR="00C61CB6" w:rsidRPr="00493A63">
        <w:rPr>
          <w:noProof/>
          <w:sz w:val="24"/>
          <w:szCs w:val="24"/>
        </w:rPr>
        <w:t>dyr</w:t>
      </w:r>
      <w:r w:rsidRPr="00493A63">
        <w:rPr>
          <w:noProof/>
          <w:sz w:val="24"/>
          <w:szCs w:val="24"/>
        </w:rPr>
        <w:t>ektywie wprowadzone</w:t>
      </w:r>
      <w:r w:rsidR="00C61CB6" w:rsidRPr="00493A63">
        <w:rPr>
          <w:noProof/>
          <w:sz w:val="24"/>
          <w:szCs w:val="24"/>
        </w:rPr>
        <w:t xml:space="preserve"> w</w:t>
      </w:r>
      <w:r w:rsidR="00C61CB6">
        <w:rPr>
          <w:noProof/>
          <w:sz w:val="24"/>
          <w:szCs w:val="24"/>
        </w:rPr>
        <w:t> </w:t>
      </w:r>
      <w:r w:rsidR="00C61CB6" w:rsidRPr="00493A63">
        <w:rPr>
          <w:noProof/>
          <w:sz w:val="24"/>
          <w:szCs w:val="24"/>
        </w:rPr>
        <w:t>2</w:t>
      </w:r>
      <w:r w:rsidRPr="00493A63">
        <w:rPr>
          <w:noProof/>
          <w:sz w:val="24"/>
          <w:szCs w:val="24"/>
        </w:rPr>
        <w:t>017</w:t>
      </w:r>
      <w:r w:rsidR="00493A63" w:rsidRPr="00493A63">
        <w:rPr>
          <w:noProof/>
          <w:sz w:val="24"/>
          <w:szCs w:val="24"/>
        </w:rPr>
        <w:t> </w:t>
      </w:r>
      <w:r w:rsidRPr="00493A63">
        <w:rPr>
          <w:noProof/>
          <w:sz w:val="24"/>
          <w:szCs w:val="24"/>
        </w:rPr>
        <w:t>r., wykazuje złożone wyzwania związane</w:t>
      </w:r>
      <w:r w:rsidR="00C61CB6" w:rsidRPr="00493A63">
        <w:rPr>
          <w:noProof/>
          <w:sz w:val="24"/>
          <w:szCs w:val="24"/>
        </w:rPr>
        <w:t xml:space="preserve"> z</w:t>
      </w:r>
      <w:r w:rsidR="00C61CB6">
        <w:rPr>
          <w:noProof/>
          <w:sz w:val="24"/>
          <w:szCs w:val="24"/>
        </w:rPr>
        <w:t> </w:t>
      </w:r>
      <w:r w:rsidR="00C61CB6" w:rsidRPr="00493A63">
        <w:rPr>
          <w:noProof/>
          <w:sz w:val="24"/>
          <w:szCs w:val="24"/>
        </w:rPr>
        <w:t>tra</w:t>
      </w:r>
      <w:r w:rsidRPr="00493A63">
        <w:rPr>
          <w:noProof/>
          <w:sz w:val="24"/>
          <w:szCs w:val="24"/>
        </w:rPr>
        <w:t>nspozycją niektórych definicji, kategorii broni palnej wymienionych</w:t>
      </w:r>
      <w:r w:rsidR="00C61CB6" w:rsidRPr="00493A63">
        <w:rPr>
          <w:noProof/>
          <w:sz w:val="24"/>
          <w:szCs w:val="24"/>
        </w:rPr>
        <w:t xml:space="preserve"> w</w:t>
      </w:r>
      <w:r w:rsidR="00C61CB6">
        <w:rPr>
          <w:noProof/>
          <w:sz w:val="24"/>
          <w:szCs w:val="24"/>
        </w:rPr>
        <w:t> </w:t>
      </w:r>
      <w:r w:rsidR="00C61CB6" w:rsidRPr="00493A63">
        <w:rPr>
          <w:noProof/>
          <w:sz w:val="24"/>
          <w:szCs w:val="24"/>
        </w:rPr>
        <w:t>zał</w:t>
      </w:r>
      <w:r w:rsidRPr="00493A63">
        <w:rPr>
          <w:noProof/>
          <w:sz w:val="24"/>
          <w:szCs w:val="24"/>
        </w:rPr>
        <w:t>ączniku I oraz licznych wyjątków określonych</w:t>
      </w:r>
      <w:r w:rsidR="00C61CB6" w:rsidRPr="00493A63">
        <w:rPr>
          <w:noProof/>
          <w:sz w:val="24"/>
          <w:szCs w:val="24"/>
        </w:rPr>
        <w:t xml:space="preserve"> w</w:t>
      </w:r>
      <w:r w:rsidR="00C61CB6">
        <w:rPr>
          <w:noProof/>
          <w:sz w:val="24"/>
          <w:szCs w:val="24"/>
        </w:rPr>
        <w:t> </w:t>
      </w:r>
      <w:r w:rsidR="00C61CB6" w:rsidRPr="00493A63">
        <w:rPr>
          <w:noProof/>
          <w:sz w:val="24"/>
          <w:szCs w:val="24"/>
        </w:rPr>
        <w:t>sze</w:t>
      </w:r>
      <w:r w:rsidRPr="00493A63">
        <w:rPr>
          <w:noProof/>
          <w:sz w:val="24"/>
          <w:szCs w:val="24"/>
        </w:rPr>
        <w:t>regu artykułów dyrektywy</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 xml:space="preserve">awie broni palnej. </w:t>
      </w:r>
    </w:p>
    <w:p w14:paraId="5F4D83F3" w14:textId="0791FF05" w:rsidR="00BF0BE2" w:rsidRPr="00493A63" w:rsidRDefault="00BF0BE2" w:rsidP="00370D6C">
      <w:pPr>
        <w:rPr>
          <w:noProof/>
          <w:sz w:val="24"/>
          <w:szCs w:val="24"/>
        </w:rPr>
      </w:pPr>
      <w:r w:rsidRPr="00493A63">
        <w:rPr>
          <w:noProof/>
          <w:sz w:val="24"/>
          <w:szCs w:val="24"/>
        </w:rPr>
        <w:t>W dyrektywie</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 uzupełniono wykaz rodzajów broni niedozwolonej (kategoria A)</w:t>
      </w:r>
      <w:r w:rsidR="00C61CB6" w:rsidRPr="00493A63">
        <w:rPr>
          <w:noProof/>
          <w:sz w:val="24"/>
          <w:szCs w:val="24"/>
        </w:rPr>
        <w:t xml:space="preserve"> o</w:t>
      </w:r>
      <w:r w:rsidR="00C61CB6">
        <w:rPr>
          <w:noProof/>
          <w:sz w:val="24"/>
          <w:szCs w:val="24"/>
        </w:rPr>
        <w:t> </w:t>
      </w:r>
      <w:r w:rsidR="00C61CB6" w:rsidRPr="00493A63">
        <w:rPr>
          <w:noProof/>
          <w:sz w:val="24"/>
          <w:szCs w:val="24"/>
        </w:rPr>
        <w:t>now</w:t>
      </w:r>
      <w:r w:rsidRPr="00493A63">
        <w:rPr>
          <w:noProof/>
          <w:sz w:val="24"/>
          <w:szCs w:val="24"/>
        </w:rPr>
        <w:t>e rodzaje broni palnej. Jednocześnie wprowadzono długi wykaz wyjątków od tego zakazu</w:t>
      </w:r>
      <w:r w:rsidR="00C61CB6" w:rsidRPr="00493A63">
        <w:rPr>
          <w:noProof/>
          <w:sz w:val="24"/>
          <w:szCs w:val="24"/>
        </w:rPr>
        <w:t xml:space="preserve"> i</w:t>
      </w:r>
      <w:r w:rsidR="00C61CB6">
        <w:rPr>
          <w:noProof/>
          <w:sz w:val="24"/>
          <w:szCs w:val="24"/>
        </w:rPr>
        <w:t> </w:t>
      </w:r>
      <w:r w:rsidR="00C61CB6" w:rsidRPr="00493A63">
        <w:rPr>
          <w:noProof/>
          <w:sz w:val="24"/>
          <w:szCs w:val="24"/>
        </w:rPr>
        <w:t>obj</w:t>
      </w:r>
      <w:r w:rsidRPr="00493A63">
        <w:rPr>
          <w:noProof/>
          <w:sz w:val="24"/>
          <w:szCs w:val="24"/>
        </w:rPr>
        <w:t>ęto te rodzaje broni palnej wymogiem uzyskania pozwolenia</w:t>
      </w:r>
      <w:r w:rsidR="00C61CB6" w:rsidRPr="00493A63">
        <w:rPr>
          <w:noProof/>
          <w:sz w:val="24"/>
          <w:szCs w:val="24"/>
        </w:rPr>
        <w:t xml:space="preserve"> w</w:t>
      </w:r>
      <w:r w:rsidR="00C61CB6">
        <w:rPr>
          <w:noProof/>
          <w:sz w:val="24"/>
          <w:szCs w:val="24"/>
        </w:rPr>
        <w:t> </w:t>
      </w:r>
      <w:r w:rsidR="00C61CB6" w:rsidRPr="00493A63">
        <w:rPr>
          <w:noProof/>
          <w:sz w:val="24"/>
          <w:szCs w:val="24"/>
        </w:rPr>
        <w:t>wyr</w:t>
      </w:r>
      <w:r w:rsidRPr="00493A63">
        <w:rPr>
          <w:noProof/>
          <w:sz w:val="24"/>
          <w:szCs w:val="24"/>
        </w:rPr>
        <w:t xml:space="preserve">aźnie określonych okolicznościach. </w:t>
      </w:r>
    </w:p>
    <w:p w14:paraId="16B5FEAB" w14:textId="7EF05AF5" w:rsidR="000C6B67" w:rsidRPr="00493A63" w:rsidRDefault="007F0A0C" w:rsidP="00034EED">
      <w:pPr>
        <w:rPr>
          <w:noProof/>
          <w:sz w:val="24"/>
          <w:szCs w:val="24"/>
        </w:rPr>
      </w:pPr>
      <w:r w:rsidRPr="00493A63">
        <w:rPr>
          <w:noProof/>
          <w:sz w:val="24"/>
          <w:szCs w:val="24"/>
        </w:rPr>
        <w:t>Ponadto broni alarmowej</w:t>
      </w:r>
      <w:r w:rsidR="00C61CB6" w:rsidRPr="00493A63">
        <w:rPr>
          <w:noProof/>
          <w:sz w:val="24"/>
          <w:szCs w:val="24"/>
        </w:rPr>
        <w:t xml:space="preserve"> i</w:t>
      </w:r>
      <w:r w:rsidR="00C61CB6">
        <w:rPr>
          <w:noProof/>
          <w:sz w:val="24"/>
          <w:szCs w:val="24"/>
        </w:rPr>
        <w:t> </w:t>
      </w:r>
      <w:r w:rsidR="00C61CB6" w:rsidRPr="00493A63">
        <w:rPr>
          <w:noProof/>
          <w:sz w:val="24"/>
          <w:szCs w:val="24"/>
        </w:rPr>
        <w:t>syg</w:t>
      </w:r>
      <w:r w:rsidRPr="00493A63">
        <w:rPr>
          <w:noProof/>
          <w:sz w:val="24"/>
          <w:szCs w:val="24"/>
        </w:rPr>
        <w:t>nałowej nie uznaje się za broń palną, ponieważ uważa się, że takiej broni „nie można przerobić”, natomiast</w:t>
      </w:r>
      <w:r w:rsidR="00C61CB6" w:rsidRPr="00493A63">
        <w:rPr>
          <w:noProof/>
          <w:sz w:val="24"/>
          <w:szCs w:val="24"/>
        </w:rPr>
        <w:t xml:space="preserve"> w</w:t>
      </w:r>
      <w:r w:rsidR="00C61CB6">
        <w:rPr>
          <w:noProof/>
          <w:sz w:val="24"/>
          <w:szCs w:val="24"/>
        </w:rPr>
        <w:t> </w:t>
      </w:r>
      <w:r w:rsidR="00C61CB6" w:rsidRPr="00493A63">
        <w:rPr>
          <w:noProof/>
          <w:sz w:val="24"/>
          <w:szCs w:val="24"/>
        </w:rPr>
        <w:t>prz</w:t>
      </w:r>
      <w:r w:rsidRPr="00493A63">
        <w:rPr>
          <w:noProof/>
          <w:sz w:val="24"/>
          <w:szCs w:val="24"/>
        </w:rPr>
        <w:t>ypadku broni palnej pozbawionej cech użytkowych</w:t>
      </w:r>
      <w:r w:rsidR="00C61CB6" w:rsidRPr="00493A63">
        <w:rPr>
          <w:noProof/>
          <w:sz w:val="24"/>
          <w:szCs w:val="24"/>
        </w:rPr>
        <w:t xml:space="preserve"> w</w:t>
      </w:r>
      <w:r w:rsidR="00C61CB6">
        <w:rPr>
          <w:noProof/>
          <w:sz w:val="24"/>
          <w:szCs w:val="24"/>
        </w:rPr>
        <w:t> </w:t>
      </w:r>
      <w:r w:rsidR="00C61CB6" w:rsidRPr="00493A63">
        <w:rPr>
          <w:noProof/>
          <w:sz w:val="24"/>
          <w:szCs w:val="24"/>
        </w:rPr>
        <w:t>dal</w:t>
      </w:r>
      <w:r w:rsidRPr="00493A63">
        <w:rPr>
          <w:noProof/>
          <w:sz w:val="24"/>
          <w:szCs w:val="24"/>
        </w:rPr>
        <w:t>szym ciągu wymaga się oświadczenia. Co więcej, broń palna przerobiona na broń salutacyjną</w:t>
      </w:r>
      <w:r w:rsidR="00C61CB6" w:rsidRPr="00493A63">
        <w:rPr>
          <w:noProof/>
          <w:sz w:val="24"/>
          <w:szCs w:val="24"/>
        </w:rPr>
        <w:t xml:space="preserve"> i</w:t>
      </w:r>
      <w:r w:rsidR="00C61CB6">
        <w:rPr>
          <w:noProof/>
          <w:sz w:val="24"/>
          <w:szCs w:val="24"/>
        </w:rPr>
        <w:t> </w:t>
      </w:r>
      <w:r w:rsidR="00C61CB6" w:rsidRPr="00493A63">
        <w:rPr>
          <w:noProof/>
          <w:sz w:val="24"/>
          <w:szCs w:val="24"/>
        </w:rPr>
        <w:t>aku</w:t>
      </w:r>
      <w:r w:rsidRPr="00493A63">
        <w:rPr>
          <w:noProof/>
          <w:sz w:val="24"/>
          <w:szCs w:val="24"/>
        </w:rPr>
        <w:t>styczną</w:t>
      </w:r>
      <w:r w:rsidR="00C61CB6" w:rsidRPr="00493A63">
        <w:rPr>
          <w:noProof/>
          <w:sz w:val="24"/>
          <w:szCs w:val="24"/>
        </w:rPr>
        <w:t xml:space="preserve"> w</w:t>
      </w:r>
      <w:r w:rsidR="00C61CB6">
        <w:rPr>
          <w:noProof/>
          <w:sz w:val="24"/>
          <w:szCs w:val="24"/>
        </w:rPr>
        <w:t> </w:t>
      </w:r>
      <w:r w:rsidR="00C61CB6" w:rsidRPr="00493A63">
        <w:rPr>
          <w:noProof/>
          <w:sz w:val="24"/>
          <w:szCs w:val="24"/>
        </w:rPr>
        <w:t>tak</w:t>
      </w:r>
      <w:r w:rsidRPr="00493A63">
        <w:rPr>
          <w:noProof/>
          <w:sz w:val="24"/>
          <w:szCs w:val="24"/>
        </w:rPr>
        <w:t>i sposób, że jest ona trwale niezdatna do wystrzelenia pocisku, jest</w:t>
      </w:r>
      <w:r w:rsidR="00C61CB6" w:rsidRPr="00493A63">
        <w:rPr>
          <w:noProof/>
          <w:sz w:val="24"/>
          <w:szCs w:val="24"/>
        </w:rPr>
        <w:t xml:space="preserve"> w</w:t>
      </w:r>
      <w:r w:rsidR="00C61CB6">
        <w:rPr>
          <w:noProof/>
          <w:sz w:val="24"/>
          <w:szCs w:val="24"/>
        </w:rPr>
        <w:t> </w:t>
      </w:r>
      <w:r w:rsidR="00C61CB6" w:rsidRPr="00493A63">
        <w:rPr>
          <w:noProof/>
          <w:sz w:val="24"/>
          <w:szCs w:val="24"/>
        </w:rPr>
        <w:t>dal</w:t>
      </w:r>
      <w:r w:rsidRPr="00493A63">
        <w:rPr>
          <w:noProof/>
          <w:sz w:val="24"/>
          <w:szCs w:val="24"/>
        </w:rPr>
        <w:t>szym ciągu klasyfikowana do jej pierwotnej kategorii, mimo że może być równie bezpieczna co oryginalna broń alarmowa</w:t>
      </w:r>
      <w:r w:rsidR="00C61CB6" w:rsidRPr="00493A63">
        <w:rPr>
          <w:noProof/>
          <w:sz w:val="24"/>
          <w:szCs w:val="24"/>
        </w:rPr>
        <w:t xml:space="preserve"> i</w:t>
      </w:r>
      <w:r w:rsidR="00C61CB6">
        <w:rPr>
          <w:noProof/>
          <w:sz w:val="24"/>
          <w:szCs w:val="24"/>
        </w:rPr>
        <w:t> </w:t>
      </w:r>
      <w:r w:rsidR="00C61CB6" w:rsidRPr="00493A63">
        <w:rPr>
          <w:noProof/>
          <w:sz w:val="24"/>
          <w:szCs w:val="24"/>
        </w:rPr>
        <w:t>syg</w:t>
      </w:r>
      <w:r w:rsidRPr="00493A63">
        <w:rPr>
          <w:noProof/>
          <w:sz w:val="24"/>
          <w:szCs w:val="24"/>
        </w:rPr>
        <w:t xml:space="preserve">nałowa. </w:t>
      </w:r>
    </w:p>
    <w:p w14:paraId="5A39AFBD" w14:textId="7F185A05" w:rsidR="00C65B33" w:rsidRPr="00493A63" w:rsidRDefault="005D7EB9" w:rsidP="00B239C6">
      <w:pPr>
        <w:pStyle w:val="HistoryTable"/>
        <w:rPr>
          <w:noProof/>
          <w:sz w:val="24"/>
          <w:szCs w:val="24"/>
        </w:rPr>
      </w:pPr>
      <w:r w:rsidRPr="00493A63">
        <w:rPr>
          <w:noProof/>
          <w:sz w:val="24"/>
          <w:szCs w:val="24"/>
        </w:rPr>
        <w:t>Wreszcie organy ścigania zaobserwowały wzrost liczby konfiskat broni wykorzystywanej do airsoftu (wystrzeliwującej plastikowe kulki za pomocą sprężonego gazu) przerobionej</w:t>
      </w:r>
      <w:r w:rsidR="00C61CB6" w:rsidRPr="00493A63">
        <w:rPr>
          <w:noProof/>
          <w:sz w:val="24"/>
          <w:szCs w:val="24"/>
        </w:rPr>
        <w:t xml:space="preserve"> w</w:t>
      </w:r>
      <w:r w:rsidR="00C61CB6">
        <w:rPr>
          <w:noProof/>
          <w:sz w:val="24"/>
          <w:szCs w:val="24"/>
        </w:rPr>
        <w:t> </w:t>
      </w:r>
      <w:r w:rsidR="00C61CB6" w:rsidRPr="00493A63">
        <w:rPr>
          <w:noProof/>
          <w:sz w:val="24"/>
          <w:szCs w:val="24"/>
        </w:rPr>
        <w:t>tak</w:t>
      </w:r>
      <w:r w:rsidRPr="00493A63">
        <w:rPr>
          <w:noProof/>
          <w:sz w:val="24"/>
          <w:szCs w:val="24"/>
        </w:rPr>
        <w:t>i sposób, aby wystrzeliwała amunicję. Choć taka broń jest regulowana jako broń palna</w:t>
      </w:r>
      <w:r w:rsidR="00C61CB6" w:rsidRPr="00493A63">
        <w:rPr>
          <w:noProof/>
          <w:sz w:val="24"/>
          <w:szCs w:val="24"/>
        </w:rPr>
        <w:t xml:space="preserve"> w</w:t>
      </w:r>
      <w:r w:rsidR="00C61CB6">
        <w:rPr>
          <w:noProof/>
          <w:sz w:val="24"/>
          <w:szCs w:val="24"/>
        </w:rPr>
        <w:t> </w:t>
      </w:r>
      <w:r w:rsidR="00C61CB6" w:rsidRPr="00493A63">
        <w:rPr>
          <w:noProof/>
          <w:sz w:val="24"/>
          <w:szCs w:val="24"/>
        </w:rPr>
        <w:t>sze</w:t>
      </w:r>
      <w:r w:rsidRPr="00493A63">
        <w:rPr>
          <w:noProof/>
          <w:sz w:val="24"/>
          <w:szCs w:val="24"/>
        </w:rPr>
        <w:t xml:space="preserve">regu państw członkowskich UE, obecnie nie jest ona objęta zakresem dyrektywy. </w:t>
      </w:r>
    </w:p>
    <w:p w14:paraId="5EF7A2A9" w14:textId="31945353" w:rsidR="00B239C6" w:rsidRPr="00493A63" w:rsidRDefault="00B239C6" w:rsidP="00B239C6">
      <w:pPr>
        <w:pStyle w:val="HistoryTable"/>
        <w:rPr>
          <w:noProof/>
          <w:sz w:val="24"/>
          <w:szCs w:val="24"/>
        </w:rPr>
      </w:pPr>
      <w:r w:rsidRPr="00493A63">
        <w:rPr>
          <w:noProof/>
          <w:sz w:val="24"/>
          <w:szCs w:val="24"/>
        </w:rPr>
        <w:t>W związku</w:t>
      </w:r>
      <w:r w:rsidR="00C61CB6" w:rsidRPr="00493A63">
        <w:rPr>
          <w:noProof/>
          <w:sz w:val="24"/>
          <w:szCs w:val="24"/>
        </w:rPr>
        <w:t xml:space="preserve"> z</w:t>
      </w:r>
      <w:r w:rsidR="00C61CB6">
        <w:rPr>
          <w:noProof/>
          <w:sz w:val="24"/>
          <w:szCs w:val="24"/>
        </w:rPr>
        <w:t> </w:t>
      </w:r>
      <w:r w:rsidR="00C61CB6" w:rsidRPr="00493A63">
        <w:rPr>
          <w:noProof/>
          <w:sz w:val="24"/>
          <w:szCs w:val="24"/>
        </w:rPr>
        <w:t>tym</w:t>
      </w:r>
      <w:r w:rsidRPr="00493A63">
        <w:rPr>
          <w:noProof/>
          <w:sz w:val="24"/>
          <w:szCs w:val="24"/>
        </w:rPr>
        <w:t xml:space="preserve"> Komisja oceni wpływ doprecyzowania </w:t>
      </w:r>
      <w:r w:rsidRPr="00493A63">
        <w:rPr>
          <w:b/>
          <w:noProof/>
          <w:sz w:val="24"/>
          <w:szCs w:val="24"/>
        </w:rPr>
        <w:t>rozróżnienia między bronią palną niedozwoloną</w:t>
      </w:r>
      <w:r w:rsidR="00C61CB6" w:rsidRPr="00493A63">
        <w:rPr>
          <w:b/>
          <w:noProof/>
          <w:sz w:val="24"/>
          <w:szCs w:val="24"/>
        </w:rPr>
        <w:t xml:space="preserve"> a</w:t>
      </w:r>
      <w:r w:rsidR="00C61CB6">
        <w:rPr>
          <w:b/>
          <w:noProof/>
          <w:sz w:val="24"/>
          <w:szCs w:val="24"/>
        </w:rPr>
        <w:t> </w:t>
      </w:r>
      <w:r w:rsidR="00C61CB6" w:rsidRPr="00493A63">
        <w:rPr>
          <w:b/>
          <w:noProof/>
          <w:sz w:val="24"/>
          <w:szCs w:val="24"/>
        </w:rPr>
        <w:t>bro</w:t>
      </w:r>
      <w:r w:rsidRPr="00493A63">
        <w:rPr>
          <w:b/>
          <w:noProof/>
          <w:sz w:val="24"/>
          <w:szCs w:val="24"/>
        </w:rPr>
        <w:t>nią palną,</w:t>
      </w:r>
      <w:r w:rsidR="00C61CB6" w:rsidRPr="00493A63">
        <w:rPr>
          <w:b/>
          <w:noProof/>
          <w:sz w:val="24"/>
          <w:szCs w:val="24"/>
        </w:rPr>
        <w:t xml:space="preserve"> w</w:t>
      </w:r>
      <w:r w:rsidR="00C61CB6">
        <w:rPr>
          <w:b/>
          <w:noProof/>
          <w:sz w:val="24"/>
          <w:szCs w:val="24"/>
        </w:rPr>
        <w:t> </w:t>
      </w:r>
      <w:r w:rsidR="00C61CB6" w:rsidRPr="00493A63">
        <w:rPr>
          <w:b/>
          <w:noProof/>
          <w:sz w:val="24"/>
          <w:szCs w:val="24"/>
        </w:rPr>
        <w:t>prz</w:t>
      </w:r>
      <w:r w:rsidRPr="00493A63">
        <w:rPr>
          <w:b/>
          <w:noProof/>
          <w:sz w:val="24"/>
          <w:szCs w:val="24"/>
        </w:rPr>
        <w:t>ypadku której wymagane jest pozwolenie</w:t>
      </w:r>
      <w:r w:rsidRPr="00493A63">
        <w:rPr>
          <w:noProof/>
          <w:sz w:val="24"/>
          <w:szCs w:val="24"/>
        </w:rPr>
        <w:t>, aby zapewnić możliwość posiadania broni palnej niedozwolonej jedynie</w:t>
      </w:r>
      <w:r w:rsidR="00C61CB6" w:rsidRPr="00493A63">
        <w:rPr>
          <w:noProof/>
          <w:sz w:val="24"/>
          <w:szCs w:val="24"/>
        </w:rPr>
        <w:t xml:space="preserve"> w</w:t>
      </w:r>
      <w:r w:rsidR="00C61CB6">
        <w:rPr>
          <w:noProof/>
          <w:sz w:val="24"/>
          <w:szCs w:val="24"/>
        </w:rPr>
        <w:t> </w:t>
      </w:r>
      <w:r w:rsidR="00C61CB6" w:rsidRPr="00493A63">
        <w:rPr>
          <w:noProof/>
          <w:sz w:val="24"/>
          <w:szCs w:val="24"/>
        </w:rPr>
        <w:t>bar</w:t>
      </w:r>
      <w:r w:rsidRPr="00493A63">
        <w:rPr>
          <w:noProof/>
          <w:sz w:val="24"/>
          <w:szCs w:val="24"/>
        </w:rPr>
        <w:t>dzo wyjątkowych przypadkach. Ewentualna ocena może również zapewnić, aby</w:t>
      </w:r>
      <w:r w:rsidR="00C61CB6" w:rsidRPr="00493A63">
        <w:rPr>
          <w:noProof/>
          <w:sz w:val="24"/>
          <w:szCs w:val="24"/>
        </w:rPr>
        <w:t xml:space="preserve"> </w:t>
      </w:r>
      <w:r w:rsidR="00C61CB6" w:rsidRPr="00493A63">
        <w:rPr>
          <w:b/>
          <w:noProof/>
          <w:sz w:val="24"/>
          <w:szCs w:val="24"/>
        </w:rPr>
        <w:t>w</w:t>
      </w:r>
      <w:r w:rsidR="00C61CB6">
        <w:rPr>
          <w:noProof/>
          <w:sz w:val="24"/>
          <w:szCs w:val="24"/>
        </w:rPr>
        <w:t> </w:t>
      </w:r>
      <w:r w:rsidR="00C61CB6" w:rsidRPr="00493A63">
        <w:rPr>
          <w:b/>
          <w:noProof/>
          <w:sz w:val="24"/>
          <w:szCs w:val="24"/>
        </w:rPr>
        <w:t>prz</w:t>
      </w:r>
      <w:r w:rsidRPr="00493A63">
        <w:rPr>
          <w:b/>
          <w:noProof/>
          <w:sz w:val="24"/>
          <w:szCs w:val="24"/>
        </w:rPr>
        <w:t>ypadku wszystkich rodzajów broni, które są niezdatne do wystrzelenia pocisku</w:t>
      </w:r>
      <w:r w:rsidRPr="00493A63">
        <w:rPr>
          <w:noProof/>
          <w:sz w:val="24"/>
          <w:szCs w:val="24"/>
        </w:rPr>
        <w:t xml:space="preserve"> (po pozbawieniu ich cech użytkowych albo przez producenta), ale które</w:t>
      </w:r>
      <w:r w:rsidR="00C61CB6" w:rsidRPr="00493A63">
        <w:rPr>
          <w:noProof/>
          <w:sz w:val="24"/>
          <w:szCs w:val="24"/>
        </w:rPr>
        <w:t xml:space="preserve"> z</w:t>
      </w:r>
      <w:r w:rsidR="00C61CB6">
        <w:rPr>
          <w:noProof/>
          <w:sz w:val="24"/>
          <w:szCs w:val="24"/>
        </w:rPr>
        <w:t> </w:t>
      </w:r>
      <w:r w:rsidR="00C61CB6" w:rsidRPr="00493A63">
        <w:rPr>
          <w:noProof/>
          <w:sz w:val="24"/>
          <w:szCs w:val="24"/>
        </w:rPr>
        <w:t>wyk</w:t>
      </w:r>
      <w:r w:rsidRPr="00493A63">
        <w:rPr>
          <w:noProof/>
          <w:sz w:val="24"/>
          <w:szCs w:val="24"/>
        </w:rPr>
        <w:t>orzystaniem specjalistycznych narzędzi</w:t>
      </w:r>
      <w:r w:rsidR="00C61CB6" w:rsidRPr="00493A63">
        <w:rPr>
          <w:noProof/>
          <w:sz w:val="24"/>
          <w:szCs w:val="24"/>
        </w:rPr>
        <w:t xml:space="preserve"> i</w:t>
      </w:r>
      <w:r w:rsidR="00C61CB6">
        <w:rPr>
          <w:noProof/>
          <w:sz w:val="24"/>
          <w:szCs w:val="24"/>
        </w:rPr>
        <w:t> </w:t>
      </w:r>
      <w:r w:rsidR="00C61CB6" w:rsidRPr="00493A63">
        <w:rPr>
          <w:noProof/>
          <w:sz w:val="24"/>
          <w:szCs w:val="24"/>
        </w:rPr>
        <w:t>wie</w:t>
      </w:r>
      <w:r w:rsidRPr="00493A63">
        <w:rPr>
          <w:noProof/>
          <w:sz w:val="24"/>
          <w:szCs w:val="24"/>
        </w:rPr>
        <w:t>dzy można przerobić</w:t>
      </w:r>
      <w:r w:rsidR="00C61CB6" w:rsidRPr="00493A63">
        <w:rPr>
          <w:noProof/>
          <w:sz w:val="24"/>
          <w:szCs w:val="24"/>
        </w:rPr>
        <w:t xml:space="preserve"> w</w:t>
      </w:r>
      <w:r w:rsidR="00C61CB6">
        <w:rPr>
          <w:noProof/>
          <w:sz w:val="24"/>
          <w:szCs w:val="24"/>
        </w:rPr>
        <w:t> </w:t>
      </w:r>
      <w:r w:rsidR="00C61CB6" w:rsidRPr="00493A63">
        <w:rPr>
          <w:noProof/>
          <w:sz w:val="24"/>
          <w:szCs w:val="24"/>
        </w:rPr>
        <w:t>tak</w:t>
      </w:r>
      <w:r w:rsidRPr="00493A63">
        <w:rPr>
          <w:noProof/>
          <w:sz w:val="24"/>
          <w:szCs w:val="24"/>
        </w:rPr>
        <w:t>i sposób, aby wystrzeliwały pociski, wymagane było co najmniej oświadczenie.</w:t>
      </w:r>
    </w:p>
    <w:p w14:paraId="5D28249B" w14:textId="7B11A997" w:rsidR="00B30E8D" w:rsidRPr="00493A63" w:rsidRDefault="00B30E8D" w:rsidP="004E3E94">
      <w:pPr>
        <w:pStyle w:val="Heading3"/>
        <w:rPr>
          <w:noProof/>
        </w:rPr>
      </w:pPr>
      <w:bookmarkStart w:id="15" w:name="_Toc66179165"/>
      <w:r w:rsidRPr="00493A63">
        <w:rPr>
          <w:noProof/>
        </w:rPr>
        <w:t>Broń palna</w:t>
      </w:r>
      <w:r w:rsidR="00C61CB6" w:rsidRPr="00493A63">
        <w:rPr>
          <w:noProof/>
        </w:rPr>
        <w:t xml:space="preserve"> o</w:t>
      </w:r>
      <w:r w:rsidR="00C61CB6">
        <w:rPr>
          <w:noProof/>
        </w:rPr>
        <w:t> </w:t>
      </w:r>
      <w:r w:rsidR="00C61CB6" w:rsidRPr="00493A63">
        <w:rPr>
          <w:noProof/>
        </w:rPr>
        <w:t>mał</w:t>
      </w:r>
      <w:r w:rsidRPr="00493A63">
        <w:rPr>
          <w:noProof/>
        </w:rPr>
        <w:t>ym kalibrze na naboje Floberta</w:t>
      </w:r>
      <w:bookmarkEnd w:id="15"/>
      <w:r w:rsidRPr="00493A63">
        <w:rPr>
          <w:noProof/>
        </w:rPr>
        <w:t xml:space="preserve"> </w:t>
      </w:r>
    </w:p>
    <w:p w14:paraId="681127C5" w14:textId="1FD9F616" w:rsidR="00B30E44" w:rsidRPr="00493A63" w:rsidRDefault="00B30E44" w:rsidP="008E41A4">
      <w:pPr>
        <w:rPr>
          <w:noProof/>
          <w:sz w:val="24"/>
          <w:szCs w:val="24"/>
        </w:rPr>
      </w:pPr>
      <w:r w:rsidRPr="00493A63">
        <w:rPr>
          <w:noProof/>
          <w:sz w:val="24"/>
          <w:szCs w:val="24"/>
        </w:rPr>
        <w:t>Naboje Floberta</w:t>
      </w:r>
      <w:r w:rsidR="00C61CB6" w:rsidRPr="00493A63">
        <w:rPr>
          <w:noProof/>
          <w:sz w:val="24"/>
          <w:szCs w:val="24"/>
        </w:rPr>
        <w:t xml:space="preserve"> i</w:t>
      </w:r>
      <w:r w:rsidR="00C61CB6">
        <w:rPr>
          <w:noProof/>
          <w:sz w:val="24"/>
          <w:szCs w:val="24"/>
        </w:rPr>
        <w:t> </w:t>
      </w:r>
      <w:r w:rsidR="00C61CB6" w:rsidRPr="00493A63">
        <w:rPr>
          <w:noProof/>
          <w:sz w:val="24"/>
          <w:szCs w:val="24"/>
        </w:rPr>
        <w:t>bro</w:t>
      </w:r>
      <w:r w:rsidRPr="00493A63">
        <w:rPr>
          <w:noProof/>
          <w:sz w:val="24"/>
          <w:szCs w:val="24"/>
        </w:rPr>
        <w:t>ń na takie naboje opracowano w XIX wieku do celów strzelania</w:t>
      </w:r>
      <w:r w:rsidR="00C61CB6" w:rsidRPr="00493A63">
        <w:rPr>
          <w:noProof/>
          <w:sz w:val="24"/>
          <w:szCs w:val="24"/>
        </w:rPr>
        <w:t xml:space="preserve"> w</w:t>
      </w:r>
      <w:r w:rsidR="00C61CB6">
        <w:rPr>
          <w:noProof/>
          <w:sz w:val="24"/>
          <w:szCs w:val="24"/>
        </w:rPr>
        <w:t> </w:t>
      </w:r>
      <w:r w:rsidR="00C61CB6" w:rsidRPr="00493A63">
        <w:rPr>
          <w:noProof/>
          <w:sz w:val="24"/>
          <w:szCs w:val="24"/>
        </w:rPr>
        <w:t>pom</w:t>
      </w:r>
      <w:r w:rsidRPr="00493A63">
        <w:rPr>
          <w:noProof/>
          <w:sz w:val="24"/>
          <w:szCs w:val="24"/>
        </w:rPr>
        <w:t>ieszczeniach zamkniętych. Taka broń wystrzeliwuje kapiszony zawierające mały pocisk</w:t>
      </w:r>
      <w:r w:rsidR="00C61CB6" w:rsidRPr="00493A63">
        <w:rPr>
          <w:noProof/>
          <w:sz w:val="24"/>
          <w:szCs w:val="24"/>
        </w:rPr>
        <w:t xml:space="preserve"> i</w:t>
      </w:r>
      <w:r w:rsidR="00C61CB6">
        <w:rPr>
          <w:noProof/>
          <w:sz w:val="24"/>
          <w:szCs w:val="24"/>
        </w:rPr>
        <w:t> </w:t>
      </w:r>
      <w:r w:rsidR="00C61CB6" w:rsidRPr="00493A63">
        <w:rPr>
          <w:noProof/>
          <w:sz w:val="24"/>
          <w:szCs w:val="24"/>
        </w:rPr>
        <w:t>nie</w:t>
      </w:r>
      <w:r w:rsidRPr="00493A63">
        <w:rPr>
          <w:noProof/>
          <w:sz w:val="24"/>
          <w:szCs w:val="24"/>
        </w:rPr>
        <w:t>wielką ilość prochu. Naboje Floberta charakteryzują się stosunkowo niskim ciśnieniem</w:t>
      </w:r>
      <w:r w:rsidR="00C61CB6" w:rsidRPr="00493A63">
        <w:rPr>
          <w:noProof/>
          <w:sz w:val="24"/>
          <w:szCs w:val="24"/>
        </w:rPr>
        <w:t xml:space="preserve"> i</w:t>
      </w:r>
      <w:r w:rsidR="00C61CB6">
        <w:rPr>
          <w:noProof/>
          <w:sz w:val="24"/>
          <w:szCs w:val="24"/>
        </w:rPr>
        <w:t> </w:t>
      </w:r>
      <w:r w:rsidR="00C61CB6" w:rsidRPr="00493A63">
        <w:rPr>
          <w:noProof/>
          <w:sz w:val="24"/>
          <w:szCs w:val="24"/>
        </w:rPr>
        <w:t>mał</w:t>
      </w:r>
      <w:r w:rsidRPr="00493A63">
        <w:rPr>
          <w:noProof/>
          <w:sz w:val="24"/>
          <w:szCs w:val="24"/>
        </w:rPr>
        <w:t>ą prędkością wylotową pocisku,</w:t>
      </w:r>
      <w:r w:rsidR="00C61CB6" w:rsidRPr="00493A63">
        <w:rPr>
          <w:noProof/>
          <w:sz w:val="24"/>
          <w:szCs w:val="24"/>
        </w:rPr>
        <w:t xml:space="preserve"> a</w:t>
      </w:r>
      <w:r w:rsidR="00C61CB6">
        <w:rPr>
          <w:noProof/>
          <w:sz w:val="24"/>
          <w:szCs w:val="24"/>
        </w:rPr>
        <w:t> </w:t>
      </w:r>
      <w:r w:rsidR="00C61CB6" w:rsidRPr="00493A63">
        <w:rPr>
          <w:noProof/>
          <w:sz w:val="24"/>
          <w:szCs w:val="24"/>
        </w:rPr>
        <w:t>wsp</w:t>
      </w:r>
      <w:r w:rsidRPr="00493A63">
        <w:rPr>
          <w:noProof/>
          <w:sz w:val="24"/>
          <w:szCs w:val="24"/>
        </w:rPr>
        <w:t xml:space="preserve">ółcześnie broń na takie naboje jest reklamowana jako broń palna służąca do trenowania strzelectwa sportowego. </w:t>
      </w:r>
    </w:p>
    <w:p w14:paraId="752FAC1F" w14:textId="029BD683" w:rsidR="00104F7D" w:rsidRPr="00493A63" w:rsidRDefault="00B30E44" w:rsidP="001001C9">
      <w:pPr>
        <w:rPr>
          <w:noProof/>
          <w:sz w:val="24"/>
          <w:szCs w:val="24"/>
        </w:rPr>
      </w:pPr>
      <w:r w:rsidRPr="00493A63">
        <w:rPr>
          <w:noProof/>
          <w:sz w:val="24"/>
          <w:szCs w:val="24"/>
        </w:rPr>
        <w:t>Niektórzy producenci broni palnej</w:t>
      </w:r>
      <w:r w:rsidR="00C61CB6" w:rsidRPr="00493A63">
        <w:rPr>
          <w:noProof/>
          <w:sz w:val="24"/>
          <w:szCs w:val="24"/>
        </w:rPr>
        <w:t xml:space="preserve"> w</w:t>
      </w:r>
      <w:r w:rsidR="00C61CB6">
        <w:rPr>
          <w:noProof/>
          <w:sz w:val="24"/>
          <w:szCs w:val="24"/>
        </w:rPr>
        <w:t> </w:t>
      </w:r>
      <w:r w:rsidR="00C61CB6" w:rsidRPr="00493A63">
        <w:rPr>
          <w:noProof/>
          <w:sz w:val="24"/>
          <w:szCs w:val="24"/>
        </w:rPr>
        <w:t>kil</w:t>
      </w:r>
      <w:r w:rsidRPr="00493A63">
        <w:rPr>
          <w:noProof/>
          <w:sz w:val="24"/>
          <w:szCs w:val="24"/>
        </w:rPr>
        <w:t>ku państwach członkowskich UE</w:t>
      </w:r>
      <w:r w:rsidRPr="00493A63">
        <w:rPr>
          <w:rStyle w:val="FootnoteReference"/>
          <w:noProof/>
          <w:sz w:val="24"/>
          <w:szCs w:val="24"/>
        </w:rPr>
        <w:footnoteReference w:id="17"/>
      </w:r>
      <w:r w:rsidRPr="00493A63">
        <w:rPr>
          <w:noProof/>
          <w:sz w:val="24"/>
          <w:szCs w:val="24"/>
        </w:rPr>
        <w:t xml:space="preserve"> zaczęli wytwarzać niektóre modele broni palnej</w:t>
      </w:r>
      <w:r w:rsidR="00C61CB6" w:rsidRPr="00493A63">
        <w:rPr>
          <w:noProof/>
          <w:sz w:val="24"/>
          <w:szCs w:val="24"/>
        </w:rPr>
        <w:t xml:space="preserve"> o</w:t>
      </w:r>
      <w:r w:rsidR="00C61CB6">
        <w:rPr>
          <w:noProof/>
          <w:sz w:val="24"/>
          <w:szCs w:val="24"/>
        </w:rPr>
        <w:t> </w:t>
      </w:r>
      <w:r w:rsidR="00C61CB6" w:rsidRPr="00493A63">
        <w:rPr>
          <w:noProof/>
          <w:sz w:val="24"/>
          <w:szCs w:val="24"/>
        </w:rPr>
        <w:t>kal</w:t>
      </w:r>
      <w:r w:rsidRPr="00493A63">
        <w:rPr>
          <w:noProof/>
          <w:sz w:val="24"/>
          <w:szCs w:val="24"/>
        </w:rPr>
        <w:t>ibrze odpowiadającym nabojom Floberta. Jak wynika</w:t>
      </w:r>
      <w:r w:rsidR="00C61CB6" w:rsidRPr="00493A63">
        <w:rPr>
          <w:noProof/>
          <w:sz w:val="24"/>
          <w:szCs w:val="24"/>
        </w:rPr>
        <w:t xml:space="preserve"> z</w:t>
      </w:r>
      <w:r w:rsidR="00C61CB6">
        <w:rPr>
          <w:noProof/>
          <w:sz w:val="24"/>
          <w:szCs w:val="24"/>
        </w:rPr>
        <w:t> </w:t>
      </w:r>
      <w:r w:rsidR="00C61CB6" w:rsidRPr="00493A63">
        <w:rPr>
          <w:noProof/>
          <w:sz w:val="24"/>
          <w:szCs w:val="24"/>
        </w:rPr>
        <w:t>inf</w:t>
      </w:r>
      <w:r w:rsidRPr="00493A63">
        <w:rPr>
          <w:noProof/>
          <w:sz w:val="24"/>
          <w:szCs w:val="24"/>
        </w:rPr>
        <w:t>ormacji</w:t>
      </w:r>
      <w:r w:rsidR="00C61CB6" w:rsidRPr="00493A63">
        <w:rPr>
          <w:noProof/>
          <w:sz w:val="24"/>
          <w:szCs w:val="24"/>
        </w:rPr>
        <w:t xml:space="preserve"> i</w:t>
      </w:r>
      <w:r w:rsidR="00C61CB6">
        <w:rPr>
          <w:noProof/>
          <w:sz w:val="24"/>
          <w:szCs w:val="24"/>
        </w:rPr>
        <w:t> </w:t>
      </w:r>
      <w:r w:rsidR="00C61CB6" w:rsidRPr="00493A63">
        <w:rPr>
          <w:noProof/>
          <w:sz w:val="24"/>
          <w:szCs w:val="24"/>
        </w:rPr>
        <w:t>spr</w:t>
      </w:r>
      <w:r w:rsidRPr="00493A63">
        <w:rPr>
          <w:noProof/>
          <w:sz w:val="24"/>
          <w:szCs w:val="24"/>
        </w:rPr>
        <w:t>awozdań przedstawionych przez krajowe organy ścigania</w:t>
      </w:r>
      <w:r w:rsidR="00C61CB6" w:rsidRPr="00493A63">
        <w:rPr>
          <w:noProof/>
          <w:sz w:val="24"/>
          <w:szCs w:val="24"/>
        </w:rPr>
        <w:t xml:space="preserve"> i</w:t>
      </w:r>
      <w:r w:rsidR="00C61CB6">
        <w:rPr>
          <w:noProof/>
          <w:sz w:val="24"/>
          <w:szCs w:val="24"/>
        </w:rPr>
        <w:t> </w:t>
      </w:r>
      <w:r w:rsidR="00C61CB6" w:rsidRPr="00493A63">
        <w:rPr>
          <w:noProof/>
          <w:sz w:val="24"/>
          <w:szCs w:val="24"/>
        </w:rPr>
        <w:t>Eur</w:t>
      </w:r>
      <w:r w:rsidRPr="00493A63">
        <w:rPr>
          <w:noProof/>
          <w:sz w:val="24"/>
          <w:szCs w:val="24"/>
        </w:rPr>
        <w:t>opol, zasadniczo istnieją dwa rodzaje broni palnej,</w:t>
      </w:r>
      <w:r w:rsidR="00C61CB6" w:rsidRPr="00493A63">
        <w:rPr>
          <w:noProof/>
          <w:sz w:val="24"/>
          <w:szCs w:val="24"/>
        </w:rPr>
        <w:t xml:space="preserve"> z</w:t>
      </w:r>
      <w:r w:rsidR="00C61CB6">
        <w:rPr>
          <w:noProof/>
          <w:sz w:val="24"/>
          <w:szCs w:val="24"/>
        </w:rPr>
        <w:t> </w:t>
      </w:r>
      <w:r w:rsidR="00C61CB6" w:rsidRPr="00493A63">
        <w:rPr>
          <w:noProof/>
          <w:sz w:val="24"/>
          <w:szCs w:val="24"/>
        </w:rPr>
        <w:t>któ</w:t>
      </w:r>
      <w:r w:rsidRPr="00493A63">
        <w:rPr>
          <w:noProof/>
          <w:sz w:val="24"/>
          <w:szCs w:val="24"/>
        </w:rPr>
        <w:t>rej można strzelać nabojami Floberta. W „wersji klasycznej” zgodnej ze standardami oryginalnych wersji broni palnej na naboje Floberta nie można zmodyfikować mechanizmu wewnętrznego</w:t>
      </w:r>
      <w:r w:rsidR="00C61CB6" w:rsidRPr="00493A63">
        <w:rPr>
          <w:noProof/>
          <w:sz w:val="24"/>
          <w:szCs w:val="24"/>
        </w:rPr>
        <w:t xml:space="preserve"> i</w:t>
      </w:r>
      <w:r w:rsidR="00C61CB6">
        <w:rPr>
          <w:noProof/>
          <w:sz w:val="24"/>
          <w:szCs w:val="24"/>
        </w:rPr>
        <w:t> </w:t>
      </w:r>
      <w:r w:rsidR="00C61CB6" w:rsidRPr="00493A63">
        <w:rPr>
          <w:noProof/>
          <w:sz w:val="24"/>
          <w:szCs w:val="24"/>
        </w:rPr>
        <w:t>kon</w:t>
      </w:r>
      <w:r w:rsidRPr="00493A63">
        <w:rPr>
          <w:noProof/>
          <w:sz w:val="24"/>
          <w:szCs w:val="24"/>
        </w:rPr>
        <w:t>strukcji lufy, tak aby broń wystrzeliwała inne, bardziej śmiercionośne naboje.</w:t>
      </w:r>
    </w:p>
    <w:p w14:paraId="14CA8FB1" w14:textId="0933D836" w:rsidR="005E2A85" w:rsidRPr="00493A63" w:rsidRDefault="001001C9" w:rsidP="009F1BF1">
      <w:pPr>
        <w:pStyle w:val="ListBullet"/>
        <w:numPr>
          <w:ilvl w:val="0"/>
          <w:numId w:val="0"/>
        </w:numPr>
        <w:rPr>
          <w:noProof/>
          <w:sz w:val="24"/>
          <w:szCs w:val="24"/>
        </w:rPr>
      </w:pPr>
      <w:r w:rsidRPr="00493A63">
        <w:rPr>
          <w:noProof/>
          <w:sz w:val="24"/>
          <w:szCs w:val="24"/>
        </w:rPr>
        <w:t>W „wersji współczesnej” są to głównie strzelby, karabiny, pistolety maszynowe</w:t>
      </w:r>
      <w:r w:rsidR="00C61CB6" w:rsidRPr="00493A63">
        <w:rPr>
          <w:noProof/>
          <w:sz w:val="24"/>
          <w:szCs w:val="24"/>
        </w:rPr>
        <w:t xml:space="preserve"> i</w:t>
      </w:r>
      <w:r w:rsidR="00C61CB6">
        <w:rPr>
          <w:noProof/>
          <w:sz w:val="24"/>
          <w:szCs w:val="24"/>
        </w:rPr>
        <w:t> </w:t>
      </w:r>
      <w:r w:rsidR="00C61CB6" w:rsidRPr="00493A63">
        <w:rPr>
          <w:noProof/>
          <w:sz w:val="24"/>
          <w:szCs w:val="24"/>
        </w:rPr>
        <w:t>kró</w:t>
      </w:r>
      <w:r w:rsidRPr="00493A63">
        <w:rPr>
          <w:noProof/>
          <w:sz w:val="24"/>
          <w:szCs w:val="24"/>
        </w:rPr>
        <w:t>tka broń palna,</w:t>
      </w:r>
      <w:r w:rsidR="00C61CB6" w:rsidRPr="00493A63">
        <w:rPr>
          <w:noProof/>
          <w:sz w:val="24"/>
          <w:szCs w:val="24"/>
        </w:rPr>
        <w:t xml:space="preserve"> a</w:t>
      </w:r>
      <w:r w:rsidR="00C61CB6">
        <w:rPr>
          <w:noProof/>
          <w:sz w:val="24"/>
          <w:szCs w:val="24"/>
        </w:rPr>
        <w:t> </w:t>
      </w:r>
      <w:r w:rsidR="00C61CB6" w:rsidRPr="00493A63">
        <w:rPr>
          <w:noProof/>
          <w:sz w:val="24"/>
          <w:szCs w:val="24"/>
        </w:rPr>
        <w:t>ich</w:t>
      </w:r>
      <w:r w:rsidRPr="00493A63">
        <w:rPr>
          <w:noProof/>
          <w:sz w:val="24"/>
          <w:szCs w:val="24"/>
        </w:rPr>
        <w:t xml:space="preserve"> mechanizm wewnętrzny</w:t>
      </w:r>
      <w:r w:rsidR="00C61CB6" w:rsidRPr="00493A63">
        <w:rPr>
          <w:noProof/>
          <w:sz w:val="24"/>
          <w:szCs w:val="24"/>
        </w:rPr>
        <w:t xml:space="preserve"> w</w:t>
      </w:r>
      <w:r w:rsidR="00C61CB6">
        <w:rPr>
          <w:noProof/>
          <w:sz w:val="24"/>
          <w:szCs w:val="24"/>
        </w:rPr>
        <w:t> </w:t>
      </w:r>
      <w:r w:rsidR="00C61CB6" w:rsidRPr="00493A63">
        <w:rPr>
          <w:noProof/>
          <w:sz w:val="24"/>
          <w:szCs w:val="24"/>
        </w:rPr>
        <w:t>dal</w:t>
      </w:r>
      <w:r w:rsidRPr="00493A63">
        <w:rPr>
          <w:noProof/>
          <w:sz w:val="24"/>
          <w:szCs w:val="24"/>
        </w:rPr>
        <w:t>szym ciągu może wystrzeliwać naboje</w:t>
      </w:r>
      <w:r w:rsidR="00C61CB6" w:rsidRPr="00493A63">
        <w:rPr>
          <w:noProof/>
          <w:sz w:val="24"/>
          <w:szCs w:val="24"/>
        </w:rPr>
        <w:t xml:space="preserve"> o</w:t>
      </w:r>
      <w:r w:rsidR="00C61CB6">
        <w:rPr>
          <w:noProof/>
          <w:sz w:val="24"/>
          <w:szCs w:val="24"/>
        </w:rPr>
        <w:t> </w:t>
      </w:r>
      <w:r w:rsidR="00C61CB6" w:rsidRPr="00493A63">
        <w:rPr>
          <w:noProof/>
          <w:sz w:val="24"/>
          <w:szCs w:val="24"/>
        </w:rPr>
        <w:t>kal</w:t>
      </w:r>
      <w:r w:rsidRPr="00493A63">
        <w:rPr>
          <w:noProof/>
          <w:sz w:val="24"/>
          <w:szCs w:val="24"/>
        </w:rPr>
        <w:t>ibrze 9 mm lub mniejszym</w:t>
      </w:r>
      <w:r w:rsidR="00C61CB6" w:rsidRPr="00493A63">
        <w:rPr>
          <w:noProof/>
          <w:sz w:val="24"/>
          <w:szCs w:val="24"/>
        </w:rPr>
        <w:t>. W</w:t>
      </w:r>
      <w:r w:rsidR="00C61CB6">
        <w:rPr>
          <w:noProof/>
          <w:sz w:val="24"/>
          <w:szCs w:val="24"/>
        </w:rPr>
        <w:t> </w:t>
      </w:r>
      <w:r w:rsidR="00C61CB6" w:rsidRPr="00493A63">
        <w:rPr>
          <w:noProof/>
          <w:sz w:val="24"/>
          <w:szCs w:val="24"/>
        </w:rPr>
        <w:t>prz</w:t>
      </w:r>
      <w:r w:rsidRPr="00493A63">
        <w:rPr>
          <w:noProof/>
          <w:sz w:val="24"/>
          <w:szCs w:val="24"/>
        </w:rPr>
        <w:t>ypadku takiej broni modyfikuje się jedynie lufę, poprzez zainstalowanie</w:t>
      </w:r>
      <w:r w:rsidR="00C61CB6" w:rsidRPr="00493A63">
        <w:rPr>
          <w:noProof/>
          <w:sz w:val="24"/>
          <w:szCs w:val="24"/>
        </w:rPr>
        <w:t xml:space="preserve"> w</w:t>
      </w:r>
      <w:r w:rsidR="00C61CB6">
        <w:rPr>
          <w:noProof/>
          <w:sz w:val="24"/>
          <w:szCs w:val="24"/>
        </w:rPr>
        <w:t> </w:t>
      </w:r>
      <w:r w:rsidR="00C61CB6" w:rsidRPr="00493A63">
        <w:rPr>
          <w:noProof/>
          <w:sz w:val="24"/>
          <w:szCs w:val="24"/>
        </w:rPr>
        <w:t>ory</w:t>
      </w:r>
      <w:r w:rsidRPr="00493A63">
        <w:rPr>
          <w:noProof/>
          <w:sz w:val="24"/>
          <w:szCs w:val="24"/>
        </w:rPr>
        <w:t>ginalnej lufie lufy wewnętrznej, zwężonej tak, aby odpowiadała nabojom Floberta</w:t>
      </w:r>
      <w:r w:rsidR="00C61CB6" w:rsidRPr="00493A63">
        <w:rPr>
          <w:noProof/>
          <w:sz w:val="24"/>
          <w:szCs w:val="24"/>
        </w:rPr>
        <w:t xml:space="preserve"> o</w:t>
      </w:r>
      <w:r w:rsidR="00C61CB6">
        <w:rPr>
          <w:noProof/>
          <w:sz w:val="24"/>
          <w:szCs w:val="24"/>
        </w:rPr>
        <w:t> </w:t>
      </w:r>
      <w:r w:rsidR="00C61CB6" w:rsidRPr="00493A63">
        <w:rPr>
          <w:noProof/>
          <w:sz w:val="24"/>
          <w:szCs w:val="24"/>
        </w:rPr>
        <w:t>kal</w:t>
      </w:r>
      <w:r w:rsidRPr="00493A63">
        <w:rPr>
          <w:noProof/>
          <w:sz w:val="24"/>
          <w:szCs w:val="24"/>
        </w:rPr>
        <w:t>ibrze 4 lub</w:t>
      </w:r>
      <w:r w:rsidR="00493A63" w:rsidRPr="00493A63">
        <w:rPr>
          <w:noProof/>
          <w:sz w:val="24"/>
          <w:szCs w:val="24"/>
        </w:rPr>
        <w:t> </w:t>
      </w:r>
      <w:r w:rsidRPr="00493A63">
        <w:rPr>
          <w:noProof/>
          <w:sz w:val="24"/>
          <w:szCs w:val="24"/>
        </w:rPr>
        <w:t>6 mm,</w:t>
      </w:r>
      <w:r w:rsidR="00C61CB6" w:rsidRPr="00493A63">
        <w:rPr>
          <w:noProof/>
          <w:sz w:val="24"/>
          <w:szCs w:val="24"/>
        </w:rPr>
        <w:t xml:space="preserve"> i</w:t>
      </w:r>
      <w:r w:rsidR="00C61CB6">
        <w:rPr>
          <w:noProof/>
          <w:sz w:val="24"/>
          <w:szCs w:val="24"/>
        </w:rPr>
        <w:t> </w:t>
      </w:r>
      <w:r w:rsidR="00C61CB6" w:rsidRPr="00493A63">
        <w:rPr>
          <w:noProof/>
          <w:sz w:val="24"/>
          <w:szCs w:val="24"/>
        </w:rPr>
        <w:t>prz</w:t>
      </w:r>
      <w:r w:rsidRPr="00493A63">
        <w:rPr>
          <w:noProof/>
          <w:sz w:val="24"/>
          <w:szCs w:val="24"/>
        </w:rPr>
        <w:t xml:space="preserve">yspawanej do oryginalnej lufy przy wylocie. </w:t>
      </w:r>
    </w:p>
    <w:p w14:paraId="5B6763BA" w14:textId="13987EB2" w:rsidR="00692323" w:rsidRPr="00493A63" w:rsidRDefault="00692323" w:rsidP="00084537">
      <w:pPr>
        <w:rPr>
          <w:noProof/>
          <w:sz w:val="24"/>
          <w:szCs w:val="24"/>
        </w:rPr>
      </w:pPr>
      <w:r w:rsidRPr="00493A63">
        <w:rPr>
          <w:noProof/>
          <w:sz w:val="24"/>
          <w:szCs w:val="24"/>
        </w:rPr>
        <w:t>Dzięki wykorzystaniu opóźnień</w:t>
      </w:r>
      <w:r w:rsidR="00C61CB6" w:rsidRPr="00493A63">
        <w:rPr>
          <w:noProof/>
          <w:sz w:val="24"/>
          <w:szCs w:val="24"/>
        </w:rPr>
        <w:t xml:space="preserve"> w</w:t>
      </w:r>
      <w:r w:rsidR="00C61CB6">
        <w:rPr>
          <w:noProof/>
          <w:sz w:val="24"/>
          <w:szCs w:val="24"/>
        </w:rPr>
        <w:t> </w:t>
      </w:r>
      <w:r w:rsidR="00C61CB6" w:rsidRPr="00493A63">
        <w:rPr>
          <w:noProof/>
          <w:sz w:val="24"/>
          <w:szCs w:val="24"/>
        </w:rPr>
        <w:t>tra</w:t>
      </w:r>
      <w:r w:rsidRPr="00493A63">
        <w:rPr>
          <w:noProof/>
          <w:sz w:val="24"/>
          <w:szCs w:val="24"/>
        </w:rPr>
        <w:t>nspozycji lub nieprawidłowej transpozycji dyrektywy</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 śmiercionośna broń palna sklasyfikowana do kategorii B lub C jest czasem przerabiana na broń na naboje Floberta</w:t>
      </w:r>
      <w:r w:rsidR="00C61CB6" w:rsidRPr="00493A63">
        <w:rPr>
          <w:noProof/>
          <w:sz w:val="24"/>
          <w:szCs w:val="24"/>
        </w:rPr>
        <w:t xml:space="preserve"> w</w:t>
      </w:r>
      <w:r w:rsidR="00C61CB6">
        <w:rPr>
          <w:noProof/>
          <w:sz w:val="24"/>
          <w:szCs w:val="24"/>
        </w:rPr>
        <w:t> </w:t>
      </w:r>
      <w:r w:rsidR="00C61CB6" w:rsidRPr="00493A63">
        <w:rPr>
          <w:noProof/>
          <w:sz w:val="24"/>
          <w:szCs w:val="24"/>
        </w:rPr>
        <w:t>pań</w:t>
      </w:r>
      <w:r w:rsidRPr="00493A63">
        <w:rPr>
          <w:noProof/>
          <w:sz w:val="24"/>
          <w:szCs w:val="24"/>
        </w:rPr>
        <w:t>stwach członkowskich,</w:t>
      </w:r>
      <w:r w:rsidR="00C61CB6" w:rsidRPr="00493A63">
        <w:rPr>
          <w:noProof/>
          <w:sz w:val="24"/>
          <w:szCs w:val="24"/>
        </w:rPr>
        <w:t xml:space="preserve"> w</w:t>
      </w:r>
      <w:r w:rsidR="00C61CB6">
        <w:rPr>
          <w:noProof/>
          <w:sz w:val="24"/>
          <w:szCs w:val="24"/>
        </w:rPr>
        <w:t> </w:t>
      </w:r>
      <w:r w:rsidR="00C61CB6" w:rsidRPr="00493A63">
        <w:rPr>
          <w:noProof/>
          <w:sz w:val="24"/>
          <w:szCs w:val="24"/>
        </w:rPr>
        <w:t>któ</w:t>
      </w:r>
      <w:r w:rsidRPr="00493A63">
        <w:rPr>
          <w:noProof/>
          <w:sz w:val="24"/>
          <w:szCs w:val="24"/>
        </w:rPr>
        <w:t>rych</w:t>
      </w:r>
      <w:r w:rsidR="00C61CB6" w:rsidRPr="00493A63">
        <w:rPr>
          <w:noProof/>
          <w:sz w:val="24"/>
          <w:szCs w:val="24"/>
        </w:rPr>
        <w:t xml:space="preserve"> w</w:t>
      </w:r>
      <w:r w:rsidR="00C61CB6">
        <w:rPr>
          <w:noProof/>
          <w:sz w:val="24"/>
          <w:szCs w:val="24"/>
        </w:rPr>
        <w:t> </w:t>
      </w:r>
      <w:r w:rsidR="00C61CB6" w:rsidRPr="00493A63">
        <w:rPr>
          <w:noProof/>
          <w:sz w:val="24"/>
          <w:szCs w:val="24"/>
        </w:rPr>
        <w:t>prz</w:t>
      </w:r>
      <w:r w:rsidRPr="00493A63">
        <w:rPr>
          <w:noProof/>
          <w:sz w:val="24"/>
          <w:szCs w:val="24"/>
        </w:rPr>
        <w:t>ypadku tej broni palnej nadal wymaga się oświadczenia lub nawet spełnienia mniej restrykcyjnych warunków.</w:t>
      </w:r>
    </w:p>
    <w:p w14:paraId="2869B1D6" w14:textId="217AC6DD" w:rsidR="007B3401" w:rsidRPr="00493A63" w:rsidRDefault="00F02A17" w:rsidP="007B3401">
      <w:pPr>
        <w:rPr>
          <w:noProof/>
          <w:sz w:val="24"/>
          <w:szCs w:val="24"/>
        </w:rPr>
      </w:pPr>
      <w:r w:rsidRPr="00493A63">
        <w:rPr>
          <w:noProof/>
          <w:sz w:val="24"/>
          <w:szCs w:val="24"/>
        </w:rPr>
        <w:t>W unijnej ocenie zagrożenia poważną</w:t>
      </w:r>
      <w:r w:rsidR="00C61CB6" w:rsidRPr="00493A63">
        <w:rPr>
          <w:noProof/>
          <w:sz w:val="24"/>
          <w:szCs w:val="24"/>
        </w:rPr>
        <w:t xml:space="preserve"> i</w:t>
      </w:r>
      <w:r w:rsidR="00C61CB6">
        <w:rPr>
          <w:noProof/>
          <w:sz w:val="24"/>
          <w:szCs w:val="24"/>
        </w:rPr>
        <w:t> </w:t>
      </w:r>
      <w:r w:rsidR="00C61CB6" w:rsidRPr="00493A63">
        <w:rPr>
          <w:noProof/>
          <w:sz w:val="24"/>
          <w:szCs w:val="24"/>
        </w:rPr>
        <w:t>zor</w:t>
      </w:r>
      <w:r w:rsidRPr="00493A63">
        <w:rPr>
          <w:noProof/>
          <w:sz w:val="24"/>
          <w:szCs w:val="24"/>
        </w:rPr>
        <w:t>ganizowaną przestępczością</w:t>
      </w:r>
      <w:r w:rsidR="00C61CB6" w:rsidRPr="00493A63">
        <w:rPr>
          <w:noProof/>
          <w:sz w:val="24"/>
          <w:szCs w:val="24"/>
        </w:rPr>
        <w:t xml:space="preserve"> z</w:t>
      </w:r>
      <w:r w:rsidR="00C61CB6">
        <w:rPr>
          <w:noProof/>
          <w:sz w:val="24"/>
          <w:szCs w:val="24"/>
        </w:rPr>
        <w:t> </w:t>
      </w:r>
      <w:r w:rsidR="00C61CB6" w:rsidRPr="00493A63">
        <w:rPr>
          <w:noProof/>
          <w:sz w:val="24"/>
          <w:szCs w:val="24"/>
        </w:rPr>
        <w:t>2</w:t>
      </w:r>
      <w:r w:rsidRPr="00493A63">
        <w:rPr>
          <w:noProof/>
          <w:sz w:val="24"/>
          <w:szCs w:val="24"/>
        </w:rPr>
        <w:t>021</w:t>
      </w:r>
      <w:r w:rsidR="00493A63" w:rsidRPr="00493A63">
        <w:rPr>
          <w:noProof/>
          <w:sz w:val="24"/>
          <w:szCs w:val="24"/>
        </w:rPr>
        <w:t> </w:t>
      </w:r>
      <w:r w:rsidRPr="00493A63">
        <w:rPr>
          <w:noProof/>
          <w:sz w:val="24"/>
          <w:szCs w:val="24"/>
        </w:rPr>
        <w:t>r.</w:t>
      </w:r>
      <w:r w:rsidRPr="00493A63">
        <w:rPr>
          <w:noProof/>
          <w:vertAlign w:val="superscript"/>
        </w:rPr>
        <w:footnoteReference w:id="18"/>
      </w:r>
      <w:r w:rsidRPr="00493A63">
        <w:rPr>
          <w:noProof/>
          <w:sz w:val="24"/>
          <w:szCs w:val="24"/>
        </w:rPr>
        <w:t xml:space="preserve"> oraz</w:t>
      </w:r>
      <w:r w:rsidR="00C61CB6" w:rsidRPr="00493A63">
        <w:rPr>
          <w:noProof/>
          <w:sz w:val="24"/>
          <w:szCs w:val="24"/>
        </w:rPr>
        <w:t xml:space="preserve"> w</w:t>
      </w:r>
      <w:r w:rsidR="00C61CB6">
        <w:rPr>
          <w:noProof/>
          <w:sz w:val="24"/>
          <w:szCs w:val="24"/>
        </w:rPr>
        <w:t> </w:t>
      </w:r>
      <w:r w:rsidR="00C61CB6" w:rsidRPr="00493A63">
        <w:rPr>
          <w:noProof/>
          <w:sz w:val="24"/>
          <w:szCs w:val="24"/>
        </w:rPr>
        <w:t>sze</w:t>
      </w:r>
      <w:r w:rsidRPr="00493A63">
        <w:rPr>
          <w:noProof/>
          <w:sz w:val="24"/>
          <w:szCs w:val="24"/>
        </w:rPr>
        <w:t>regu sprawozdań Europolu podkreślono zagrożenie związane</w:t>
      </w:r>
      <w:r w:rsidR="00C61CB6" w:rsidRPr="00493A63">
        <w:rPr>
          <w:noProof/>
          <w:sz w:val="24"/>
          <w:szCs w:val="24"/>
        </w:rPr>
        <w:t xml:space="preserve"> z</w:t>
      </w:r>
      <w:r w:rsidR="00C61CB6">
        <w:rPr>
          <w:noProof/>
          <w:sz w:val="24"/>
          <w:szCs w:val="24"/>
        </w:rPr>
        <w:t> </w:t>
      </w:r>
      <w:r w:rsidR="00C61CB6" w:rsidRPr="00493A63">
        <w:rPr>
          <w:noProof/>
          <w:sz w:val="24"/>
          <w:szCs w:val="24"/>
        </w:rPr>
        <w:t>nie</w:t>
      </w:r>
      <w:r w:rsidRPr="00493A63">
        <w:rPr>
          <w:noProof/>
          <w:sz w:val="24"/>
          <w:szCs w:val="24"/>
        </w:rPr>
        <w:t>zgodnym</w:t>
      </w:r>
      <w:r w:rsidR="00C61CB6" w:rsidRPr="00493A63">
        <w:rPr>
          <w:noProof/>
          <w:sz w:val="24"/>
          <w:szCs w:val="24"/>
        </w:rPr>
        <w:t xml:space="preserve"> z</w:t>
      </w:r>
      <w:r w:rsidR="00C61CB6">
        <w:rPr>
          <w:noProof/>
          <w:sz w:val="24"/>
          <w:szCs w:val="24"/>
        </w:rPr>
        <w:t> </w:t>
      </w:r>
      <w:r w:rsidR="00C61CB6" w:rsidRPr="00493A63">
        <w:rPr>
          <w:noProof/>
          <w:sz w:val="24"/>
          <w:szCs w:val="24"/>
        </w:rPr>
        <w:t>pra</w:t>
      </w:r>
      <w:r w:rsidRPr="00493A63">
        <w:rPr>
          <w:noProof/>
          <w:sz w:val="24"/>
          <w:szCs w:val="24"/>
        </w:rPr>
        <w:t>wem przerabianiem „wersji współczesnej” broni na naboje Floberta, które doprowadziło do tysięcy przypadków konfiskat</w:t>
      </w:r>
      <w:r w:rsidR="00C61CB6" w:rsidRPr="00493A63">
        <w:rPr>
          <w:noProof/>
          <w:sz w:val="24"/>
          <w:szCs w:val="24"/>
        </w:rPr>
        <w:t xml:space="preserve"> w</w:t>
      </w:r>
      <w:r w:rsidR="00C61CB6">
        <w:rPr>
          <w:noProof/>
          <w:sz w:val="24"/>
          <w:szCs w:val="24"/>
        </w:rPr>
        <w:t> </w:t>
      </w:r>
      <w:r w:rsidR="00C61CB6" w:rsidRPr="00493A63">
        <w:rPr>
          <w:noProof/>
          <w:sz w:val="24"/>
          <w:szCs w:val="24"/>
        </w:rPr>
        <w:t>cał</w:t>
      </w:r>
      <w:r w:rsidRPr="00493A63">
        <w:rPr>
          <w:noProof/>
          <w:sz w:val="24"/>
          <w:szCs w:val="24"/>
        </w:rPr>
        <w:t>ej Unii Europejskiej.</w:t>
      </w:r>
    </w:p>
    <w:p w14:paraId="48A7DA62" w14:textId="5FD81BDC" w:rsidR="00D0122D" w:rsidRPr="00493A63" w:rsidRDefault="00F0423B" w:rsidP="00F0423B">
      <w:pPr>
        <w:rPr>
          <w:noProof/>
          <w:sz w:val="24"/>
          <w:szCs w:val="24"/>
        </w:rPr>
      </w:pPr>
      <w:r w:rsidRPr="00493A63">
        <w:rPr>
          <w:noProof/>
          <w:sz w:val="24"/>
          <w:szCs w:val="24"/>
        </w:rPr>
        <w:t>Na podstawie dyrektywy</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 taka broń stanowi broń palną, ponieważ kapiszony są rodzajem palnego materiału miotającego. Ani</w:t>
      </w:r>
      <w:r w:rsidR="00C61CB6" w:rsidRPr="00493A63">
        <w:rPr>
          <w:noProof/>
          <w:sz w:val="24"/>
          <w:szCs w:val="24"/>
        </w:rPr>
        <w:t xml:space="preserve"> w</w:t>
      </w:r>
      <w:r w:rsidR="00C61CB6">
        <w:rPr>
          <w:noProof/>
          <w:sz w:val="24"/>
          <w:szCs w:val="24"/>
        </w:rPr>
        <w:t> </w:t>
      </w:r>
      <w:r w:rsidR="00C61CB6" w:rsidRPr="00493A63">
        <w:rPr>
          <w:noProof/>
          <w:sz w:val="24"/>
          <w:szCs w:val="24"/>
        </w:rPr>
        <w:t>def</w:t>
      </w:r>
      <w:r w:rsidRPr="00493A63">
        <w:rPr>
          <w:noProof/>
          <w:sz w:val="24"/>
          <w:szCs w:val="24"/>
        </w:rPr>
        <w:t>inicji broni palnej, ani</w:t>
      </w:r>
      <w:r w:rsidR="00C61CB6" w:rsidRPr="00493A63">
        <w:rPr>
          <w:noProof/>
          <w:sz w:val="24"/>
          <w:szCs w:val="24"/>
        </w:rPr>
        <w:t xml:space="preserve"> w</w:t>
      </w:r>
      <w:r w:rsidR="00C61CB6">
        <w:rPr>
          <w:noProof/>
          <w:sz w:val="24"/>
          <w:szCs w:val="24"/>
        </w:rPr>
        <w:t> </w:t>
      </w:r>
      <w:r w:rsidR="00C61CB6" w:rsidRPr="00493A63">
        <w:rPr>
          <w:noProof/>
          <w:sz w:val="24"/>
          <w:szCs w:val="24"/>
        </w:rPr>
        <w:t>pos</w:t>
      </w:r>
      <w:r w:rsidRPr="00493A63">
        <w:rPr>
          <w:noProof/>
          <w:sz w:val="24"/>
          <w:szCs w:val="24"/>
        </w:rPr>
        <w:t>zczególnych jej kategoriach nie zawarto odniesienia do rozmiaru kalibru ani do energii wylotowej, które</w:t>
      </w:r>
      <w:r w:rsidR="00C61CB6" w:rsidRPr="00493A63">
        <w:rPr>
          <w:noProof/>
          <w:sz w:val="24"/>
          <w:szCs w:val="24"/>
        </w:rPr>
        <w:t xml:space="preserve"> w</w:t>
      </w:r>
      <w:r w:rsidR="00C61CB6">
        <w:rPr>
          <w:noProof/>
          <w:sz w:val="24"/>
          <w:szCs w:val="24"/>
        </w:rPr>
        <w:t> </w:t>
      </w:r>
      <w:r w:rsidR="00C61CB6" w:rsidRPr="00493A63">
        <w:rPr>
          <w:noProof/>
          <w:sz w:val="24"/>
          <w:szCs w:val="24"/>
        </w:rPr>
        <w:t>zwi</w:t>
      </w:r>
      <w:r w:rsidRPr="00493A63">
        <w:rPr>
          <w:noProof/>
          <w:sz w:val="24"/>
          <w:szCs w:val="24"/>
        </w:rPr>
        <w:t>ązku</w:t>
      </w:r>
      <w:r w:rsidR="00C61CB6" w:rsidRPr="00493A63">
        <w:rPr>
          <w:noProof/>
          <w:sz w:val="24"/>
          <w:szCs w:val="24"/>
        </w:rPr>
        <w:t xml:space="preserve"> z</w:t>
      </w:r>
      <w:r w:rsidR="00C61CB6">
        <w:rPr>
          <w:noProof/>
          <w:sz w:val="24"/>
          <w:szCs w:val="24"/>
        </w:rPr>
        <w:t> </w:t>
      </w:r>
      <w:r w:rsidR="00C61CB6" w:rsidRPr="00493A63">
        <w:rPr>
          <w:noProof/>
          <w:sz w:val="24"/>
          <w:szCs w:val="24"/>
        </w:rPr>
        <w:t>tym</w:t>
      </w:r>
      <w:r w:rsidRPr="00493A63">
        <w:rPr>
          <w:noProof/>
          <w:sz w:val="24"/>
          <w:szCs w:val="24"/>
        </w:rPr>
        <w:t xml:space="preserve"> są nieistotne do stwierdzenia, czy broń na naboje Floberta stanowi broń palną, ani do ustalenia, do której kategorii taka broń należy. </w:t>
      </w:r>
    </w:p>
    <w:p w14:paraId="79D81B5B" w14:textId="75E71231" w:rsidR="00FC2177" w:rsidRPr="00493A63" w:rsidRDefault="00D0122D" w:rsidP="00F0423B">
      <w:pPr>
        <w:rPr>
          <w:b/>
          <w:noProof/>
          <w:sz w:val="24"/>
          <w:szCs w:val="24"/>
        </w:rPr>
      </w:pPr>
      <w:r w:rsidRPr="00493A63">
        <w:rPr>
          <w:noProof/>
          <w:sz w:val="24"/>
          <w:szCs w:val="24"/>
        </w:rPr>
        <w:t>Komisja wzywa wszystkie państwa członkowskie do prawidłowego transponowania dyrektywy</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w:t>
      </w:r>
      <w:r w:rsidR="00C61CB6" w:rsidRPr="00493A63">
        <w:rPr>
          <w:noProof/>
          <w:sz w:val="24"/>
          <w:szCs w:val="24"/>
        </w:rPr>
        <w:t xml:space="preserve"> w</w:t>
      </w:r>
      <w:r w:rsidR="00C61CB6">
        <w:rPr>
          <w:noProof/>
          <w:sz w:val="24"/>
          <w:szCs w:val="24"/>
        </w:rPr>
        <w:t> </w:t>
      </w:r>
      <w:r w:rsidR="00C61CB6" w:rsidRPr="00493A63">
        <w:rPr>
          <w:noProof/>
          <w:sz w:val="24"/>
          <w:szCs w:val="24"/>
        </w:rPr>
        <w:t>tym</w:t>
      </w:r>
      <w:r w:rsidRPr="00493A63">
        <w:rPr>
          <w:noProof/>
          <w:sz w:val="24"/>
          <w:szCs w:val="24"/>
        </w:rPr>
        <w:t xml:space="preserve"> zakresie poprzez </w:t>
      </w:r>
      <w:r w:rsidRPr="00493A63">
        <w:rPr>
          <w:b/>
          <w:noProof/>
          <w:sz w:val="24"/>
          <w:szCs w:val="24"/>
        </w:rPr>
        <w:t>odpowiednie sklasyfikowanie broni, która może miotać naboje Floberta, jako broni palnej zgodnie</w:t>
      </w:r>
      <w:r w:rsidR="00C61CB6" w:rsidRPr="00493A63">
        <w:rPr>
          <w:b/>
          <w:noProof/>
          <w:sz w:val="24"/>
          <w:szCs w:val="24"/>
        </w:rPr>
        <w:t xml:space="preserve"> z</w:t>
      </w:r>
      <w:r w:rsidR="00C61CB6">
        <w:rPr>
          <w:b/>
          <w:noProof/>
          <w:sz w:val="24"/>
          <w:szCs w:val="24"/>
        </w:rPr>
        <w:t> </w:t>
      </w:r>
      <w:r w:rsidR="00C61CB6" w:rsidRPr="00493A63">
        <w:rPr>
          <w:b/>
          <w:noProof/>
          <w:sz w:val="24"/>
          <w:szCs w:val="24"/>
        </w:rPr>
        <w:t>zał</w:t>
      </w:r>
      <w:r w:rsidRPr="00493A63">
        <w:rPr>
          <w:b/>
          <w:noProof/>
          <w:sz w:val="24"/>
          <w:szCs w:val="24"/>
        </w:rPr>
        <w:t>ącznikiem I do dyrektywy</w:t>
      </w:r>
      <w:r w:rsidR="00C61CB6" w:rsidRPr="00493A63">
        <w:rPr>
          <w:b/>
          <w:noProof/>
          <w:sz w:val="24"/>
          <w:szCs w:val="24"/>
        </w:rPr>
        <w:t xml:space="preserve"> w</w:t>
      </w:r>
      <w:r w:rsidR="00C61CB6">
        <w:rPr>
          <w:b/>
          <w:noProof/>
          <w:sz w:val="24"/>
          <w:szCs w:val="24"/>
        </w:rPr>
        <w:t> </w:t>
      </w:r>
      <w:r w:rsidR="00C61CB6" w:rsidRPr="00493A63">
        <w:rPr>
          <w:b/>
          <w:noProof/>
          <w:sz w:val="24"/>
          <w:szCs w:val="24"/>
        </w:rPr>
        <w:t>spr</w:t>
      </w:r>
      <w:r w:rsidRPr="00493A63">
        <w:rPr>
          <w:b/>
          <w:noProof/>
          <w:sz w:val="24"/>
          <w:szCs w:val="24"/>
        </w:rPr>
        <w:t>awie broni palnej.</w:t>
      </w:r>
    </w:p>
    <w:p w14:paraId="729E703C" w14:textId="77777777" w:rsidR="00B30E8D" w:rsidRPr="00493A63" w:rsidRDefault="00B30E8D" w:rsidP="004E3E94">
      <w:pPr>
        <w:pStyle w:val="Heading3"/>
        <w:rPr>
          <w:noProof/>
        </w:rPr>
      </w:pPr>
      <w:bookmarkStart w:id="16" w:name="_Toc66179166"/>
      <w:r w:rsidRPr="00493A63">
        <w:rPr>
          <w:noProof/>
        </w:rPr>
        <w:t>Zabytkowa broń palna</w:t>
      </w:r>
      <w:bookmarkEnd w:id="16"/>
    </w:p>
    <w:p w14:paraId="4344A981" w14:textId="7AC46121" w:rsidR="004A432F" w:rsidRPr="00493A63" w:rsidRDefault="0057690B" w:rsidP="00B90B8C">
      <w:pPr>
        <w:rPr>
          <w:noProof/>
          <w:sz w:val="24"/>
          <w:szCs w:val="24"/>
        </w:rPr>
      </w:pPr>
      <w:r w:rsidRPr="00493A63">
        <w:rPr>
          <w:noProof/>
          <w:sz w:val="24"/>
          <w:szCs w:val="24"/>
        </w:rPr>
        <w:t>Broń palna, która może kwalifikować się jako „broń zabytkowa”, jest czasem wykorzystywana</w:t>
      </w:r>
      <w:r w:rsidR="00C61CB6" w:rsidRPr="00493A63">
        <w:rPr>
          <w:noProof/>
          <w:sz w:val="24"/>
          <w:szCs w:val="24"/>
        </w:rPr>
        <w:t xml:space="preserve"> w</w:t>
      </w:r>
      <w:r w:rsidR="00C61CB6">
        <w:rPr>
          <w:noProof/>
          <w:sz w:val="24"/>
          <w:szCs w:val="24"/>
        </w:rPr>
        <w:t> </w:t>
      </w:r>
      <w:r w:rsidR="00C61CB6" w:rsidRPr="00493A63">
        <w:rPr>
          <w:noProof/>
          <w:sz w:val="24"/>
          <w:szCs w:val="24"/>
        </w:rPr>
        <w:t>dzi</w:t>
      </w:r>
      <w:r w:rsidRPr="00493A63">
        <w:rPr>
          <w:noProof/>
          <w:sz w:val="24"/>
          <w:szCs w:val="24"/>
        </w:rPr>
        <w:t>ałalności przestępczej, czego dowodem jest na przykład atak terrorystyczny</w:t>
      </w:r>
      <w:r w:rsidR="00C61CB6" w:rsidRPr="00493A63">
        <w:rPr>
          <w:noProof/>
          <w:sz w:val="24"/>
          <w:szCs w:val="24"/>
        </w:rPr>
        <w:t xml:space="preserve"> z</w:t>
      </w:r>
      <w:r w:rsidR="00C61CB6">
        <w:rPr>
          <w:noProof/>
          <w:sz w:val="24"/>
          <w:szCs w:val="24"/>
        </w:rPr>
        <w:t> </w:t>
      </w:r>
      <w:r w:rsidR="00C61CB6" w:rsidRPr="00493A63">
        <w:rPr>
          <w:noProof/>
          <w:sz w:val="24"/>
          <w:szCs w:val="24"/>
        </w:rPr>
        <w:t>2</w:t>
      </w:r>
      <w:r w:rsidRPr="00493A63">
        <w:rPr>
          <w:noProof/>
          <w:sz w:val="24"/>
          <w:szCs w:val="24"/>
        </w:rPr>
        <w:t>018</w:t>
      </w:r>
      <w:r w:rsidR="00493A63" w:rsidRPr="00493A63">
        <w:rPr>
          <w:noProof/>
          <w:sz w:val="24"/>
          <w:szCs w:val="24"/>
        </w:rPr>
        <w:t> </w:t>
      </w:r>
      <w:r w:rsidRPr="00493A63">
        <w:rPr>
          <w:noProof/>
          <w:sz w:val="24"/>
          <w:szCs w:val="24"/>
        </w:rPr>
        <w:t>r.</w:t>
      </w:r>
      <w:r w:rsidR="00C61CB6" w:rsidRPr="00493A63">
        <w:rPr>
          <w:noProof/>
          <w:sz w:val="24"/>
          <w:szCs w:val="24"/>
        </w:rPr>
        <w:t xml:space="preserve"> w</w:t>
      </w:r>
      <w:r w:rsidR="00C61CB6">
        <w:rPr>
          <w:noProof/>
          <w:sz w:val="24"/>
          <w:szCs w:val="24"/>
        </w:rPr>
        <w:t> </w:t>
      </w:r>
      <w:r w:rsidR="00C61CB6" w:rsidRPr="00493A63">
        <w:rPr>
          <w:noProof/>
          <w:sz w:val="24"/>
          <w:szCs w:val="24"/>
        </w:rPr>
        <w:t>Str</w:t>
      </w:r>
      <w:r w:rsidRPr="00493A63">
        <w:rPr>
          <w:noProof/>
          <w:sz w:val="24"/>
          <w:szCs w:val="24"/>
        </w:rPr>
        <w:t>asburgu,</w:t>
      </w:r>
      <w:r w:rsidR="00C61CB6" w:rsidRPr="00493A63">
        <w:rPr>
          <w:noProof/>
          <w:sz w:val="24"/>
          <w:szCs w:val="24"/>
        </w:rPr>
        <w:t xml:space="preserve"> w</w:t>
      </w:r>
      <w:r w:rsidR="00C61CB6">
        <w:rPr>
          <w:noProof/>
          <w:sz w:val="24"/>
          <w:szCs w:val="24"/>
        </w:rPr>
        <w:t> </w:t>
      </w:r>
      <w:r w:rsidR="00C61CB6" w:rsidRPr="00493A63">
        <w:rPr>
          <w:noProof/>
          <w:sz w:val="24"/>
          <w:szCs w:val="24"/>
        </w:rPr>
        <w:t>któ</w:t>
      </w:r>
      <w:r w:rsidRPr="00493A63">
        <w:rPr>
          <w:noProof/>
          <w:sz w:val="24"/>
          <w:szCs w:val="24"/>
        </w:rPr>
        <w:t>rym zginęło dziewięć osób,</w:t>
      </w:r>
      <w:r w:rsidR="00C61CB6" w:rsidRPr="00493A63">
        <w:rPr>
          <w:noProof/>
          <w:sz w:val="24"/>
          <w:szCs w:val="24"/>
        </w:rPr>
        <w:t xml:space="preserve"> a</w:t>
      </w:r>
      <w:r w:rsidR="00C61CB6">
        <w:rPr>
          <w:noProof/>
          <w:sz w:val="24"/>
          <w:szCs w:val="24"/>
        </w:rPr>
        <w:t> </w:t>
      </w:r>
      <w:r w:rsidR="00C61CB6" w:rsidRPr="00493A63">
        <w:rPr>
          <w:noProof/>
          <w:sz w:val="24"/>
          <w:szCs w:val="24"/>
        </w:rPr>
        <w:t>1</w:t>
      </w:r>
      <w:r w:rsidRPr="00493A63">
        <w:rPr>
          <w:noProof/>
          <w:sz w:val="24"/>
          <w:szCs w:val="24"/>
        </w:rPr>
        <w:t>1 zostało rannych. Mimo to</w:t>
      </w:r>
      <w:r w:rsidR="00C61CB6" w:rsidRPr="00493A63">
        <w:rPr>
          <w:noProof/>
          <w:sz w:val="24"/>
          <w:szCs w:val="24"/>
        </w:rPr>
        <w:t xml:space="preserve"> w</w:t>
      </w:r>
      <w:r w:rsidR="00C61CB6">
        <w:rPr>
          <w:noProof/>
          <w:sz w:val="24"/>
          <w:szCs w:val="24"/>
        </w:rPr>
        <w:t> </w:t>
      </w:r>
      <w:r w:rsidR="00C61CB6" w:rsidRPr="00493A63">
        <w:rPr>
          <w:noProof/>
          <w:sz w:val="24"/>
          <w:szCs w:val="24"/>
        </w:rPr>
        <w:t>zał</w:t>
      </w:r>
      <w:r w:rsidRPr="00493A63">
        <w:rPr>
          <w:noProof/>
          <w:sz w:val="24"/>
          <w:szCs w:val="24"/>
        </w:rPr>
        <w:t>ączniku I część III do dyrektywy</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 przewidziano, że przedmioty uznawane za „broń zabytkową” są wyłączone</w:t>
      </w:r>
      <w:r w:rsidR="00C61CB6" w:rsidRPr="00493A63">
        <w:rPr>
          <w:noProof/>
          <w:sz w:val="24"/>
          <w:szCs w:val="24"/>
        </w:rPr>
        <w:t xml:space="preserve"> z</w:t>
      </w:r>
      <w:r w:rsidR="00C61CB6">
        <w:rPr>
          <w:noProof/>
          <w:sz w:val="24"/>
          <w:szCs w:val="24"/>
        </w:rPr>
        <w:t> </w:t>
      </w:r>
      <w:r w:rsidR="00C61CB6" w:rsidRPr="00493A63">
        <w:rPr>
          <w:noProof/>
          <w:sz w:val="24"/>
          <w:szCs w:val="24"/>
        </w:rPr>
        <w:t>def</w:t>
      </w:r>
      <w:r w:rsidRPr="00493A63">
        <w:rPr>
          <w:noProof/>
          <w:sz w:val="24"/>
          <w:szCs w:val="24"/>
        </w:rPr>
        <w:t>inicji „broni palnej”</w:t>
      </w:r>
      <w:r w:rsidR="00C61CB6" w:rsidRPr="00493A63">
        <w:rPr>
          <w:noProof/>
          <w:sz w:val="24"/>
          <w:szCs w:val="24"/>
        </w:rPr>
        <w:t xml:space="preserve"> i</w:t>
      </w:r>
      <w:r w:rsidR="00C61CB6">
        <w:rPr>
          <w:noProof/>
          <w:sz w:val="24"/>
          <w:szCs w:val="24"/>
        </w:rPr>
        <w:t> </w:t>
      </w:r>
      <w:r w:rsidR="00C61CB6" w:rsidRPr="00493A63">
        <w:rPr>
          <w:noProof/>
          <w:sz w:val="24"/>
          <w:szCs w:val="24"/>
        </w:rPr>
        <w:t>w</w:t>
      </w:r>
      <w:r w:rsidR="00C61CB6">
        <w:rPr>
          <w:noProof/>
          <w:sz w:val="24"/>
          <w:szCs w:val="24"/>
        </w:rPr>
        <w:t> </w:t>
      </w:r>
      <w:r w:rsidR="00C61CB6" w:rsidRPr="00493A63">
        <w:rPr>
          <w:noProof/>
          <w:sz w:val="24"/>
          <w:szCs w:val="24"/>
        </w:rPr>
        <w:t>zwi</w:t>
      </w:r>
      <w:r w:rsidRPr="00493A63">
        <w:rPr>
          <w:noProof/>
          <w:sz w:val="24"/>
          <w:szCs w:val="24"/>
        </w:rPr>
        <w:t>ązku</w:t>
      </w:r>
      <w:r w:rsidR="00C61CB6" w:rsidRPr="00493A63">
        <w:rPr>
          <w:noProof/>
          <w:sz w:val="24"/>
          <w:szCs w:val="24"/>
        </w:rPr>
        <w:t xml:space="preserve"> z</w:t>
      </w:r>
      <w:r w:rsidR="00C61CB6">
        <w:rPr>
          <w:noProof/>
          <w:sz w:val="24"/>
          <w:szCs w:val="24"/>
        </w:rPr>
        <w:t> </w:t>
      </w:r>
      <w:r w:rsidR="00C61CB6" w:rsidRPr="00493A63">
        <w:rPr>
          <w:noProof/>
          <w:sz w:val="24"/>
          <w:szCs w:val="24"/>
        </w:rPr>
        <w:t>tym</w:t>
      </w:r>
      <w:r w:rsidRPr="00493A63">
        <w:rPr>
          <w:noProof/>
          <w:sz w:val="24"/>
          <w:szCs w:val="24"/>
        </w:rPr>
        <w:t xml:space="preserve"> nie wchodzą</w:t>
      </w:r>
      <w:r w:rsidR="00C61CB6" w:rsidRPr="00493A63">
        <w:rPr>
          <w:noProof/>
          <w:sz w:val="24"/>
          <w:szCs w:val="24"/>
        </w:rPr>
        <w:t xml:space="preserve"> w</w:t>
      </w:r>
      <w:r w:rsidR="00C61CB6">
        <w:rPr>
          <w:noProof/>
          <w:sz w:val="24"/>
          <w:szCs w:val="24"/>
        </w:rPr>
        <w:t> </w:t>
      </w:r>
      <w:r w:rsidR="00C61CB6" w:rsidRPr="00493A63">
        <w:rPr>
          <w:noProof/>
          <w:sz w:val="24"/>
          <w:szCs w:val="24"/>
        </w:rPr>
        <w:t>zak</w:t>
      </w:r>
      <w:r w:rsidRPr="00493A63">
        <w:rPr>
          <w:noProof/>
          <w:sz w:val="24"/>
          <w:szCs w:val="24"/>
        </w:rPr>
        <w:t>res dyrektywy, jeżeli nie zostały one ujęte</w:t>
      </w:r>
      <w:r w:rsidR="00C61CB6" w:rsidRPr="00493A63">
        <w:rPr>
          <w:noProof/>
          <w:sz w:val="24"/>
          <w:szCs w:val="24"/>
        </w:rPr>
        <w:t xml:space="preserve"> w</w:t>
      </w:r>
      <w:r w:rsidR="00C61CB6">
        <w:rPr>
          <w:noProof/>
          <w:sz w:val="24"/>
          <w:szCs w:val="24"/>
        </w:rPr>
        <w:t> </w:t>
      </w:r>
      <w:r w:rsidR="00C61CB6" w:rsidRPr="00493A63">
        <w:rPr>
          <w:noProof/>
          <w:sz w:val="24"/>
          <w:szCs w:val="24"/>
        </w:rPr>
        <w:t>kat</w:t>
      </w:r>
      <w:r w:rsidRPr="00493A63">
        <w:rPr>
          <w:noProof/>
          <w:sz w:val="24"/>
          <w:szCs w:val="24"/>
        </w:rPr>
        <w:t>egoriach określonych</w:t>
      </w:r>
      <w:r w:rsidR="00C61CB6" w:rsidRPr="00493A63">
        <w:rPr>
          <w:noProof/>
          <w:sz w:val="24"/>
          <w:szCs w:val="24"/>
        </w:rPr>
        <w:t xml:space="preserve"> w</w:t>
      </w:r>
      <w:r w:rsidR="00C61CB6">
        <w:rPr>
          <w:noProof/>
          <w:sz w:val="24"/>
          <w:szCs w:val="24"/>
        </w:rPr>
        <w:t> </w:t>
      </w:r>
      <w:r w:rsidR="00C61CB6" w:rsidRPr="00493A63">
        <w:rPr>
          <w:noProof/>
          <w:sz w:val="24"/>
          <w:szCs w:val="24"/>
        </w:rPr>
        <w:t>dyr</w:t>
      </w:r>
      <w:r w:rsidRPr="00493A63">
        <w:rPr>
          <w:noProof/>
          <w:sz w:val="24"/>
          <w:szCs w:val="24"/>
        </w:rPr>
        <w:t>ektywie</w:t>
      </w:r>
      <w:r w:rsidR="00C61CB6" w:rsidRPr="00493A63">
        <w:rPr>
          <w:noProof/>
          <w:sz w:val="24"/>
          <w:szCs w:val="24"/>
        </w:rPr>
        <w:t xml:space="preserve"> i</w:t>
      </w:r>
      <w:r w:rsidR="00C61CB6">
        <w:rPr>
          <w:noProof/>
          <w:sz w:val="24"/>
          <w:szCs w:val="24"/>
        </w:rPr>
        <w:t> </w:t>
      </w:r>
      <w:r w:rsidR="00C61CB6" w:rsidRPr="00493A63">
        <w:rPr>
          <w:noProof/>
          <w:sz w:val="24"/>
          <w:szCs w:val="24"/>
        </w:rPr>
        <w:t>pod</w:t>
      </w:r>
      <w:r w:rsidRPr="00493A63">
        <w:rPr>
          <w:noProof/>
          <w:sz w:val="24"/>
          <w:szCs w:val="24"/>
        </w:rPr>
        <w:t xml:space="preserve">legają przepisom prawa krajowego. </w:t>
      </w:r>
    </w:p>
    <w:p w14:paraId="3C278F82" w14:textId="3ABFF554" w:rsidR="0005482E" w:rsidRPr="00493A63" w:rsidRDefault="0057690B" w:rsidP="00B90B8C">
      <w:pPr>
        <w:rPr>
          <w:noProof/>
          <w:sz w:val="24"/>
          <w:szCs w:val="24"/>
        </w:rPr>
      </w:pPr>
      <w:r w:rsidRPr="00493A63">
        <w:rPr>
          <w:noProof/>
          <w:sz w:val="24"/>
          <w:szCs w:val="24"/>
        </w:rPr>
        <w:t>Na posiedzeniu komitetu ds. broni palnej</w:t>
      </w:r>
      <w:r w:rsidR="00C61CB6" w:rsidRPr="00493A63">
        <w:rPr>
          <w:noProof/>
          <w:sz w:val="24"/>
          <w:szCs w:val="24"/>
        </w:rPr>
        <w:t xml:space="preserve"> w</w:t>
      </w:r>
      <w:r w:rsidR="00C61CB6">
        <w:rPr>
          <w:noProof/>
          <w:sz w:val="24"/>
          <w:szCs w:val="24"/>
        </w:rPr>
        <w:t> </w:t>
      </w:r>
      <w:r w:rsidR="00C61CB6" w:rsidRPr="00493A63">
        <w:rPr>
          <w:noProof/>
          <w:sz w:val="24"/>
          <w:szCs w:val="24"/>
        </w:rPr>
        <w:t>dni</w:t>
      </w:r>
      <w:r w:rsidRPr="00493A63">
        <w:rPr>
          <w:noProof/>
          <w:sz w:val="24"/>
          <w:szCs w:val="24"/>
        </w:rPr>
        <w:t>u 18 grudnia 2019</w:t>
      </w:r>
      <w:r w:rsidR="00493A63" w:rsidRPr="00493A63">
        <w:rPr>
          <w:noProof/>
          <w:sz w:val="24"/>
          <w:szCs w:val="24"/>
        </w:rPr>
        <w:t> </w:t>
      </w:r>
      <w:r w:rsidRPr="00493A63">
        <w:rPr>
          <w:noProof/>
          <w:sz w:val="24"/>
          <w:szCs w:val="24"/>
        </w:rPr>
        <w:t>r. większość państw członkowskich wskazała, że opowie się za harmonizacją przepisów dotyczących broni zabytkowej na szczeblu UE. Niektóre</w:t>
      </w:r>
      <w:r w:rsidR="00C61CB6" w:rsidRPr="00493A63">
        <w:rPr>
          <w:noProof/>
          <w:sz w:val="24"/>
          <w:szCs w:val="24"/>
        </w:rPr>
        <w:t xml:space="preserve"> z</w:t>
      </w:r>
      <w:r w:rsidR="00C61CB6">
        <w:rPr>
          <w:noProof/>
          <w:sz w:val="24"/>
          <w:szCs w:val="24"/>
        </w:rPr>
        <w:t> </w:t>
      </w:r>
      <w:r w:rsidR="00C61CB6" w:rsidRPr="00493A63">
        <w:rPr>
          <w:noProof/>
          <w:sz w:val="24"/>
          <w:szCs w:val="24"/>
        </w:rPr>
        <w:t>nic</w:t>
      </w:r>
      <w:r w:rsidRPr="00493A63">
        <w:rPr>
          <w:noProof/>
          <w:sz w:val="24"/>
          <w:szCs w:val="24"/>
        </w:rPr>
        <w:t>h zakwestionowały samo znaczenie zwolnienia zabytkowej broni palnej</w:t>
      </w:r>
      <w:r w:rsidR="00C61CB6" w:rsidRPr="00493A63">
        <w:rPr>
          <w:noProof/>
          <w:sz w:val="24"/>
          <w:szCs w:val="24"/>
        </w:rPr>
        <w:t xml:space="preserve"> z</w:t>
      </w:r>
      <w:r w:rsidR="00C61CB6">
        <w:rPr>
          <w:noProof/>
          <w:sz w:val="24"/>
          <w:szCs w:val="24"/>
        </w:rPr>
        <w:t> </w:t>
      </w:r>
      <w:r w:rsidR="00C61CB6" w:rsidRPr="00493A63">
        <w:rPr>
          <w:noProof/>
          <w:sz w:val="24"/>
          <w:szCs w:val="24"/>
        </w:rPr>
        <w:t>wym</w:t>
      </w:r>
      <w:r w:rsidRPr="00493A63">
        <w:rPr>
          <w:noProof/>
          <w:sz w:val="24"/>
          <w:szCs w:val="24"/>
        </w:rPr>
        <w:t>ogów dyrektywy</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 na podstawie jej roku produkcji,</w:t>
      </w:r>
      <w:r w:rsidR="00C61CB6" w:rsidRPr="00493A63">
        <w:rPr>
          <w:noProof/>
          <w:sz w:val="24"/>
          <w:szCs w:val="24"/>
        </w:rPr>
        <w:t xml:space="preserve"> a</w:t>
      </w:r>
      <w:r w:rsidR="00C61CB6">
        <w:rPr>
          <w:noProof/>
          <w:sz w:val="24"/>
          <w:szCs w:val="24"/>
        </w:rPr>
        <w:t> </w:t>
      </w:r>
      <w:r w:rsidR="00C61CB6" w:rsidRPr="00493A63">
        <w:rPr>
          <w:noProof/>
          <w:sz w:val="24"/>
          <w:szCs w:val="24"/>
        </w:rPr>
        <w:t>nie</w:t>
      </w:r>
      <w:r w:rsidRPr="00493A63">
        <w:rPr>
          <w:noProof/>
          <w:sz w:val="24"/>
          <w:szCs w:val="24"/>
        </w:rPr>
        <w:t xml:space="preserve"> jej zdolności do wyrządzenia szkody.</w:t>
      </w:r>
    </w:p>
    <w:p w14:paraId="4FFE9544" w14:textId="2E45D3A4" w:rsidR="00F3559F" w:rsidRPr="00493A63" w:rsidRDefault="00F3559F" w:rsidP="00F3559F">
      <w:pPr>
        <w:rPr>
          <w:noProof/>
          <w:sz w:val="24"/>
          <w:szCs w:val="24"/>
        </w:rPr>
      </w:pPr>
      <w:r w:rsidRPr="00493A63">
        <w:rPr>
          <w:noProof/>
          <w:sz w:val="24"/>
          <w:szCs w:val="24"/>
        </w:rPr>
        <w:t>Komisja oceni wpływ</w:t>
      </w:r>
      <w:r w:rsidRPr="00493A63">
        <w:rPr>
          <w:b/>
          <w:noProof/>
          <w:sz w:val="24"/>
          <w:szCs w:val="24"/>
        </w:rPr>
        <w:t xml:space="preserve"> objęcia broni zabytkowej zakresem dyrektywy</w:t>
      </w:r>
      <w:r w:rsidR="00C61CB6" w:rsidRPr="00493A63">
        <w:rPr>
          <w:noProof/>
          <w:sz w:val="24"/>
          <w:szCs w:val="24"/>
        </w:rPr>
        <w:t xml:space="preserve"> w</w:t>
      </w:r>
      <w:r w:rsidR="00C61CB6">
        <w:rPr>
          <w:noProof/>
          <w:sz w:val="24"/>
          <w:szCs w:val="24"/>
        </w:rPr>
        <w:t> </w:t>
      </w:r>
      <w:r w:rsidR="00C61CB6" w:rsidRPr="00493A63">
        <w:rPr>
          <w:noProof/>
          <w:sz w:val="24"/>
          <w:szCs w:val="24"/>
        </w:rPr>
        <w:t>cel</w:t>
      </w:r>
      <w:r w:rsidRPr="00493A63">
        <w:rPr>
          <w:noProof/>
          <w:sz w:val="24"/>
          <w:szCs w:val="24"/>
        </w:rPr>
        <w:t>u zharmonizowania przepisów we wszystkich państwach członkowskich.</w:t>
      </w:r>
    </w:p>
    <w:p w14:paraId="73ACAC2C" w14:textId="6BAA9ED4" w:rsidR="001644E0" w:rsidRPr="00493A63" w:rsidRDefault="001644E0" w:rsidP="0014591F">
      <w:pPr>
        <w:pStyle w:val="Heading2"/>
        <w:rPr>
          <w:noProof/>
        </w:rPr>
      </w:pPr>
      <w:bookmarkStart w:id="17" w:name="_Toc65663059"/>
      <w:bookmarkStart w:id="18" w:name="_Toc65663483"/>
      <w:bookmarkStart w:id="19" w:name="_Toc65663513"/>
      <w:bookmarkStart w:id="20" w:name="_Toc66179168"/>
      <w:bookmarkEnd w:id="17"/>
      <w:bookmarkEnd w:id="18"/>
      <w:bookmarkEnd w:id="19"/>
      <w:r w:rsidRPr="00493A63">
        <w:rPr>
          <w:noProof/>
        </w:rPr>
        <w:t>Nielegalne wytwarzanie – drukowanie przestrzenne</w:t>
      </w:r>
      <w:r w:rsidR="00C61CB6" w:rsidRPr="00493A63">
        <w:rPr>
          <w:noProof/>
        </w:rPr>
        <w:t xml:space="preserve"> i</w:t>
      </w:r>
      <w:r w:rsidR="00C61CB6">
        <w:rPr>
          <w:noProof/>
        </w:rPr>
        <w:t> </w:t>
      </w:r>
      <w:r w:rsidR="00C61CB6" w:rsidRPr="00493A63">
        <w:rPr>
          <w:noProof/>
        </w:rPr>
        <w:t>pół</w:t>
      </w:r>
      <w:r w:rsidRPr="00493A63">
        <w:rPr>
          <w:noProof/>
        </w:rPr>
        <w:t>fabrykaty</w:t>
      </w:r>
      <w:bookmarkEnd w:id="20"/>
    </w:p>
    <w:p w14:paraId="4256037A" w14:textId="74556057" w:rsidR="000C3ABF" w:rsidRPr="00493A63" w:rsidRDefault="000C3ABF" w:rsidP="00F3679A">
      <w:pPr>
        <w:rPr>
          <w:noProof/>
          <w:sz w:val="24"/>
          <w:szCs w:val="24"/>
        </w:rPr>
      </w:pPr>
      <w:r w:rsidRPr="00493A63">
        <w:rPr>
          <w:noProof/>
          <w:sz w:val="24"/>
          <w:szCs w:val="24"/>
        </w:rPr>
        <w:t>Drukowanie przestrzenne, nazywane również obróbką przyrostową, „odnosi się do rozmaitych procesów wykorzystywanych</w:t>
      </w:r>
      <w:r w:rsidR="00C61CB6" w:rsidRPr="00493A63">
        <w:rPr>
          <w:noProof/>
          <w:sz w:val="24"/>
          <w:szCs w:val="24"/>
        </w:rPr>
        <w:t xml:space="preserve"> w</w:t>
      </w:r>
      <w:r w:rsidR="00C61CB6">
        <w:rPr>
          <w:noProof/>
          <w:sz w:val="24"/>
          <w:szCs w:val="24"/>
        </w:rPr>
        <w:t> </w:t>
      </w:r>
      <w:r w:rsidR="00C61CB6" w:rsidRPr="00493A63">
        <w:rPr>
          <w:noProof/>
          <w:sz w:val="24"/>
          <w:szCs w:val="24"/>
        </w:rPr>
        <w:t>wyt</w:t>
      </w:r>
      <w:r w:rsidRPr="00493A63">
        <w:rPr>
          <w:noProof/>
          <w:sz w:val="24"/>
          <w:szCs w:val="24"/>
        </w:rPr>
        <w:t>warzaniu produktów za pomocą składania lub łączenia materiałów warstwa po warstwie”</w:t>
      </w:r>
      <w:r w:rsidRPr="00493A63">
        <w:rPr>
          <w:rStyle w:val="FootnoteReference"/>
          <w:noProof/>
          <w:sz w:val="24"/>
          <w:szCs w:val="24"/>
        </w:rPr>
        <w:footnoteReference w:id="19"/>
      </w:r>
      <w:r w:rsidRPr="00493A63">
        <w:rPr>
          <w:noProof/>
        </w:rPr>
        <w:t>.</w:t>
      </w:r>
    </w:p>
    <w:p w14:paraId="78D043F2" w14:textId="130ECA9D" w:rsidR="00F76405" w:rsidRPr="00493A63" w:rsidRDefault="00DF24A1" w:rsidP="00143F1A">
      <w:pPr>
        <w:rPr>
          <w:noProof/>
          <w:sz w:val="24"/>
          <w:szCs w:val="24"/>
        </w:rPr>
      </w:pPr>
      <w:r w:rsidRPr="00493A63">
        <w:rPr>
          <w:noProof/>
          <w:sz w:val="24"/>
          <w:szCs w:val="24"/>
        </w:rPr>
        <w:t>Wraz</w:t>
      </w:r>
      <w:r w:rsidR="00C61CB6" w:rsidRPr="00493A63">
        <w:rPr>
          <w:noProof/>
          <w:sz w:val="24"/>
          <w:szCs w:val="24"/>
        </w:rPr>
        <w:t xml:space="preserve"> z</w:t>
      </w:r>
      <w:r w:rsidR="00C61CB6">
        <w:rPr>
          <w:noProof/>
          <w:sz w:val="24"/>
          <w:szCs w:val="24"/>
        </w:rPr>
        <w:t> </w:t>
      </w:r>
      <w:r w:rsidR="00C61CB6" w:rsidRPr="00493A63">
        <w:rPr>
          <w:noProof/>
          <w:sz w:val="24"/>
          <w:szCs w:val="24"/>
        </w:rPr>
        <w:t>nad</w:t>
      </w:r>
      <w:r w:rsidRPr="00493A63">
        <w:rPr>
          <w:noProof/>
          <w:sz w:val="24"/>
          <w:szCs w:val="24"/>
        </w:rPr>
        <w:t>ejściem broni palnej wytwarzanej</w:t>
      </w:r>
      <w:r w:rsidR="00C61CB6" w:rsidRPr="00493A63">
        <w:rPr>
          <w:noProof/>
          <w:sz w:val="24"/>
          <w:szCs w:val="24"/>
        </w:rPr>
        <w:t xml:space="preserve"> w</w:t>
      </w:r>
      <w:r w:rsidR="00C61CB6">
        <w:rPr>
          <w:noProof/>
          <w:sz w:val="24"/>
          <w:szCs w:val="24"/>
        </w:rPr>
        <w:t> </w:t>
      </w:r>
      <w:r w:rsidR="00C61CB6" w:rsidRPr="00493A63">
        <w:rPr>
          <w:noProof/>
          <w:sz w:val="24"/>
          <w:szCs w:val="24"/>
        </w:rPr>
        <w:t>tec</w:t>
      </w:r>
      <w:r w:rsidRPr="00493A63">
        <w:rPr>
          <w:noProof/>
          <w:sz w:val="24"/>
          <w:szCs w:val="24"/>
        </w:rPr>
        <w:t>hnologii drukowania przestrzennego</w:t>
      </w:r>
      <w:r w:rsidR="00C61CB6" w:rsidRPr="00493A63">
        <w:rPr>
          <w:noProof/>
          <w:sz w:val="24"/>
          <w:szCs w:val="24"/>
        </w:rPr>
        <w:t xml:space="preserve"> i</w:t>
      </w:r>
      <w:r w:rsidR="00C61CB6">
        <w:rPr>
          <w:noProof/>
          <w:sz w:val="24"/>
          <w:szCs w:val="24"/>
        </w:rPr>
        <w:t> </w:t>
      </w:r>
      <w:r w:rsidR="00C61CB6" w:rsidRPr="00493A63">
        <w:rPr>
          <w:noProof/>
          <w:sz w:val="24"/>
          <w:szCs w:val="24"/>
        </w:rPr>
        <w:t>moż</w:t>
      </w:r>
      <w:r w:rsidRPr="00493A63">
        <w:rPr>
          <w:noProof/>
          <w:sz w:val="24"/>
          <w:szCs w:val="24"/>
        </w:rPr>
        <w:t>liwością wykorzystywania takiej broni do celów przestępczych rozgorzała dyskusja na temat prawodawstwa dotyczącego kontroli broni palnej na całym świecie,</w:t>
      </w:r>
      <w:r w:rsidR="00C61CB6" w:rsidRPr="00493A63">
        <w:rPr>
          <w:noProof/>
          <w:sz w:val="24"/>
          <w:szCs w:val="24"/>
        </w:rPr>
        <w:t xml:space="preserve"> w</w:t>
      </w:r>
      <w:r w:rsidR="00C61CB6">
        <w:rPr>
          <w:noProof/>
          <w:sz w:val="24"/>
          <w:szCs w:val="24"/>
        </w:rPr>
        <w:t> </w:t>
      </w:r>
      <w:r w:rsidR="00C61CB6" w:rsidRPr="00493A63">
        <w:rPr>
          <w:noProof/>
          <w:sz w:val="24"/>
          <w:szCs w:val="24"/>
        </w:rPr>
        <w:t>tym w</w:t>
      </w:r>
      <w:r w:rsidR="00C61CB6">
        <w:rPr>
          <w:noProof/>
          <w:sz w:val="24"/>
          <w:szCs w:val="24"/>
        </w:rPr>
        <w:t> </w:t>
      </w:r>
      <w:r w:rsidR="00C61CB6" w:rsidRPr="00493A63">
        <w:rPr>
          <w:noProof/>
          <w:sz w:val="24"/>
          <w:szCs w:val="24"/>
        </w:rPr>
        <w:t>Uni</w:t>
      </w:r>
      <w:r w:rsidRPr="00493A63">
        <w:rPr>
          <w:noProof/>
          <w:sz w:val="24"/>
          <w:szCs w:val="24"/>
        </w:rPr>
        <w:t xml:space="preserve">i Europejskiej. </w:t>
      </w:r>
    </w:p>
    <w:p w14:paraId="68CB98F1" w14:textId="252675B7" w:rsidR="001D4C6C" w:rsidRPr="00493A63" w:rsidRDefault="002F16FA" w:rsidP="001D4C6C">
      <w:pPr>
        <w:rPr>
          <w:noProof/>
          <w:sz w:val="24"/>
          <w:szCs w:val="24"/>
        </w:rPr>
      </w:pPr>
      <w:r w:rsidRPr="00493A63">
        <w:rPr>
          <w:noProof/>
          <w:sz w:val="24"/>
          <w:szCs w:val="24"/>
        </w:rPr>
        <w:t>Europol ostrzegł</w:t>
      </w:r>
      <w:r w:rsidRPr="00493A63">
        <w:rPr>
          <w:rStyle w:val="FootnoteReference"/>
          <w:noProof/>
          <w:sz w:val="24"/>
          <w:szCs w:val="24"/>
        </w:rPr>
        <w:footnoteReference w:id="20"/>
      </w:r>
      <w:r w:rsidRPr="00493A63">
        <w:rPr>
          <w:noProof/>
          <w:sz w:val="24"/>
          <w:szCs w:val="24"/>
        </w:rPr>
        <w:t>, że dzięki postępowi technologicznemu</w:t>
      </w:r>
      <w:r w:rsidR="00C61CB6" w:rsidRPr="00493A63">
        <w:rPr>
          <w:noProof/>
          <w:sz w:val="24"/>
          <w:szCs w:val="24"/>
        </w:rPr>
        <w:t xml:space="preserve"> w</w:t>
      </w:r>
      <w:r w:rsidR="00C61CB6">
        <w:rPr>
          <w:noProof/>
          <w:sz w:val="24"/>
          <w:szCs w:val="24"/>
        </w:rPr>
        <w:t> </w:t>
      </w:r>
      <w:r w:rsidR="00C61CB6" w:rsidRPr="00493A63">
        <w:rPr>
          <w:noProof/>
          <w:sz w:val="24"/>
          <w:szCs w:val="24"/>
        </w:rPr>
        <w:t>prz</w:t>
      </w:r>
      <w:r w:rsidRPr="00493A63">
        <w:rPr>
          <w:noProof/>
          <w:sz w:val="24"/>
          <w:szCs w:val="24"/>
        </w:rPr>
        <w:t>yszłości drukowanie przestrzenne stanie się powszechnie dostępne oraz że przyniesie możliwości nielegalnego wytwarzania broni palnej</w:t>
      </w:r>
      <w:r w:rsidR="00C61CB6" w:rsidRPr="00493A63">
        <w:rPr>
          <w:noProof/>
          <w:sz w:val="24"/>
          <w:szCs w:val="24"/>
        </w:rPr>
        <w:t xml:space="preserve"> i</w:t>
      </w:r>
      <w:r w:rsidR="00C61CB6">
        <w:rPr>
          <w:noProof/>
          <w:sz w:val="24"/>
          <w:szCs w:val="24"/>
        </w:rPr>
        <w:t> </w:t>
      </w:r>
      <w:r w:rsidR="00C61CB6" w:rsidRPr="00493A63">
        <w:rPr>
          <w:noProof/>
          <w:sz w:val="24"/>
          <w:szCs w:val="24"/>
        </w:rPr>
        <w:t>wpr</w:t>
      </w:r>
      <w:r w:rsidRPr="00493A63">
        <w:rPr>
          <w:noProof/>
          <w:sz w:val="24"/>
          <w:szCs w:val="24"/>
        </w:rPr>
        <w:t>owadzania jej do obrotu</w:t>
      </w:r>
      <w:r w:rsidR="00C61CB6" w:rsidRPr="00493A63">
        <w:rPr>
          <w:noProof/>
          <w:sz w:val="24"/>
          <w:szCs w:val="24"/>
        </w:rPr>
        <w:t>. W</w:t>
      </w:r>
      <w:r w:rsidR="00C61CB6">
        <w:rPr>
          <w:noProof/>
          <w:sz w:val="24"/>
          <w:szCs w:val="24"/>
        </w:rPr>
        <w:t> </w:t>
      </w:r>
      <w:r w:rsidR="00C61CB6" w:rsidRPr="00493A63">
        <w:rPr>
          <w:noProof/>
          <w:sz w:val="24"/>
          <w:szCs w:val="24"/>
        </w:rPr>
        <w:t>dni</w:t>
      </w:r>
      <w:r w:rsidRPr="00493A63">
        <w:rPr>
          <w:noProof/>
          <w:sz w:val="24"/>
          <w:szCs w:val="24"/>
        </w:rPr>
        <w:t>u 9 października 2019</w:t>
      </w:r>
      <w:r w:rsidR="00493A63" w:rsidRPr="00493A63">
        <w:rPr>
          <w:noProof/>
          <w:sz w:val="24"/>
          <w:szCs w:val="24"/>
        </w:rPr>
        <w:t> </w:t>
      </w:r>
      <w:r w:rsidRPr="00493A63">
        <w:rPr>
          <w:noProof/>
          <w:sz w:val="24"/>
          <w:szCs w:val="24"/>
        </w:rPr>
        <w:t>r. dwie osoby zostały zastrzelone</w:t>
      </w:r>
      <w:r w:rsidR="00C61CB6" w:rsidRPr="00493A63">
        <w:rPr>
          <w:noProof/>
          <w:sz w:val="24"/>
          <w:szCs w:val="24"/>
        </w:rPr>
        <w:t xml:space="preserve"> w</w:t>
      </w:r>
      <w:r w:rsidR="00C61CB6">
        <w:rPr>
          <w:noProof/>
          <w:sz w:val="24"/>
          <w:szCs w:val="24"/>
        </w:rPr>
        <w:t> </w:t>
      </w:r>
      <w:r w:rsidR="00C61CB6" w:rsidRPr="00493A63">
        <w:rPr>
          <w:noProof/>
          <w:sz w:val="24"/>
          <w:szCs w:val="24"/>
        </w:rPr>
        <w:t>mie</w:t>
      </w:r>
      <w:r w:rsidRPr="00493A63">
        <w:rPr>
          <w:noProof/>
          <w:sz w:val="24"/>
          <w:szCs w:val="24"/>
        </w:rPr>
        <w:t>jscowości Halle (Niemcy) przez sprawcę, który użył broni domowej roboty, wytworzonej na podstawie projektu pobranego</w:t>
      </w:r>
      <w:r w:rsidR="00C61CB6" w:rsidRPr="00493A63">
        <w:rPr>
          <w:noProof/>
          <w:sz w:val="24"/>
          <w:szCs w:val="24"/>
        </w:rPr>
        <w:t xml:space="preserve"> z</w:t>
      </w:r>
      <w:r w:rsidR="00C61CB6">
        <w:rPr>
          <w:noProof/>
          <w:sz w:val="24"/>
          <w:szCs w:val="24"/>
        </w:rPr>
        <w:t> </w:t>
      </w:r>
      <w:r w:rsidR="00C61CB6" w:rsidRPr="00493A63">
        <w:rPr>
          <w:noProof/>
          <w:sz w:val="24"/>
          <w:szCs w:val="24"/>
        </w:rPr>
        <w:t>int</w:t>
      </w:r>
      <w:r w:rsidRPr="00493A63">
        <w:rPr>
          <w:noProof/>
          <w:sz w:val="24"/>
          <w:szCs w:val="24"/>
        </w:rPr>
        <w:t>ernetu, częściowo za pomocą drukarki 3D</w:t>
      </w:r>
      <w:r w:rsidRPr="00493A63">
        <w:rPr>
          <w:rStyle w:val="FootnoteReference"/>
          <w:noProof/>
          <w:sz w:val="24"/>
          <w:szCs w:val="24"/>
        </w:rPr>
        <w:footnoteReference w:id="21"/>
      </w:r>
      <w:r w:rsidRPr="00493A63">
        <w:rPr>
          <w:noProof/>
        </w:rPr>
        <w:t>.</w:t>
      </w:r>
      <w:r w:rsidRPr="00493A63">
        <w:rPr>
          <w:noProof/>
          <w:sz w:val="24"/>
          <w:szCs w:val="24"/>
        </w:rPr>
        <w:t xml:space="preserve"> Obserwuje się powolny, ale stały wzrost liczby konfiskat tego rodzaju broni palnej,</w:t>
      </w:r>
      <w:r w:rsidR="00C61CB6" w:rsidRPr="00493A63">
        <w:rPr>
          <w:noProof/>
          <w:sz w:val="24"/>
          <w:szCs w:val="24"/>
        </w:rPr>
        <w:t xml:space="preserve"> w</w:t>
      </w:r>
      <w:r w:rsidR="00C61CB6">
        <w:rPr>
          <w:noProof/>
          <w:sz w:val="24"/>
          <w:szCs w:val="24"/>
        </w:rPr>
        <w:t> </w:t>
      </w:r>
      <w:r w:rsidR="00C61CB6" w:rsidRPr="00493A63">
        <w:rPr>
          <w:noProof/>
          <w:sz w:val="24"/>
          <w:szCs w:val="24"/>
        </w:rPr>
        <w:t>tym</w:t>
      </w:r>
      <w:r w:rsidRPr="00493A63">
        <w:rPr>
          <w:noProof/>
          <w:sz w:val="24"/>
          <w:szCs w:val="24"/>
        </w:rPr>
        <w:t xml:space="preserve"> wykrywane są przypadki nielegalnego wytwarzania jej istotnych komponentów</w:t>
      </w:r>
      <w:r w:rsidRPr="00493A63">
        <w:rPr>
          <w:rStyle w:val="FootnoteReference"/>
          <w:noProof/>
          <w:sz w:val="24"/>
          <w:szCs w:val="24"/>
        </w:rPr>
        <w:footnoteReference w:id="22"/>
      </w:r>
      <w:r w:rsidRPr="00493A63">
        <w:rPr>
          <w:noProof/>
        </w:rPr>
        <w:t>.</w:t>
      </w:r>
    </w:p>
    <w:p w14:paraId="65B74378" w14:textId="2AA5621F" w:rsidR="00F1234F" w:rsidRPr="00493A63" w:rsidRDefault="00143F1A" w:rsidP="001D4C6C">
      <w:pPr>
        <w:rPr>
          <w:noProof/>
          <w:sz w:val="24"/>
          <w:szCs w:val="24"/>
        </w:rPr>
      </w:pPr>
      <w:r w:rsidRPr="00493A63">
        <w:rPr>
          <w:noProof/>
          <w:sz w:val="24"/>
          <w:szCs w:val="24"/>
        </w:rPr>
        <w:t>Zagrożenie związane</w:t>
      </w:r>
      <w:r w:rsidR="00C61CB6" w:rsidRPr="00493A63">
        <w:rPr>
          <w:noProof/>
          <w:sz w:val="24"/>
          <w:szCs w:val="24"/>
        </w:rPr>
        <w:t xml:space="preserve"> z</w:t>
      </w:r>
      <w:r w:rsidR="00C61CB6">
        <w:rPr>
          <w:noProof/>
          <w:sz w:val="24"/>
          <w:szCs w:val="24"/>
        </w:rPr>
        <w:t> </w:t>
      </w:r>
      <w:r w:rsidR="00C61CB6" w:rsidRPr="00493A63">
        <w:rPr>
          <w:noProof/>
          <w:sz w:val="24"/>
          <w:szCs w:val="24"/>
        </w:rPr>
        <w:t>nie</w:t>
      </w:r>
      <w:r w:rsidRPr="00493A63">
        <w:rPr>
          <w:noProof/>
          <w:sz w:val="24"/>
          <w:szCs w:val="24"/>
        </w:rPr>
        <w:t>legalnym wytwarzaniem broni palnej lub jej istotnych komponentów za pomocą drukarek 3D wynika ze stosunkowo przystępnych cen tej technologii</w:t>
      </w:r>
      <w:r w:rsidR="00C61CB6" w:rsidRPr="00493A63">
        <w:rPr>
          <w:noProof/>
          <w:sz w:val="24"/>
          <w:szCs w:val="24"/>
        </w:rPr>
        <w:t xml:space="preserve"> i</w:t>
      </w:r>
      <w:r w:rsidR="00C61CB6">
        <w:rPr>
          <w:noProof/>
          <w:sz w:val="24"/>
          <w:szCs w:val="24"/>
        </w:rPr>
        <w:t> </w:t>
      </w:r>
      <w:r w:rsidR="00C61CB6" w:rsidRPr="00493A63">
        <w:rPr>
          <w:noProof/>
          <w:sz w:val="24"/>
          <w:szCs w:val="24"/>
        </w:rPr>
        <w:t>dos</w:t>
      </w:r>
      <w:r w:rsidRPr="00493A63">
        <w:rPr>
          <w:noProof/>
          <w:sz w:val="24"/>
          <w:szCs w:val="24"/>
        </w:rPr>
        <w:t>tępności projektów</w:t>
      </w:r>
      <w:r w:rsidR="00C61CB6" w:rsidRPr="00493A63">
        <w:rPr>
          <w:noProof/>
          <w:sz w:val="24"/>
          <w:szCs w:val="24"/>
        </w:rPr>
        <w:t xml:space="preserve"> w</w:t>
      </w:r>
      <w:r w:rsidR="00C61CB6">
        <w:rPr>
          <w:noProof/>
          <w:sz w:val="24"/>
          <w:szCs w:val="24"/>
        </w:rPr>
        <w:t> </w:t>
      </w:r>
      <w:r w:rsidR="00C61CB6" w:rsidRPr="00493A63">
        <w:rPr>
          <w:noProof/>
          <w:sz w:val="24"/>
          <w:szCs w:val="24"/>
        </w:rPr>
        <w:t>int</w:t>
      </w:r>
      <w:r w:rsidRPr="00493A63">
        <w:rPr>
          <w:noProof/>
          <w:sz w:val="24"/>
          <w:szCs w:val="24"/>
        </w:rPr>
        <w:t>ernecie,</w:t>
      </w:r>
      <w:r w:rsidR="00C61CB6" w:rsidRPr="00493A63">
        <w:rPr>
          <w:noProof/>
          <w:sz w:val="24"/>
          <w:szCs w:val="24"/>
        </w:rPr>
        <w:t xml:space="preserve"> w</w:t>
      </w:r>
      <w:r w:rsidR="00C61CB6">
        <w:rPr>
          <w:noProof/>
          <w:sz w:val="24"/>
          <w:szCs w:val="24"/>
        </w:rPr>
        <w:t> </w:t>
      </w:r>
      <w:r w:rsidR="00C61CB6" w:rsidRPr="00493A63">
        <w:rPr>
          <w:noProof/>
          <w:sz w:val="24"/>
          <w:szCs w:val="24"/>
        </w:rPr>
        <w:t>tym</w:t>
      </w:r>
      <w:r w:rsidRPr="00493A63">
        <w:rPr>
          <w:noProof/>
          <w:sz w:val="24"/>
          <w:szCs w:val="24"/>
        </w:rPr>
        <w:t xml:space="preserve"> drukowania przestrzennego</w:t>
      </w:r>
      <w:r w:rsidR="00C61CB6" w:rsidRPr="00493A63">
        <w:rPr>
          <w:noProof/>
          <w:sz w:val="24"/>
          <w:szCs w:val="24"/>
        </w:rPr>
        <w:t xml:space="preserve"> z</w:t>
      </w:r>
      <w:r w:rsidR="00C61CB6">
        <w:rPr>
          <w:noProof/>
          <w:sz w:val="24"/>
          <w:szCs w:val="24"/>
        </w:rPr>
        <w:t> </w:t>
      </w:r>
      <w:r w:rsidR="00C61CB6" w:rsidRPr="00493A63">
        <w:rPr>
          <w:noProof/>
          <w:sz w:val="24"/>
          <w:szCs w:val="24"/>
        </w:rPr>
        <w:t>met</w:t>
      </w:r>
      <w:r w:rsidRPr="00493A63">
        <w:rPr>
          <w:noProof/>
          <w:sz w:val="24"/>
          <w:szCs w:val="24"/>
        </w:rPr>
        <w:t>alu, które staje się coraz tańsze</w:t>
      </w:r>
      <w:r w:rsidRPr="00493A63">
        <w:rPr>
          <w:rStyle w:val="FootnoteReference"/>
          <w:noProof/>
          <w:sz w:val="24"/>
          <w:szCs w:val="24"/>
        </w:rPr>
        <w:footnoteReference w:id="23"/>
      </w:r>
      <w:r w:rsidRPr="00493A63">
        <w:rPr>
          <w:noProof/>
          <w:sz w:val="24"/>
          <w:szCs w:val="24"/>
        </w:rPr>
        <w:t>, szczególnie dzięki technikom takim jak bezpośrednie spiekanie laserowe metali</w:t>
      </w:r>
      <w:r w:rsidRPr="00493A63">
        <w:rPr>
          <w:rStyle w:val="FootnoteReference"/>
          <w:noProof/>
          <w:sz w:val="24"/>
          <w:szCs w:val="24"/>
        </w:rPr>
        <w:footnoteReference w:id="24"/>
      </w:r>
      <w:r w:rsidRPr="00493A63">
        <w:rPr>
          <w:noProof/>
        </w:rPr>
        <w:t>.</w:t>
      </w:r>
      <w:r w:rsidRPr="00493A63">
        <w:rPr>
          <w:noProof/>
          <w:sz w:val="24"/>
          <w:szCs w:val="24"/>
        </w:rPr>
        <w:t xml:space="preserve"> </w:t>
      </w:r>
    </w:p>
    <w:p w14:paraId="42A43E57" w14:textId="60FFF415" w:rsidR="007C4E7F" w:rsidRPr="00493A63" w:rsidRDefault="00F1234F" w:rsidP="001D4C6C">
      <w:pPr>
        <w:rPr>
          <w:noProof/>
          <w:sz w:val="24"/>
          <w:szCs w:val="24"/>
        </w:rPr>
      </w:pPr>
      <w:r w:rsidRPr="00493A63">
        <w:rPr>
          <w:noProof/>
          <w:sz w:val="24"/>
          <w:szCs w:val="24"/>
        </w:rPr>
        <w:t>Obecnie największym zagrożeniem jest wytwarzanie tak zwanej hybrydowej broni</w:t>
      </w:r>
      <w:r w:rsidR="00C61CB6" w:rsidRPr="00493A63">
        <w:rPr>
          <w:noProof/>
          <w:sz w:val="24"/>
          <w:szCs w:val="24"/>
        </w:rPr>
        <w:t xml:space="preserve"> z</w:t>
      </w:r>
      <w:r w:rsidR="00C61CB6">
        <w:rPr>
          <w:noProof/>
          <w:sz w:val="24"/>
          <w:szCs w:val="24"/>
        </w:rPr>
        <w:t> </w:t>
      </w:r>
      <w:r w:rsidR="00C61CB6" w:rsidRPr="00493A63">
        <w:rPr>
          <w:noProof/>
          <w:sz w:val="24"/>
          <w:szCs w:val="24"/>
        </w:rPr>
        <w:t>wyk</w:t>
      </w:r>
      <w:r w:rsidRPr="00493A63">
        <w:rPr>
          <w:noProof/>
          <w:sz w:val="24"/>
          <w:szCs w:val="24"/>
        </w:rPr>
        <w:t>orzystaniem drukowania przestrzennego, która składa się zarówno</w:t>
      </w:r>
      <w:r w:rsidR="00C61CB6" w:rsidRPr="00493A63">
        <w:rPr>
          <w:noProof/>
          <w:sz w:val="24"/>
          <w:szCs w:val="24"/>
        </w:rPr>
        <w:t xml:space="preserve"> z</w:t>
      </w:r>
      <w:r w:rsidR="00C61CB6">
        <w:rPr>
          <w:noProof/>
          <w:sz w:val="24"/>
          <w:szCs w:val="24"/>
        </w:rPr>
        <w:t> </w:t>
      </w:r>
      <w:r w:rsidR="00C61CB6" w:rsidRPr="00493A63">
        <w:rPr>
          <w:noProof/>
          <w:sz w:val="24"/>
          <w:szCs w:val="24"/>
        </w:rPr>
        <w:t>czę</w:t>
      </w:r>
      <w:r w:rsidRPr="00493A63">
        <w:rPr>
          <w:noProof/>
          <w:sz w:val="24"/>
          <w:szCs w:val="24"/>
        </w:rPr>
        <w:t>ści drukowanych przestrzennie, jak</w:t>
      </w:r>
      <w:r w:rsidR="00C61CB6" w:rsidRPr="00493A63">
        <w:rPr>
          <w:noProof/>
          <w:sz w:val="24"/>
          <w:szCs w:val="24"/>
        </w:rPr>
        <w:t xml:space="preserve"> i</w:t>
      </w:r>
      <w:r w:rsidR="00C61CB6">
        <w:rPr>
          <w:noProof/>
          <w:sz w:val="24"/>
          <w:szCs w:val="24"/>
        </w:rPr>
        <w:t> </w:t>
      </w:r>
      <w:r w:rsidR="00C61CB6" w:rsidRPr="00493A63">
        <w:rPr>
          <w:noProof/>
          <w:sz w:val="24"/>
          <w:szCs w:val="24"/>
        </w:rPr>
        <w:t>got</w:t>
      </w:r>
      <w:r w:rsidRPr="00493A63">
        <w:rPr>
          <w:noProof/>
          <w:sz w:val="24"/>
          <w:szCs w:val="24"/>
        </w:rPr>
        <w:t>owych</w:t>
      </w:r>
      <w:r w:rsidR="00C61CB6" w:rsidRPr="00493A63">
        <w:rPr>
          <w:noProof/>
          <w:sz w:val="24"/>
          <w:szCs w:val="24"/>
        </w:rPr>
        <w:t xml:space="preserve"> i</w:t>
      </w:r>
      <w:r w:rsidR="00C61CB6">
        <w:rPr>
          <w:noProof/>
          <w:sz w:val="24"/>
          <w:szCs w:val="24"/>
        </w:rPr>
        <w:t> </w:t>
      </w:r>
      <w:r w:rsidR="00C61CB6" w:rsidRPr="00493A63">
        <w:rPr>
          <w:noProof/>
          <w:sz w:val="24"/>
          <w:szCs w:val="24"/>
        </w:rPr>
        <w:t>dos</w:t>
      </w:r>
      <w:r w:rsidRPr="00493A63">
        <w:rPr>
          <w:noProof/>
          <w:sz w:val="24"/>
          <w:szCs w:val="24"/>
        </w:rPr>
        <w:t>tępnych komponentów nieuregulowanych globalnie, takich jak stalowe rurki, metalowe pręty</w:t>
      </w:r>
      <w:r w:rsidR="00C61CB6" w:rsidRPr="00493A63">
        <w:rPr>
          <w:noProof/>
          <w:sz w:val="24"/>
          <w:szCs w:val="24"/>
        </w:rPr>
        <w:t xml:space="preserve"> i</w:t>
      </w:r>
      <w:r w:rsidR="00C61CB6">
        <w:rPr>
          <w:noProof/>
          <w:sz w:val="24"/>
          <w:szCs w:val="24"/>
        </w:rPr>
        <w:t> </w:t>
      </w:r>
      <w:r w:rsidR="00C61CB6" w:rsidRPr="00493A63">
        <w:rPr>
          <w:noProof/>
          <w:sz w:val="24"/>
          <w:szCs w:val="24"/>
        </w:rPr>
        <w:t>spr</w:t>
      </w:r>
      <w:r w:rsidRPr="00493A63">
        <w:rPr>
          <w:noProof/>
          <w:sz w:val="24"/>
          <w:szCs w:val="24"/>
        </w:rPr>
        <w:t>ężyny</w:t>
      </w:r>
      <w:r w:rsidRPr="00493A63">
        <w:rPr>
          <w:rStyle w:val="FootnoteReference"/>
          <w:noProof/>
          <w:sz w:val="24"/>
          <w:szCs w:val="24"/>
        </w:rPr>
        <w:footnoteReference w:id="25"/>
      </w:r>
      <w:r w:rsidRPr="00493A63">
        <w:rPr>
          <w:noProof/>
        </w:rPr>
        <w:t>.</w:t>
      </w:r>
    </w:p>
    <w:p w14:paraId="31F87117" w14:textId="6672A46E" w:rsidR="00143F1A" w:rsidRPr="00493A63" w:rsidRDefault="00143F1A" w:rsidP="00143F1A">
      <w:pPr>
        <w:rPr>
          <w:noProof/>
          <w:sz w:val="24"/>
          <w:szCs w:val="24"/>
        </w:rPr>
      </w:pPr>
      <w:r w:rsidRPr="00493A63">
        <w:rPr>
          <w:noProof/>
          <w:sz w:val="24"/>
          <w:szCs w:val="24"/>
        </w:rPr>
        <w:t>Drukowanie przestrzenne broni palnej przez podmioty prywatne jest już objęte zakresem istniejących ram prawnych, ponieważ dyrektywa</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 ma jednakowe zastosowanie do wszystkich rodzajów broni palnej, niezależnie od tego, czy są one wytwarzane</w:t>
      </w:r>
      <w:r w:rsidR="00C61CB6" w:rsidRPr="00493A63">
        <w:rPr>
          <w:noProof/>
          <w:sz w:val="24"/>
          <w:szCs w:val="24"/>
        </w:rPr>
        <w:t xml:space="preserve"> w</w:t>
      </w:r>
      <w:r w:rsidR="00C61CB6">
        <w:rPr>
          <w:noProof/>
          <w:sz w:val="24"/>
          <w:szCs w:val="24"/>
        </w:rPr>
        <w:t> </w:t>
      </w:r>
      <w:r w:rsidR="00C61CB6" w:rsidRPr="00493A63">
        <w:rPr>
          <w:noProof/>
          <w:sz w:val="24"/>
          <w:szCs w:val="24"/>
        </w:rPr>
        <w:t>tec</w:t>
      </w:r>
      <w:r w:rsidRPr="00493A63">
        <w:rPr>
          <w:noProof/>
          <w:sz w:val="24"/>
          <w:szCs w:val="24"/>
        </w:rPr>
        <w:t>hnice drukowania przestrzennego czy nie: broń palna może być wytwarzana jedynie przez licencjonowanych sprzedawców</w:t>
      </w:r>
      <w:r w:rsidR="00C61CB6" w:rsidRPr="00493A63">
        <w:rPr>
          <w:noProof/>
          <w:sz w:val="24"/>
          <w:szCs w:val="24"/>
        </w:rPr>
        <w:t xml:space="preserve"> i</w:t>
      </w:r>
      <w:r w:rsidR="00C61CB6">
        <w:rPr>
          <w:noProof/>
          <w:sz w:val="24"/>
          <w:szCs w:val="24"/>
        </w:rPr>
        <w:t> </w:t>
      </w:r>
      <w:r w:rsidR="00C61CB6" w:rsidRPr="00493A63">
        <w:rPr>
          <w:noProof/>
          <w:sz w:val="24"/>
          <w:szCs w:val="24"/>
        </w:rPr>
        <w:t>pod</w:t>
      </w:r>
      <w:r w:rsidRPr="00493A63">
        <w:rPr>
          <w:noProof/>
          <w:sz w:val="24"/>
          <w:szCs w:val="24"/>
        </w:rPr>
        <w:t>lega ograniczeniom takim jak uzyskanie pozwolenia przed nabyciem przez osoby prywatne.</w:t>
      </w:r>
    </w:p>
    <w:p w14:paraId="45865B8D" w14:textId="495FE31C" w:rsidR="007A25AE" w:rsidRPr="00493A63" w:rsidRDefault="007A25AE" w:rsidP="00143F1A">
      <w:pPr>
        <w:rPr>
          <w:noProof/>
          <w:sz w:val="24"/>
          <w:szCs w:val="24"/>
        </w:rPr>
      </w:pPr>
      <w:r w:rsidRPr="00493A63">
        <w:rPr>
          <w:noProof/>
          <w:sz w:val="24"/>
          <w:szCs w:val="24"/>
        </w:rPr>
        <w:t xml:space="preserve">Komisja oceni potrzebę przyjęcia przepisów szczegółowych dotyczących </w:t>
      </w:r>
      <w:r w:rsidRPr="00493A63">
        <w:rPr>
          <w:b/>
          <w:noProof/>
          <w:sz w:val="24"/>
          <w:szCs w:val="24"/>
        </w:rPr>
        <w:t>posiadania projektów na potrzeby drukowania przestrzennego</w:t>
      </w:r>
      <w:r w:rsidR="00C61CB6" w:rsidRPr="00493A63">
        <w:rPr>
          <w:b/>
          <w:noProof/>
          <w:sz w:val="24"/>
          <w:szCs w:val="24"/>
        </w:rPr>
        <w:t xml:space="preserve"> i</w:t>
      </w:r>
      <w:r w:rsidR="00C61CB6">
        <w:rPr>
          <w:b/>
          <w:noProof/>
          <w:sz w:val="24"/>
          <w:szCs w:val="24"/>
        </w:rPr>
        <w:t> </w:t>
      </w:r>
      <w:r w:rsidR="00C61CB6" w:rsidRPr="00493A63">
        <w:rPr>
          <w:b/>
          <w:noProof/>
          <w:sz w:val="24"/>
          <w:szCs w:val="24"/>
        </w:rPr>
        <w:t>han</w:t>
      </w:r>
      <w:r w:rsidRPr="00493A63">
        <w:rPr>
          <w:b/>
          <w:noProof/>
          <w:sz w:val="24"/>
          <w:szCs w:val="24"/>
        </w:rPr>
        <w:t>dlu takimi projektami</w:t>
      </w:r>
      <w:r w:rsidRPr="00493A63">
        <w:rPr>
          <w:noProof/>
          <w:sz w:val="24"/>
          <w:szCs w:val="24"/>
        </w:rPr>
        <w:t>,</w:t>
      </w:r>
      <w:r w:rsidR="00C61CB6" w:rsidRPr="00493A63">
        <w:rPr>
          <w:noProof/>
          <w:sz w:val="24"/>
          <w:szCs w:val="24"/>
        </w:rPr>
        <w:t xml:space="preserve"> w</w:t>
      </w:r>
      <w:r w:rsidR="00C61CB6">
        <w:rPr>
          <w:noProof/>
          <w:sz w:val="24"/>
          <w:szCs w:val="24"/>
        </w:rPr>
        <w:t> </w:t>
      </w:r>
      <w:r w:rsidR="00C61CB6" w:rsidRPr="00493A63">
        <w:rPr>
          <w:noProof/>
          <w:sz w:val="24"/>
          <w:szCs w:val="24"/>
        </w:rPr>
        <w:t>tym</w:t>
      </w:r>
      <w:r w:rsidRPr="00493A63">
        <w:rPr>
          <w:noProof/>
          <w:sz w:val="24"/>
          <w:szCs w:val="24"/>
        </w:rPr>
        <w:t xml:space="preserve"> zakazu posiadania, reklamowania</w:t>
      </w:r>
      <w:r w:rsidR="00C61CB6" w:rsidRPr="00493A63">
        <w:rPr>
          <w:noProof/>
          <w:sz w:val="24"/>
          <w:szCs w:val="24"/>
        </w:rPr>
        <w:t xml:space="preserve"> i</w:t>
      </w:r>
      <w:r w:rsidR="00C61CB6">
        <w:rPr>
          <w:noProof/>
          <w:sz w:val="24"/>
          <w:szCs w:val="24"/>
        </w:rPr>
        <w:t> </w:t>
      </w:r>
      <w:r w:rsidR="00C61CB6" w:rsidRPr="00493A63">
        <w:rPr>
          <w:noProof/>
          <w:sz w:val="24"/>
          <w:szCs w:val="24"/>
        </w:rPr>
        <w:t>dys</w:t>
      </w:r>
      <w:r w:rsidRPr="00493A63">
        <w:rPr>
          <w:noProof/>
          <w:sz w:val="24"/>
          <w:szCs w:val="24"/>
        </w:rPr>
        <w:t>trybuowania przez nieuprawnionych sprzedawców broni cyfrowych projektów</w:t>
      </w:r>
      <w:r w:rsidR="00C61CB6" w:rsidRPr="00493A63">
        <w:rPr>
          <w:noProof/>
          <w:sz w:val="24"/>
          <w:szCs w:val="24"/>
        </w:rPr>
        <w:t xml:space="preserve"> i</w:t>
      </w:r>
      <w:r w:rsidR="00C61CB6">
        <w:rPr>
          <w:noProof/>
          <w:sz w:val="24"/>
          <w:szCs w:val="24"/>
        </w:rPr>
        <w:t> </w:t>
      </w:r>
      <w:r w:rsidR="00C61CB6" w:rsidRPr="00493A63">
        <w:rPr>
          <w:noProof/>
          <w:sz w:val="24"/>
          <w:szCs w:val="24"/>
        </w:rPr>
        <w:t>ich</w:t>
      </w:r>
      <w:r w:rsidRPr="00493A63">
        <w:rPr>
          <w:noProof/>
          <w:sz w:val="24"/>
          <w:szCs w:val="24"/>
        </w:rPr>
        <w:t xml:space="preserve"> wersji papierowych, co do których wykazano, że umożliwiają wytworzenie istotnych komponentów broni palnej.</w:t>
      </w:r>
    </w:p>
    <w:p w14:paraId="23173EE6" w14:textId="58534CFB" w:rsidR="00CD39AF" w:rsidRPr="00493A63" w:rsidRDefault="00143F1A" w:rsidP="00CD39AF">
      <w:pPr>
        <w:rPr>
          <w:noProof/>
          <w:sz w:val="24"/>
          <w:szCs w:val="24"/>
        </w:rPr>
      </w:pPr>
      <w:r w:rsidRPr="00493A63">
        <w:rPr>
          <w:noProof/>
          <w:sz w:val="24"/>
          <w:szCs w:val="24"/>
        </w:rPr>
        <w:t>Ponadto zarówno</w:t>
      </w:r>
      <w:r w:rsidR="00C61CB6" w:rsidRPr="00493A63">
        <w:rPr>
          <w:noProof/>
          <w:sz w:val="24"/>
          <w:szCs w:val="24"/>
        </w:rPr>
        <w:t xml:space="preserve"> w</w:t>
      </w:r>
      <w:r w:rsidR="00C61CB6">
        <w:rPr>
          <w:noProof/>
          <w:sz w:val="24"/>
          <w:szCs w:val="24"/>
        </w:rPr>
        <w:t> </w:t>
      </w:r>
      <w:r w:rsidR="00C61CB6" w:rsidRPr="00493A63">
        <w:rPr>
          <w:noProof/>
          <w:sz w:val="24"/>
          <w:szCs w:val="24"/>
        </w:rPr>
        <w:t>oce</w:t>
      </w:r>
      <w:r w:rsidRPr="00493A63">
        <w:rPr>
          <w:noProof/>
          <w:sz w:val="24"/>
          <w:szCs w:val="24"/>
        </w:rPr>
        <w:t>nie dyrektywy</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w:t>
      </w:r>
      <w:r w:rsidR="00C61CB6" w:rsidRPr="00493A63">
        <w:rPr>
          <w:noProof/>
          <w:sz w:val="24"/>
          <w:szCs w:val="24"/>
        </w:rPr>
        <w:t xml:space="preserve"> z</w:t>
      </w:r>
      <w:r w:rsidR="00C61CB6">
        <w:rPr>
          <w:noProof/>
          <w:sz w:val="24"/>
          <w:szCs w:val="24"/>
        </w:rPr>
        <w:t> </w:t>
      </w:r>
      <w:r w:rsidR="00C61CB6" w:rsidRPr="00493A63">
        <w:rPr>
          <w:noProof/>
          <w:sz w:val="24"/>
          <w:szCs w:val="24"/>
        </w:rPr>
        <w:t>2</w:t>
      </w:r>
      <w:r w:rsidRPr="00493A63">
        <w:rPr>
          <w:noProof/>
          <w:sz w:val="24"/>
          <w:szCs w:val="24"/>
        </w:rPr>
        <w:t>014</w:t>
      </w:r>
      <w:r w:rsidR="00493A63" w:rsidRPr="00493A63">
        <w:rPr>
          <w:noProof/>
          <w:sz w:val="24"/>
          <w:szCs w:val="24"/>
        </w:rPr>
        <w:t> </w:t>
      </w:r>
      <w:r w:rsidRPr="00493A63">
        <w:rPr>
          <w:noProof/>
          <w:sz w:val="24"/>
          <w:szCs w:val="24"/>
        </w:rPr>
        <w:t>r.</w:t>
      </w:r>
      <w:r w:rsidRPr="00493A63">
        <w:rPr>
          <w:rStyle w:val="FootnoteReference"/>
          <w:noProof/>
          <w:sz w:val="24"/>
          <w:szCs w:val="24"/>
        </w:rPr>
        <w:footnoteReference w:id="26"/>
      </w:r>
      <w:r w:rsidRPr="00493A63">
        <w:rPr>
          <w:noProof/>
          <w:sz w:val="24"/>
          <w:szCs w:val="24"/>
        </w:rPr>
        <w:t>, jak</w:t>
      </w:r>
      <w:r w:rsidR="00C61CB6" w:rsidRPr="00493A63">
        <w:rPr>
          <w:noProof/>
          <w:sz w:val="24"/>
          <w:szCs w:val="24"/>
        </w:rPr>
        <w:t xml:space="preserve"> i</w:t>
      </w:r>
      <w:r w:rsidR="00C61CB6">
        <w:rPr>
          <w:noProof/>
          <w:sz w:val="24"/>
          <w:szCs w:val="24"/>
        </w:rPr>
        <w:t> </w:t>
      </w:r>
      <w:r w:rsidR="00C61CB6" w:rsidRPr="00493A63">
        <w:rPr>
          <w:noProof/>
          <w:sz w:val="24"/>
          <w:szCs w:val="24"/>
        </w:rPr>
        <w:t>w</w:t>
      </w:r>
      <w:r w:rsidR="00C61CB6">
        <w:rPr>
          <w:noProof/>
          <w:sz w:val="24"/>
          <w:szCs w:val="24"/>
        </w:rPr>
        <w:t> </w:t>
      </w:r>
      <w:r w:rsidR="00C61CB6" w:rsidRPr="00493A63">
        <w:rPr>
          <w:noProof/>
          <w:sz w:val="24"/>
          <w:szCs w:val="24"/>
        </w:rPr>
        <w:t>naj</w:t>
      </w:r>
      <w:r w:rsidRPr="00493A63">
        <w:rPr>
          <w:noProof/>
          <w:sz w:val="24"/>
          <w:szCs w:val="24"/>
        </w:rPr>
        <w:t>nowszych uwagach przekazanych przez państwa członkowskie Europolowi</w:t>
      </w:r>
      <w:r w:rsidR="00C61CB6" w:rsidRPr="00493A63">
        <w:rPr>
          <w:noProof/>
          <w:sz w:val="24"/>
          <w:szCs w:val="24"/>
        </w:rPr>
        <w:t xml:space="preserve"> i</w:t>
      </w:r>
      <w:r w:rsidR="00C61CB6">
        <w:rPr>
          <w:noProof/>
          <w:sz w:val="24"/>
          <w:szCs w:val="24"/>
        </w:rPr>
        <w:t> </w:t>
      </w:r>
      <w:r w:rsidR="00C61CB6" w:rsidRPr="00493A63">
        <w:rPr>
          <w:noProof/>
          <w:sz w:val="24"/>
          <w:szCs w:val="24"/>
        </w:rPr>
        <w:t>pla</w:t>
      </w:r>
      <w:r w:rsidRPr="00493A63">
        <w:rPr>
          <w:noProof/>
          <w:sz w:val="24"/>
          <w:szCs w:val="24"/>
        </w:rPr>
        <w:t>tformie ds. broni palnej</w:t>
      </w:r>
      <w:r w:rsidRPr="00493A63">
        <w:rPr>
          <w:rStyle w:val="FootnoteReference"/>
          <w:noProof/>
          <w:sz w:val="24"/>
          <w:szCs w:val="24"/>
        </w:rPr>
        <w:footnoteReference w:id="27"/>
      </w:r>
      <w:r w:rsidRPr="00493A63">
        <w:rPr>
          <w:noProof/>
          <w:sz w:val="24"/>
          <w:szCs w:val="24"/>
        </w:rPr>
        <w:t xml:space="preserve"> podkreślono przypadki przywozu</w:t>
      </w:r>
      <w:r w:rsidR="00C61CB6" w:rsidRPr="00493A63">
        <w:rPr>
          <w:noProof/>
          <w:sz w:val="24"/>
          <w:szCs w:val="24"/>
        </w:rPr>
        <w:t xml:space="preserve"> z</w:t>
      </w:r>
      <w:r w:rsidR="00C61CB6">
        <w:rPr>
          <w:noProof/>
          <w:sz w:val="24"/>
          <w:szCs w:val="24"/>
        </w:rPr>
        <w:t> </w:t>
      </w:r>
      <w:r w:rsidR="00C61CB6" w:rsidRPr="00493A63">
        <w:rPr>
          <w:noProof/>
          <w:sz w:val="24"/>
          <w:szCs w:val="24"/>
        </w:rPr>
        <w:t>nie</w:t>
      </w:r>
      <w:r w:rsidRPr="00493A63">
        <w:rPr>
          <w:noProof/>
          <w:sz w:val="24"/>
          <w:szCs w:val="24"/>
        </w:rPr>
        <w:t>których państw niebędących członkami UE półfabrykatów istotnych komponentów broni (zwykle</w:t>
      </w:r>
      <w:r w:rsidR="00C61CB6" w:rsidRPr="00493A63">
        <w:rPr>
          <w:noProof/>
          <w:sz w:val="24"/>
          <w:szCs w:val="24"/>
        </w:rPr>
        <w:t xml:space="preserve"> w</w:t>
      </w:r>
      <w:r w:rsidR="00C61CB6">
        <w:rPr>
          <w:noProof/>
          <w:sz w:val="24"/>
          <w:szCs w:val="24"/>
        </w:rPr>
        <w:t> </w:t>
      </w:r>
      <w:r w:rsidR="00C61CB6" w:rsidRPr="00493A63">
        <w:rPr>
          <w:noProof/>
          <w:sz w:val="24"/>
          <w:szCs w:val="24"/>
        </w:rPr>
        <w:t>8</w:t>
      </w:r>
      <w:r w:rsidRPr="00493A63">
        <w:rPr>
          <w:noProof/>
          <w:sz w:val="24"/>
          <w:szCs w:val="24"/>
        </w:rPr>
        <w:t>0</w:t>
      </w:r>
      <w:r w:rsidR="00493A63" w:rsidRPr="00493A63">
        <w:rPr>
          <w:noProof/>
          <w:sz w:val="24"/>
          <w:szCs w:val="24"/>
        </w:rPr>
        <w:t> </w:t>
      </w:r>
      <w:r w:rsidRPr="00493A63">
        <w:rPr>
          <w:noProof/>
          <w:sz w:val="24"/>
          <w:szCs w:val="24"/>
        </w:rPr>
        <w:t>% wykończone szkielety polimerowe do broni ręcznej lub</w:t>
      </w:r>
      <w:r w:rsidR="00C61CB6" w:rsidRPr="00493A63">
        <w:rPr>
          <w:noProof/>
          <w:sz w:val="24"/>
          <w:szCs w:val="24"/>
        </w:rPr>
        <w:t xml:space="preserve"> w</w:t>
      </w:r>
      <w:r w:rsidR="00C61CB6">
        <w:rPr>
          <w:noProof/>
          <w:sz w:val="24"/>
          <w:szCs w:val="24"/>
        </w:rPr>
        <w:t> </w:t>
      </w:r>
      <w:r w:rsidR="00C61CB6" w:rsidRPr="00493A63">
        <w:rPr>
          <w:noProof/>
          <w:sz w:val="24"/>
          <w:szCs w:val="24"/>
        </w:rPr>
        <w:t>8</w:t>
      </w:r>
      <w:r w:rsidRPr="00493A63">
        <w:rPr>
          <w:noProof/>
          <w:sz w:val="24"/>
          <w:szCs w:val="24"/>
        </w:rPr>
        <w:t>0</w:t>
      </w:r>
      <w:r w:rsidR="00493A63" w:rsidRPr="00493A63">
        <w:rPr>
          <w:noProof/>
          <w:sz w:val="24"/>
          <w:szCs w:val="24"/>
        </w:rPr>
        <w:t> </w:t>
      </w:r>
      <w:r w:rsidRPr="00493A63">
        <w:rPr>
          <w:noProof/>
          <w:sz w:val="24"/>
          <w:szCs w:val="24"/>
        </w:rPr>
        <w:t>% wykończone lufy metalowe do długiej broni palnej). Elementy te nie zostały określone jako istotne komponenty broni palnej</w:t>
      </w:r>
      <w:r w:rsidR="00C61CB6" w:rsidRPr="00493A63">
        <w:rPr>
          <w:noProof/>
          <w:sz w:val="24"/>
          <w:szCs w:val="24"/>
        </w:rPr>
        <w:t xml:space="preserve"> i</w:t>
      </w:r>
      <w:r w:rsidR="00C61CB6">
        <w:rPr>
          <w:noProof/>
          <w:sz w:val="24"/>
          <w:szCs w:val="24"/>
        </w:rPr>
        <w:t> </w:t>
      </w:r>
      <w:r w:rsidR="00C61CB6" w:rsidRPr="00493A63">
        <w:rPr>
          <w:noProof/>
          <w:sz w:val="24"/>
          <w:szCs w:val="24"/>
        </w:rPr>
        <w:t>zaz</w:t>
      </w:r>
      <w:r w:rsidRPr="00493A63">
        <w:rPr>
          <w:noProof/>
          <w:sz w:val="24"/>
          <w:szCs w:val="24"/>
        </w:rPr>
        <w:t>wyczaj są wprowadzane na terytorium Unii Europejskiej za pośrednictwem usług kurierskich</w:t>
      </w:r>
      <w:r w:rsidR="00C61CB6" w:rsidRPr="00493A63">
        <w:rPr>
          <w:noProof/>
          <w:sz w:val="24"/>
          <w:szCs w:val="24"/>
        </w:rPr>
        <w:t xml:space="preserve"> i</w:t>
      </w:r>
      <w:r w:rsidR="00C61CB6">
        <w:rPr>
          <w:noProof/>
          <w:sz w:val="24"/>
          <w:szCs w:val="24"/>
        </w:rPr>
        <w:t> </w:t>
      </w:r>
      <w:r w:rsidR="00C61CB6" w:rsidRPr="00493A63">
        <w:rPr>
          <w:noProof/>
          <w:sz w:val="24"/>
          <w:szCs w:val="24"/>
        </w:rPr>
        <w:t>prz</w:t>
      </w:r>
      <w:r w:rsidRPr="00493A63">
        <w:rPr>
          <w:noProof/>
          <w:sz w:val="24"/>
          <w:szCs w:val="24"/>
        </w:rPr>
        <w:t>ewozowych. Wysyłane są one wraz</w:t>
      </w:r>
      <w:r w:rsidR="00C61CB6" w:rsidRPr="00493A63">
        <w:rPr>
          <w:noProof/>
          <w:sz w:val="24"/>
          <w:szCs w:val="24"/>
        </w:rPr>
        <w:t xml:space="preserve"> z</w:t>
      </w:r>
      <w:r w:rsidR="00C61CB6">
        <w:rPr>
          <w:noProof/>
          <w:sz w:val="24"/>
          <w:szCs w:val="24"/>
        </w:rPr>
        <w:t> </w:t>
      </w:r>
      <w:r w:rsidR="00C61CB6" w:rsidRPr="00493A63">
        <w:rPr>
          <w:noProof/>
          <w:sz w:val="24"/>
          <w:szCs w:val="24"/>
        </w:rPr>
        <w:t>ins</w:t>
      </w:r>
      <w:r w:rsidRPr="00493A63">
        <w:rPr>
          <w:noProof/>
          <w:sz w:val="24"/>
          <w:szCs w:val="24"/>
        </w:rPr>
        <w:t>trukcją wyjaśniającą, jak dokończyć ich przekształcenie</w:t>
      </w:r>
      <w:r w:rsidR="00C61CB6" w:rsidRPr="00493A63">
        <w:rPr>
          <w:noProof/>
          <w:sz w:val="24"/>
          <w:szCs w:val="24"/>
        </w:rPr>
        <w:t xml:space="preserve"> w</w:t>
      </w:r>
      <w:r w:rsidR="00C61CB6">
        <w:rPr>
          <w:noProof/>
          <w:sz w:val="24"/>
          <w:szCs w:val="24"/>
        </w:rPr>
        <w:t> </w:t>
      </w:r>
      <w:r w:rsidR="00C61CB6" w:rsidRPr="00493A63">
        <w:rPr>
          <w:noProof/>
          <w:sz w:val="24"/>
          <w:szCs w:val="24"/>
        </w:rPr>
        <w:t>pow</w:t>
      </w:r>
      <w:r w:rsidRPr="00493A63">
        <w:rPr>
          <w:noProof/>
          <w:sz w:val="24"/>
          <w:szCs w:val="24"/>
        </w:rPr>
        <w:t xml:space="preserve">szechne narzędzia. </w:t>
      </w:r>
    </w:p>
    <w:p w14:paraId="73C64F82" w14:textId="29A93086" w:rsidR="004817C1" w:rsidRPr="00493A63" w:rsidRDefault="00CD2E92" w:rsidP="00347AD0">
      <w:pPr>
        <w:pStyle w:val="HistoryTable"/>
        <w:rPr>
          <w:noProof/>
          <w:sz w:val="24"/>
          <w:szCs w:val="24"/>
        </w:rPr>
      </w:pPr>
      <w:r w:rsidRPr="00493A63">
        <w:rPr>
          <w:noProof/>
          <w:sz w:val="24"/>
          <w:szCs w:val="24"/>
        </w:rPr>
        <w:t>Komisja</w:t>
      </w:r>
      <w:r w:rsidR="00C61CB6" w:rsidRPr="00493A63">
        <w:rPr>
          <w:noProof/>
          <w:sz w:val="24"/>
          <w:szCs w:val="24"/>
        </w:rPr>
        <w:t xml:space="preserve"> i</w:t>
      </w:r>
      <w:r w:rsidR="00C61CB6">
        <w:rPr>
          <w:noProof/>
          <w:sz w:val="24"/>
          <w:szCs w:val="24"/>
        </w:rPr>
        <w:t> </w:t>
      </w:r>
      <w:r w:rsidR="00C61CB6" w:rsidRPr="00493A63">
        <w:rPr>
          <w:noProof/>
          <w:sz w:val="24"/>
          <w:szCs w:val="24"/>
        </w:rPr>
        <w:t>pań</w:t>
      </w:r>
      <w:r w:rsidRPr="00493A63">
        <w:rPr>
          <w:noProof/>
          <w:sz w:val="24"/>
          <w:szCs w:val="24"/>
        </w:rPr>
        <w:t xml:space="preserve">stwa członkowskie omówią </w:t>
      </w:r>
      <w:r w:rsidRPr="00493A63">
        <w:rPr>
          <w:b/>
          <w:noProof/>
          <w:sz w:val="24"/>
          <w:szCs w:val="24"/>
        </w:rPr>
        <w:t>problem półfabrykatów broni palnej</w:t>
      </w:r>
      <w:r w:rsidR="00C61CB6" w:rsidRPr="00493A63">
        <w:rPr>
          <w:b/>
          <w:noProof/>
          <w:sz w:val="24"/>
          <w:szCs w:val="24"/>
        </w:rPr>
        <w:t xml:space="preserve"> </w:t>
      </w:r>
      <w:r w:rsidR="00C61CB6" w:rsidRPr="00493A63">
        <w:rPr>
          <w:noProof/>
          <w:sz w:val="24"/>
          <w:szCs w:val="24"/>
        </w:rPr>
        <w:t>i</w:t>
      </w:r>
      <w:r w:rsidR="00C61CB6">
        <w:rPr>
          <w:b/>
          <w:noProof/>
          <w:sz w:val="24"/>
          <w:szCs w:val="24"/>
        </w:rPr>
        <w:t> </w:t>
      </w:r>
      <w:r w:rsidR="00C61CB6" w:rsidRPr="00493A63">
        <w:rPr>
          <w:noProof/>
          <w:sz w:val="24"/>
          <w:szCs w:val="24"/>
        </w:rPr>
        <w:t>ist</w:t>
      </w:r>
      <w:r w:rsidRPr="00493A63">
        <w:rPr>
          <w:noProof/>
          <w:sz w:val="24"/>
          <w:szCs w:val="24"/>
        </w:rPr>
        <w:t>otnych komponentów</w:t>
      </w:r>
      <w:r w:rsidR="00C61CB6" w:rsidRPr="00493A63">
        <w:rPr>
          <w:noProof/>
          <w:sz w:val="24"/>
          <w:szCs w:val="24"/>
        </w:rPr>
        <w:t xml:space="preserve"> w</w:t>
      </w:r>
      <w:r w:rsidR="00C61CB6">
        <w:rPr>
          <w:noProof/>
          <w:sz w:val="24"/>
          <w:szCs w:val="24"/>
        </w:rPr>
        <w:t> </w:t>
      </w:r>
      <w:r w:rsidR="00C61CB6" w:rsidRPr="00493A63">
        <w:rPr>
          <w:noProof/>
          <w:sz w:val="24"/>
          <w:szCs w:val="24"/>
        </w:rPr>
        <w:t>kon</w:t>
      </w:r>
      <w:r w:rsidRPr="00493A63">
        <w:rPr>
          <w:noProof/>
          <w:sz w:val="24"/>
          <w:szCs w:val="24"/>
        </w:rPr>
        <w:t>tekście komitetu ds. broni palnej. Komisja oceni także rozwiązania regulacyjne</w:t>
      </w:r>
      <w:r w:rsidR="00C61CB6" w:rsidRPr="00493A63">
        <w:rPr>
          <w:noProof/>
          <w:sz w:val="24"/>
          <w:szCs w:val="24"/>
        </w:rPr>
        <w:t xml:space="preserve"> w</w:t>
      </w:r>
      <w:r w:rsidR="00C61CB6">
        <w:rPr>
          <w:noProof/>
          <w:sz w:val="24"/>
          <w:szCs w:val="24"/>
        </w:rPr>
        <w:t> </w:t>
      </w:r>
      <w:r w:rsidR="00C61CB6" w:rsidRPr="00493A63">
        <w:rPr>
          <w:noProof/>
          <w:sz w:val="24"/>
          <w:szCs w:val="24"/>
        </w:rPr>
        <w:t>zak</w:t>
      </w:r>
      <w:r w:rsidRPr="00493A63">
        <w:rPr>
          <w:noProof/>
          <w:sz w:val="24"/>
          <w:szCs w:val="24"/>
        </w:rPr>
        <w:t xml:space="preserve">resie przyszłej modernizacji </w:t>
      </w:r>
      <w:r w:rsidRPr="00493A63">
        <w:rPr>
          <w:b/>
          <w:noProof/>
          <w:sz w:val="24"/>
          <w:szCs w:val="24"/>
        </w:rPr>
        <w:t>rozporządzenia (UE) nr</w:t>
      </w:r>
      <w:r w:rsidR="00493A63" w:rsidRPr="00493A63">
        <w:rPr>
          <w:b/>
          <w:noProof/>
          <w:sz w:val="24"/>
          <w:szCs w:val="24"/>
        </w:rPr>
        <w:t> </w:t>
      </w:r>
      <w:r w:rsidRPr="00493A63">
        <w:rPr>
          <w:b/>
          <w:noProof/>
          <w:sz w:val="24"/>
          <w:szCs w:val="24"/>
        </w:rPr>
        <w:t>258/2012 ustanawiającego zezwolenia na wywóz</w:t>
      </w:r>
      <w:r w:rsidR="00C61CB6" w:rsidRPr="00493A63">
        <w:rPr>
          <w:b/>
          <w:noProof/>
          <w:sz w:val="24"/>
          <w:szCs w:val="24"/>
        </w:rPr>
        <w:t xml:space="preserve"> i</w:t>
      </w:r>
      <w:r w:rsidR="00C61CB6">
        <w:rPr>
          <w:b/>
          <w:noProof/>
          <w:sz w:val="24"/>
          <w:szCs w:val="24"/>
        </w:rPr>
        <w:t> </w:t>
      </w:r>
      <w:r w:rsidR="00C61CB6" w:rsidRPr="00493A63">
        <w:rPr>
          <w:b/>
          <w:noProof/>
          <w:sz w:val="24"/>
          <w:szCs w:val="24"/>
        </w:rPr>
        <w:t>śro</w:t>
      </w:r>
      <w:r w:rsidRPr="00493A63">
        <w:rPr>
          <w:b/>
          <w:noProof/>
          <w:sz w:val="24"/>
          <w:szCs w:val="24"/>
        </w:rPr>
        <w:t>dki dotyczące przywozu</w:t>
      </w:r>
      <w:r w:rsidR="00C61CB6" w:rsidRPr="00493A63">
        <w:rPr>
          <w:b/>
          <w:noProof/>
          <w:sz w:val="24"/>
          <w:szCs w:val="24"/>
        </w:rPr>
        <w:t xml:space="preserve"> i</w:t>
      </w:r>
      <w:r w:rsidR="00C61CB6">
        <w:rPr>
          <w:b/>
          <w:noProof/>
          <w:sz w:val="24"/>
          <w:szCs w:val="24"/>
        </w:rPr>
        <w:t> </w:t>
      </w:r>
      <w:r w:rsidR="00C61CB6" w:rsidRPr="00493A63">
        <w:rPr>
          <w:b/>
          <w:noProof/>
          <w:sz w:val="24"/>
          <w:szCs w:val="24"/>
        </w:rPr>
        <w:t>tra</w:t>
      </w:r>
      <w:r w:rsidRPr="00493A63">
        <w:rPr>
          <w:b/>
          <w:noProof/>
          <w:sz w:val="24"/>
          <w:szCs w:val="24"/>
        </w:rPr>
        <w:t>nzytu dla broni palnej, jej części</w:t>
      </w:r>
      <w:r w:rsidR="00C61CB6" w:rsidRPr="00493A63">
        <w:rPr>
          <w:b/>
          <w:noProof/>
          <w:sz w:val="24"/>
          <w:szCs w:val="24"/>
        </w:rPr>
        <w:t xml:space="preserve"> i</w:t>
      </w:r>
      <w:r w:rsidR="00C61CB6">
        <w:rPr>
          <w:b/>
          <w:noProof/>
          <w:sz w:val="24"/>
          <w:szCs w:val="24"/>
        </w:rPr>
        <w:t> </w:t>
      </w:r>
      <w:r w:rsidR="00C61CB6" w:rsidRPr="00493A63">
        <w:rPr>
          <w:b/>
          <w:noProof/>
          <w:sz w:val="24"/>
          <w:szCs w:val="24"/>
        </w:rPr>
        <w:t>kom</w:t>
      </w:r>
      <w:r w:rsidRPr="00493A63">
        <w:rPr>
          <w:b/>
          <w:noProof/>
          <w:sz w:val="24"/>
          <w:szCs w:val="24"/>
        </w:rPr>
        <w:t>ponentów oraz amunicji</w:t>
      </w:r>
      <w:r w:rsidRPr="00493A63">
        <w:rPr>
          <w:rStyle w:val="FootnoteReference"/>
          <w:noProof/>
          <w:sz w:val="24"/>
          <w:szCs w:val="24"/>
        </w:rPr>
        <w:footnoteReference w:id="28"/>
      </w:r>
      <w:r w:rsidRPr="00493A63">
        <w:rPr>
          <w:noProof/>
        </w:rPr>
        <w:t>.</w:t>
      </w:r>
    </w:p>
    <w:p w14:paraId="19E51269" w14:textId="77777777" w:rsidR="00B30E8D" w:rsidRPr="00493A63" w:rsidRDefault="00B30E8D" w:rsidP="0014591F">
      <w:pPr>
        <w:pStyle w:val="Heading2"/>
        <w:rPr>
          <w:noProof/>
        </w:rPr>
      </w:pPr>
      <w:bookmarkStart w:id="21" w:name="_Toc66179169"/>
      <w:r w:rsidRPr="00493A63">
        <w:rPr>
          <w:noProof/>
        </w:rPr>
        <w:t>Europejska karta broni palnej</w:t>
      </w:r>
      <w:bookmarkEnd w:id="21"/>
    </w:p>
    <w:p w14:paraId="03FFF414" w14:textId="0B947D57" w:rsidR="004A432F" w:rsidRPr="00493A63" w:rsidRDefault="00AE2154" w:rsidP="00F3679A">
      <w:pPr>
        <w:rPr>
          <w:noProof/>
          <w:sz w:val="24"/>
          <w:szCs w:val="24"/>
        </w:rPr>
      </w:pPr>
      <w:r w:rsidRPr="00493A63">
        <w:rPr>
          <w:noProof/>
          <w:sz w:val="24"/>
          <w:szCs w:val="24"/>
        </w:rPr>
        <w:t>Europejska karta broni palnej wydawana przez państwo członkowskie na wniosek prawnym właścicielom broni palnej umożliwia myśliwym oraz uczestnikom rekonstrukcji historycznych (w przypadku broni palnej kategorii C),</w:t>
      </w:r>
      <w:r w:rsidR="00C61CB6" w:rsidRPr="00493A63">
        <w:rPr>
          <w:noProof/>
          <w:sz w:val="24"/>
          <w:szCs w:val="24"/>
        </w:rPr>
        <w:t xml:space="preserve"> a</w:t>
      </w:r>
      <w:r w:rsidR="00C61CB6">
        <w:rPr>
          <w:noProof/>
          <w:sz w:val="24"/>
          <w:szCs w:val="24"/>
        </w:rPr>
        <w:t> </w:t>
      </w:r>
      <w:r w:rsidR="00C61CB6" w:rsidRPr="00493A63">
        <w:rPr>
          <w:noProof/>
          <w:sz w:val="24"/>
          <w:szCs w:val="24"/>
        </w:rPr>
        <w:t>tak</w:t>
      </w:r>
      <w:r w:rsidRPr="00493A63">
        <w:rPr>
          <w:noProof/>
          <w:sz w:val="24"/>
          <w:szCs w:val="24"/>
        </w:rPr>
        <w:t>że strzelcom sportowym (w przypadku kategorii A, B lub C) podróżowanie</w:t>
      </w:r>
      <w:r w:rsidR="00C61CB6" w:rsidRPr="00493A63">
        <w:rPr>
          <w:noProof/>
          <w:sz w:val="24"/>
          <w:szCs w:val="24"/>
        </w:rPr>
        <w:t xml:space="preserve"> z</w:t>
      </w:r>
      <w:r w:rsidR="00C61CB6">
        <w:rPr>
          <w:noProof/>
          <w:sz w:val="24"/>
          <w:szCs w:val="24"/>
        </w:rPr>
        <w:t> </w:t>
      </w:r>
      <w:r w:rsidR="00C61CB6" w:rsidRPr="00493A63">
        <w:rPr>
          <w:noProof/>
          <w:sz w:val="24"/>
          <w:szCs w:val="24"/>
        </w:rPr>
        <w:t>ich</w:t>
      </w:r>
      <w:r w:rsidRPr="00493A63">
        <w:rPr>
          <w:noProof/>
          <w:sz w:val="24"/>
          <w:szCs w:val="24"/>
        </w:rPr>
        <w:t xml:space="preserve"> bronią przez co najmniej dwa państwa członkowskie bez konieczności uzyskania uprzedniego pozwolenia</w:t>
      </w:r>
      <w:r w:rsidR="00C61CB6" w:rsidRPr="00493A63">
        <w:rPr>
          <w:noProof/>
          <w:sz w:val="24"/>
          <w:szCs w:val="24"/>
        </w:rPr>
        <w:t>. W</w:t>
      </w:r>
      <w:r w:rsidR="00C61CB6">
        <w:rPr>
          <w:noProof/>
          <w:sz w:val="24"/>
          <w:szCs w:val="24"/>
        </w:rPr>
        <w:t> </w:t>
      </w:r>
      <w:r w:rsidR="00C61CB6" w:rsidRPr="00493A63">
        <w:rPr>
          <w:noProof/>
          <w:sz w:val="24"/>
          <w:szCs w:val="24"/>
        </w:rPr>
        <w:t>prz</w:t>
      </w:r>
      <w:r w:rsidRPr="00493A63">
        <w:rPr>
          <w:noProof/>
          <w:sz w:val="24"/>
          <w:szCs w:val="24"/>
        </w:rPr>
        <w:t>ypadku gdy państwo członkowskie poinformuje pozostałe państwa członkowskie, że posiadanie niektórych rodzajów broni palnej jest zakazane lub wymaga pozwolenia,</w:t>
      </w:r>
      <w:r w:rsidR="00C61CB6" w:rsidRPr="00493A63">
        <w:rPr>
          <w:noProof/>
          <w:sz w:val="24"/>
          <w:szCs w:val="24"/>
        </w:rPr>
        <w:t xml:space="preserve"> w</w:t>
      </w:r>
      <w:r w:rsidR="00C61CB6">
        <w:rPr>
          <w:noProof/>
          <w:sz w:val="24"/>
          <w:szCs w:val="24"/>
        </w:rPr>
        <w:t> </w:t>
      </w:r>
      <w:r w:rsidR="00C61CB6" w:rsidRPr="00493A63">
        <w:rPr>
          <w:noProof/>
          <w:sz w:val="24"/>
          <w:szCs w:val="24"/>
        </w:rPr>
        <w:t>eur</w:t>
      </w:r>
      <w:r w:rsidRPr="00493A63">
        <w:rPr>
          <w:noProof/>
          <w:sz w:val="24"/>
          <w:szCs w:val="24"/>
        </w:rPr>
        <w:t>opejskiej karcie broni palnej muszą znaleźć się stosowne oświadczenia.</w:t>
      </w:r>
    </w:p>
    <w:p w14:paraId="0D436402" w14:textId="584EED3C" w:rsidR="00D5730E" w:rsidRPr="00493A63" w:rsidRDefault="000B15B5" w:rsidP="00F3679A">
      <w:pPr>
        <w:rPr>
          <w:noProof/>
          <w:sz w:val="24"/>
          <w:szCs w:val="24"/>
        </w:rPr>
      </w:pPr>
      <w:r w:rsidRPr="00493A63">
        <w:rPr>
          <w:noProof/>
          <w:sz w:val="24"/>
          <w:szCs w:val="24"/>
        </w:rPr>
        <w:t>Podczas oceny dyrektywy</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w:t>
      </w:r>
      <w:r w:rsidR="00C61CB6" w:rsidRPr="00493A63">
        <w:rPr>
          <w:noProof/>
          <w:sz w:val="24"/>
          <w:szCs w:val="24"/>
        </w:rPr>
        <w:t xml:space="preserve"> w</w:t>
      </w:r>
      <w:r w:rsidR="00C61CB6">
        <w:rPr>
          <w:noProof/>
          <w:sz w:val="24"/>
          <w:szCs w:val="24"/>
        </w:rPr>
        <w:t> </w:t>
      </w:r>
      <w:r w:rsidR="00C61CB6" w:rsidRPr="00493A63">
        <w:rPr>
          <w:noProof/>
          <w:sz w:val="24"/>
          <w:szCs w:val="24"/>
        </w:rPr>
        <w:t>2</w:t>
      </w:r>
      <w:r w:rsidRPr="00493A63">
        <w:rPr>
          <w:noProof/>
          <w:sz w:val="24"/>
          <w:szCs w:val="24"/>
        </w:rPr>
        <w:t>014</w:t>
      </w:r>
      <w:r w:rsidR="00493A63" w:rsidRPr="00493A63">
        <w:rPr>
          <w:noProof/>
          <w:sz w:val="24"/>
          <w:szCs w:val="24"/>
        </w:rPr>
        <w:t> </w:t>
      </w:r>
      <w:r w:rsidRPr="00493A63">
        <w:rPr>
          <w:noProof/>
          <w:sz w:val="24"/>
          <w:szCs w:val="24"/>
        </w:rPr>
        <w:t>r.</w:t>
      </w:r>
      <w:r w:rsidRPr="00493A63">
        <w:rPr>
          <w:rStyle w:val="FootnoteReference"/>
          <w:noProof/>
          <w:sz w:val="24"/>
          <w:szCs w:val="24"/>
        </w:rPr>
        <w:footnoteReference w:id="29"/>
      </w:r>
      <w:r w:rsidRPr="00493A63">
        <w:rPr>
          <w:noProof/>
          <w:sz w:val="24"/>
          <w:szCs w:val="24"/>
        </w:rPr>
        <w:t xml:space="preserve"> państwa członkowskie</w:t>
      </w:r>
      <w:r w:rsidR="00C61CB6" w:rsidRPr="00493A63">
        <w:rPr>
          <w:noProof/>
          <w:sz w:val="24"/>
          <w:szCs w:val="24"/>
        </w:rPr>
        <w:t xml:space="preserve"> i</w:t>
      </w:r>
      <w:r w:rsidR="00C61CB6">
        <w:rPr>
          <w:noProof/>
          <w:sz w:val="24"/>
          <w:szCs w:val="24"/>
        </w:rPr>
        <w:t> </w:t>
      </w:r>
      <w:r w:rsidR="00C61CB6" w:rsidRPr="00493A63">
        <w:rPr>
          <w:noProof/>
          <w:sz w:val="24"/>
          <w:szCs w:val="24"/>
        </w:rPr>
        <w:t>sto</w:t>
      </w:r>
      <w:r w:rsidRPr="00493A63">
        <w:rPr>
          <w:noProof/>
          <w:sz w:val="24"/>
          <w:szCs w:val="24"/>
        </w:rPr>
        <w:t>warzyszenia pozytywnie oceniły wdrożenie europejskiej karty broni palnej, uznając, że ogranicza ona obciążenie biurokratyczne</w:t>
      </w:r>
      <w:r w:rsidR="00C61CB6" w:rsidRPr="00493A63">
        <w:rPr>
          <w:noProof/>
          <w:sz w:val="24"/>
          <w:szCs w:val="24"/>
        </w:rPr>
        <w:t xml:space="preserve"> i</w:t>
      </w:r>
      <w:r w:rsidR="00C61CB6">
        <w:rPr>
          <w:noProof/>
          <w:sz w:val="24"/>
          <w:szCs w:val="24"/>
        </w:rPr>
        <w:t> </w:t>
      </w:r>
      <w:r w:rsidR="00C61CB6" w:rsidRPr="00493A63">
        <w:rPr>
          <w:noProof/>
          <w:sz w:val="24"/>
          <w:szCs w:val="24"/>
        </w:rPr>
        <w:t>gos</w:t>
      </w:r>
      <w:r w:rsidRPr="00493A63">
        <w:rPr>
          <w:noProof/>
          <w:sz w:val="24"/>
          <w:szCs w:val="24"/>
        </w:rPr>
        <w:t>podarcze dla użytkowników, szczególnie myśliwych, strzelców sportowych</w:t>
      </w:r>
      <w:r w:rsidR="00C61CB6" w:rsidRPr="00493A63">
        <w:rPr>
          <w:noProof/>
          <w:sz w:val="24"/>
          <w:szCs w:val="24"/>
        </w:rPr>
        <w:t xml:space="preserve"> i</w:t>
      </w:r>
      <w:r w:rsidR="00C61CB6">
        <w:rPr>
          <w:noProof/>
          <w:sz w:val="24"/>
          <w:szCs w:val="24"/>
        </w:rPr>
        <w:t> </w:t>
      </w:r>
      <w:r w:rsidR="00C61CB6" w:rsidRPr="00493A63">
        <w:rPr>
          <w:noProof/>
          <w:sz w:val="24"/>
          <w:szCs w:val="24"/>
        </w:rPr>
        <w:t>ucz</w:t>
      </w:r>
      <w:r w:rsidRPr="00493A63">
        <w:rPr>
          <w:noProof/>
          <w:sz w:val="24"/>
          <w:szCs w:val="24"/>
        </w:rPr>
        <w:t>estników rekonstrukcji historycznych.</w:t>
      </w:r>
    </w:p>
    <w:p w14:paraId="6D6051CD" w14:textId="473B3BC8" w:rsidR="00A10E3F" w:rsidRPr="00493A63" w:rsidRDefault="00F557D2" w:rsidP="00401A87">
      <w:pPr>
        <w:keepNext/>
        <w:rPr>
          <w:noProof/>
          <w:sz w:val="24"/>
          <w:szCs w:val="24"/>
        </w:rPr>
      </w:pPr>
      <w:r w:rsidRPr="00493A63">
        <w:rPr>
          <w:noProof/>
          <w:sz w:val="24"/>
          <w:szCs w:val="24"/>
        </w:rPr>
        <w:t>Po zmianie dyrektywy</w:t>
      </w:r>
      <w:r w:rsidR="00C61CB6" w:rsidRPr="00493A63">
        <w:rPr>
          <w:noProof/>
          <w:sz w:val="24"/>
          <w:szCs w:val="24"/>
        </w:rPr>
        <w:t xml:space="preserve"> w</w:t>
      </w:r>
      <w:r w:rsidR="00C61CB6">
        <w:rPr>
          <w:noProof/>
          <w:sz w:val="24"/>
          <w:szCs w:val="24"/>
        </w:rPr>
        <w:t> </w:t>
      </w:r>
      <w:r w:rsidR="00C61CB6" w:rsidRPr="00493A63">
        <w:rPr>
          <w:noProof/>
          <w:sz w:val="24"/>
          <w:szCs w:val="24"/>
        </w:rPr>
        <w:t>2</w:t>
      </w:r>
      <w:r w:rsidRPr="00493A63">
        <w:rPr>
          <w:noProof/>
          <w:sz w:val="24"/>
          <w:szCs w:val="24"/>
        </w:rPr>
        <w:t>017</w:t>
      </w:r>
      <w:r w:rsidR="00493A63" w:rsidRPr="00493A63">
        <w:rPr>
          <w:noProof/>
          <w:sz w:val="24"/>
          <w:szCs w:val="24"/>
        </w:rPr>
        <w:t> </w:t>
      </w:r>
      <w:r w:rsidRPr="00493A63">
        <w:rPr>
          <w:noProof/>
          <w:sz w:val="24"/>
          <w:szCs w:val="24"/>
        </w:rPr>
        <w:t>r. podczas konsultacji</w:t>
      </w:r>
      <w:r w:rsidR="00C61CB6" w:rsidRPr="00493A63">
        <w:rPr>
          <w:noProof/>
          <w:sz w:val="24"/>
          <w:szCs w:val="24"/>
        </w:rPr>
        <w:t xml:space="preserve"> w</w:t>
      </w:r>
      <w:r w:rsidR="00C61CB6">
        <w:rPr>
          <w:noProof/>
          <w:sz w:val="24"/>
          <w:szCs w:val="24"/>
        </w:rPr>
        <w:t> </w:t>
      </w:r>
      <w:r w:rsidR="00C61CB6" w:rsidRPr="00493A63">
        <w:rPr>
          <w:noProof/>
          <w:sz w:val="24"/>
          <w:szCs w:val="24"/>
        </w:rPr>
        <w:t>ram</w:t>
      </w:r>
      <w:r w:rsidRPr="00493A63">
        <w:rPr>
          <w:noProof/>
          <w:sz w:val="24"/>
          <w:szCs w:val="24"/>
        </w:rPr>
        <w:t>ach komitetu ds. broni palnej</w:t>
      </w:r>
      <w:r w:rsidR="00C61CB6" w:rsidRPr="00493A63">
        <w:rPr>
          <w:noProof/>
          <w:sz w:val="24"/>
          <w:szCs w:val="24"/>
        </w:rPr>
        <w:t xml:space="preserve"> i</w:t>
      </w:r>
      <w:r w:rsidR="00C61CB6">
        <w:rPr>
          <w:noProof/>
          <w:sz w:val="24"/>
          <w:szCs w:val="24"/>
        </w:rPr>
        <w:t> </w:t>
      </w:r>
      <w:r w:rsidR="00C61CB6" w:rsidRPr="00493A63">
        <w:rPr>
          <w:noProof/>
          <w:sz w:val="24"/>
          <w:szCs w:val="24"/>
        </w:rPr>
        <w:t>w</w:t>
      </w:r>
      <w:r w:rsidR="00C61CB6">
        <w:rPr>
          <w:noProof/>
          <w:sz w:val="24"/>
          <w:szCs w:val="24"/>
        </w:rPr>
        <w:t> </w:t>
      </w:r>
      <w:r w:rsidR="00C61CB6" w:rsidRPr="00493A63">
        <w:rPr>
          <w:noProof/>
          <w:sz w:val="24"/>
          <w:szCs w:val="24"/>
        </w:rPr>
        <w:t>ska</w:t>
      </w:r>
      <w:r w:rsidRPr="00493A63">
        <w:rPr>
          <w:noProof/>
          <w:sz w:val="24"/>
          <w:szCs w:val="24"/>
        </w:rPr>
        <w:t>rgach otrzymanych przez Komisję zainteresowane strony poruszyły szereg kwestii:</w:t>
      </w:r>
    </w:p>
    <w:p w14:paraId="232F24B4" w14:textId="20987ADB" w:rsidR="00A10E3F" w:rsidRPr="00493A63" w:rsidRDefault="00152B11" w:rsidP="00AE2154">
      <w:pPr>
        <w:pStyle w:val="ListBullet"/>
        <w:rPr>
          <w:noProof/>
          <w:sz w:val="24"/>
          <w:szCs w:val="24"/>
        </w:rPr>
      </w:pPr>
      <w:r w:rsidRPr="00493A63">
        <w:rPr>
          <w:noProof/>
          <w:sz w:val="24"/>
          <w:szCs w:val="24"/>
        </w:rPr>
        <w:t>wydaje się, że europejska karta broni palnej nie jest</w:t>
      </w:r>
      <w:r w:rsidR="00C61CB6" w:rsidRPr="00493A63">
        <w:rPr>
          <w:noProof/>
          <w:sz w:val="24"/>
          <w:szCs w:val="24"/>
        </w:rPr>
        <w:t xml:space="preserve"> w</w:t>
      </w:r>
      <w:r w:rsidR="00C61CB6">
        <w:rPr>
          <w:noProof/>
          <w:sz w:val="24"/>
          <w:szCs w:val="24"/>
        </w:rPr>
        <w:t> </w:t>
      </w:r>
      <w:r w:rsidR="00C61CB6" w:rsidRPr="00493A63">
        <w:rPr>
          <w:noProof/>
          <w:sz w:val="24"/>
          <w:szCs w:val="24"/>
        </w:rPr>
        <w:t>peł</w:t>
      </w:r>
      <w:r w:rsidRPr="00493A63">
        <w:rPr>
          <w:noProof/>
          <w:sz w:val="24"/>
          <w:szCs w:val="24"/>
        </w:rPr>
        <w:t>ni uznawana we wszystkich państwach członkowskich, co czasem oznacza konieczność uzyskania uprzedniego pozwolenia</w:t>
      </w:r>
      <w:r w:rsidR="00C61CB6" w:rsidRPr="00493A63">
        <w:rPr>
          <w:noProof/>
          <w:sz w:val="24"/>
          <w:szCs w:val="24"/>
        </w:rPr>
        <w:t xml:space="preserve"> w</w:t>
      </w:r>
      <w:r w:rsidR="00C61CB6">
        <w:rPr>
          <w:noProof/>
          <w:sz w:val="24"/>
          <w:szCs w:val="24"/>
        </w:rPr>
        <w:t> </w:t>
      </w:r>
      <w:r w:rsidR="00C61CB6" w:rsidRPr="00493A63">
        <w:rPr>
          <w:noProof/>
          <w:sz w:val="24"/>
          <w:szCs w:val="24"/>
        </w:rPr>
        <w:t>cel</w:t>
      </w:r>
      <w:r w:rsidRPr="00493A63">
        <w:rPr>
          <w:noProof/>
          <w:sz w:val="24"/>
          <w:szCs w:val="24"/>
        </w:rPr>
        <w:t>u umożliwienia przepływu broni palnej;</w:t>
      </w:r>
    </w:p>
    <w:p w14:paraId="596B3C4F" w14:textId="154046AE" w:rsidR="00725832" w:rsidRPr="00493A63" w:rsidRDefault="000F18E1" w:rsidP="00AE2154">
      <w:pPr>
        <w:pStyle w:val="ListBullet"/>
        <w:rPr>
          <w:noProof/>
          <w:sz w:val="24"/>
          <w:szCs w:val="24"/>
        </w:rPr>
      </w:pPr>
      <w:r w:rsidRPr="00493A63">
        <w:rPr>
          <w:noProof/>
          <w:sz w:val="24"/>
          <w:szCs w:val="24"/>
        </w:rPr>
        <w:t>kontrolowanie przepływu</w:t>
      </w:r>
      <w:r w:rsidR="00C61CB6" w:rsidRPr="00493A63">
        <w:rPr>
          <w:noProof/>
          <w:sz w:val="24"/>
          <w:szCs w:val="24"/>
        </w:rPr>
        <w:t xml:space="preserve"> z</w:t>
      </w:r>
      <w:r w:rsidR="00C61CB6">
        <w:rPr>
          <w:noProof/>
          <w:sz w:val="24"/>
          <w:szCs w:val="24"/>
        </w:rPr>
        <w:t> </w:t>
      </w:r>
      <w:r w:rsidR="00C61CB6" w:rsidRPr="00493A63">
        <w:rPr>
          <w:noProof/>
          <w:sz w:val="24"/>
          <w:szCs w:val="24"/>
        </w:rPr>
        <w:t>zas</w:t>
      </w:r>
      <w:r w:rsidRPr="00493A63">
        <w:rPr>
          <w:noProof/>
          <w:sz w:val="24"/>
          <w:szCs w:val="24"/>
        </w:rPr>
        <w:t>tosowaniem karty może być trudniejsze niż</w:t>
      </w:r>
      <w:r w:rsidR="00C61CB6" w:rsidRPr="00493A63">
        <w:rPr>
          <w:noProof/>
          <w:sz w:val="24"/>
          <w:szCs w:val="24"/>
        </w:rPr>
        <w:t xml:space="preserve"> w</w:t>
      </w:r>
      <w:r w:rsidR="00C61CB6">
        <w:rPr>
          <w:noProof/>
          <w:sz w:val="24"/>
          <w:szCs w:val="24"/>
        </w:rPr>
        <w:t> </w:t>
      </w:r>
      <w:r w:rsidR="00C61CB6" w:rsidRPr="00493A63">
        <w:rPr>
          <w:noProof/>
          <w:sz w:val="24"/>
          <w:szCs w:val="24"/>
        </w:rPr>
        <w:t>prz</w:t>
      </w:r>
      <w:r w:rsidRPr="00493A63">
        <w:rPr>
          <w:noProof/>
          <w:sz w:val="24"/>
          <w:szCs w:val="24"/>
        </w:rPr>
        <w:t>ypadku stałych transferów – istnieje zatem ryzyko nadużyć ze strony osób, które nielegalnie korzystają</w:t>
      </w:r>
      <w:r w:rsidR="00C61CB6" w:rsidRPr="00493A63">
        <w:rPr>
          <w:noProof/>
          <w:sz w:val="24"/>
          <w:szCs w:val="24"/>
        </w:rPr>
        <w:t xml:space="preserve"> z</w:t>
      </w:r>
      <w:r w:rsidR="00C61CB6">
        <w:rPr>
          <w:noProof/>
          <w:sz w:val="24"/>
          <w:szCs w:val="24"/>
        </w:rPr>
        <w:t> </w:t>
      </w:r>
      <w:r w:rsidR="00C61CB6" w:rsidRPr="00493A63">
        <w:rPr>
          <w:noProof/>
          <w:sz w:val="24"/>
          <w:szCs w:val="24"/>
        </w:rPr>
        <w:t>eur</w:t>
      </w:r>
      <w:r w:rsidRPr="00493A63">
        <w:rPr>
          <w:noProof/>
          <w:sz w:val="24"/>
          <w:szCs w:val="24"/>
        </w:rPr>
        <w:t>opejskiej karty broni palnej, gdy na stałe przenoszą się do innego kraju;</w:t>
      </w:r>
    </w:p>
    <w:p w14:paraId="1B955AA5" w14:textId="429B8B0B" w:rsidR="00CD2E92" w:rsidRPr="00493A63" w:rsidRDefault="00873162" w:rsidP="0004239C">
      <w:pPr>
        <w:pStyle w:val="ListBullet"/>
        <w:rPr>
          <w:noProof/>
        </w:rPr>
      </w:pPr>
      <w:r w:rsidRPr="00493A63">
        <w:rPr>
          <w:noProof/>
          <w:sz w:val="24"/>
          <w:szCs w:val="24"/>
        </w:rPr>
        <w:t>niezbędna jest harmonizacja wykazu elementów, które muszą być wymienione</w:t>
      </w:r>
      <w:r w:rsidR="00C61CB6" w:rsidRPr="00493A63">
        <w:rPr>
          <w:noProof/>
          <w:sz w:val="24"/>
          <w:szCs w:val="24"/>
        </w:rPr>
        <w:t xml:space="preserve"> w</w:t>
      </w:r>
      <w:r w:rsidR="00C61CB6">
        <w:rPr>
          <w:noProof/>
          <w:sz w:val="24"/>
          <w:szCs w:val="24"/>
        </w:rPr>
        <w:t> </w:t>
      </w:r>
      <w:r w:rsidR="00C61CB6" w:rsidRPr="00493A63">
        <w:rPr>
          <w:noProof/>
          <w:sz w:val="24"/>
          <w:szCs w:val="24"/>
        </w:rPr>
        <w:t>eur</w:t>
      </w:r>
      <w:r w:rsidRPr="00493A63">
        <w:rPr>
          <w:noProof/>
          <w:sz w:val="24"/>
          <w:szCs w:val="24"/>
        </w:rPr>
        <w:t>opejskiej karcie broni palnej, ze względu na różnice</w:t>
      </w:r>
      <w:r w:rsidR="00C61CB6" w:rsidRPr="00493A63">
        <w:rPr>
          <w:noProof/>
          <w:sz w:val="24"/>
          <w:szCs w:val="24"/>
        </w:rPr>
        <w:t xml:space="preserve"> w</w:t>
      </w:r>
      <w:r w:rsidR="00C61CB6">
        <w:rPr>
          <w:noProof/>
          <w:sz w:val="24"/>
          <w:szCs w:val="24"/>
        </w:rPr>
        <w:t> </w:t>
      </w:r>
      <w:r w:rsidR="00C61CB6" w:rsidRPr="00493A63">
        <w:rPr>
          <w:noProof/>
          <w:sz w:val="24"/>
          <w:szCs w:val="24"/>
        </w:rPr>
        <w:t>kla</w:t>
      </w:r>
      <w:r w:rsidRPr="00493A63">
        <w:rPr>
          <w:noProof/>
          <w:sz w:val="24"/>
          <w:szCs w:val="24"/>
        </w:rPr>
        <w:t>syfikacji broni palnej lub jej komponentów</w:t>
      </w:r>
      <w:r w:rsidR="00C61CB6" w:rsidRPr="00493A63">
        <w:rPr>
          <w:noProof/>
          <w:sz w:val="24"/>
          <w:szCs w:val="24"/>
        </w:rPr>
        <w:t xml:space="preserve"> w</w:t>
      </w:r>
      <w:r w:rsidR="00C61CB6">
        <w:rPr>
          <w:noProof/>
          <w:sz w:val="24"/>
          <w:szCs w:val="24"/>
        </w:rPr>
        <w:t> </w:t>
      </w:r>
      <w:r w:rsidR="00C61CB6" w:rsidRPr="00493A63">
        <w:rPr>
          <w:noProof/>
          <w:sz w:val="24"/>
          <w:szCs w:val="24"/>
        </w:rPr>
        <w:t>pos</w:t>
      </w:r>
      <w:r w:rsidRPr="00493A63">
        <w:rPr>
          <w:noProof/>
          <w:sz w:val="24"/>
          <w:szCs w:val="24"/>
        </w:rPr>
        <w:t xml:space="preserve">zczególnych państwach członkowskich. </w:t>
      </w:r>
    </w:p>
    <w:p w14:paraId="63A9C793" w14:textId="77777777" w:rsidR="00A4251A" w:rsidRPr="00493A63" w:rsidRDefault="00A4251A" w:rsidP="00347AD0">
      <w:pPr>
        <w:pStyle w:val="ListBullet"/>
        <w:numPr>
          <w:ilvl w:val="0"/>
          <w:numId w:val="0"/>
        </w:numPr>
        <w:rPr>
          <w:noProof/>
          <w:sz w:val="24"/>
          <w:szCs w:val="24"/>
        </w:rPr>
      </w:pPr>
    </w:p>
    <w:p w14:paraId="0FE5DAE4" w14:textId="57D110E5" w:rsidR="00CD2E92" w:rsidRPr="00493A63" w:rsidRDefault="00CD2E92" w:rsidP="00347AD0">
      <w:pPr>
        <w:pStyle w:val="ListBullet"/>
        <w:numPr>
          <w:ilvl w:val="0"/>
          <w:numId w:val="0"/>
        </w:numPr>
        <w:rPr>
          <w:noProof/>
          <w:sz w:val="24"/>
          <w:szCs w:val="24"/>
        </w:rPr>
      </w:pPr>
      <w:r w:rsidRPr="00493A63">
        <w:rPr>
          <w:noProof/>
          <w:sz w:val="24"/>
          <w:szCs w:val="24"/>
        </w:rPr>
        <w:t>Aspekty te często wynikają</w:t>
      </w:r>
      <w:r w:rsidR="00C61CB6" w:rsidRPr="00493A63">
        <w:rPr>
          <w:noProof/>
          <w:sz w:val="24"/>
          <w:szCs w:val="24"/>
        </w:rPr>
        <w:t xml:space="preserve"> z</w:t>
      </w:r>
      <w:r w:rsidR="00C61CB6">
        <w:rPr>
          <w:noProof/>
          <w:sz w:val="24"/>
          <w:szCs w:val="24"/>
        </w:rPr>
        <w:t> </w:t>
      </w:r>
      <w:r w:rsidR="00C61CB6" w:rsidRPr="00493A63">
        <w:rPr>
          <w:noProof/>
          <w:sz w:val="24"/>
          <w:szCs w:val="24"/>
        </w:rPr>
        <w:t>bra</w:t>
      </w:r>
      <w:r w:rsidRPr="00493A63">
        <w:rPr>
          <w:noProof/>
          <w:sz w:val="24"/>
          <w:szCs w:val="24"/>
        </w:rPr>
        <w:t>ku wymaganych oświadczeń lub niekompletnych oświadczeń</w:t>
      </w:r>
      <w:r w:rsidR="00C61CB6" w:rsidRPr="00493A63">
        <w:rPr>
          <w:noProof/>
          <w:sz w:val="24"/>
          <w:szCs w:val="24"/>
        </w:rPr>
        <w:t xml:space="preserve"> w</w:t>
      </w:r>
      <w:r w:rsidR="00C61CB6">
        <w:rPr>
          <w:noProof/>
          <w:sz w:val="24"/>
          <w:szCs w:val="24"/>
        </w:rPr>
        <w:t> </w:t>
      </w:r>
      <w:r w:rsidR="00C61CB6" w:rsidRPr="00493A63">
        <w:rPr>
          <w:noProof/>
          <w:sz w:val="24"/>
          <w:szCs w:val="24"/>
        </w:rPr>
        <w:t>kar</w:t>
      </w:r>
      <w:r w:rsidRPr="00493A63">
        <w:rPr>
          <w:noProof/>
          <w:sz w:val="24"/>
          <w:szCs w:val="24"/>
        </w:rPr>
        <w:t>cie. Większą jasność</w:t>
      </w:r>
      <w:r w:rsidR="00C61CB6" w:rsidRPr="00493A63">
        <w:rPr>
          <w:noProof/>
          <w:sz w:val="24"/>
          <w:szCs w:val="24"/>
        </w:rPr>
        <w:t xml:space="preserve"> w</w:t>
      </w:r>
      <w:r w:rsidR="00C61CB6">
        <w:rPr>
          <w:noProof/>
          <w:sz w:val="24"/>
          <w:szCs w:val="24"/>
        </w:rPr>
        <w:t> </w:t>
      </w:r>
      <w:r w:rsidR="00C61CB6" w:rsidRPr="00493A63">
        <w:rPr>
          <w:noProof/>
          <w:sz w:val="24"/>
          <w:szCs w:val="24"/>
        </w:rPr>
        <w:t>tej</w:t>
      </w:r>
      <w:r w:rsidRPr="00493A63">
        <w:rPr>
          <w:noProof/>
          <w:sz w:val="24"/>
          <w:szCs w:val="24"/>
        </w:rPr>
        <w:t xml:space="preserve"> kwestii pomoże zapewnić zapowiedziane</w:t>
      </w:r>
      <w:r w:rsidR="00C61CB6" w:rsidRPr="00493A63">
        <w:rPr>
          <w:noProof/>
          <w:sz w:val="24"/>
          <w:szCs w:val="24"/>
        </w:rPr>
        <w:t xml:space="preserve"> w</w:t>
      </w:r>
      <w:r w:rsidR="00C61CB6">
        <w:rPr>
          <w:noProof/>
          <w:sz w:val="24"/>
          <w:szCs w:val="24"/>
        </w:rPr>
        <w:t> </w:t>
      </w:r>
      <w:r w:rsidR="00C61CB6" w:rsidRPr="00493A63">
        <w:rPr>
          <w:noProof/>
          <w:sz w:val="24"/>
          <w:szCs w:val="24"/>
        </w:rPr>
        <w:t>Pla</w:t>
      </w:r>
      <w:r w:rsidRPr="00493A63">
        <w:rPr>
          <w:noProof/>
          <w:sz w:val="24"/>
          <w:szCs w:val="24"/>
        </w:rPr>
        <w:t>nie działania UE</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 xml:space="preserve">awie nielegalnego handlu bronią palną na lata 2020–2025 opracowanie przez Komisję </w:t>
      </w:r>
      <w:r w:rsidRPr="00493A63">
        <w:rPr>
          <w:b/>
          <w:noProof/>
          <w:sz w:val="24"/>
          <w:szCs w:val="24"/>
        </w:rPr>
        <w:t>unijnej tabeli odniesienia dotyczącej broni palnej</w:t>
      </w:r>
      <w:r w:rsidRPr="00493A63">
        <w:rPr>
          <w:noProof/>
          <w:sz w:val="24"/>
          <w:szCs w:val="24"/>
        </w:rPr>
        <w:t>. Należy również ocenić, czy wprowadzenie</w:t>
      </w:r>
      <w:r w:rsidR="00C61CB6" w:rsidRPr="00493A63">
        <w:rPr>
          <w:noProof/>
          <w:sz w:val="24"/>
          <w:szCs w:val="24"/>
        </w:rPr>
        <w:t xml:space="preserve"> w</w:t>
      </w:r>
      <w:r w:rsidR="00C61CB6">
        <w:rPr>
          <w:noProof/>
          <w:sz w:val="24"/>
          <w:szCs w:val="24"/>
        </w:rPr>
        <w:t> </w:t>
      </w:r>
      <w:r w:rsidR="00C61CB6" w:rsidRPr="00493A63">
        <w:rPr>
          <w:noProof/>
          <w:sz w:val="24"/>
          <w:szCs w:val="24"/>
        </w:rPr>
        <w:t>peł</w:t>
      </w:r>
      <w:r w:rsidRPr="00493A63">
        <w:rPr>
          <w:noProof/>
          <w:sz w:val="24"/>
          <w:szCs w:val="24"/>
        </w:rPr>
        <w:t>ni cyfrowej europejskiej karty broni palnej umożliwi lepszą wymianę informacji między organami krajowymi.</w:t>
      </w:r>
    </w:p>
    <w:p w14:paraId="29AA09F2" w14:textId="77777777" w:rsidR="00B30E8D" w:rsidRPr="00493A63" w:rsidRDefault="00B30E8D" w:rsidP="0014591F">
      <w:pPr>
        <w:pStyle w:val="Heading2"/>
        <w:rPr>
          <w:noProof/>
        </w:rPr>
      </w:pPr>
      <w:bookmarkStart w:id="22" w:name="_Toc66179170"/>
      <w:r w:rsidRPr="00493A63">
        <w:rPr>
          <w:noProof/>
        </w:rPr>
        <w:t>Śledzenie broni palnej</w:t>
      </w:r>
      <w:bookmarkEnd w:id="22"/>
    </w:p>
    <w:p w14:paraId="7B4C600D" w14:textId="64CB0B07" w:rsidR="00A809E7" w:rsidRPr="00493A63" w:rsidRDefault="00154FB1" w:rsidP="004E3E94">
      <w:pPr>
        <w:pStyle w:val="Heading3"/>
        <w:rPr>
          <w:noProof/>
        </w:rPr>
      </w:pPr>
      <w:bookmarkStart w:id="23" w:name="_Toc66179171"/>
      <w:r w:rsidRPr="00493A63">
        <w:rPr>
          <w:noProof/>
        </w:rPr>
        <w:t>Elektroniczna wymiana informacji dotyczących transferu broni palnej</w:t>
      </w:r>
      <w:bookmarkEnd w:id="23"/>
    </w:p>
    <w:p w14:paraId="3C0DDC71" w14:textId="48DF588F" w:rsidR="00A809E7" w:rsidRPr="00493A63" w:rsidRDefault="00AE2154" w:rsidP="00A809E7">
      <w:pPr>
        <w:rPr>
          <w:noProof/>
          <w:sz w:val="24"/>
          <w:szCs w:val="24"/>
        </w:rPr>
      </w:pPr>
      <w:r w:rsidRPr="00493A63">
        <w:rPr>
          <w:noProof/>
          <w:sz w:val="24"/>
          <w:szCs w:val="24"/>
        </w:rPr>
        <w:t>Równolegle</w:t>
      </w:r>
      <w:r w:rsidR="00C61CB6" w:rsidRPr="00493A63">
        <w:rPr>
          <w:noProof/>
          <w:sz w:val="24"/>
          <w:szCs w:val="24"/>
        </w:rPr>
        <w:t xml:space="preserve"> z</w:t>
      </w:r>
      <w:r w:rsidR="00C61CB6">
        <w:rPr>
          <w:noProof/>
          <w:sz w:val="24"/>
          <w:szCs w:val="24"/>
        </w:rPr>
        <w:t> </w:t>
      </w:r>
      <w:r w:rsidR="00C61CB6" w:rsidRPr="00493A63">
        <w:rPr>
          <w:noProof/>
          <w:sz w:val="24"/>
          <w:szCs w:val="24"/>
        </w:rPr>
        <w:t>prz</w:t>
      </w:r>
      <w:r w:rsidRPr="00493A63">
        <w:rPr>
          <w:noProof/>
          <w:sz w:val="24"/>
          <w:szCs w:val="24"/>
        </w:rPr>
        <w:t>yjęciem rozporządzenia delegowanego (UE) 2019/686 dotyczącego wymiany informacji dotyczących transferu broni palnej (zob. pkt</w:t>
      </w:r>
      <w:r w:rsidR="00493A63" w:rsidRPr="00493A63">
        <w:rPr>
          <w:noProof/>
          <w:sz w:val="24"/>
          <w:szCs w:val="24"/>
        </w:rPr>
        <w:t> </w:t>
      </w:r>
      <w:r w:rsidRPr="00493A63">
        <w:rPr>
          <w:noProof/>
          <w:sz w:val="24"/>
          <w:szCs w:val="24"/>
        </w:rPr>
        <w:t>3 niniejszego sprawozdania) Komisja przyjęła decyzję wykonawczą (UE) 2019/689</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projektu pilotażowego wdrażającego za pośrednictwem systemu wymiany informacji na rynku wewnętrznym określone przepisy dotyczące współpracy administracyjnej ustanowione</w:t>
      </w:r>
      <w:r w:rsidR="00C61CB6" w:rsidRPr="00493A63">
        <w:rPr>
          <w:noProof/>
          <w:sz w:val="24"/>
          <w:szCs w:val="24"/>
        </w:rPr>
        <w:t xml:space="preserve"> w</w:t>
      </w:r>
      <w:r w:rsidR="00C61CB6">
        <w:rPr>
          <w:noProof/>
          <w:sz w:val="24"/>
          <w:szCs w:val="24"/>
        </w:rPr>
        <w:t> </w:t>
      </w:r>
      <w:r w:rsidR="00C61CB6" w:rsidRPr="00493A63">
        <w:rPr>
          <w:noProof/>
          <w:sz w:val="24"/>
          <w:szCs w:val="24"/>
        </w:rPr>
        <w:t>dyr</w:t>
      </w:r>
      <w:r w:rsidRPr="00493A63">
        <w:rPr>
          <w:noProof/>
          <w:sz w:val="24"/>
          <w:szCs w:val="24"/>
        </w:rPr>
        <w:t>ektywie Rady 91/477/EWG</w:t>
      </w:r>
      <w:r w:rsidRPr="00493A63">
        <w:rPr>
          <w:rStyle w:val="FootnoteReference"/>
          <w:noProof/>
          <w:sz w:val="24"/>
          <w:szCs w:val="24"/>
        </w:rPr>
        <w:footnoteReference w:id="30"/>
      </w:r>
      <w:r w:rsidRPr="00493A63">
        <w:rPr>
          <w:noProof/>
          <w:sz w:val="24"/>
          <w:szCs w:val="24"/>
        </w:rPr>
        <w:t xml:space="preserve">, tworząc tym samym tymczasową podstawę prawną wykorzystania tego systemu. </w:t>
      </w:r>
    </w:p>
    <w:p w14:paraId="7ACEAF7E" w14:textId="0E427066" w:rsidR="00A809E7" w:rsidRPr="00493A63" w:rsidRDefault="00DE4C03" w:rsidP="00A809E7">
      <w:pPr>
        <w:rPr>
          <w:noProof/>
          <w:sz w:val="24"/>
          <w:szCs w:val="24"/>
        </w:rPr>
      </w:pPr>
      <w:r w:rsidRPr="00493A63">
        <w:rPr>
          <w:noProof/>
          <w:sz w:val="24"/>
          <w:szCs w:val="24"/>
        </w:rPr>
        <w:t>Komisja zwraca uwagę, że zakres przekazanych jej uprawnień koncentruje się jedynie na wymianie informacji dotyczących pozwoleń na transfer</w:t>
      </w:r>
      <w:r w:rsidR="00C61CB6" w:rsidRPr="00493A63">
        <w:rPr>
          <w:noProof/>
          <w:sz w:val="24"/>
          <w:szCs w:val="24"/>
        </w:rPr>
        <w:t>. W</w:t>
      </w:r>
      <w:r w:rsidR="00C61CB6">
        <w:rPr>
          <w:noProof/>
          <w:sz w:val="24"/>
          <w:szCs w:val="24"/>
        </w:rPr>
        <w:t> </w:t>
      </w:r>
      <w:r w:rsidR="00C61CB6" w:rsidRPr="00493A63">
        <w:rPr>
          <w:noProof/>
          <w:sz w:val="24"/>
          <w:szCs w:val="24"/>
        </w:rPr>
        <w:t>zwi</w:t>
      </w:r>
      <w:r w:rsidRPr="00493A63">
        <w:rPr>
          <w:noProof/>
          <w:sz w:val="24"/>
          <w:szCs w:val="24"/>
        </w:rPr>
        <w:t>ązku</w:t>
      </w:r>
      <w:r w:rsidR="00C61CB6" w:rsidRPr="00493A63">
        <w:rPr>
          <w:noProof/>
          <w:sz w:val="24"/>
          <w:szCs w:val="24"/>
        </w:rPr>
        <w:t xml:space="preserve"> z</w:t>
      </w:r>
      <w:r w:rsidR="00C61CB6">
        <w:rPr>
          <w:noProof/>
          <w:sz w:val="24"/>
          <w:szCs w:val="24"/>
        </w:rPr>
        <w:t> </w:t>
      </w:r>
      <w:r w:rsidR="00C61CB6" w:rsidRPr="00493A63">
        <w:rPr>
          <w:noProof/>
          <w:sz w:val="24"/>
          <w:szCs w:val="24"/>
        </w:rPr>
        <w:t>tym</w:t>
      </w:r>
      <w:r w:rsidRPr="00493A63">
        <w:rPr>
          <w:noProof/>
          <w:sz w:val="24"/>
          <w:szCs w:val="24"/>
        </w:rPr>
        <w:t xml:space="preserve"> Komisja nie może wymagać, aby państwa członkowskie miejsca zamieszkania nabywcy załadowywały do systemu pozwolenia na nabycie broni palnej. Nie może też wymagać, aby wszystkie organy wydające pozwolenia na transfer były bezpośrednio połączone</w:t>
      </w:r>
      <w:r w:rsidR="00C61CB6" w:rsidRPr="00493A63">
        <w:rPr>
          <w:noProof/>
          <w:sz w:val="24"/>
          <w:szCs w:val="24"/>
        </w:rPr>
        <w:t xml:space="preserve"> z</w:t>
      </w:r>
      <w:r w:rsidR="00C61CB6">
        <w:rPr>
          <w:noProof/>
          <w:sz w:val="24"/>
          <w:szCs w:val="24"/>
        </w:rPr>
        <w:t> </w:t>
      </w:r>
      <w:r w:rsidR="00C61CB6" w:rsidRPr="00493A63">
        <w:rPr>
          <w:noProof/>
          <w:sz w:val="24"/>
          <w:szCs w:val="24"/>
        </w:rPr>
        <w:t>sys</w:t>
      </w:r>
      <w:r w:rsidRPr="00493A63">
        <w:rPr>
          <w:noProof/>
          <w:sz w:val="24"/>
          <w:szCs w:val="24"/>
        </w:rPr>
        <w:t xml:space="preserve">temem. Obie te kwestie zakłócały skuteczną wymianę informacji. </w:t>
      </w:r>
    </w:p>
    <w:p w14:paraId="249F6926" w14:textId="025C37C2" w:rsidR="00CD2E92" w:rsidRPr="00493A63" w:rsidRDefault="003359FC" w:rsidP="00CD2E92">
      <w:pPr>
        <w:rPr>
          <w:noProof/>
          <w:sz w:val="24"/>
          <w:szCs w:val="24"/>
        </w:rPr>
      </w:pPr>
      <w:r w:rsidRPr="00493A63">
        <w:rPr>
          <w:noProof/>
          <w:sz w:val="24"/>
          <w:szCs w:val="24"/>
        </w:rPr>
        <w:t>W związku</w:t>
      </w:r>
      <w:r w:rsidR="00C61CB6" w:rsidRPr="00493A63">
        <w:rPr>
          <w:noProof/>
          <w:sz w:val="24"/>
          <w:szCs w:val="24"/>
        </w:rPr>
        <w:t xml:space="preserve"> z</w:t>
      </w:r>
      <w:r w:rsidR="00C61CB6">
        <w:rPr>
          <w:noProof/>
          <w:sz w:val="24"/>
          <w:szCs w:val="24"/>
        </w:rPr>
        <w:t> </w:t>
      </w:r>
      <w:r w:rsidR="00C61CB6" w:rsidRPr="00493A63">
        <w:rPr>
          <w:noProof/>
          <w:sz w:val="24"/>
          <w:szCs w:val="24"/>
        </w:rPr>
        <w:t>pow</w:t>
      </w:r>
      <w:r w:rsidRPr="00493A63">
        <w:rPr>
          <w:noProof/>
          <w:sz w:val="24"/>
          <w:szCs w:val="24"/>
        </w:rPr>
        <w:t>yższym konieczne może być przeprowadzenie oceny wpływu ustanowienia</w:t>
      </w:r>
      <w:r w:rsidR="00C61CB6" w:rsidRPr="00493A63">
        <w:rPr>
          <w:noProof/>
          <w:sz w:val="24"/>
          <w:szCs w:val="24"/>
        </w:rPr>
        <w:t xml:space="preserve"> w</w:t>
      </w:r>
      <w:r w:rsidR="00C61CB6">
        <w:rPr>
          <w:noProof/>
          <w:sz w:val="24"/>
          <w:szCs w:val="24"/>
        </w:rPr>
        <w:t> </w:t>
      </w:r>
      <w:r w:rsidR="00C61CB6" w:rsidRPr="00493A63">
        <w:rPr>
          <w:noProof/>
          <w:sz w:val="24"/>
          <w:szCs w:val="24"/>
        </w:rPr>
        <w:t>sam</w:t>
      </w:r>
      <w:r w:rsidRPr="00493A63">
        <w:rPr>
          <w:noProof/>
          <w:sz w:val="24"/>
          <w:szCs w:val="24"/>
        </w:rPr>
        <w:t>ej dyrektywie</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 wyraźnej podstawy prawnej wykorzystywania systemu wymiany informacji na rynku wewnętrznym oraz doprecyzowania obowiązków organów krajowych.</w:t>
      </w:r>
    </w:p>
    <w:p w14:paraId="43FB1FE9" w14:textId="77777777" w:rsidR="00B30E8D" w:rsidRPr="00493A63" w:rsidRDefault="00B30E8D" w:rsidP="00347AD0">
      <w:pPr>
        <w:pStyle w:val="Heading3"/>
        <w:rPr>
          <w:noProof/>
        </w:rPr>
      </w:pPr>
      <w:bookmarkStart w:id="24" w:name="_Toc66179172"/>
      <w:r w:rsidRPr="00493A63">
        <w:rPr>
          <w:noProof/>
        </w:rPr>
        <w:t>Oznakowanie</w:t>
      </w:r>
      <w:bookmarkEnd w:id="24"/>
    </w:p>
    <w:p w14:paraId="14041533" w14:textId="5A664BC5" w:rsidR="00A809E7" w:rsidRPr="00493A63" w:rsidRDefault="00A3207C" w:rsidP="00F02A17">
      <w:pPr>
        <w:rPr>
          <w:noProof/>
          <w:sz w:val="24"/>
          <w:szCs w:val="24"/>
        </w:rPr>
      </w:pPr>
      <w:r w:rsidRPr="00493A63">
        <w:rPr>
          <w:noProof/>
          <w:sz w:val="24"/>
          <w:szCs w:val="24"/>
        </w:rPr>
        <w:t>Właściwe oznakowanie broni palnej zwiększa możliwość śledzenia takiej broni oraz jej istotnych komponentów</w:t>
      </w:r>
      <w:r w:rsidR="00C61CB6" w:rsidRPr="00493A63">
        <w:rPr>
          <w:noProof/>
          <w:sz w:val="24"/>
          <w:szCs w:val="24"/>
        </w:rPr>
        <w:t>. W</w:t>
      </w:r>
      <w:r w:rsidR="00C61CB6">
        <w:rPr>
          <w:noProof/>
          <w:sz w:val="24"/>
          <w:szCs w:val="24"/>
        </w:rPr>
        <w:t> </w:t>
      </w:r>
      <w:r w:rsidR="00C61CB6" w:rsidRPr="00493A63">
        <w:rPr>
          <w:noProof/>
          <w:sz w:val="24"/>
          <w:szCs w:val="24"/>
        </w:rPr>
        <w:t>tym</w:t>
      </w:r>
      <w:r w:rsidRPr="00493A63">
        <w:rPr>
          <w:noProof/>
          <w:sz w:val="24"/>
          <w:szCs w:val="24"/>
        </w:rPr>
        <w:t xml:space="preserve"> celu</w:t>
      </w:r>
      <w:r w:rsidR="00C61CB6" w:rsidRPr="00493A63">
        <w:rPr>
          <w:noProof/>
          <w:sz w:val="24"/>
          <w:szCs w:val="24"/>
        </w:rPr>
        <w:t xml:space="preserve"> w</w:t>
      </w:r>
      <w:r w:rsidR="00C61CB6">
        <w:rPr>
          <w:noProof/>
          <w:sz w:val="24"/>
          <w:szCs w:val="24"/>
        </w:rPr>
        <w:t> </w:t>
      </w:r>
      <w:r w:rsidR="00C61CB6" w:rsidRPr="00493A63">
        <w:rPr>
          <w:noProof/>
          <w:sz w:val="24"/>
          <w:szCs w:val="24"/>
        </w:rPr>
        <w:t>dyr</w:t>
      </w:r>
      <w:r w:rsidRPr="00493A63">
        <w:rPr>
          <w:noProof/>
          <w:sz w:val="24"/>
          <w:szCs w:val="24"/>
        </w:rPr>
        <w:t>ektywie wykonawczej (UE) 2019/68 dotyczącej oznakowania określono minimalną wielkość czcionki, wspólną metodę znakowania materiałów niemetalowych,</w:t>
      </w:r>
      <w:r w:rsidR="00C61CB6" w:rsidRPr="00493A63">
        <w:rPr>
          <w:noProof/>
          <w:sz w:val="24"/>
          <w:szCs w:val="24"/>
        </w:rPr>
        <w:t xml:space="preserve"> a</w:t>
      </w:r>
      <w:r w:rsidR="00C61CB6">
        <w:rPr>
          <w:noProof/>
          <w:sz w:val="24"/>
          <w:szCs w:val="24"/>
        </w:rPr>
        <w:t> </w:t>
      </w:r>
      <w:r w:rsidR="00C61CB6" w:rsidRPr="00493A63">
        <w:rPr>
          <w:noProof/>
          <w:sz w:val="24"/>
          <w:szCs w:val="24"/>
        </w:rPr>
        <w:t>tak</w:t>
      </w:r>
      <w:r w:rsidRPr="00493A63">
        <w:rPr>
          <w:noProof/>
          <w:sz w:val="24"/>
          <w:szCs w:val="24"/>
        </w:rPr>
        <w:t>że ustanowiono rodzaje alfabetu</w:t>
      </w:r>
      <w:r w:rsidR="00C61CB6" w:rsidRPr="00493A63">
        <w:rPr>
          <w:noProof/>
          <w:sz w:val="24"/>
          <w:szCs w:val="24"/>
        </w:rPr>
        <w:t xml:space="preserve"> i</w:t>
      </w:r>
      <w:r w:rsidR="00C61CB6">
        <w:rPr>
          <w:noProof/>
          <w:sz w:val="24"/>
          <w:szCs w:val="24"/>
        </w:rPr>
        <w:t> </w:t>
      </w:r>
      <w:r w:rsidR="00C61CB6" w:rsidRPr="00493A63">
        <w:rPr>
          <w:noProof/>
          <w:sz w:val="24"/>
          <w:szCs w:val="24"/>
        </w:rPr>
        <w:t>sys</w:t>
      </w:r>
      <w:r w:rsidRPr="00493A63">
        <w:rPr>
          <w:noProof/>
          <w:sz w:val="24"/>
          <w:szCs w:val="24"/>
        </w:rPr>
        <w:t>temu numerycznego stosowane do oznakowania.</w:t>
      </w:r>
    </w:p>
    <w:p w14:paraId="7BADFA0C" w14:textId="2117DDA8" w:rsidR="004A432F" w:rsidRPr="00493A63" w:rsidRDefault="009C00C3" w:rsidP="00A84AA3">
      <w:pPr>
        <w:autoSpaceDE w:val="0"/>
        <w:autoSpaceDN w:val="0"/>
        <w:adjustRightInd w:val="0"/>
        <w:spacing w:after="240" w:line="240" w:lineRule="auto"/>
        <w:rPr>
          <w:noProof/>
          <w:sz w:val="24"/>
          <w:szCs w:val="24"/>
        </w:rPr>
      </w:pPr>
      <w:r w:rsidRPr="00493A63">
        <w:rPr>
          <w:noProof/>
          <w:sz w:val="24"/>
          <w:szCs w:val="24"/>
        </w:rPr>
        <w:t>Przed przyjęciem tej dyrektywy wykonawczej Komisja wskazała, że rok po terminie transpozycji dyrektywy oceniona zostanie kwestia głębokości oznakowania</w:t>
      </w:r>
      <w:r w:rsidR="00C61CB6" w:rsidRPr="00493A63">
        <w:rPr>
          <w:noProof/>
          <w:sz w:val="24"/>
          <w:szCs w:val="24"/>
        </w:rPr>
        <w:t xml:space="preserve"> w</w:t>
      </w:r>
      <w:r w:rsidR="00C61CB6">
        <w:rPr>
          <w:noProof/>
          <w:sz w:val="24"/>
          <w:szCs w:val="24"/>
        </w:rPr>
        <w:t> </w:t>
      </w:r>
      <w:r w:rsidR="00C61CB6" w:rsidRPr="00493A63">
        <w:rPr>
          <w:noProof/>
          <w:sz w:val="24"/>
          <w:szCs w:val="24"/>
        </w:rPr>
        <w:t>cel</w:t>
      </w:r>
      <w:r w:rsidRPr="00493A63">
        <w:rPr>
          <w:noProof/>
          <w:sz w:val="24"/>
          <w:szCs w:val="24"/>
        </w:rPr>
        <w:t>u wprowadzenia</w:t>
      </w:r>
      <w:r w:rsidR="00C61CB6" w:rsidRPr="00493A63">
        <w:rPr>
          <w:noProof/>
          <w:sz w:val="24"/>
          <w:szCs w:val="24"/>
        </w:rPr>
        <w:t xml:space="preserve"> w</w:t>
      </w:r>
      <w:r w:rsidR="00C61CB6">
        <w:rPr>
          <w:noProof/>
          <w:sz w:val="24"/>
          <w:szCs w:val="24"/>
        </w:rPr>
        <w:t> </w:t>
      </w:r>
      <w:r w:rsidR="00C61CB6" w:rsidRPr="00493A63">
        <w:rPr>
          <w:noProof/>
          <w:sz w:val="24"/>
          <w:szCs w:val="24"/>
        </w:rPr>
        <w:t>dyr</w:t>
      </w:r>
      <w:r w:rsidRPr="00493A63">
        <w:rPr>
          <w:noProof/>
          <w:sz w:val="24"/>
          <w:szCs w:val="24"/>
        </w:rPr>
        <w:t>ektywie wykonawczej –</w:t>
      </w:r>
      <w:r w:rsidR="00C61CB6" w:rsidRPr="00493A63">
        <w:rPr>
          <w:noProof/>
          <w:sz w:val="24"/>
          <w:szCs w:val="24"/>
        </w:rPr>
        <w:t xml:space="preserve"> w</w:t>
      </w:r>
      <w:r w:rsidR="00C61CB6">
        <w:rPr>
          <w:noProof/>
          <w:sz w:val="24"/>
          <w:szCs w:val="24"/>
        </w:rPr>
        <w:t> </w:t>
      </w:r>
      <w:r w:rsidR="00C61CB6" w:rsidRPr="00493A63">
        <w:rPr>
          <w:noProof/>
          <w:sz w:val="24"/>
          <w:szCs w:val="24"/>
        </w:rPr>
        <w:t>raz</w:t>
      </w:r>
      <w:r w:rsidRPr="00493A63">
        <w:rPr>
          <w:noProof/>
          <w:sz w:val="24"/>
          <w:szCs w:val="24"/>
        </w:rPr>
        <w:t>ie potrzeby – wymogu</w:t>
      </w:r>
      <w:r w:rsidR="00C61CB6" w:rsidRPr="00493A63">
        <w:rPr>
          <w:noProof/>
          <w:sz w:val="24"/>
          <w:szCs w:val="24"/>
        </w:rPr>
        <w:t xml:space="preserve"> w</w:t>
      </w:r>
      <w:r w:rsidR="00C61CB6">
        <w:rPr>
          <w:noProof/>
          <w:sz w:val="24"/>
          <w:szCs w:val="24"/>
        </w:rPr>
        <w:t> </w:t>
      </w:r>
      <w:r w:rsidR="00C61CB6" w:rsidRPr="00493A63">
        <w:rPr>
          <w:noProof/>
          <w:sz w:val="24"/>
          <w:szCs w:val="24"/>
        </w:rPr>
        <w:t>tym</w:t>
      </w:r>
      <w:r w:rsidRPr="00493A63">
        <w:rPr>
          <w:noProof/>
          <w:sz w:val="24"/>
          <w:szCs w:val="24"/>
        </w:rPr>
        <w:t xml:space="preserve"> zakresie.</w:t>
      </w:r>
    </w:p>
    <w:p w14:paraId="5781B0D1" w14:textId="65AF2D22" w:rsidR="00DE79DC" w:rsidRPr="00493A63" w:rsidRDefault="0033646D" w:rsidP="000B6EEE">
      <w:pPr>
        <w:autoSpaceDE w:val="0"/>
        <w:autoSpaceDN w:val="0"/>
        <w:adjustRightInd w:val="0"/>
        <w:rPr>
          <w:noProof/>
          <w:sz w:val="24"/>
          <w:szCs w:val="24"/>
        </w:rPr>
      </w:pPr>
      <w:r w:rsidRPr="00493A63">
        <w:rPr>
          <w:noProof/>
          <w:sz w:val="24"/>
          <w:szCs w:val="24"/>
        </w:rPr>
        <w:t>Państwa członkowskie nie osiągnęły konsensusu co do minimalnej głębokości oznakowania, która wynosi od</w:t>
      </w:r>
      <w:r w:rsidR="00493A63" w:rsidRPr="00493A63">
        <w:rPr>
          <w:noProof/>
          <w:sz w:val="24"/>
          <w:szCs w:val="24"/>
        </w:rPr>
        <w:t> </w:t>
      </w:r>
      <w:r w:rsidRPr="00493A63">
        <w:rPr>
          <w:noProof/>
          <w:sz w:val="24"/>
          <w:szCs w:val="24"/>
        </w:rPr>
        <w:t>0,02 mm do</w:t>
      </w:r>
      <w:r w:rsidR="00493A63" w:rsidRPr="00493A63">
        <w:rPr>
          <w:noProof/>
          <w:sz w:val="24"/>
          <w:szCs w:val="24"/>
        </w:rPr>
        <w:t> </w:t>
      </w:r>
      <w:r w:rsidRPr="00493A63">
        <w:rPr>
          <w:noProof/>
          <w:sz w:val="24"/>
          <w:szCs w:val="24"/>
        </w:rPr>
        <w:t>0,08 mm,</w:t>
      </w:r>
      <w:r w:rsidR="00C61CB6" w:rsidRPr="00493A63">
        <w:rPr>
          <w:noProof/>
          <w:sz w:val="24"/>
          <w:szCs w:val="24"/>
        </w:rPr>
        <w:t xml:space="preserve"> a</w:t>
      </w:r>
      <w:r w:rsidR="00C61CB6">
        <w:rPr>
          <w:noProof/>
          <w:sz w:val="24"/>
          <w:szCs w:val="24"/>
        </w:rPr>
        <w:t> </w:t>
      </w:r>
      <w:r w:rsidR="00C61CB6" w:rsidRPr="00493A63">
        <w:rPr>
          <w:noProof/>
          <w:sz w:val="24"/>
          <w:szCs w:val="24"/>
        </w:rPr>
        <w:t>róż</w:t>
      </w:r>
      <w:r w:rsidRPr="00493A63">
        <w:rPr>
          <w:noProof/>
          <w:sz w:val="24"/>
          <w:szCs w:val="24"/>
        </w:rPr>
        <w:t>nice te wynikają głównie</w:t>
      </w:r>
      <w:r w:rsidR="00C61CB6" w:rsidRPr="00493A63">
        <w:rPr>
          <w:noProof/>
          <w:sz w:val="24"/>
          <w:szCs w:val="24"/>
        </w:rPr>
        <w:t xml:space="preserve"> z</w:t>
      </w:r>
      <w:r w:rsidR="00C61CB6">
        <w:rPr>
          <w:noProof/>
          <w:sz w:val="24"/>
          <w:szCs w:val="24"/>
        </w:rPr>
        <w:t> </w:t>
      </w:r>
      <w:r w:rsidR="00C61CB6" w:rsidRPr="00493A63">
        <w:rPr>
          <w:noProof/>
          <w:sz w:val="24"/>
          <w:szCs w:val="24"/>
        </w:rPr>
        <w:t>prz</w:t>
      </w:r>
      <w:r w:rsidRPr="00493A63">
        <w:rPr>
          <w:noProof/>
          <w:sz w:val="24"/>
          <w:szCs w:val="24"/>
        </w:rPr>
        <w:t>yczyn handlowych. Ani</w:t>
      </w:r>
      <w:r w:rsidR="00C61CB6" w:rsidRPr="00493A63">
        <w:rPr>
          <w:noProof/>
          <w:sz w:val="24"/>
          <w:szCs w:val="24"/>
        </w:rPr>
        <w:t xml:space="preserve"> w</w:t>
      </w:r>
      <w:r w:rsidR="00C61CB6">
        <w:rPr>
          <w:noProof/>
          <w:sz w:val="24"/>
          <w:szCs w:val="24"/>
        </w:rPr>
        <w:t> </w:t>
      </w:r>
      <w:r w:rsidR="00C61CB6" w:rsidRPr="00493A63">
        <w:rPr>
          <w:noProof/>
          <w:sz w:val="24"/>
          <w:szCs w:val="24"/>
        </w:rPr>
        <w:t>dyr</w:t>
      </w:r>
      <w:r w:rsidRPr="00493A63">
        <w:rPr>
          <w:noProof/>
          <w:sz w:val="24"/>
          <w:szCs w:val="24"/>
        </w:rPr>
        <w:t>ektywie</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 ani</w:t>
      </w:r>
      <w:r w:rsidR="00C61CB6" w:rsidRPr="00493A63">
        <w:rPr>
          <w:noProof/>
          <w:sz w:val="24"/>
          <w:szCs w:val="24"/>
        </w:rPr>
        <w:t xml:space="preserve"> w</w:t>
      </w:r>
      <w:r w:rsidR="00C61CB6">
        <w:rPr>
          <w:noProof/>
          <w:sz w:val="24"/>
          <w:szCs w:val="24"/>
        </w:rPr>
        <w:t> </w:t>
      </w:r>
      <w:r w:rsidR="00C61CB6" w:rsidRPr="00493A63">
        <w:rPr>
          <w:noProof/>
          <w:sz w:val="24"/>
          <w:szCs w:val="24"/>
        </w:rPr>
        <w:t>dyr</w:t>
      </w:r>
      <w:r w:rsidRPr="00493A63">
        <w:rPr>
          <w:noProof/>
          <w:sz w:val="24"/>
          <w:szCs w:val="24"/>
        </w:rPr>
        <w:t>ektywie wykonawczej dotyczącej oznakowania nie przewidziano konkretnej technologii oznakowania. Co za tym idzie, wszystkie technologie zapewniające „czytelne, trwałe</w:t>
      </w:r>
      <w:r w:rsidR="00C61CB6" w:rsidRPr="00493A63">
        <w:rPr>
          <w:noProof/>
          <w:sz w:val="24"/>
          <w:szCs w:val="24"/>
        </w:rPr>
        <w:t xml:space="preserve"> i</w:t>
      </w:r>
      <w:r w:rsidR="00C61CB6">
        <w:rPr>
          <w:noProof/>
          <w:sz w:val="24"/>
          <w:szCs w:val="24"/>
        </w:rPr>
        <w:t> </w:t>
      </w:r>
      <w:r w:rsidR="00C61CB6" w:rsidRPr="00493A63">
        <w:rPr>
          <w:noProof/>
          <w:sz w:val="24"/>
          <w:szCs w:val="24"/>
        </w:rPr>
        <w:t>nie</w:t>
      </w:r>
      <w:r w:rsidRPr="00493A63">
        <w:rPr>
          <w:noProof/>
          <w:sz w:val="24"/>
          <w:szCs w:val="24"/>
        </w:rPr>
        <w:t>powtarzalne” oznakowanie (np. grawerowanie mechaniczne, grawerowanie laserowe czy stemplowanie) mogą być zgodne</w:t>
      </w:r>
      <w:r w:rsidR="00C61CB6" w:rsidRPr="00493A63">
        <w:rPr>
          <w:noProof/>
          <w:sz w:val="24"/>
          <w:szCs w:val="24"/>
        </w:rPr>
        <w:t xml:space="preserve"> z</w:t>
      </w:r>
      <w:r w:rsidR="00C61CB6">
        <w:rPr>
          <w:noProof/>
          <w:sz w:val="24"/>
          <w:szCs w:val="24"/>
        </w:rPr>
        <w:t> </w:t>
      </w:r>
      <w:r w:rsidR="00C61CB6" w:rsidRPr="00493A63">
        <w:rPr>
          <w:noProof/>
          <w:sz w:val="24"/>
          <w:szCs w:val="24"/>
        </w:rPr>
        <w:t>dyr</w:t>
      </w:r>
      <w:r w:rsidRPr="00493A63">
        <w:rPr>
          <w:noProof/>
          <w:sz w:val="24"/>
          <w:szCs w:val="24"/>
        </w:rPr>
        <w:t xml:space="preserve">ektywą. </w:t>
      </w:r>
    </w:p>
    <w:p w14:paraId="211B4376" w14:textId="52CA0047" w:rsidR="00F10D30" w:rsidRPr="00493A63" w:rsidRDefault="00DE79DC" w:rsidP="000B6EEE">
      <w:pPr>
        <w:autoSpaceDE w:val="0"/>
        <w:autoSpaceDN w:val="0"/>
        <w:adjustRightInd w:val="0"/>
        <w:rPr>
          <w:noProof/>
          <w:sz w:val="24"/>
          <w:szCs w:val="24"/>
        </w:rPr>
      </w:pPr>
      <w:r w:rsidRPr="00493A63">
        <w:rPr>
          <w:noProof/>
          <w:sz w:val="24"/>
          <w:szCs w:val="24"/>
        </w:rPr>
        <w:t>Wspólne podejście unijne zapewniłoby możliwość odzyskiwania usuniętego oznakowania,</w:t>
      </w:r>
      <w:r w:rsidR="00C61CB6" w:rsidRPr="00493A63">
        <w:rPr>
          <w:noProof/>
          <w:sz w:val="24"/>
          <w:szCs w:val="24"/>
        </w:rPr>
        <w:t xml:space="preserve"> a</w:t>
      </w:r>
      <w:r w:rsidR="00C61CB6">
        <w:rPr>
          <w:noProof/>
          <w:sz w:val="24"/>
          <w:szCs w:val="24"/>
        </w:rPr>
        <w:t> </w:t>
      </w:r>
      <w:r w:rsidR="00C61CB6" w:rsidRPr="00493A63">
        <w:rPr>
          <w:noProof/>
          <w:sz w:val="24"/>
          <w:szCs w:val="24"/>
        </w:rPr>
        <w:t>tak</w:t>
      </w:r>
      <w:r w:rsidRPr="00493A63">
        <w:rPr>
          <w:noProof/>
          <w:sz w:val="24"/>
          <w:szCs w:val="24"/>
        </w:rPr>
        <w:t>że zapobiegałoby ustanawianiu jakichkolwiek nieuzasadnionych przeszkód technicznych</w:t>
      </w:r>
      <w:r w:rsidR="00C61CB6" w:rsidRPr="00493A63">
        <w:rPr>
          <w:noProof/>
          <w:sz w:val="24"/>
          <w:szCs w:val="24"/>
        </w:rPr>
        <w:t xml:space="preserve"> w</w:t>
      </w:r>
      <w:r w:rsidR="00C61CB6">
        <w:rPr>
          <w:noProof/>
          <w:sz w:val="24"/>
          <w:szCs w:val="24"/>
        </w:rPr>
        <w:t> </w:t>
      </w:r>
      <w:r w:rsidR="00C61CB6" w:rsidRPr="00493A63">
        <w:rPr>
          <w:noProof/>
          <w:sz w:val="24"/>
          <w:szCs w:val="24"/>
        </w:rPr>
        <w:t>leg</w:t>
      </w:r>
      <w:r w:rsidRPr="00493A63">
        <w:rPr>
          <w:noProof/>
          <w:sz w:val="24"/>
          <w:szCs w:val="24"/>
        </w:rPr>
        <w:t>alnym handlu bronią palną między państwami członkowskimi</w:t>
      </w:r>
      <w:r w:rsidR="00C61CB6" w:rsidRPr="00493A63">
        <w:rPr>
          <w:noProof/>
          <w:sz w:val="24"/>
          <w:szCs w:val="24"/>
        </w:rPr>
        <w:t>. W</w:t>
      </w:r>
      <w:r w:rsidR="00C61CB6">
        <w:rPr>
          <w:noProof/>
          <w:sz w:val="24"/>
          <w:szCs w:val="24"/>
        </w:rPr>
        <w:t> </w:t>
      </w:r>
      <w:r w:rsidR="00C61CB6" w:rsidRPr="00493A63">
        <w:rPr>
          <w:noProof/>
          <w:sz w:val="24"/>
          <w:szCs w:val="24"/>
        </w:rPr>
        <w:t>zwi</w:t>
      </w:r>
      <w:r w:rsidRPr="00493A63">
        <w:rPr>
          <w:noProof/>
          <w:sz w:val="24"/>
          <w:szCs w:val="24"/>
        </w:rPr>
        <w:t>ązku</w:t>
      </w:r>
      <w:r w:rsidR="00C61CB6" w:rsidRPr="00493A63">
        <w:rPr>
          <w:noProof/>
          <w:sz w:val="24"/>
          <w:szCs w:val="24"/>
        </w:rPr>
        <w:t xml:space="preserve"> z</w:t>
      </w:r>
      <w:r w:rsidR="00C61CB6">
        <w:rPr>
          <w:noProof/>
          <w:sz w:val="24"/>
          <w:szCs w:val="24"/>
        </w:rPr>
        <w:t> </w:t>
      </w:r>
      <w:r w:rsidR="00C61CB6" w:rsidRPr="00493A63">
        <w:rPr>
          <w:noProof/>
          <w:sz w:val="24"/>
          <w:szCs w:val="24"/>
        </w:rPr>
        <w:t>tym</w:t>
      </w:r>
      <w:r w:rsidRPr="00493A63">
        <w:rPr>
          <w:noProof/>
          <w:sz w:val="24"/>
          <w:szCs w:val="24"/>
        </w:rPr>
        <w:t xml:space="preserve"> Komisja będzie korzystać ze sprawozdań technicznych krajowych wydziałów balistycznych oraz urzędów testujących</w:t>
      </w:r>
      <w:r w:rsidR="00C61CB6" w:rsidRPr="00493A63">
        <w:rPr>
          <w:noProof/>
          <w:sz w:val="24"/>
          <w:szCs w:val="24"/>
        </w:rPr>
        <w:t xml:space="preserve"> i</w:t>
      </w:r>
      <w:r w:rsidR="00C61CB6">
        <w:rPr>
          <w:noProof/>
          <w:sz w:val="24"/>
          <w:szCs w:val="24"/>
        </w:rPr>
        <w:t> </w:t>
      </w:r>
      <w:r w:rsidR="00C61CB6" w:rsidRPr="00493A63">
        <w:rPr>
          <w:noProof/>
          <w:sz w:val="24"/>
          <w:szCs w:val="24"/>
        </w:rPr>
        <w:t>cer</w:t>
      </w:r>
      <w:r w:rsidRPr="00493A63">
        <w:rPr>
          <w:noProof/>
          <w:sz w:val="24"/>
          <w:szCs w:val="24"/>
        </w:rPr>
        <w:t>tyfikujących broń palną,</w:t>
      </w:r>
      <w:r w:rsidR="00C61CB6" w:rsidRPr="00493A63">
        <w:rPr>
          <w:noProof/>
          <w:sz w:val="24"/>
          <w:szCs w:val="24"/>
        </w:rPr>
        <w:t xml:space="preserve"> a</w:t>
      </w:r>
      <w:r w:rsidR="00C61CB6">
        <w:rPr>
          <w:noProof/>
          <w:sz w:val="24"/>
          <w:szCs w:val="24"/>
        </w:rPr>
        <w:t> </w:t>
      </w:r>
      <w:r w:rsidR="00C61CB6" w:rsidRPr="00493A63">
        <w:rPr>
          <w:noProof/>
          <w:sz w:val="24"/>
          <w:szCs w:val="24"/>
        </w:rPr>
        <w:t>tak</w:t>
      </w:r>
      <w:r w:rsidRPr="00493A63">
        <w:rPr>
          <w:noProof/>
          <w:sz w:val="24"/>
          <w:szCs w:val="24"/>
        </w:rPr>
        <w:t>że oceni zalety</w:t>
      </w:r>
      <w:r w:rsidR="00C61CB6" w:rsidRPr="00493A63">
        <w:rPr>
          <w:noProof/>
          <w:sz w:val="24"/>
          <w:szCs w:val="24"/>
        </w:rPr>
        <w:t xml:space="preserve"> i</w:t>
      </w:r>
      <w:r w:rsidR="00C61CB6">
        <w:rPr>
          <w:noProof/>
          <w:sz w:val="24"/>
          <w:szCs w:val="24"/>
        </w:rPr>
        <w:t> </w:t>
      </w:r>
      <w:r w:rsidR="00C61CB6" w:rsidRPr="00493A63">
        <w:rPr>
          <w:noProof/>
          <w:sz w:val="24"/>
          <w:szCs w:val="24"/>
        </w:rPr>
        <w:t>wad</w:t>
      </w:r>
      <w:r w:rsidRPr="00493A63">
        <w:rPr>
          <w:noProof/>
          <w:sz w:val="24"/>
          <w:szCs w:val="24"/>
        </w:rPr>
        <w:t>y poszczególnych wariantów</w:t>
      </w:r>
      <w:r w:rsidR="00C61CB6" w:rsidRPr="00493A63">
        <w:rPr>
          <w:noProof/>
          <w:sz w:val="24"/>
          <w:szCs w:val="24"/>
        </w:rPr>
        <w:t>. W</w:t>
      </w:r>
      <w:r w:rsidR="00C61CB6">
        <w:rPr>
          <w:noProof/>
          <w:sz w:val="24"/>
          <w:szCs w:val="24"/>
        </w:rPr>
        <w:t> </w:t>
      </w:r>
      <w:r w:rsidR="00C61CB6" w:rsidRPr="00493A63">
        <w:rPr>
          <w:noProof/>
          <w:sz w:val="24"/>
          <w:szCs w:val="24"/>
        </w:rPr>
        <w:t>ram</w:t>
      </w:r>
      <w:r w:rsidRPr="00493A63">
        <w:rPr>
          <w:noProof/>
          <w:sz w:val="24"/>
          <w:szCs w:val="24"/>
        </w:rPr>
        <w:t>ach komitetu ds. broni palnej prowadzone będą dalsze dyskusje</w:t>
      </w:r>
      <w:r w:rsidR="00C61CB6" w:rsidRPr="00493A63">
        <w:rPr>
          <w:noProof/>
          <w:sz w:val="24"/>
          <w:szCs w:val="24"/>
        </w:rPr>
        <w:t xml:space="preserve"> w</w:t>
      </w:r>
      <w:r w:rsidR="00C61CB6">
        <w:rPr>
          <w:noProof/>
          <w:sz w:val="24"/>
          <w:szCs w:val="24"/>
        </w:rPr>
        <w:t> </w:t>
      </w:r>
      <w:r w:rsidR="00C61CB6" w:rsidRPr="00493A63">
        <w:rPr>
          <w:noProof/>
          <w:sz w:val="24"/>
          <w:szCs w:val="24"/>
        </w:rPr>
        <w:t>cel</w:t>
      </w:r>
      <w:r w:rsidRPr="00493A63">
        <w:rPr>
          <w:noProof/>
          <w:sz w:val="24"/>
          <w:szCs w:val="24"/>
        </w:rPr>
        <w:t>u oceny wpływu aktualizacji dyrektywy wykonawczej (UE) 2019/68.</w:t>
      </w:r>
    </w:p>
    <w:p w14:paraId="2DF7C6AE" w14:textId="70ACE997" w:rsidR="00A84AA3" w:rsidRPr="00493A63" w:rsidRDefault="00A84AA3" w:rsidP="004E3E94">
      <w:pPr>
        <w:pStyle w:val="Heading3"/>
        <w:rPr>
          <w:noProof/>
        </w:rPr>
      </w:pPr>
      <w:bookmarkStart w:id="25" w:name="_Toc66179173"/>
      <w:r w:rsidRPr="00493A63">
        <w:rPr>
          <w:noProof/>
        </w:rPr>
        <w:t>Technologie służące usprawnieniu śledzenia</w:t>
      </w:r>
      <w:r w:rsidR="00C61CB6" w:rsidRPr="00493A63">
        <w:rPr>
          <w:noProof/>
        </w:rPr>
        <w:t xml:space="preserve"> i</w:t>
      </w:r>
      <w:r w:rsidR="00C61CB6">
        <w:rPr>
          <w:noProof/>
        </w:rPr>
        <w:t> </w:t>
      </w:r>
      <w:r w:rsidR="00C61CB6" w:rsidRPr="00493A63">
        <w:rPr>
          <w:noProof/>
        </w:rPr>
        <w:t>zwi</w:t>
      </w:r>
      <w:r w:rsidRPr="00493A63">
        <w:rPr>
          <w:noProof/>
        </w:rPr>
        <w:t>ększeniu bezpieczeństwa</w:t>
      </w:r>
      <w:r w:rsidR="00C61CB6" w:rsidRPr="00493A63">
        <w:rPr>
          <w:noProof/>
        </w:rPr>
        <w:t xml:space="preserve"> i</w:t>
      </w:r>
      <w:r w:rsidR="00C61CB6">
        <w:rPr>
          <w:noProof/>
        </w:rPr>
        <w:t> </w:t>
      </w:r>
      <w:r w:rsidR="00C61CB6" w:rsidRPr="00493A63">
        <w:rPr>
          <w:noProof/>
        </w:rPr>
        <w:t>och</w:t>
      </w:r>
      <w:r w:rsidRPr="00493A63">
        <w:rPr>
          <w:noProof/>
        </w:rPr>
        <w:t>rony nabywania</w:t>
      </w:r>
      <w:r w:rsidR="00C61CB6" w:rsidRPr="00493A63">
        <w:rPr>
          <w:noProof/>
        </w:rPr>
        <w:t xml:space="preserve"> i</w:t>
      </w:r>
      <w:r w:rsidR="00C61CB6">
        <w:rPr>
          <w:noProof/>
        </w:rPr>
        <w:t> </w:t>
      </w:r>
      <w:r w:rsidR="00C61CB6" w:rsidRPr="00493A63">
        <w:rPr>
          <w:noProof/>
        </w:rPr>
        <w:t>pos</w:t>
      </w:r>
      <w:r w:rsidRPr="00493A63">
        <w:rPr>
          <w:noProof/>
        </w:rPr>
        <w:t>iadania broni</w:t>
      </w:r>
      <w:bookmarkEnd w:id="25"/>
    </w:p>
    <w:p w14:paraId="7EC8AB81" w14:textId="18D93E48" w:rsidR="00E853FA" w:rsidRPr="00493A63" w:rsidRDefault="00E853FA" w:rsidP="00347AD0">
      <w:pPr>
        <w:rPr>
          <w:b/>
          <w:noProof/>
          <w:sz w:val="24"/>
          <w:szCs w:val="24"/>
        </w:rPr>
      </w:pPr>
      <w:r w:rsidRPr="00493A63">
        <w:rPr>
          <w:b/>
          <w:noProof/>
          <w:sz w:val="24"/>
          <w:szCs w:val="24"/>
        </w:rPr>
        <w:t>Kody QR</w:t>
      </w:r>
      <w:r w:rsidRPr="00493A63">
        <w:rPr>
          <w:noProof/>
          <w:sz w:val="24"/>
          <w:szCs w:val="24"/>
        </w:rPr>
        <w:t xml:space="preserve"> (ang. </w:t>
      </w:r>
      <w:r w:rsidRPr="00493A63">
        <w:rPr>
          <w:i/>
          <w:noProof/>
          <w:sz w:val="24"/>
          <w:szCs w:val="24"/>
        </w:rPr>
        <w:t>Quick-Response</w:t>
      </w:r>
      <w:r w:rsidRPr="00493A63">
        <w:rPr>
          <w:noProof/>
          <w:sz w:val="24"/>
          <w:szCs w:val="24"/>
        </w:rPr>
        <w:t>, tj. szybka odpowiedź) to rodzaj dwuwymiarowego kodu kreskowego, który może przechowywać informacje</w:t>
      </w:r>
      <w:r w:rsidR="00C61CB6" w:rsidRPr="00493A63">
        <w:rPr>
          <w:noProof/>
          <w:sz w:val="24"/>
          <w:szCs w:val="24"/>
        </w:rPr>
        <w:t xml:space="preserve"> w</w:t>
      </w:r>
      <w:r w:rsidR="00C61CB6">
        <w:rPr>
          <w:noProof/>
          <w:sz w:val="24"/>
          <w:szCs w:val="24"/>
        </w:rPr>
        <w:t> </w:t>
      </w:r>
      <w:r w:rsidR="00C61CB6" w:rsidRPr="00493A63">
        <w:rPr>
          <w:noProof/>
          <w:sz w:val="24"/>
          <w:szCs w:val="24"/>
        </w:rPr>
        <w:t>opt</w:t>
      </w:r>
      <w:r w:rsidRPr="00493A63">
        <w:rPr>
          <w:noProof/>
          <w:sz w:val="24"/>
          <w:szCs w:val="24"/>
        </w:rPr>
        <w:t>ycznym oznakowaniu nadającym się do odczytu maszynowego</w:t>
      </w:r>
      <w:r w:rsidR="00C61CB6" w:rsidRPr="00493A63">
        <w:rPr>
          <w:noProof/>
          <w:sz w:val="24"/>
          <w:szCs w:val="24"/>
        </w:rPr>
        <w:t>. W</w:t>
      </w:r>
      <w:r w:rsidR="00C61CB6">
        <w:rPr>
          <w:noProof/>
          <w:sz w:val="24"/>
          <w:szCs w:val="24"/>
        </w:rPr>
        <w:t> </w:t>
      </w:r>
      <w:r w:rsidR="00C61CB6" w:rsidRPr="00493A63">
        <w:rPr>
          <w:noProof/>
          <w:sz w:val="24"/>
          <w:szCs w:val="24"/>
        </w:rPr>
        <w:t>por</w:t>
      </w:r>
      <w:r w:rsidRPr="00493A63">
        <w:rPr>
          <w:noProof/>
          <w:sz w:val="24"/>
          <w:szCs w:val="24"/>
        </w:rPr>
        <w:t>ównaniu</w:t>
      </w:r>
      <w:r w:rsidR="00C61CB6" w:rsidRPr="00493A63">
        <w:rPr>
          <w:noProof/>
          <w:sz w:val="24"/>
          <w:szCs w:val="24"/>
        </w:rPr>
        <w:t xml:space="preserve"> z</w:t>
      </w:r>
      <w:r w:rsidR="00C61CB6">
        <w:rPr>
          <w:noProof/>
          <w:sz w:val="24"/>
          <w:szCs w:val="24"/>
        </w:rPr>
        <w:t> </w:t>
      </w:r>
      <w:r w:rsidR="00C61CB6" w:rsidRPr="00493A63">
        <w:rPr>
          <w:noProof/>
          <w:sz w:val="24"/>
          <w:szCs w:val="24"/>
        </w:rPr>
        <w:t>jed</w:t>
      </w:r>
      <w:r w:rsidRPr="00493A63">
        <w:rPr>
          <w:noProof/>
          <w:sz w:val="24"/>
          <w:szCs w:val="24"/>
        </w:rPr>
        <w:t>nowymiarowymi kodami kreskowymi kody QR umożliwiają gromadzenie większej liczby danych.</w:t>
      </w:r>
    </w:p>
    <w:p w14:paraId="05FAC760" w14:textId="0AC8222E" w:rsidR="00E853FA" w:rsidRPr="00493A63" w:rsidRDefault="005E3CFD" w:rsidP="00A84AA3">
      <w:pPr>
        <w:rPr>
          <w:b/>
          <w:noProof/>
          <w:sz w:val="24"/>
          <w:szCs w:val="24"/>
        </w:rPr>
      </w:pPr>
      <w:r w:rsidRPr="00493A63">
        <w:rPr>
          <w:noProof/>
          <w:sz w:val="24"/>
          <w:szCs w:val="24"/>
        </w:rPr>
        <w:t>Koszt kodów QR jest stosunkowo niewielki. Obecnie są one stosowane na broni palnej głównie do celów inwentaryzacji, szczególnie</w:t>
      </w:r>
      <w:r w:rsidR="00C61CB6" w:rsidRPr="00493A63">
        <w:rPr>
          <w:noProof/>
          <w:sz w:val="24"/>
          <w:szCs w:val="24"/>
        </w:rPr>
        <w:t xml:space="preserve"> w</w:t>
      </w:r>
      <w:r w:rsidR="00C61CB6">
        <w:rPr>
          <w:noProof/>
          <w:sz w:val="24"/>
          <w:szCs w:val="24"/>
        </w:rPr>
        <w:t> </w:t>
      </w:r>
      <w:r w:rsidR="00C61CB6" w:rsidRPr="00493A63">
        <w:rPr>
          <w:noProof/>
          <w:sz w:val="24"/>
          <w:szCs w:val="24"/>
        </w:rPr>
        <w:t>pos</w:t>
      </w:r>
      <w:r w:rsidRPr="00493A63">
        <w:rPr>
          <w:noProof/>
          <w:sz w:val="24"/>
          <w:szCs w:val="24"/>
        </w:rPr>
        <w:t>taci naklejek</w:t>
      </w:r>
      <w:r w:rsidR="00C61CB6" w:rsidRPr="00493A63">
        <w:rPr>
          <w:noProof/>
          <w:sz w:val="24"/>
          <w:szCs w:val="24"/>
        </w:rPr>
        <w:t xml:space="preserve"> z</w:t>
      </w:r>
      <w:r w:rsidR="00C61CB6">
        <w:rPr>
          <w:noProof/>
          <w:sz w:val="24"/>
          <w:szCs w:val="24"/>
        </w:rPr>
        <w:t> </w:t>
      </w:r>
      <w:r w:rsidR="00C61CB6" w:rsidRPr="00493A63">
        <w:rPr>
          <w:noProof/>
          <w:sz w:val="24"/>
          <w:szCs w:val="24"/>
        </w:rPr>
        <w:t>kod</w:t>
      </w:r>
      <w:r w:rsidRPr="00493A63">
        <w:rPr>
          <w:noProof/>
          <w:sz w:val="24"/>
          <w:szCs w:val="24"/>
        </w:rPr>
        <w:t>em QR</w:t>
      </w:r>
      <w:r w:rsidRPr="00493A63">
        <w:rPr>
          <w:rStyle w:val="FootnoteReference"/>
          <w:noProof/>
          <w:sz w:val="24"/>
          <w:szCs w:val="24"/>
        </w:rPr>
        <w:footnoteReference w:id="31"/>
      </w:r>
      <w:r w:rsidRPr="00493A63">
        <w:rPr>
          <w:noProof/>
        </w:rPr>
        <w:t>.</w:t>
      </w:r>
      <w:r w:rsidRPr="00493A63">
        <w:rPr>
          <w:noProof/>
          <w:sz w:val="24"/>
          <w:szCs w:val="24"/>
        </w:rPr>
        <w:t xml:space="preserve"> </w:t>
      </w:r>
    </w:p>
    <w:p w14:paraId="73F6672F" w14:textId="74A2E69D" w:rsidR="00E853FA" w:rsidRPr="00493A63" w:rsidRDefault="00E853FA" w:rsidP="00A84AA3">
      <w:pPr>
        <w:rPr>
          <w:noProof/>
          <w:sz w:val="24"/>
          <w:szCs w:val="24"/>
        </w:rPr>
      </w:pPr>
      <w:r w:rsidRPr="00493A63">
        <w:rPr>
          <w:b/>
          <w:noProof/>
          <w:sz w:val="24"/>
          <w:szCs w:val="24"/>
        </w:rPr>
        <w:t>Kody kreskowe DataMatrix</w:t>
      </w:r>
      <w:r w:rsidRPr="00493A63">
        <w:rPr>
          <w:noProof/>
          <w:sz w:val="24"/>
          <w:szCs w:val="24"/>
        </w:rPr>
        <w:t>, podobnie jak kody QR, składają się</w:t>
      </w:r>
      <w:r w:rsidR="00C61CB6" w:rsidRPr="00493A63">
        <w:rPr>
          <w:noProof/>
          <w:sz w:val="24"/>
          <w:szCs w:val="24"/>
        </w:rPr>
        <w:t xml:space="preserve"> z</w:t>
      </w:r>
      <w:r w:rsidR="00C61CB6">
        <w:rPr>
          <w:noProof/>
          <w:sz w:val="24"/>
          <w:szCs w:val="24"/>
        </w:rPr>
        <w:t> </w:t>
      </w:r>
      <w:r w:rsidR="00C61CB6" w:rsidRPr="00493A63">
        <w:rPr>
          <w:noProof/>
          <w:sz w:val="24"/>
          <w:szCs w:val="24"/>
        </w:rPr>
        <w:t>cza</w:t>
      </w:r>
      <w:r w:rsidRPr="00493A63">
        <w:rPr>
          <w:noProof/>
          <w:sz w:val="24"/>
          <w:szCs w:val="24"/>
        </w:rPr>
        <w:t>rnych</w:t>
      </w:r>
      <w:r w:rsidR="00C61CB6" w:rsidRPr="00493A63">
        <w:rPr>
          <w:noProof/>
          <w:sz w:val="24"/>
          <w:szCs w:val="24"/>
        </w:rPr>
        <w:t xml:space="preserve"> i</w:t>
      </w:r>
      <w:r w:rsidR="00C61CB6">
        <w:rPr>
          <w:noProof/>
          <w:sz w:val="24"/>
          <w:szCs w:val="24"/>
        </w:rPr>
        <w:t> </w:t>
      </w:r>
      <w:r w:rsidR="00C61CB6" w:rsidRPr="00493A63">
        <w:rPr>
          <w:noProof/>
          <w:sz w:val="24"/>
          <w:szCs w:val="24"/>
        </w:rPr>
        <w:t>bia</w:t>
      </w:r>
      <w:r w:rsidRPr="00493A63">
        <w:rPr>
          <w:noProof/>
          <w:sz w:val="24"/>
          <w:szCs w:val="24"/>
        </w:rPr>
        <w:t>łych modułów ułożonych wewnątrz kwadratowego wzoru.</w:t>
      </w:r>
    </w:p>
    <w:p w14:paraId="04CD0255" w14:textId="08B64C23" w:rsidR="00E853FA" w:rsidRPr="00493A63" w:rsidRDefault="00E853FA" w:rsidP="00A84AA3">
      <w:pPr>
        <w:rPr>
          <w:noProof/>
          <w:sz w:val="24"/>
          <w:szCs w:val="24"/>
        </w:rPr>
      </w:pPr>
      <w:r w:rsidRPr="00493A63">
        <w:rPr>
          <w:noProof/>
          <w:sz w:val="24"/>
          <w:szCs w:val="24"/>
        </w:rPr>
        <w:t>Zapewniają one niepowtarzalny numer seryjny</w:t>
      </w:r>
      <w:r w:rsidR="00C61CB6" w:rsidRPr="00493A63">
        <w:rPr>
          <w:noProof/>
          <w:sz w:val="24"/>
          <w:szCs w:val="24"/>
        </w:rPr>
        <w:t xml:space="preserve"> i</w:t>
      </w:r>
      <w:r w:rsidR="00C61CB6">
        <w:rPr>
          <w:noProof/>
          <w:sz w:val="24"/>
          <w:szCs w:val="24"/>
        </w:rPr>
        <w:t> </w:t>
      </w:r>
      <w:r w:rsidR="00C61CB6" w:rsidRPr="00493A63">
        <w:rPr>
          <w:noProof/>
          <w:sz w:val="24"/>
          <w:szCs w:val="24"/>
        </w:rPr>
        <w:t>num</w:t>
      </w:r>
      <w:r w:rsidRPr="00493A63">
        <w:rPr>
          <w:noProof/>
          <w:sz w:val="24"/>
          <w:szCs w:val="24"/>
        </w:rPr>
        <w:t>er identyfikacyjny producenta</w:t>
      </w:r>
      <w:r w:rsidR="00C61CB6" w:rsidRPr="00493A63">
        <w:rPr>
          <w:noProof/>
          <w:sz w:val="24"/>
          <w:szCs w:val="24"/>
        </w:rPr>
        <w:t>. W</w:t>
      </w:r>
      <w:r w:rsidR="00C61CB6">
        <w:rPr>
          <w:noProof/>
          <w:sz w:val="24"/>
          <w:szCs w:val="24"/>
        </w:rPr>
        <w:t> </w:t>
      </w:r>
      <w:r w:rsidR="00C61CB6" w:rsidRPr="00493A63">
        <w:rPr>
          <w:noProof/>
          <w:sz w:val="24"/>
          <w:szCs w:val="24"/>
        </w:rPr>
        <w:t>prz</w:t>
      </w:r>
      <w:r w:rsidRPr="00493A63">
        <w:rPr>
          <w:noProof/>
          <w:sz w:val="24"/>
          <w:szCs w:val="24"/>
        </w:rPr>
        <w:t>ypadku zniszczenia kodu wykazano większą możliwość odzyskania danych zapisanych</w:t>
      </w:r>
      <w:r w:rsidR="00C61CB6" w:rsidRPr="00493A63">
        <w:rPr>
          <w:noProof/>
          <w:sz w:val="24"/>
          <w:szCs w:val="24"/>
        </w:rPr>
        <w:t xml:space="preserve"> w</w:t>
      </w:r>
      <w:r w:rsidR="00C61CB6">
        <w:rPr>
          <w:noProof/>
          <w:sz w:val="24"/>
          <w:szCs w:val="24"/>
        </w:rPr>
        <w:t> </w:t>
      </w:r>
      <w:r w:rsidR="00C61CB6" w:rsidRPr="00493A63">
        <w:rPr>
          <w:noProof/>
          <w:sz w:val="24"/>
          <w:szCs w:val="24"/>
        </w:rPr>
        <w:t>kod</w:t>
      </w:r>
      <w:r w:rsidRPr="00493A63">
        <w:rPr>
          <w:noProof/>
          <w:sz w:val="24"/>
          <w:szCs w:val="24"/>
        </w:rPr>
        <w:t>ach DataMatrix niż danych zapisanych</w:t>
      </w:r>
      <w:r w:rsidR="00C61CB6" w:rsidRPr="00493A63">
        <w:rPr>
          <w:noProof/>
          <w:sz w:val="24"/>
          <w:szCs w:val="24"/>
        </w:rPr>
        <w:t xml:space="preserve"> w</w:t>
      </w:r>
      <w:r w:rsidR="00C61CB6">
        <w:rPr>
          <w:noProof/>
          <w:sz w:val="24"/>
          <w:szCs w:val="24"/>
        </w:rPr>
        <w:t> </w:t>
      </w:r>
      <w:r w:rsidR="00C61CB6" w:rsidRPr="00493A63">
        <w:rPr>
          <w:noProof/>
          <w:sz w:val="24"/>
          <w:szCs w:val="24"/>
        </w:rPr>
        <w:t>kod</w:t>
      </w:r>
      <w:r w:rsidRPr="00493A63">
        <w:rPr>
          <w:noProof/>
          <w:sz w:val="24"/>
          <w:szCs w:val="24"/>
        </w:rPr>
        <w:t>ach QR</w:t>
      </w:r>
      <w:r w:rsidRPr="00493A63">
        <w:rPr>
          <w:rStyle w:val="FootnoteReference"/>
          <w:noProof/>
          <w:sz w:val="24"/>
          <w:szCs w:val="24"/>
        </w:rPr>
        <w:footnoteReference w:id="32"/>
      </w:r>
      <w:r w:rsidRPr="00493A63">
        <w:rPr>
          <w:noProof/>
        </w:rPr>
        <w:t>.</w:t>
      </w:r>
      <w:r w:rsidR="00493A63" w:rsidRPr="00493A63">
        <w:rPr>
          <w:noProof/>
          <w:sz w:val="24"/>
          <w:szCs w:val="24"/>
        </w:rPr>
        <w:t xml:space="preserve"> </w:t>
      </w:r>
      <w:r w:rsidRPr="00493A63">
        <w:rPr>
          <w:noProof/>
          <w:sz w:val="24"/>
          <w:szCs w:val="24"/>
        </w:rPr>
        <w:t>Kody DataMatrix uznaje się za najlepszy sposób przechowywania informacji</w:t>
      </w:r>
      <w:r w:rsidR="00C61CB6" w:rsidRPr="00493A63">
        <w:rPr>
          <w:noProof/>
          <w:sz w:val="24"/>
          <w:szCs w:val="24"/>
        </w:rPr>
        <w:t xml:space="preserve"> w</w:t>
      </w:r>
      <w:r w:rsidR="00C61CB6">
        <w:rPr>
          <w:noProof/>
          <w:sz w:val="24"/>
          <w:szCs w:val="24"/>
        </w:rPr>
        <w:t> </w:t>
      </w:r>
      <w:r w:rsidR="00C61CB6" w:rsidRPr="00493A63">
        <w:rPr>
          <w:noProof/>
          <w:sz w:val="24"/>
          <w:szCs w:val="24"/>
        </w:rPr>
        <w:t>bar</w:t>
      </w:r>
      <w:r w:rsidRPr="00493A63">
        <w:rPr>
          <w:noProof/>
          <w:sz w:val="24"/>
          <w:szCs w:val="24"/>
        </w:rPr>
        <w:t>dzo małej przestrzeni</w:t>
      </w:r>
      <w:r w:rsidRPr="00493A63">
        <w:rPr>
          <w:rStyle w:val="FootnoteReference"/>
          <w:noProof/>
          <w:sz w:val="24"/>
          <w:szCs w:val="24"/>
        </w:rPr>
        <w:footnoteReference w:id="33"/>
      </w:r>
      <w:r w:rsidRPr="00493A63">
        <w:rPr>
          <w:noProof/>
        </w:rPr>
        <w:t>.</w:t>
      </w:r>
      <w:r w:rsidRPr="00493A63">
        <w:rPr>
          <w:noProof/>
          <w:sz w:val="24"/>
          <w:szCs w:val="24"/>
        </w:rPr>
        <w:t xml:space="preserve"> </w:t>
      </w:r>
    </w:p>
    <w:p w14:paraId="47DF2DA7" w14:textId="2E8A137F" w:rsidR="0027264B" w:rsidRPr="00493A63" w:rsidRDefault="0027264B" w:rsidP="00A84AA3">
      <w:pPr>
        <w:rPr>
          <w:noProof/>
          <w:sz w:val="24"/>
          <w:szCs w:val="24"/>
        </w:rPr>
      </w:pPr>
      <w:r w:rsidRPr="00493A63">
        <w:rPr>
          <w:noProof/>
          <w:sz w:val="24"/>
          <w:szCs w:val="24"/>
        </w:rPr>
        <w:t>Dotychczas Komisja nie uzyskała informacji na temat tego, które państwa członkowskie stosują kody QR lub kody DataMatrix</w:t>
      </w:r>
      <w:r w:rsidR="00C61CB6" w:rsidRPr="00493A63">
        <w:rPr>
          <w:noProof/>
          <w:sz w:val="24"/>
          <w:szCs w:val="24"/>
        </w:rPr>
        <w:t xml:space="preserve"> w</w:t>
      </w:r>
      <w:r w:rsidR="00C61CB6">
        <w:rPr>
          <w:noProof/>
          <w:sz w:val="24"/>
          <w:szCs w:val="24"/>
        </w:rPr>
        <w:t> </w:t>
      </w:r>
      <w:r w:rsidR="00C61CB6" w:rsidRPr="00493A63">
        <w:rPr>
          <w:noProof/>
          <w:sz w:val="24"/>
          <w:szCs w:val="24"/>
        </w:rPr>
        <w:t>cel</w:t>
      </w:r>
      <w:r w:rsidRPr="00493A63">
        <w:rPr>
          <w:noProof/>
          <w:sz w:val="24"/>
          <w:szCs w:val="24"/>
        </w:rPr>
        <w:t>u monitorowania</w:t>
      </w:r>
      <w:r w:rsidR="00C61CB6" w:rsidRPr="00493A63">
        <w:rPr>
          <w:noProof/>
          <w:sz w:val="24"/>
          <w:szCs w:val="24"/>
        </w:rPr>
        <w:t xml:space="preserve"> i</w:t>
      </w:r>
      <w:r w:rsidR="00C61CB6">
        <w:rPr>
          <w:noProof/>
          <w:sz w:val="24"/>
          <w:szCs w:val="24"/>
        </w:rPr>
        <w:t> </w:t>
      </w:r>
      <w:r w:rsidR="00C61CB6" w:rsidRPr="00493A63">
        <w:rPr>
          <w:noProof/>
          <w:sz w:val="24"/>
          <w:szCs w:val="24"/>
        </w:rPr>
        <w:t>śle</w:t>
      </w:r>
      <w:r w:rsidRPr="00493A63">
        <w:rPr>
          <w:noProof/>
          <w:sz w:val="24"/>
          <w:szCs w:val="24"/>
        </w:rPr>
        <w:t xml:space="preserve">dzenia broni palnej. </w:t>
      </w:r>
    </w:p>
    <w:p w14:paraId="57E7310A" w14:textId="0539056A" w:rsidR="00DB732C" w:rsidRPr="00493A63" w:rsidRDefault="00DB732C" w:rsidP="00A84AA3">
      <w:pPr>
        <w:rPr>
          <w:noProof/>
          <w:sz w:val="24"/>
          <w:szCs w:val="24"/>
        </w:rPr>
      </w:pPr>
      <w:r w:rsidRPr="00493A63">
        <w:rPr>
          <w:noProof/>
          <w:sz w:val="24"/>
          <w:szCs w:val="24"/>
        </w:rPr>
        <w:t>Przeszkodą</w:t>
      </w:r>
      <w:r w:rsidR="00C61CB6" w:rsidRPr="00493A63">
        <w:rPr>
          <w:noProof/>
          <w:sz w:val="24"/>
          <w:szCs w:val="24"/>
        </w:rPr>
        <w:t xml:space="preserve"> w</w:t>
      </w:r>
      <w:r w:rsidR="00C61CB6">
        <w:rPr>
          <w:noProof/>
          <w:sz w:val="24"/>
          <w:szCs w:val="24"/>
        </w:rPr>
        <w:t> </w:t>
      </w:r>
      <w:r w:rsidR="00C61CB6" w:rsidRPr="00493A63">
        <w:rPr>
          <w:noProof/>
          <w:sz w:val="24"/>
          <w:szCs w:val="24"/>
        </w:rPr>
        <w:t>roz</w:t>
      </w:r>
      <w:r w:rsidRPr="00493A63">
        <w:rPr>
          <w:noProof/>
          <w:sz w:val="24"/>
          <w:szCs w:val="24"/>
        </w:rPr>
        <w:t>powszechnieniu stosowania kodów QR na rynku broni palnej mogą być obawy związane</w:t>
      </w:r>
      <w:r w:rsidR="00C61CB6" w:rsidRPr="00493A63">
        <w:rPr>
          <w:noProof/>
          <w:sz w:val="24"/>
          <w:szCs w:val="24"/>
        </w:rPr>
        <w:t xml:space="preserve"> z</w:t>
      </w:r>
      <w:r w:rsidR="00C61CB6">
        <w:rPr>
          <w:noProof/>
          <w:sz w:val="24"/>
          <w:szCs w:val="24"/>
        </w:rPr>
        <w:t> </w:t>
      </w:r>
      <w:r w:rsidR="00C61CB6" w:rsidRPr="00493A63">
        <w:rPr>
          <w:noProof/>
          <w:sz w:val="24"/>
          <w:szCs w:val="24"/>
        </w:rPr>
        <w:t>bez</w:t>
      </w:r>
      <w:r w:rsidRPr="00493A63">
        <w:rPr>
          <w:noProof/>
          <w:sz w:val="24"/>
          <w:szCs w:val="24"/>
        </w:rPr>
        <w:t>pieczeństwem, ponieważ takie kody mogą być celem hakerów, którzy za ich pośrednictwem mogą zainfekować czytniki</w:t>
      </w:r>
      <w:r w:rsidR="00C61CB6" w:rsidRPr="00493A63">
        <w:rPr>
          <w:noProof/>
          <w:sz w:val="24"/>
          <w:szCs w:val="24"/>
        </w:rPr>
        <w:t xml:space="preserve"> i</w:t>
      </w:r>
      <w:r w:rsidR="00C61CB6">
        <w:rPr>
          <w:noProof/>
          <w:sz w:val="24"/>
          <w:szCs w:val="24"/>
        </w:rPr>
        <w:t> </w:t>
      </w:r>
      <w:r w:rsidR="00C61CB6" w:rsidRPr="00493A63">
        <w:rPr>
          <w:noProof/>
          <w:sz w:val="24"/>
          <w:szCs w:val="24"/>
        </w:rPr>
        <w:t>sie</w:t>
      </w:r>
      <w:r w:rsidRPr="00493A63">
        <w:rPr>
          <w:noProof/>
          <w:sz w:val="24"/>
          <w:szCs w:val="24"/>
        </w:rPr>
        <w:t>ci służące do odczytu danych. Dlatego systemy te nie zawsze cieszą się zaufaniem zarówno ze strony firm, jak</w:t>
      </w:r>
      <w:r w:rsidR="00C61CB6" w:rsidRPr="00493A63">
        <w:rPr>
          <w:noProof/>
          <w:sz w:val="24"/>
          <w:szCs w:val="24"/>
        </w:rPr>
        <w:t xml:space="preserve"> i</w:t>
      </w:r>
      <w:r w:rsidR="00C61CB6">
        <w:rPr>
          <w:noProof/>
          <w:sz w:val="24"/>
          <w:szCs w:val="24"/>
        </w:rPr>
        <w:t> </w:t>
      </w:r>
      <w:r w:rsidR="00C61CB6" w:rsidRPr="00493A63">
        <w:rPr>
          <w:noProof/>
          <w:sz w:val="24"/>
          <w:szCs w:val="24"/>
        </w:rPr>
        <w:t>kon</w:t>
      </w:r>
      <w:r w:rsidRPr="00493A63">
        <w:rPr>
          <w:noProof/>
          <w:sz w:val="24"/>
          <w:szCs w:val="24"/>
        </w:rPr>
        <w:t>sumentów.</w:t>
      </w:r>
    </w:p>
    <w:p w14:paraId="5B513083" w14:textId="09AC2994" w:rsidR="00DB732C" w:rsidRPr="00493A63" w:rsidRDefault="005E3CFD" w:rsidP="00A84AA3">
      <w:pPr>
        <w:rPr>
          <w:noProof/>
          <w:sz w:val="24"/>
          <w:szCs w:val="24"/>
        </w:rPr>
      </w:pPr>
      <w:r w:rsidRPr="00493A63">
        <w:rPr>
          <w:noProof/>
          <w:sz w:val="24"/>
          <w:szCs w:val="24"/>
        </w:rPr>
        <w:t>Ponadto, ponieważ nie można bezpośrednio odczytać kodu QR,</w:t>
      </w:r>
      <w:r w:rsidR="00C61CB6" w:rsidRPr="00493A63">
        <w:rPr>
          <w:noProof/>
          <w:sz w:val="24"/>
          <w:szCs w:val="24"/>
        </w:rPr>
        <w:t xml:space="preserve"> a</w:t>
      </w:r>
      <w:r w:rsidR="00C61CB6">
        <w:rPr>
          <w:noProof/>
          <w:sz w:val="24"/>
          <w:szCs w:val="24"/>
        </w:rPr>
        <w:t> </w:t>
      </w:r>
      <w:r w:rsidR="00C61CB6" w:rsidRPr="00493A63">
        <w:rPr>
          <w:noProof/>
          <w:sz w:val="24"/>
          <w:szCs w:val="24"/>
        </w:rPr>
        <w:t>zaw</w:t>
      </w:r>
      <w:r w:rsidRPr="00493A63">
        <w:rPr>
          <w:noProof/>
          <w:sz w:val="24"/>
          <w:szCs w:val="24"/>
        </w:rPr>
        <w:t>artych</w:t>
      </w:r>
      <w:r w:rsidR="00C61CB6" w:rsidRPr="00493A63">
        <w:rPr>
          <w:noProof/>
          <w:sz w:val="24"/>
          <w:szCs w:val="24"/>
        </w:rPr>
        <w:t xml:space="preserve"> w</w:t>
      </w:r>
      <w:r w:rsidR="00C61CB6">
        <w:rPr>
          <w:noProof/>
          <w:sz w:val="24"/>
          <w:szCs w:val="24"/>
        </w:rPr>
        <w:t> </w:t>
      </w:r>
      <w:r w:rsidR="00C61CB6" w:rsidRPr="00493A63">
        <w:rPr>
          <w:noProof/>
          <w:sz w:val="24"/>
          <w:szCs w:val="24"/>
        </w:rPr>
        <w:t>nim</w:t>
      </w:r>
      <w:r w:rsidRPr="00493A63">
        <w:rPr>
          <w:noProof/>
          <w:sz w:val="24"/>
          <w:szCs w:val="24"/>
        </w:rPr>
        <w:t xml:space="preserve"> informacji nie można uzyskać bez czytnika, mogą pojawić się wątpliwości co do wykonalności stosowania tej technologii przez organy ścigania dokonujące konfiskat broni palnej (policję, organy celne, straż graniczną itp.). </w:t>
      </w:r>
    </w:p>
    <w:p w14:paraId="54BEF04C" w14:textId="517129F9" w:rsidR="00E853FA" w:rsidRPr="00493A63" w:rsidRDefault="00E853FA" w:rsidP="00A84AA3">
      <w:pPr>
        <w:rPr>
          <w:noProof/>
          <w:sz w:val="24"/>
          <w:szCs w:val="24"/>
        </w:rPr>
      </w:pPr>
      <w:r w:rsidRPr="00493A63">
        <w:rPr>
          <w:noProof/>
          <w:sz w:val="24"/>
          <w:szCs w:val="24"/>
        </w:rPr>
        <w:t>Alternatywą</w:t>
      </w:r>
      <w:r w:rsidR="00C61CB6" w:rsidRPr="00493A63">
        <w:rPr>
          <w:noProof/>
          <w:sz w:val="24"/>
          <w:szCs w:val="24"/>
        </w:rPr>
        <w:t xml:space="preserve"> w</w:t>
      </w:r>
      <w:r w:rsidR="00C61CB6">
        <w:rPr>
          <w:noProof/>
          <w:sz w:val="24"/>
          <w:szCs w:val="24"/>
        </w:rPr>
        <w:t> </w:t>
      </w:r>
      <w:r w:rsidR="00C61CB6" w:rsidRPr="00493A63">
        <w:rPr>
          <w:noProof/>
          <w:sz w:val="24"/>
          <w:szCs w:val="24"/>
        </w:rPr>
        <w:t>prz</w:t>
      </w:r>
      <w:r w:rsidRPr="00493A63">
        <w:rPr>
          <w:noProof/>
          <w:sz w:val="24"/>
          <w:szCs w:val="24"/>
        </w:rPr>
        <w:t xml:space="preserve">ypadku śledzenia broni palnej lub wzmocnieniem klasycznego oznakowania może być </w:t>
      </w:r>
      <w:r w:rsidRPr="00493A63">
        <w:rPr>
          <w:b/>
          <w:noProof/>
          <w:sz w:val="24"/>
          <w:szCs w:val="24"/>
        </w:rPr>
        <w:t>identyfikacja radiowa (RFID)</w:t>
      </w:r>
      <w:r w:rsidRPr="00493A63">
        <w:rPr>
          <w:noProof/>
          <w:sz w:val="24"/>
          <w:szCs w:val="24"/>
        </w:rPr>
        <w:t>. RFID umożliwia dokonanie transferu danych</w:t>
      </w:r>
      <w:r w:rsidR="00C61CB6" w:rsidRPr="00493A63">
        <w:rPr>
          <w:noProof/>
          <w:sz w:val="24"/>
          <w:szCs w:val="24"/>
        </w:rPr>
        <w:t xml:space="preserve"> w</w:t>
      </w:r>
      <w:r w:rsidR="00C61CB6">
        <w:rPr>
          <w:noProof/>
          <w:sz w:val="24"/>
          <w:szCs w:val="24"/>
        </w:rPr>
        <w:t> </w:t>
      </w:r>
      <w:r w:rsidR="00C61CB6" w:rsidRPr="00493A63">
        <w:rPr>
          <w:noProof/>
          <w:sz w:val="24"/>
          <w:szCs w:val="24"/>
        </w:rPr>
        <w:t>cel</w:t>
      </w:r>
      <w:r w:rsidRPr="00493A63">
        <w:rPr>
          <w:noProof/>
          <w:sz w:val="24"/>
          <w:szCs w:val="24"/>
        </w:rPr>
        <w:t>u automatycznego zidentyfikowania</w:t>
      </w:r>
      <w:r w:rsidR="00C61CB6" w:rsidRPr="00493A63">
        <w:rPr>
          <w:noProof/>
          <w:sz w:val="24"/>
          <w:szCs w:val="24"/>
        </w:rPr>
        <w:t xml:space="preserve"> i</w:t>
      </w:r>
      <w:r w:rsidR="00C61CB6">
        <w:rPr>
          <w:noProof/>
          <w:sz w:val="24"/>
          <w:szCs w:val="24"/>
        </w:rPr>
        <w:t> </w:t>
      </w:r>
      <w:r w:rsidR="00C61CB6" w:rsidRPr="00493A63">
        <w:rPr>
          <w:noProof/>
          <w:sz w:val="24"/>
          <w:szCs w:val="24"/>
        </w:rPr>
        <w:t>śle</w:t>
      </w:r>
      <w:r w:rsidRPr="00493A63">
        <w:rPr>
          <w:noProof/>
          <w:sz w:val="24"/>
          <w:szCs w:val="24"/>
        </w:rPr>
        <w:t>dzenia znaczników przypisanych do obiektu. Technologia ta pozwala ustanowić powiązanie między bronią palną</w:t>
      </w:r>
      <w:r w:rsidR="00C61CB6" w:rsidRPr="00493A63">
        <w:rPr>
          <w:noProof/>
          <w:sz w:val="24"/>
          <w:szCs w:val="24"/>
        </w:rPr>
        <w:t xml:space="preserve"> a</w:t>
      </w:r>
      <w:r w:rsidR="00C61CB6">
        <w:rPr>
          <w:noProof/>
          <w:sz w:val="24"/>
          <w:szCs w:val="24"/>
        </w:rPr>
        <w:t> </w:t>
      </w:r>
      <w:r w:rsidR="00C61CB6" w:rsidRPr="00493A63">
        <w:rPr>
          <w:noProof/>
          <w:sz w:val="24"/>
          <w:szCs w:val="24"/>
        </w:rPr>
        <w:t>obi</w:t>
      </w:r>
      <w:r w:rsidRPr="00493A63">
        <w:rPr>
          <w:noProof/>
          <w:sz w:val="24"/>
          <w:szCs w:val="24"/>
        </w:rPr>
        <w:t>ektem, który aktywuje ją, kiedy znajduje się</w:t>
      </w:r>
      <w:r w:rsidR="00C61CB6" w:rsidRPr="00493A63">
        <w:rPr>
          <w:noProof/>
          <w:sz w:val="24"/>
          <w:szCs w:val="24"/>
        </w:rPr>
        <w:t xml:space="preserve"> w</w:t>
      </w:r>
      <w:r w:rsidR="00C61CB6">
        <w:rPr>
          <w:noProof/>
          <w:sz w:val="24"/>
          <w:szCs w:val="24"/>
        </w:rPr>
        <w:t> </w:t>
      </w:r>
      <w:r w:rsidR="00C61CB6" w:rsidRPr="00493A63">
        <w:rPr>
          <w:noProof/>
          <w:sz w:val="24"/>
          <w:szCs w:val="24"/>
        </w:rPr>
        <w:t>jej</w:t>
      </w:r>
      <w:r w:rsidRPr="00493A63">
        <w:rPr>
          <w:noProof/>
          <w:sz w:val="24"/>
          <w:szCs w:val="24"/>
        </w:rPr>
        <w:t xml:space="preserve"> pobliżu. </w:t>
      </w:r>
    </w:p>
    <w:p w14:paraId="3C15843A" w14:textId="706F409A" w:rsidR="00E853FA" w:rsidRPr="00493A63" w:rsidRDefault="00103365" w:rsidP="00A84AA3">
      <w:pPr>
        <w:rPr>
          <w:noProof/>
          <w:sz w:val="24"/>
          <w:szCs w:val="24"/>
        </w:rPr>
      </w:pPr>
      <w:r w:rsidRPr="00493A63">
        <w:rPr>
          <w:noProof/>
          <w:sz w:val="24"/>
          <w:szCs w:val="24"/>
        </w:rPr>
        <w:t>Niektóre testy wykazały, że wykorzystanie miniaturowych niedrogich znaczników RFID na metalach sprawdza się również</w:t>
      </w:r>
      <w:r w:rsidR="00C61CB6" w:rsidRPr="00493A63">
        <w:rPr>
          <w:noProof/>
          <w:sz w:val="24"/>
          <w:szCs w:val="24"/>
        </w:rPr>
        <w:t xml:space="preserve"> w</w:t>
      </w:r>
      <w:r w:rsidR="00C61CB6">
        <w:rPr>
          <w:noProof/>
          <w:sz w:val="24"/>
          <w:szCs w:val="24"/>
        </w:rPr>
        <w:t> </w:t>
      </w:r>
      <w:r w:rsidR="00C61CB6" w:rsidRPr="00493A63">
        <w:rPr>
          <w:noProof/>
          <w:sz w:val="24"/>
          <w:szCs w:val="24"/>
        </w:rPr>
        <w:t>prz</w:t>
      </w:r>
      <w:r w:rsidRPr="00493A63">
        <w:rPr>
          <w:noProof/>
          <w:sz w:val="24"/>
          <w:szCs w:val="24"/>
        </w:rPr>
        <w:t>ypadku śledzenia broni palnej</w:t>
      </w:r>
      <w:r w:rsidRPr="00493A63">
        <w:rPr>
          <w:rStyle w:val="FootnoteReference"/>
          <w:noProof/>
          <w:sz w:val="24"/>
          <w:szCs w:val="24"/>
        </w:rPr>
        <w:footnoteReference w:id="34"/>
      </w:r>
      <w:r w:rsidRPr="00493A63">
        <w:rPr>
          <w:noProof/>
          <w:sz w:val="24"/>
          <w:szCs w:val="24"/>
        </w:rPr>
        <w:t>. Ponadto technologia RFID stosowana</w:t>
      </w:r>
      <w:r w:rsidR="00C61CB6" w:rsidRPr="00493A63">
        <w:rPr>
          <w:noProof/>
          <w:sz w:val="24"/>
          <w:szCs w:val="24"/>
        </w:rPr>
        <w:t xml:space="preserve"> z</w:t>
      </w:r>
      <w:r w:rsidR="00C61CB6">
        <w:rPr>
          <w:noProof/>
          <w:sz w:val="24"/>
          <w:szCs w:val="24"/>
        </w:rPr>
        <w:t> </w:t>
      </w:r>
      <w:r w:rsidR="00C61CB6" w:rsidRPr="00493A63">
        <w:rPr>
          <w:noProof/>
          <w:sz w:val="24"/>
          <w:szCs w:val="24"/>
        </w:rPr>
        <w:t>kon</w:t>
      </w:r>
      <w:r w:rsidRPr="00493A63">
        <w:rPr>
          <w:noProof/>
          <w:sz w:val="24"/>
          <w:szCs w:val="24"/>
        </w:rPr>
        <w:t>kretnym oprogramowaniem umożliwia śledzenie lokalizacji broni palnej, śledzenie danych dotyczących utrzymania broni palnej oraz monitorowanie zmian</w:t>
      </w:r>
      <w:r w:rsidR="00C61CB6" w:rsidRPr="00493A63">
        <w:rPr>
          <w:noProof/>
          <w:sz w:val="24"/>
          <w:szCs w:val="24"/>
        </w:rPr>
        <w:t xml:space="preserve"> w</w:t>
      </w:r>
      <w:r w:rsidR="00C61CB6">
        <w:rPr>
          <w:noProof/>
          <w:sz w:val="24"/>
          <w:szCs w:val="24"/>
        </w:rPr>
        <w:t> </w:t>
      </w:r>
      <w:r w:rsidR="00C61CB6" w:rsidRPr="00493A63">
        <w:rPr>
          <w:noProof/>
          <w:sz w:val="24"/>
          <w:szCs w:val="24"/>
        </w:rPr>
        <w:t>prz</w:t>
      </w:r>
      <w:r w:rsidRPr="00493A63">
        <w:rPr>
          <w:noProof/>
          <w:sz w:val="24"/>
          <w:szCs w:val="24"/>
        </w:rPr>
        <w:t>echowywaniu broni palnej</w:t>
      </w:r>
      <w:r w:rsidRPr="00493A63">
        <w:rPr>
          <w:rStyle w:val="FootnoteReference"/>
          <w:noProof/>
          <w:sz w:val="24"/>
          <w:szCs w:val="24"/>
        </w:rPr>
        <w:footnoteReference w:id="35"/>
      </w:r>
      <w:r w:rsidRPr="00493A63">
        <w:rPr>
          <w:noProof/>
        </w:rPr>
        <w:t>.</w:t>
      </w:r>
      <w:r w:rsidRPr="00493A63">
        <w:rPr>
          <w:noProof/>
          <w:sz w:val="24"/>
          <w:szCs w:val="24"/>
        </w:rPr>
        <w:t xml:space="preserve"> </w:t>
      </w:r>
    </w:p>
    <w:p w14:paraId="207E7F23" w14:textId="3BE82BDC" w:rsidR="00D34FAE" w:rsidRPr="00493A63" w:rsidRDefault="005D2B72" w:rsidP="00A84AA3">
      <w:pPr>
        <w:rPr>
          <w:noProof/>
          <w:sz w:val="24"/>
          <w:szCs w:val="24"/>
        </w:rPr>
      </w:pPr>
      <w:r w:rsidRPr="00493A63">
        <w:rPr>
          <w:noProof/>
          <w:sz w:val="24"/>
          <w:szCs w:val="24"/>
        </w:rPr>
        <w:t>Pojawiły się zastrzeżenia co do stosowania tej technologii, ponieważ może ona być wykorzystywana do gromadzenia informacji, które są bezpośrednio lub pośrednio powiązane</w:t>
      </w:r>
      <w:r w:rsidR="00C61CB6" w:rsidRPr="00493A63">
        <w:rPr>
          <w:noProof/>
          <w:sz w:val="24"/>
          <w:szCs w:val="24"/>
        </w:rPr>
        <w:t xml:space="preserve"> z</w:t>
      </w:r>
      <w:r w:rsidR="00C61CB6">
        <w:rPr>
          <w:noProof/>
          <w:sz w:val="24"/>
          <w:szCs w:val="24"/>
        </w:rPr>
        <w:t> </w:t>
      </w:r>
      <w:r w:rsidR="00C61CB6" w:rsidRPr="00493A63">
        <w:rPr>
          <w:noProof/>
          <w:sz w:val="24"/>
          <w:szCs w:val="24"/>
        </w:rPr>
        <w:t>oso</w:t>
      </w:r>
      <w:r w:rsidRPr="00493A63">
        <w:rPr>
          <w:noProof/>
          <w:sz w:val="24"/>
          <w:szCs w:val="24"/>
        </w:rPr>
        <w:t>bą możliwą do zidentyfikowania lub zidentyfikowaną</w:t>
      </w:r>
      <w:r w:rsidRPr="00493A63">
        <w:rPr>
          <w:rStyle w:val="FootnoteReference"/>
          <w:noProof/>
          <w:sz w:val="24"/>
          <w:szCs w:val="24"/>
        </w:rPr>
        <w:footnoteReference w:id="36"/>
      </w:r>
      <w:r w:rsidRPr="00493A63">
        <w:rPr>
          <w:noProof/>
        </w:rPr>
        <w:t>.</w:t>
      </w:r>
      <w:r w:rsidRPr="00493A63">
        <w:rPr>
          <w:noProof/>
          <w:sz w:val="24"/>
          <w:szCs w:val="24"/>
        </w:rPr>
        <w:t xml:space="preserve"> Ponadto istnieje ryzyko związane</w:t>
      </w:r>
      <w:r w:rsidR="00C61CB6" w:rsidRPr="00493A63">
        <w:rPr>
          <w:noProof/>
          <w:sz w:val="24"/>
          <w:szCs w:val="24"/>
        </w:rPr>
        <w:t xml:space="preserve"> z</w:t>
      </w:r>
      <w:r w:rsidR="00C61CB6">
        <w:rPr>
          <w:noProof/>
          <w:sz w:val="24"/>
          <w:szCs w:val="24"/>
        </w:rPr>
        <w:t> </w:t>
      </w:r>
      <w:r w:rsidR="00C61CB6" w:rsidRPr="00493A63">
        <w:rPr>
          <w:noProof/>
          <w:sz w:val="24"/>
          <w:szCs w:val="24"/>
        </w:rPr>
        <w:t>moż</w:t>
      </w:r>
      <w:r w:rsidRPr="00493A63">
        <w:rPr>
          <w:noProof/>
          <w:sz w:val="24"/>
          <w:szCs w:val="24"/>
        </w:rPr>
        <w:t xml:space="preserve">liwością zhakowania systemu. </w:t>
      </w:r>
    </w:p>
    <w:p w14:paraId="2FE021EE" w14:textId="214204AA" w:rsidR="00DB732C" w:rsidRPr="00493A63" w:rsidRDefault="009600B6" w:rsidP="00A84AA3">
      <w:pPr>
        <w:rPr>
          <w:noProof/>
          <w:sz w:val="24"/>
          <w:szCs w:val="24"/>
        </w:rPr>
      </w:pPr>
      <w:r w:rsidRPr="00493A63">
        <w:rPr>
          <w:noProof/>
          <w:sz w:val="24"/>
          <w:szCs w:val="24"/>
        </w:rPr>
        <w:t xml:space="preserve">Obecnie technologia ta nie jest uznawana za wystarczająco bezpieczną, aby można ją było stosować na szczeblu unijnym. </w:t>
      </w:r>
    </w:p>
    <w:p w14:paraId="4482747D" w14:textId="2A832B27" w:rsidR="0003091D" w:rsidRPr="00493A63" w:rsidRDefault="00103365" w:rsidP="002B109B">
      <w:pPr>
        <w:rPr>
          <w:noProof/>
          <w:sz w:val="24"/>
          <w:szCs w:val="24"/>
        </w:rPr>
      </w:pPr>
      <w:r w:rsidRPr="00493A63">
        <w:rPr>
          <w:noProof/>
          <w:sz w:val="24"/>
          <w:szCs w:val="24"/>
        </w:rPr>
        <w:t xml:space="preserve">Obecnie istnieją </w:t>
      </w:r>
      <w:r w:rsidRPr="00493A63">
        <w:rPr>
          <w:b/>
          <w:noProof/>
          <w:sz w:val="24"/>
          <w:szCs w:val="24"/>
        </w:rPr>
        <w:t>inne sposoby</w:t>
      </w:r>
      <w:r w:rsidRPr="00493A63">
        <w:rPr>
          <w:noProof/>
          <w:sz w:val="24"/>
          <w:szCs w:val="24"/>
        </w:rPr>
        <w:t xml:space="preserve"> zwiększenia możliwości śledzenia broni, jak na przykład stosowanie dyskretnego lub niewidocznego oznakowania specjalnymi tuszami. Wykorzystanie tuszu zabezpieczającego okazało się skuteczne</w:t>
      </w:r>
      <w:r w:rsidR="00C61CB6" w:rsidRPr="00493A63">
        <w:rPr>
          <w:noProof/>
          <w:sz w:val="24"/>
          <w:szCs w:val="24"/>
        </w:rPr>
        <w:t xml:space="preserve"> w</w:t>
      </w:r>
      <w:r w:rsidR="00C61CB6">
        <w:rPr>
          <w:noProof/>
          <w:sz w:val="24"/>
          <w:szCs w:val="24"/>
        </w:rPr>
        <w:t> </w:t>
      </w:r>
      <w:r w:rsidR="00C61CB6" w:rsidRPr="00493A63">
        <w:rPr>
          <w:noProof/>
          <w:sz w:val="24"/>
          <w:szCs w:val="24"/>
        </w:rPr>
        <w:t>prz</w:t>
      </w:r>
      <w:r w:rsidRPr="00493A63">
        <w:rPr>
          <w:noProof/>
          <w:sz w:val="24"/>
          <w:szCs w:val="24"/>
        </w:rPr>
        <w:t>ypadku śledzenia banknotów</w:t>
      </w:r>
      <w:r w:rsidRPr="00493A63">
        <w:rPr>
          <w:noProof/>
          <w:vertAlign w:val="superscript"/>
        </w:rPr>
        <w:footnoteReference w:id="37"/>
      </w:r>
      <w:r w:rsidRPr="00493A63">
        <w:rPr>
          <w:noProof/>
          <w:sz w:val="24"/>
          <w:szCs w:val="24"/>
        </w:rPr>
        <w:t>,</w:t>
      </w:r>
      <w:r w:rsidR="00C61CB6" w:rsidRPr="00493A63">
        <w:rPr>
          <w:noProof/>
          <w:sz w:val="24"/>
          <w:szCs w:val="24"/>
        </w:rPr>
        <w:t xml:space="preserve"> a</w:t>
      </w:r>
      <w:r w:rsidR="00C61CB6">
        <w:rPr>
          <w:noProof/>
          <w:sz w:val="24"/>
          <w:szCs w:val="24"/>
        </w:rPr>
        <w:t> </w:t>
      </w:r>
      <w:r w:rsidR="00C61CB6" w:rsidRPr="00493A63">
        <w:rPr>
          <w:noProof/>
          <w:sz w:val="24"/>
          <w:szCs w:val="24"/>
        </w:rPr>
        <w:t>tec</w:t>
      </w:r>
      <w:r w:rsidRPr="00493A63">
        <w:rPr>
          <w:noProof/>
          <w:sz w:val="24"/>
          <w:szCs w:val="24"/>
        </w:rPr>
        <w:t>hnologia ta jest stosowana również na towarach metalowych (takich jak dobra szybko zbywalne)</w:t>
      </w:r>
      <w:r w:rsidRPr="00493A63">
        <w:rPr>
          <w:noProof/>
          <w:vertAlign w:val="superscript"/>
        </w:rPr>
        <w:footnoteReference w:id="38"/>
      </w:r>
      <w:r w:rsidRPr="00493A63">
        <w:rPr>
          <w:noProof/>
          <w:sz w:val="24"/>
          <w:szCs w:val="24"/>
        </w:rPr>
        <w:t xml:space="preserve"> i na materiałach niemetalowych przez przedsiębiorstwa farmaceutyczne.</w:t>
      </w:r>
      <w:r w:rsidRPr="00493A63">
        <w:rPr>
          <w:noProof/>
          <w:vertAlign w:val="superscript"/>
        </w:rPr>
        <w:footnoteReference w:id="39"/>
      </w:r>
      <w:r w:rsidRPr="00493A63">
        <w:rPr>
          <w:noProof/>
          <w:sz w:val="24"/>
          <w:szCs w:val="24"/>
        </w:rPr>
        <w:t xml:space="preserve"> Technika ta może być także skuteczna</w:t>
      </w:r>
      <w:r w:rsidR="00C61CB6" w:rsidRPr="00493A63">
        <w:rPr>
          <w:noProof/>
          <w:sz w:val="24"/>
          <w:szCs w:val="24"/>
        </w:rPr>
        <w:t xml:space="preserve"> w</w:t>
      </w:r>
      <w:r w:rsidR="00C61CB6">
        <w:rPr>
          <w:noProof/>
          <w:sz w:val="24"/>
          <w:szCs w:val="24"/>
        </w:rPr>
        <w:t> </w:t>
      </w:r>
      <w:r w:rsidR="00C61CB6" w:rsidRPr="00493A63">
        <w:rPr>
          <w:noProof/>
          <w:sz w:val="24"/>
          <w:szCs w:val="24"/>
        </w:rPr>
        <w:t>prz</w:t>
      </w:r>
      <w:r w:rsidRPr="00493A63">
        <w:rPr>
          <w:noProof/>
          <w:sz w:val="24"/>
          <w:szCs w:val="24"/>
        </w:rPr>
        <w:t>ypadku metalowych</w:t>
      </w:r>
      <w:r w:rsidR="00C61CB6" w:rsidRPr="00493A63">
        <w:rPr>
          <w:noProof/>
          <w:sz w:val="24"/>
          <w:szCs w:val="24"/>
        </w:rPr>
        <w:t xml:space="preserve"> i</w:t>
      </w:r>
      <w:r w:rsidR="00C61CB6">
        <w:rPr>
          <w:noProof/>
          <w:sz w:val="24"/>
          <w:szCs w:val="24"/>
        </w:rPr>
        <w:t> </w:t>
      </w:r>
      <w:r w:rsidR="00C61CB6" w:rsidRPr="00493A63">
        <w:rPr>
          <w:noProof/>
          <w:sz w:val="24"/>
          <w:szCs w:val="24"/>
        </w:rPr>
        <w:t>nie</w:t>
      </w:r>
      <w:r w:rsidRPr="00493A63">
        <w:rPr>
          <w:noProof/>
          <w:sz w:val="24"/>
          <w:szCs w:val="24"/>
        </w:rPr>
        <w:t>metalowych komponentów broni palnej</w:t>
      </w:r>
      <w:r w:rsidRPr="00493A63">
        <w:rPr>
          <w:noProof/>
        </w:rPr>
        <w:t>.</w:t>
      </w:r>
      <w:r w:rsidRPr="00493A63">
        <w:rPr>
          <w:noProof/>
          <w:sz w:val="24"/>
          <w:szCs w:val="24"/>
        </w:rPr>
        <w:t xml:space="preserve"> Komisja będzie</w:t>
      </w:r>
      <w:r w:rsidR="00C61CB6" w:rsidRPr="00493A63">
        <w:rPr>
          <w:noProof/>
          <w:sz w:val="24"/>
          <w:szCs w:val="24"/>
        </w:rPr>
        <w:t xml:space="preserve"> w</w:t>
      </w:r>
      <w:r w:rsidR="00C61CB6">
        <w:rPr>
          <w:noProof/>
          <w:sz w:val="24"/>
          <w:szCs w:val="24"/>
        </w:rPr>
        <w:t> </w:t>
      </w:r>
      <w:r w:rsidR="00C61CB6" w:rsidRPr="00493A63">
        <w:rPr>
          <w:noProof/>
          <w:sz w:val="24"/>
          <w:szCs w:val="24"/>
        </w:rPr>
        <w:t>dal</w:t>
      </w:r>
      <w:r w:rsidRPr="00493A63">
        <w:rPr>
          <w:noProof/>
          <w:sz w:val="24"/>
          <w:szCs w:val="24"/>
        </w:rPr>
        <w:t>szym ciągu monitorowała rozwój tych technik</w:t>
      </w:r>
      <w:r w:rsidR="00C61CB6" w:rsidRPr="00493A63">
        <w:rPr>
          <w:noProof/>
          <w:sz w:val="24"/>
          <w:szCs w:val="24"/>
        </w:rPr>
        <w:t xml:space="preserve"> w</w:t>
      </w:r>
      <w:r w:rsidR="00C61CB6">
        <w:rPr>
          <w:noProof/>
          <w:sz w:val="24"/>
          <w:szCs w:val="24"/>
        </w:rPr>
        <w:t> </w:t>
      </w:r>
      <w:r w:rsidR="00C61CB6" w:rsidRPr="00493A63">
        <w:rPr>
          <w:noProof/>
          <w:sz w:val="24"/>
          <w:szCs w:val="24"/>
        </w:rPr>
        <w:t>ram</w:t>
      </w:r>
      <w:r w:rsidRPr="00493A63">
        <w:rPr>
          <w:noProof/>
          <w:sz w:val="24"/>
          <w:szCs w:val="24"/>
        </w:rPr>
        <w:t xml:space="preserve">ach komitetu ds. broni palnej. </w:t>
      </w:r>
    </w:p>
    <w:p w14:paraId="5BBBAEC2" w14:textId="702FC3C0" w:rsidR="00333038" w:rsidRPr="00493A63" w:rsidRDefault="00A84AA3" w:rsidP="00DA05C2">
      <w:pPr>
        <w:pStyle w:val="Heading1"/>
        <w:rPr>
          <w:noProof/>
        </w:rPr>
      </w:pPr>
      <w:bookmarkStart w:id="26" w:name="_Toc66179174"/>
      <w:r w:rsidRPr="00493A63">
        <w:rPr>
          <w:noProof/>
        </w:rPr>
        <w:t>WNIOSKI</w:t>
      </w:r>
      <w:bookmarkEnd w:id="26"/>
      <w:r w:rsidRPr="00493A63">
        <w:rPr>
          <w:noProof/>
        </w:rPr>
        <w:t xml:space="preserve"> I PLANY NA PRZYSZŁOŚĆ</w:t>
      </w:r>
    </w:p>
    <w:p w14:paraId="1C3B576F" w14:textId="7834FA88" w:rsidR="00704D37" w:rsidRPr="00493A63" w:rsidRDefault="002B109B" w:rsidP="006119BF">
      <w:pPr>
        <w:rPr>
          <w:noProof/>
          <w:sz w:val="24"/>
          <w:szCs w:val="24"/>
        </w:rPr>
      </w:pPr>
      <w:r w:rsidRPr="00493A63">
        <w:rPr>
          <w:noProof/>
          <w:sz w:val="24"/>
          <w:szCs w:val="24"/>
        </w:rPr>
        <w:t>Wszystkie zainteresowane strony przyznają, że dyrektywa</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 miała kluczowe znaczenie</w:t>
      </w:r>
      <w:r w:rsidR="00C61CB6" w:rsidRPr="00493A63">
        <w:rPr>
          <w:noProof/>
          <w:sz w:val="24"/>
          <w:szCs w:val="24"/>
        </w:rPr>
        <w:t xml:space="preserve"> w</w:t>
      </w:r>
      <w:r w:rsidR="00C61CB6">
        <w:rPr>
          <w:noProof/>
          <w:sz w:val="24"/>
          <w:szCs w:val="24"/>
        </w:rPr>
        <w:t> </w:t>
      </w:r>
      <w:r w:rsidR="00C61CB6" w:rsidRPr="00493A63">
        <w:rPr>
          <w:noProof/>
          <w:sz w:val="24"/>
          <w:szCs w:val="24"/>
        </w:rPr>
        <w:t>zwa</w:t>
      </w:r>
      <w:r w:rsidRPr="00493A63">
        <w:rPr>
          <w:noProof/>
          <w:sz w:val="24"/>
          <w:szCs w:val="24"/>
        </w:rPr>
        <w:t>lczaniu największych zagrożeń wskazanych</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awozdaniach państw członkowskich (głównie</w:t>
      </w:r>
      <w:r w:rsidR="00C61CB6" w:rsidRPr="00493A63">
        <w:rPr>
          <w:noProof/>
          <w:sz w:val="24"/>
          <w:szCs w:val="24"/>
        </w:rPr>
        <w:t xml:space="preserve"> w</w:t>
      </w:r>
      <w:r w:rsidR="00C61CB6">
        <w:rPr>
          <w:noProof/>
          <w:sz w:val="24"/>
          <w:szCs w:val="24"/>
        </w:rPr>
        <w:t> </w:t>
      </w:r>
      <w:r w:rsidR="00C61CB6" w:rsidRPr="00493A63">
        <w:rPr>
          <w:noProof/>
          <w:sz w:val="24"/>
          <w:szCs w:val="24"/>
        </w:rPr>
        <w:t>ram</w:t>
      </w:r>
      <w:r w:rsidRPr="00493A63">
        <w:rPr>
          <w:noProof/>
          <w:sz w:val="24"/>
          <w:szCs w:val="24"/>
        </w:rPr>
        <w:t>ach platformy ds. broni palnej)</w:t>
      </w:r>
      <w:r w:rsidRPr="00493A63">
        <w:rPr>
          <w:rStyle w:val="FootnoteReference"/>
          <w:noProof/>
          <w:sz w:val="24"/>
          <w:szCs w:val="24"/>
        </w:rPr>
        <w:footnoteReference w:id="40"/>
      </w:r>
      <w:r w:rsidRPr="00493A63">
        <w:rPr>
          <w:noProof/>
          <w:sz w:val="24"/>
          <w:szCs w:val="24"/>
        </w:rPr>
        <w:t>,</w:t>
      </w:r>
      <w:r w:rsidR="00C61CB6" w:rsidRPr="00493A63">
        <w:rPr>
          <w:noProof/>
          <w:sz w:val="24"/>
          <w:szCs w:val="24"/>
        </w:rPr>
        <w:t xml:space="preserve"> w</w:t>
      </w:r>
      <w:r w:rsidR="00C61CB6">
        <w:rPr>
          <w:noProof/>
          <w:sz w:val="24"/>
          <w:szCs w:val="24"/>
        </w:rPr>
        <w:t> </w:t>
      </w:r>
      <w:r w:rsidR="00C61CB6" w:rsidRPr="00493A63">
        <w:rPr>
          <w:noProof/>
          <w:sz w:val="24"/>
          <w:szCs w:val="24"/>
        </w:rPr>
        <w:t>pro</w:t>
      </w:r>
      <w:r w:rsidRPr="00493A63">
        <w:rPr>
          <w:noProof/>
          <w:sz w:val="24"/>
          <w:szCs w:val="24"/>
        </w:rPr>
        <w:t>jekcie analitycznym Europolu dotyczącym broni</w:t>
      </w:r>
      <w:r w:rsidR="00C61CB6" w:rsidRPr="00493A63">
        <w:rPr>
          <w:noProof/>
          <w:sz w:val="24"/>
          <w:szCs w:val="24"/>
        </w:rPr>
        <w:t xml:space="preserve"> i</w:t>
      </w:r>
      <w:r w:rsidR="00C61CB6">
        <w:rPr>
          <w:noProof/>
          <w:sz w:val="24"/>
          <w:szCs w:val="24"/>
        </w:rPr>
        <w:t> </w:t>
      </w:r>
      <w:r w:rsidR="00C61CB6" w:rsidRPr="00493A63">
        <w:rPr>
          <w:noProof/>
          <w:sz w:val="24"/>
          <w:szCs w:val="24"/>
        </w:rPr>
        <w:t>mat</w:t>
      </w:r>
      <w:r w:rsidRPr="00493A63">
        <w:rPr>
          <w:noProof/>
          <w:sz w:val="24"/>
          <w:szCs w:val="24"/>
        </w:rPr>
        <w:t>eriałów wybuchowych oraz</w:t>
      </w:r>
      <w:r w:rsidR="00C61CB6" w:rsidRPr="00493A63">
        <w:rPr>
          <w:noProof/>
          <w:sz w:val="24"/>
          <w:szCs w:val="24"/>
        </w:rPr>
        <w:t xml:space="preserve"> w</w:t>
      </w:r>
      <w:r w:rsidR="00C61CB6">
        <w:rPr>
          <w:noProof/>
          <w:sz w:val="24"/>
          <w:szCs w:val="24"/>
        </w:rPr>
        <w:t> </w:t>
      </w:r>
      <w:r w:rsidR="00C61CB6" w:rsidRPr="00493A63">
        <w:rPr>
          <w:noProof/>
          <w:sz w:val="24"/>
          <w:szCs w:val="24"/>
        </w:rPr>
        <w:t>uni</w:t>
      </w:r>
      <w:r w:rsidRPr="00493A63">
        <w:rPr>
          <w:noProof/>
          <w:sz w:val="24"/>
          <w:szCs w:val="24"/>
        </w:rPr>
        <w:t>jnych ocenach zagrożenia poważną</w:t>
      </w:r>
      <w:r w:rsidR="00C61CB6" w:rsidRPr="00493A63">
        <w:rPr>
          <w:noProof/>
          <w:sz w:val="24"/>
          <w:szCs w:val="24"/>
        </w:rPr>
        <w:t xml:space="preserve"> i</w:t>
      </w:r>
      <w:r w:rsidR="00C61CB6">
        <w:rPr>
          <w:noProof/>
          <w:sz w:val="24"/>
          <w:szCs w:val="24"/>
        </w:rPr>
        <w:t> </w:t>
      </w:r>
      <w:r w:rsidR="00C61CB6" w:rsidRPr="00493A63">
        <w:rPr>
          <w:noProof/>
          <w:sz w:val="24"/>
          <w:szCs w:val="24"/>
        </w:rPr>
        <w:t>zor</w:t>
      </w:r>
      <w:r w:rsidRPr="00493A63">
        <w:rPr>
          <w:noProof/>
          <w:sz w:val="24"/>
          <w:szCs w:val="24"/>
        </w:rPr>
        <w:t>ganizowaną przestępczością przedstawionych przez Europol</w:t>
      </w:r>
      <w:r w:rsidR="00C61CB6" w:rsidRPr="00493A63">
        <w:rPr>
          <w:noProof/>
          <w:sz w:val="24"/>
          <w:szCs w:val="24"/>
        </w:rPr>
        <w:t xml:space="preserve"> w</w:t>
      </w:r>
      <w:r w:rsidR="00C61CB6">
        <w:rPr>
          <w:noProof/>
          <w:sz w:val="24"/>
          <w:szCs w:val="24"/>
        </w:rPr>
        <w:t> </w:t>
      </w:r>
      <w:r w:rsidR="00C61CB6" w:rsidRPr="00493A63">
        <w:rPr>
          <w:noProof/>
          <w:sz w:val="24"/>
          <w:szCs w:val="24"/>
        </w:rPr>
        <w:t>2</w:t>
      </w:r>
      <w:r w:rsidRPr="00493A63">
        <w:rPr>
          <w:noProof/>
          <w:sz w:val="24"/>
          <w:szCs w:val="24"/>
        </w:rPr>
        <w:t>017</w:t>
      </w:r>
      <w:r w:rsidR="00C61CB6" w:rsidRPr="00493A63">
        <w:rPr>
          <w:noProof/>
          <w:sz w:val="24"/>
          <w:szCs w:val="24"/>
        </w:rPr>
        <w:t xml:space="preserve"> i</w:t>
      </w:r>
      <w:r w:rsidR="00C61CB6">
        <w:rPr>
          <w:noProof/>
          <w:sz w:val="24"/>
          <w:szCs w:val="24"/>
        </w:rPr>
        <w:t> </w:t>
      </w:r>
      <w:r w:rsidR="00C61CB6" w:rsidRPr="00493A63">
        <w:rPr>
          <w:noProof/>
          <w:sz w:val="24"/>
          <w:szCs w:val="24"/>
        </w:rPr>
        <w:t>2</w:t>
      </w:r>
      <w:r w:rsidRPr="00493A63">
        <w:rPr>
          <w:noProof/>
          <w:sz w:val="24"/>
          <w:szCs w:val="24"/>
        </w:rPr>
        <w:t>021</w:t>
      </w:r>
      <w:r w:rsidR="00493A63" w:rsidRPr="00493A63">
        <w:rPr>
          <w:noProof/>
          <w:sz w:val="24"/>
          <w:szCs w:val="24"/>
        </w:rPr>
        <w:t> </w:t>
      </w:r>
      <w:r w:rsidRPr="00493A63">
        <w:rPr>
          <w:noProof/>
          <w:sz w:val="24"/>
          <w:szCs w:val="24"/>
        </w:rPr>
        <w:t>r.,</w:t>
      </w:r>
      <w:r w:rsidR="00C61CB6" w:rsidRPr="00493A63">
        <w:rPr>
          <w:noProof/>
          <w:sz w:val="24"/>
          <w:szCs w:val="24"/>
        </w:rPr>
        <w:t xml:space="preserve"> w</w:t>
      </w:r>
      <w:r w:rsidR="00C61CB6">
        <w:rPr>
          <w:noProof/>
          <w:sz w:val="24"/>
          <w:szCs w:val="24"/>
        </w:rPr>
        <w:t> </w:t>
      </w:r>
      <w:r w:rsidR="00C61CB6" w:rsidRPr="00493A63">
        <w:rPr>
          <w:noProof/>
          <w:sz w:val="24"/>
          <w:szCs w:val="24"/>
        </w:rPr>
        <w:t>tym w</w:t>
      </w:r>
      <w:r w:rsidR="00C61CB6">
        <w:rPr>
          <w:noProof/>
          <w:sz w:val="24"/>
          <w:szCs w:val="24"/>
        </w:rPr>
        <w:t> </w:t>
      </w:r>
      <w:r w:rsidR="00C61CB6" w:rsidRPr="00493A63">
        <w:rPr>
          <w:noProof/>
          <w:sz w:val="24"/>
          <w:szCs w:val="24"/>
        </w:rPr>
        <w:t>odn</w:t>
      </w:r>
      <w:r w:rsidRPr="00493A63">
        <w:rPr>
          <w:noProof/>
          <w:sz w:val="24"/>
          <w:szCs w:val="24"/>
        </w:rPr>
        <w:t>iesieniu do stosowania broni palnej samoczynnej, przywracania cech użytkowych broni palnej pozbawionej cech użytkowych, przerabiania broni salutacyjnej</w:t>
      </w:r>
      <w:r w:rsidR="00C61CB6" w:rsidRPr="00493A63">
        <w:rPr>
          <w:noProof/>
          <w:sz w:val="24"/>
          <w:szCs w:val="24"/>
        </w:rPr>
        <w:t xml:space="preserve"> i</w:t>
      </w:r>
      <w:r w:rsidR="00C61CB6">
        <w:rPr>
          <w:noProof/>
          <w:sz w:val="24"/>
          <w:szCs w:val="24"/>
        </w:rPr>
        <w:t> </w:t>
      </w:r>
      <w:r w:rsidR="00C61CB6" w:rsidRPr="00493A63">
        <w:rPr>
          <w:noProof/>
          <w:sz w:val="24"/>
          <w:szCs w:val="24"/>
        </w:rPr>
        <w:t>aku</w:t>
      </w:r>
      <w:r w:rsidRPr="00493A63">
        <w:rPr>
          <w:noProof/>
          <w:sz w:val="24"/>
          <w:szCs w:val="24"/>
        </w:rPr>
        <w:t>stycznej oraz broni alarmowej</w:t>
      </w:r>
      <w:r w:rsidR="00C61CB6" w:rsidRPr="00493A63">
        <w:rPr>
          <w:noProof/>
          <w:sz w:val="24"/>
          <w:szCs w:val="24"/>
        </w:rPr>
        <w:t xml:space="preserve"> i</w:t>
      </w:r>
      <w:r w:rsidR="00C61CB6">
        <w:rPr>
          <w:noProof/>
          <w:sz w:val="24"/>
          <w:szCs w:val="24"/>
        </w:rPr>
        <w:t> </w:t>
      </w:r>
      <w:r w:rsidR="00C61CB6" w:rsidRPr="00493A63">
        <w:rPr>
          <w:noProof/>
          <w:sz w:val="24"/>
          <w:szCs w:val="24"/>
        </w:rPr>
        <w:t>syg</w:t>
      </w:r>
      <w:r w:rsidRPr="00493A63">
        <w:rPr>
          <w:noProof/>
          <w:sz w:val="24"/>
          <w:szCs w:val="24"/>
        </w:rPr>
        <w:t>nałowej.</w:t>
      </w:r>
    </w:p>
    <w:p w14:paraId="1197DDEB" w14:textId="75529DA0" w:rsidR="00EE29FF" w:rsidRPr="00493A63" w:rsidDel="00973FED" w:rsidRDefault="00262F0F" w:rsidP="00EE29FF">
      <w:pPr>
        <w:rPr>
          <w:noProof/>
          <w:sz w:val="24"/>
          <w:szCs w:val="24"/>
        </w:rPr>
      </w:pPr>
      <w:r w:rsidRPr="00493A63">
        <w:rPr>
          <w:noProof/>
          <w:sz w:val="24"/>
          <w:szCs w:val="24"/>
        </w:rPr>
        <w:t>Komisja zwraca uwagę, że</w:t>
      </w:r>
      <w:r w:rsidR="00C61CB6" w:rsidRPr="00493A63">
        <w:rPr>
          <w:noProof/>
          <w:sz w:val="24"/>
          <w:szCs w:val="24"/>
        </w:rPr>
        <w:t xml:space="preserve"> w</w:t>
      </w:r>
      <w:r w:rsidR="00C61CB6">
        <w:rPr>
          <w:noProof/>
          <w:sz w:val="24"/>
          <w:szCs w:val="24"/>
        </w:rPr>
        <w:t> </w:t>
      </w:r>
      <w:r w:rsidR="00C61CB6" w:rsidRPr="00493A63">
        <w:rPr>
          <w:noProof/>
          <w:sz w:val="24"/>
          <w:szCs w:val="24"/>
        </w:rPr>
        <w:t>dyr</w:t>
      </w:r>
      <w:r w:rsidRPr="00493A63">
        <w:rPr>
          <w:noProof/>
          <w:sz w:val="24"/>
          <w:szCs w:val="24"/>
        </w:rPr>
        <w:t>ektywie</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 poprawiono kategorie broni palnej, możliwość jej śledzenia, wymianę informacji</w:t>
      </w:r>
      <w:r w:rsidR="00C61CB6" w:rsidRPr="00493A63">
        <w:rPr>
          <w:noProof/>
          <w:sz w:val="24"/>
          <w:szCs w:val="24"/>
        </w:rPr>
        <w:t xml:space="preserve"> i</w:t>
      </w:r>
      <w:r w:rsidR="00C61CB6">
        <w:rPr>
          <w:noProof/>
          <w:sz w:val="24"/>
          <w:szCs w:val="24"/>
        </w:rPr>
        <w:t> </w:t>
      </w:r>
      <w:r w:rsidR="00C61CB6" w:rsidRPr="00493A63">
        <w:rPr>
          <w:noProof/>
          <w:sz w:val="24"/>
          <w:szCs w:val="24"/>
        </w:rPr>
        <w:t>pro</w:t>
      </w:r>
      <w:r w:rsidRPr="00493A63">
        <w:rPr>
          <w:noProof/>
          <w:sz w:val="24"/>
          <w:szCs w:val="24"/>
        </w:rPr>
        <w:t>cedury administracyjne. Na tym etapie jedynie 10 państw członkowskich dokonało pełnej transpozycji przepisów poddanych analizie</w:t>
      </w:r>
      <w:r w:rsidR="00C61CB6" w:rsidRPr="00493A63">
        <w:rPr>
          <w:noProof/>
          <w:sz w:val="24"/>
          <w:szCs w:val="24"/>
        </w:rPr>
        <w:t xml:space="preserve"> w</w:t>
      </w:r>
      <w:r w:rsidR="00C61CB6">
        <w:rPr>
          <w:noProof/>
          <w:sz w:val="24"/>
          <w:szCs w:val="24"/>
        </w:rPr>
        <w:t> </w:t>
      </w:r>
      <w:r w:rsidR="00C61CB6" w:rsidRPr="00493A63">
        <w:rPr>
          <w:noProof/>
          <w:sz w:val="24"/>
          <w:szCs w:val="24"/>
        </w:rPr>
        <w:t>nin</w:t>
      </w:r>
      <w:r w:rsidRPr="00493A63">
        <w:rPr>
          <w:noProof/>
          <w:sz w:val="24"/>
          <w:szCs w:val="24"/>
        </w:rPr>
        <w:t>iejszym sprawozdaniu, które stanowią najważniejsze zmiany wprowadzone dyrektywą</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w:t>
      </w:r>
      <w:r w:rsidR="00C61CB6" w:rsidRPr="00493A63">
        <w:rPr>
          <w:noProof/>
          <w:sz w:val="24"/>
          <w:szCs w:val="24"/>
        </w:rPr>
        <w:t xml:space="preserve"> w</w:t>
      </w:r>
      <w:r w:rsidR="00C61CB6">
        <w:rPr>
          <w:noProof/>
          <w:sz w:val="24"/>
          <w:szCs w:val="24"/>
        </w:rPr>
        <w:t> </w:t>
      </w:r>
      <w:r w:rsidR="00C61CB6" w:rsidRPr="00493A63">
        <w:rPr>
          <w:noProof/>
          <w:sz w:val="24"/>
          <w:szCs w:val="24"/>
        </w:rPr>
        <w:t>2</w:t>
      </w:r>
      <w:r w:rsidRPr="00493A63">
        <w:rPr>
          <w:noProof/>
          <w:sz w:val="24"/>
          <w:szCs w:val="24"/>
        </w:rPr>
        <w:t>017</w:t>
      </w:r>
      <w:r w:rsidR="00493A63" w:rsidRPr="00493A63">
        <w:rPr>
          <w:noProof/>
          <w:sz w:val="24"/>
          <w:szCs w:val="24"/>
        </w:rPr>
        <w:t> </w:t>
      </w:r>
      <w:r w:rsidRPr="00493A63">
        <w:rPr>
          <w:noProof/>
          <w:sz w:val="24"/>
          <w:szCs w:val="24"/>
        </w:rPr>
        <w:t>r.</w:t>
      </w:r>
      <w:r w:rsidR="00C61CB6" w:rsidRPr="00493A63">
        <w:rPr>
          <w:noProof/>
          <w:sz w:val="24"/>
          <w:szCs w:val="24"/>
        </w:rPr>
        <w:t xml:space="preserve"> i</w:t>
      </w:r>
      <w:r w:rsidR="00C61CB6">
        <w:rPr>
          <w:noProof/>
          <w:sz w:val="24"/>
          <w:szCs w:val="24"/>
        </w:rPr>
        <w:t> </w:t>
      </w:r>
      <w:r w:rsidR="00C61CB6" w:rsidRPr="00493A63">
        <w:rPr>
          <w:noProof/>
          <w:sz w:val="24"/>
          <w:szCs w:val="24"/>
        </w:rPr>
        <w:t>dwi</w:t>
      </w:r>
      <w:r w:rsidRPr="00493A63">
        <w:rPr>
          <w:noProof/>
          <w:sz w:val="24"/>
          <w:szCs w:val="24"/>
        </w:rPr>
        <w:t>ema dyrektywami wykonawczymi. Oprócz zawiadomień</w:t>
      </w:r>
      <w:r w:rsidR="00C61CB6" w:rsidRPr="00493A63">
        <w:rPr>
          <w:noProof/>
          <w:sz w:val="24"/>
          <w:szCs w:val="24"/>
        </w:rPr>
        <w:t xml:space="preserve"> o</w:t>
      </w:r>
      <w:r w:rsidR="00C61CB6">
        <w:rPr>
          <w:noProof/>
          <w:sz w:val="24"/>
          <w:szCs w:val="24"/>
        </w:rPr>
        <w:t> </w:t>
      </w:r>
      <w:r w:rsidR="00C61CB6" w:rsidRPr="00493A63">
        <w:rPr>
          <w:noProof/>
          <w:sz w:val="24"/>
          <w:szCs w:val="24"/>
        </w:rPr>
        <w:t>tra</w:t>
      </w:r>
      <w:r w:rsidRPr="00493A63">
        <w:rPr>
          <w:noProof/>
          <w:sz w:val="24"/>
          <w:szCs w:val="24"/>
        </w:rPr>
        <w:t>nspozycji Komisja ocenia również zgodność przepisów prawa krajowego</w:t>
      </w:r>
      <w:r w:rsidR="00C61CB6" w:rsidRPr="00493A63">
        <w:rPr>
          <w:noProof/>
          <w:sz w:val="24"/>
          <w:szCs w:val="24"/>
        </w:rPr>
        <w:t xml:space="preserve"> z</w:t>
      </w:r>
      <w:r w:rsidR="00C61CB6">
        <w:rPr>
          <w:noProof/>
          <w:sz w:val="24"/>
          <w:szCs w:val="24"/>
        </w:rPr>
        <w:t> </w:t>
      </w:r>
      <w:r w:rsidR="00C61CB6" w:rsidRPr="00493A63">
        <w:rPr>
          <w:noProof/>
          <w:sz w:val="24"/>
          <w:szCs w:val="24"/>
        </w:rPr>
        <w:t>dyr</w:t>
      </w:r>
      <w:r w:rsidRPr="00493A63">
        <w:rPr>
          <w:noProof/>
          <w:sz w:val="24"/>
          <w:szCs w:val="24"/>
        </w:rPr>
        <w:t>ektywą</w:t>
      </w:r>
      <w:r w:rsidR="00C61CB6" w:rsidRPr="00493A63">
        <w:rPr>
          <w:noProof/>
          <w:sz w:val="24"/>
          <w:szCs w:val="24"/>
        </w:rPr>
        <w:t xml:space="preserve"> i</w:t>
      </w:r>
      <w:r w:rsidR="00C61CB6">
        <w:rPr>
          <w:noProof/>
          <w:sz w:val="24"/>
          <w:szCs w:val="24"/>
        </w:rPr>
        <w:t> </w:t>
      </w:r>
      <w:r w:rsidR="00C61CB6" w:rsidRPr="00493A63">
        <w:rPr>
          <w:noProof/>
          <w:sz w:val="24"/>
          <w:szCs w:val="24"/>
        </w:rPr>
        <w:t>zid</w:t>
      </w:r>
      <w:r w:rsidRPr="00493A63">
        <w:rPr>
          <w:noProof/>
          <w:sz w:val="24"/>
          <w:szCs w:val="24"/>
        </w:rPr>
        <w:t>entyfikowała już przypadki nieprawidłowej transpozycji</w:t>
      </w:r>
      <w:r w:rsidR="00C61CB6" w:rsidRPr="00493A63">
        <w:rPr>
          <w:noProof/>
          <w:sz w:val="24"/>
          <w:szCs w:val="24"/>
        </w:rPr>
        <w:t xml:space="preserve"> w</w:t>
      </w:r>
      <w:r w:rsidR="00C61CB6">
        <w:rPr>
          <w:noProof/>
          <w:sz w:val="24"/>
          <w:szCs w:val="24"/>
        </w:rPr>
        <w:t> </w:t>
      </w:r>
      <w:r w:rsidR="00C61CB6" w:rsidRPr="00493A63">
        <w:rPr>
          <w:noProof/>
          <w:sz w:val="24"/>
          <w:szCs w:val="24"/>
        </w:rPr>
        <w:t>sze</w:t>
      </w:r>
      <w:r w:rsidRPr="00493A63">
        <w:rPr>
          <w:noProof/>
          <w:sz w:val="24"/>
          <w:szCs w:val="24"/>
        </w:rPr>
        <w:t>regu państw członkowskich. Oznacza to, że nie można czerpać pełni korzyści wynikających</w:t>
      </w:r>
      <w:r w:rsidR="00C61CB6" w:rsidRPr="00493A63">
        <w:rPr>
          <w:noProof/>
          <w:sz w:val="24"/>
          <w:szCs w:val="24"/>
        </w:rPr>
        <w:t xml:space="preserve"> z</w:t>
      </w:r>
      <w:r w:rsidR="00C61CB6">
        <w:rPr>
          <w:noProof/>
          <w:sz w:val="24"/>
          <w:szCs w:val="24"/>
        </w:rPr>
        <w:t> </w:t>
      </w:r>
      <w:r w:rsidR="00C61CB6" w:rsidRPr="00493A63">
        <w:rPr>
          <w:noProof/>
          <w:sz w:val="24"/>
          <w:szCs w:val="24"/>
        </w:rPr>
        <w:t>dyr</w:t>
      </w:r>
      <w:r w:rsidRPr="00493A63">
        <w:rPr>
          <w:noProof/>
          <w:sz w:val="24"/>
          <w:szCs w:val="24"/>
        </w:rPr>
        <w:t>ektywy. Komisja będzie</w:t>
      </w:r>
      <w:r w:rsidR="00C61CB6" w:rsidRPr="00493A63">
        <w:rPr>
          <w:noProof/>
          <w:sz w:val="24"/>
          <w:szCs w:val="24"/>
        </w:rPr>
        <w:t xml:space="preserve"> w</w:t>
      </w:r>
      <w:r w:rsidR="00C61CB6">
        <w:rPr>
          <w:noProof/>
          <w:sz w:val="24"/>
          <w:szCs w:val="24"/>
        </w:rPr>
        <w:t> </w:t>
      </w:r>
      <w:r w:rsidR="00C61CB6" w:rsidRPr="00493A63">
        <w:rPr>
          <w:noProof/>
          <w:sz w:val="24"/>
          <w:szCs w:val="24"/>
        </w:rPr>
        <w:t>dal</w:t>
      </w:r>
      <w:r w:rsidRPr="00493A63">
        <w:rPr>
          <w:noProof/>
          <w:sz w:val="24"/>
          <w:szCs w:val="24"/>
        </w:rPr>
        <w:t>szym ciągu wspierać państwa członkowskie we wdrażaniu dyrektywy</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 udzielając odpowiedzi na prośby</w:t>
      </w:r>
      <w:r w:rsidR="00C61CB6" w:rsidRPr="00493A63">
        <w:rPr>
          <w:noProof/>
          <w:sz w:val="24"/>
          <w:szCs w:val="24"/>
        </w:rPr>
        <w:t xml:space="preserve"> o</w:t>
      </w:r>
      <w:r w:rsidR="00C61CB6">
        <w:rPr>
          <w:noProof/>
          <w:sz w:val="24"/>
          <w:szCs w:val="24"/>
        </w:rPr>
        <w:t> </w:t>
      </w:r>
      <w:r w:rsidR="00C61CB6" w:rsidRPr="00493A63">
        <w:rPr>
          <w:noProof/>
          <w:sz w:val="24"/>
          <w:szCs w:val="24"/>
        </w:rPr>
        <w:t>wyj</w:t>
      </w:r>
      <w:r w:rsidRPr="00493A63">
        <w:rPr>
          <w:noProof/>
          <w:sz w:val="24"/>
          <w:szCs w:val="24"/>
        </w:rPr>
        <w:t>aśnienia,</w:t>
      </w:r>
      <w:r w:rsidR="00C61CB6" w:rsidRPr="00493A63">
        <w:rPr>
          <w:noProof/>
          <w:sz w:val="24"/>
          <w:szCs w:val="24"/>
        </w:rPr>
        <w:t xml:space="preserve"> a</w:t>
      </w:r>
      <w:r w:rsidR="00C61CB6">
        <w:rPr>
          <w:noProof/>
          <w:sz w:val="24"/>
          <w:szCs w:val="24"/>
        </w:rPr>
        <w:t> </w:t>
      </w:r>
      <w:r w:rsidR="00C61CB6" w:rsidRPr="00493A63">
        <w:rPr>
          <w:noProof/>
          <w:sz w:val="24"/>
          <w:szCs w:val="24"/>
        </w:rPr>
        <w:t>tak</w:t>
      </w:r>
      <w:r w:rsidRPr="00493A63">
        <w:rPr>
          <w:noProof/>
          <w:sz w:val="24"/>
          <w:szCs w:val="24"/>
        </w:rPr>
        <w:t>że organizując</w:t>
      </w:r>
      <w:r w:rsidR="00C61CB6" w:rsidRPr="00493A63">
        <w:rPr>
          <w:noProof/>
          <w:sz w:val="24"/>
          <w:szCs w:val="24"/>
        </w:rPr>
        <w:t xml:space="preserve"> w</w:t>
      </w:r>
      <w:r w:rsidR="00C61CB6">
        <w:rPr>
          <w:noProof/>
          <w:sz w:val="24"/>
          <w:szCs w:val="24"/>
        </w:rPr>
        <w:t> </w:t>
      </w:r>
      <w:r w:rsidR="00C61CB6" w:rsidRPr="00493A63">
        <w:rPr>
          <w:noProof/>
          <w:sz w:val="24"/>
          <w:szCs w:val="24"/>
        </w:rPr>
        <w:t>ram</w:t>
      </w:r>
      <w:r w:rsidRPr="00493A63">
        <w:rPr>
          <w:noProof/>
          <w:sz w:val="24"/>
          <w:szCs w:val="24"/>
        </w:rPr>
        <w:t>ach komitetu ds. broni palnej warsztaty poświęcone transpozycji,</w:t>
      </w:r>
      <w:r w:rsidR="00C61CB6" w:rsidRPr="00493A63">
        <w:rPr>
          <w:noProof/>
          <w:sz w:val="24"/>
          <w:szCs w:val="24"/>
        </w:rPr>
        <w:t xml:space="preserve"> w</w:t>
      </w:r>
      <w:r w:rsidR="00C61CB6">
        <w:rPr>
          <w:noProof/>
          <w:sz w:val="24"/>
          <w:szCs w:val="24"/>
        </w:rPr>
        <w:t> </w:t>
      </w:r>
      <w:r w:rsidR="00C61CB6" w:rsidRPr="00493A63">
        <w:rPr>
          <w:noProof/>
          <w:sz w:val="24"/>
          <w:szCs w:val="24"/>
        </w:rPr>
        <w:t>tym</w:t>
      </w:r>
      <w:r w:rsidRPr="00493A63">
        <w:rPr>
          <w:noProof/>
          <w:sz w:val="24"/>
          <w:szCs w:val="24"/>
        </w:rPr>
        <w:t xml:space="preserve"> –</w:t>
      </w:r>
      <w:r w:rsidR="00C61CB6" w:rsidRPr="00493A63">
        <w:rPr>
          <w:noProof/>
          <w:sz w:val="24"/>
          <w:szCs w:val="24"/>
        </w:rPr>
        <w:t xml:space="preserve"> w</w:t>
      </w:r>
      <w:r w:rsidR="00C61CB6">
        <w:rPr>
          <w:noProof/>
          <w:sz w:val="24"/>
          <w:szCs w:val="24"/>
        </w:rPr>
        <w:t> </w:t>
      </w:r>
      <w:r w:rsidR="00C61CB6" w:rsidRPr="00493A63">
        <w:rPr>
          <w:noProof/>
          <w:sz w:val="24"/>
          <w:szCs w:val="24"/>
        </w:rPr>
        <w:t>raz</w:t>
      </w:r>
      <w:r w:rsidRPr="00493A63">
        <w:rPr>
          <w:noProof/>
          <w:sz w:val="24"/>
          <w:szCs w:val="24"/>
        </w:rPr>
        <w:t>ie potrzeby – spotkania techniczne</w:t>
      </w:r>
      <w:r w:rsidR="00C61CB6" w:rsidRPr="00493A63">
        <w:rPr>
          <w:noProof/>
          <w:sz w:val="24"/>
          <w:szCs w:val="24"/>
        </w:rPr>
        <w:t xml:space="preserve"> z</w:t>
      </w:r>
      <w:r w:rsidR="00C61CB6">
        <w:rPr>
          <w:noProof/>
          <w:sz w:val="24"/>
          <w:szCs w:val="24"/>
        </w:rPr>
        <w:t> </w:t>
      </w:r>
      <w:r w:rsidR="00C61CB6" w:rsidRPr="00493A63">
        <w:rPr>
          <w:noProof/>
          <w:sz w:val="24"/>
          <w:szCs w:val="24"/>
        </w:rPr>
        <w:t>kon</w:t>
      </w:r>
      <w:r w:rsidRPr="00493A63">
        <w:rPr>
          <w:noProof/>
          <w:sz w:val="24"/>
          <w:szCs w:val="24"/>
        </w:rPr>
        <w:t>kretnymi państwami członkowskimi.</w:t>
      </w:r>
    </w:p>
    <w:p w14:paraId="043984CF" w14:textId="3D91F5C0" w:rsidR="002806C8" w:rsidRPr="00493A63" w:rsidRDefault="00EE29FF" w:rsidP="00FC2177">
      <w:pPr>
        <w:rPr>
          <w:noProof/>
          <w:sz w:val="24"/>
          <w:szCs w:val="24"/>
        </w:rPr>
      </w:pPr>
      <w:r w:rsidRPr="00493A63">
        <w:rPr>
          <w:noProof/>
          <w:sz w:val="24"/>
          <w:szCs w:val="24"/>
        </w:rPr>
        <w:t>Ponadto Komisja zintensyfikuje swoje działania</w:t>
      </w:r>
      <w:r w:rsidR="00C61CB6" w:rsidRPr="00493A63">
        <w:rPr>
          <w:noProof/>
          <w:sz w:val="24"/>
          <w:szCs w:val="24"/>
        </w:rPr>
        <w:t xml:space="preserve"> w</w:t>
      </w:r>
      <w:r w:rsidR="00C61CB6">
        <w:rPr>
          <w:noProof/>
          <w:sz w:val="24"/>
          <w:szCs w:val="24"/>
        </w:rPr>
        <w:t> </w:t>
      </w:r>
      <w:r w:rsidR="00C61CB6" w:rsidRPr="00493A63">
        <w:rPr>
          <w:noProof/>
          <w:sz w:val="24"/>
          <w:szCs w:val="24"/>
        </w:rPr>
        <w:t>zak</w:t>
      </w:r>
      <w:r w:rsidRPr="00493A63">
        <w:rPr>
          <w:noProof/>
          <w:sz w:val="24"/>
          <w:szCs w:val="24"/>
        </w:rPr>
        <w:t>resie monitorowania wdrażania dyrektywy</w:t>
      </w:r>
      <w:r w:rsidR="00C61CB6" w:rsidRPr="00493A63">
        <w:rPr>
          <w:noProof/>
          <w:sz w:val="24"/>
          <w:szCs w:val="24"/>
        </w:rPr>
        <w:t xml:space="preserve"> w</w:t>
      </w:r>
      <w:r w:rsidR="00C61CB6">
        <w:rPr>
          <w:noProof/>
          <w:sz w:val="24"/>
          <w:szCs w:val="24"/>
        </w:rPr>
        <w:t> </w:t>
      </w:r>
      <w:r w:rsidR="00C61CB6" w:rsidRPr="00493A63">
        <w:rPr>
          <w:noProof/>
          <w:sz w:val="24"/>
          <w:szCs w:val="24"/>
        </w:rPr>
        <w:t>pań</w:t>
      </w:r>
      <w:r w:rsidRPr="00493A63">
        <w:rPr>
          <w:noProof/>
          <w:sz w:val="24"/>
          <w:szCs w:val="24"/>
        </w:rPr>
        <w:t>stwach członkowskich</w:t>
      </w:r>
      <w:r w:rsidR="00C61CB6" w:rsidRPr="00493A63">
        <w:rPr>
          <w:noProof/>
          <w:sz w:val="24"/>
          <w:szCs w:val="24"/>
        </w:rPr>
        <w:t xml:space="preserve"> i</w:t>
      </w:r>
      <w:r w:rsidR="00C61CB6">
        <w:rPr>
          <w:noProof/>
          <w:sz w:val="24"/>
          <w:szCs w:val="24"/>
        </w:rPr>
        <w:t> </w:t>
      </w:r>
      <w:r w:rsidR="00C61CB6" w:rsidRPr="00493A63">
        <w:rPr>
          <w:noProof/>
          <w:sz w:val="24"/>
          <w:szCs w:val="24"/>
        </w:rPr>
        <w:t>w</w:t>
      </w:r>
      <w:r w:rsidR="00C61CB6">
        <w:rPr>
          <w:noProof/>
          <w:sz w:val="24"/>
          <w:szCs w:val="24"/>
        </w:rPr>
        <w:t> </w:t>
      </w:r>
      <w:r w:rsidR="00C61CB6" w:rsidRPr="00493A63">
        <w:rPr>
          <w:noProof/>
          <w:sz w:val="24"/>
          <w:szCs w:val="24"/>
        </w:rPr>
        <w:t>raz</w:t>
      </w:r>
      <w:r w:rsidRPr="00493A63">
        <w:rPr>
          <w:noProof/>
          <w:sz w:val="24"/>
          <w:szCs w:val="24"/>
        </w:rPr>
        <w:t>ie potrzeby</w:t>
      </w:r>
      <w:r w:rsidR="00C61CB6" w:rsidRPr="00493A63">
        <w:rPr>
          <w:noProof/>
          <w:sz w:val="24"/>
          <w:szCs w:val="24"/>
        </w:rPr>
        <w:t xml:space="preserve"> w</w:t>
      </w:r>
      <w:r w:rsidR="00C61CB6">
        <w:rPr>
          <w:noProof/>
          <w:sz w:val="24"/>
          <w:szCs w:val="24"/>
        </w:rPr>
        <w:t> </w:t>
      </w:r>
      <w:r w:rsidR="00C61CB6" w:rsidRPr="00493A63">
        <w:rPr>
          <w:noProof/>
          <w:sz w:val="24"/>
          <w:szCs w:val="24"/>
        </w:rPr>
        <w:t>peł</w:t>
      </w:r>
      <w:r w:rsidRPr="00493A63">
        <w:rPr>
          <w:noProof/>
          <w:sz w:val="24"/>
          <w:szCs w:val="24"/>
        </w:rPr>
        <w:t>ni wykorzysta uprawnienia powierzone jej na mocy Traktatu</w:t>
      </w:r>
      <w:r w:rsidR="00C61CB6" w:rsidRPr="00493A63">
        <w:rPr>
          <w:noProof/>
          <w:sz w:val="24"/>
          <w:szCs w:val="24"/>
        </w:rPr>
        <w:t>. W</w:t>
      </w:r>
      <w:r w:rsidR="00C61CB6">
        <w:rPr>
          <w:noProof/>
          <w:sz w:val="24"/>
          <w:szCs w:val="24"/>
        </w:rPr>
        <w:t> </w:t>
      </w:r>
      <w:r w:rsidR="00C61CB6" w:rsidRPr="00493A63">
        <w:rPr>
          <w:noProof/>
          <w:sz w:val="24"/>
          <w:szCs w:val="24"/>
        </w:rPr>
        <w:t>szc</w:t>
      </w:r>
      <w:r w:rsidRPr="00493A63">
        <w:rPr>
          <w:noProof/>
          <w:sz w:val="24"/>
          <w:szCs w:val="24"/>
        </w:rPr>
        <w:t>zególności poświęci większą uwagę kwestii broni palnej</w:t>
      </w:r>
      <w:r w:rsidR="00C61CB6" w:rsidRPr="00493A63">
        <w:rPr>
          <w:noProof/>
        </w:rPr>
        <w:t xml:space="preserve"> </w:t>
      </w:r>
      <w:r w:rsidR="00C61CB6" w:rsidRPr="00493A63">
        <w:rPr>
          <w:noProof/>
          <w:sz w:val="24"/>
          <w:szCs w:val="24"/>
        </w:rPr>
        <w:t>o</w:t>
      </w:r>
      <w:r w:rsidR="00C61CB6">
        <w:rPr>
          <w:noProof/>
        </w:rPr>
        <w:t> </w:t>
      </w:r>
      <w:r w:rsidR="00C61CB6" w:rsidRPr="00493A63">
        <w:rPr>
          <w:noProof/>
          <w:sz w:val="24"/>
          <w:szCs w:val="24"/>
        </w:rPr>
        <w:t>mał</w:t>
      </w:r>
      <w:r w:rsidRPr="00493A63">
        <w:rPr>
          <w:noProof/>
          <w:sz w:val="24"/>
          <w:szCs w:val="24"/>
        </w:rPr>
        <w:t>ym kalibrze na naboje Floberta oraz prawidłowemu stosowaniu</w:t>
      </w:r>
      <w:r w:rsidR="00C61CB6" w:rsidRPr="00493A63">
        <w:rPr>
          <w:noProof/>
          <w:sz w:val="24"/>
          <w:szCs w:val="24"/>
        </w:rPr>
        <w:t xml:space="preserve"> i</w:t>
      </w:r>
      <w:r w:rsidR="00C61CB6">
        <w:rPr>
          <w:noProof/>
          <w:sz w:val="24"/>
          <w:szCs w:val="24"/>
        </w:rPr>
        <w:t> </w:t>
      </w:r>
      <w:r w:rsidR="00C61CB6" w:rsidRPr="00493A63">
        <w:rPr>
          <w:noProof/>
          <w:sz w:val="24"/>
          <w:szCs w:val="24"/>
        </w:rPr>
        <w:t>uzn</w:t>
      </w:r>
      <w:r w:rsidRPr="00493A63">
        <w:rPr>
          <w:noProof/>
          <w:sz w:val="24"/>
          <w:szCs w:val="24"/>
        </w:rPr>
        <w:t xml:space="preserve">awaniu europejskiej karty broni palnej. </w:t>
      </w:r>
    </w:p>
    <w:p w14:paraId="3F020967" w14:textId="0E473FCC" w:rsidR="0096435F" w:rsidRPr="00493A63" w:rsidRDefault="0096435F" w:rsidP="00FC2177">
      <w:pPr>
        <w:rPr>
          <w:noProof/>
          <w:sz w:val="24"/>
          <w:szCs w:val="24"/>
        </w:rPr>
      </w:pPr>
      <w:r w:rsidRPr="00493A63">
        <w:rPr>
          <w:noProof/>
          <w:sz w:val="24"/>
          <w:szCs w:val="24"/>
        </w:rPr>
        <w:t>Ponadto</w:t>
      </w:r>
      <w:r w:rsidR="00C61CB6" w:rsidRPr="00493A63">
        <w:rPr>
          <w:noProof/>
          <w:sz w:val="24"/>
          <w:szCs w:val="24"/>
        </w:rPr>
        <w:t xml:space="preserve"> z</w:t>
      </w:r>
      <w:r w:rsidR="00C61CB6">
        <w:rPr>
          <w:noProof/>
          <w:sz w:val="24"/>
          <w:szCs w:val="24"/>
        </w:rPr>
        <w:t> </w:t>
      </w:r>
      <w:r w:rsidR="00C61CB6" w:rsidRPr="00493A63">
        <w:rPr>
          <w:noProof/>
          <w:sz w:val="24"/>
          <w:szCs w:val="24"/>
        </w:rPr>
        <w:t>prz</w:t>
      </w:r>
      <w:r w:rsidRPr="00493A63">
        <w:rPr>
          <w:noProof/>
          <w:sz w:val="24"/>
          <w:szCs w:val="24"/>
        </w:rPr>
        <w:t>eprowadzonej</w:t>
      </w:r>
      <w:r w:rsidR="00C61CB6" w:rsidRPr="00493A63">
        <w:rPr>
          <w:noProof/>
          <w:sz w:val="24"/>
          <w:szCs w:val="24"/>
        </w:rPr>
        <w:t xml:space="preserve"> w</w:t>
      </w:r>
      <w:r w:rsidR="00C61CB6">
        <w:rPr>
          <w:noProof/>
          <w:sz w:val="24"/>
          <w:szCs w:val="24"/>
        </w:rPr>
        <w:t> </w:t>
      </w:r>
      <w:r w:rsidR="00C61CB6" w:rsidRPr="00493A63">
        <w:rPr>
          <w:noProof/>
          <w:sz w:val="24"/>
          <w:szCs w:val="24"/>
        </w:rPr>
        <w:t>nin</w:t>
      </w:r>
      <w:r w:rsidRPr="00493A63">
        <w:rPr>
          <w:noProof/>
          <w:sz w:val="24"/>
          <w:szCs w:val="24"/>
        </w:rPr>
        <w:t>iejszym sprawozdaniu analizy wynika, że możliwe jest poczynienie dalszych postępów</w:t>
      </w:r>
      <w:r w:rsidR="00C61CB6" w:rsidRPr="00493A63">
        <w:rPr>
          <w:noProof/>
          <w:sz w:val="24"/>
          <w:szCs w:val="24"/>
        </w:rPr>
        <w:t xml:space="preserve"> w</w:t>
      </w:r>
      <w:r w:rsidR="00C61CB6">
        <w:rPr>
          <w:noProof/>
          <w:sz w:val="24"/>
          <w:szCs w:val="24"/>
        </w:rPr>
        <w:t> </w:t>
      </w:r>
      <w:r w:rsidR="00C61CB6" w:rsidRPr="00493A63">
        <w:rPr>
          <w:noProof/>
          <w:sz w:val="24"/>
          <w:szCs w:val="24"/>
        </w:rPr>
        <w:t>zak</w:t>
      </w:r>
      <w:r w:rsidRPr="00493A63">
        <w:rPr>
          <w:noProof/>
          <w:sz w:val="24"/>
          <w:szCs w:val="24"/>
        </w:rPr>
        <w:t>resie prawnej kontroli nabywania, posiadania</w:t>
      </w:r>
      <w:r w:rsidR="00C61CB6" w:rsidRPr="00493A63">
        <w:rPr>
          <w:noProof/>
          <w:sz w:val="24"/>
          <w:szCs w:val="24"/>
        </w:rPr>
        <w:t xml:space="preserve"> i</w:t>
      </w:r>
      <w:r w:rsidR="00C61CB6">
        <w:rPr>
          <w:noProof/>
          <w:sz w:val="24"/>
          <w:szCs w:val="24"/>
        </w:rPr>
        <w:t> </w:t>
      </w:r>
      <w:r w:rsidR="00C61CB6" w:rsidRPr="00493A63">
        <w:rPr>
          <w:noProof/>
          <w:sz w:val="24"/>
          <w:szCs w:val="24"/>
        </w:rPr>
        <w:t>prz</w:t>
      </w:r>
      <w:r w:rsidRPr="00493A63">
        <w:rPr>
          <w:noProof/>
          <w:sz w:val="24"/>
          <w:szCs w:val="24"/>
        </w:rPr>
        <w:t>epływu broni do użytku cywilnego. Wśród możliwych rozwiązań zapewniających lepszą kontrolę prawną można by wymienić:</w:t>
      </w:r>
    </w:p>
    <w:p w14:paraId="4FD3E965" w14:textId="411F688A" w:rsidR="00262F0F" w:rsidRPr="00493A63" w:rsidRDefault="00004E90" w:rsidP="00AA4920">
      <w:pPr>
        <w:pStyle w:val="ListParagraph"/>
        <w:numPr>
          <w:ilvl w:val="0"/>
          <w:numId w:val="24"/>
        </w:numPr>
        <w:rPr>
          <w:noProof/>
          <w:sz w:val="24"/>
          <w:szCs w:val="24"/>
        </w:rPr>
      </w:pPr>
      <w:r w:rsidRPr="00493A63">
        <w:rPr>
          <w:noProof/>
          <w:sz w:val="24"/>
          <w:szCs w:val="24"/>
        </w:rPr>
        <w:t>doprecyzowanie rozróżnienia między bronią palną niedozwoloną</w:t>
      </w:r>
      <w:r w:rsidR="00C61CB6" w:rsidRPr="00493A63">
        <w:rPr>
          <w:noProof/>
          <w:sz w:val="24"/>
          <w:szCs w:val="24"/>
        </w:rPr>
        <w:t xml:space="preserve"> a</w:t>
      </w:r>
      <w:r w:rsidR="00C61CB6">
        <w:rPr>
          <w:noProof/>
          <w:sz w:val="24"/>
          <w:szCs w:val="24"/>
        </w:rPr>
        <w:t> </w:t>
      </w:r>
      <w:r w:rsidR="00C61CB6" w:rsidRPr="00493A63">
        <w:rPr>
          <w:noProof/>
          <w:sz w:val="24"/>
          <w:szCs w:val="24"/>
        </w:rPr>
        <w:t>bro</w:t>
      </w:r>
      <w:r w:rsidRPr="00493A63">
        <w:rPr>
          <w:noProof/>
          <w:sz w:val="24"/>
          <w:szCs w:val="24"/>
        </w:rPr>
        <w:t>nią palną,</w:t>
      </w:r>
      <w:r w:rsidR="00C61CB6" w:rsidRPr="00493A63">
        <w:rPr>
          <w:noProof/>
          <w:sz w:val="24"/>
          <w:szCs w:val="24"/>
        </w:rPr>
        <w:t xml:space="preserve"> w</w:t>
      </w:r>
      <w:r w:rsidR="00C61CB6">
        <w:rPr>
          <w:noProof/>
          <w:sz w:val="24"/>
          <w:szCs w:val="24"/>
        </w:rPr>
        <w:t> </w:t>
      </w:r>
      <w:r w:rsidR="00C61CB6" w:rsidRPr="00493A63">
        <w:rPr>
          <w:noProof/>
          <w:sz w:val="24"/>
          <w:szCs w:val="24"/>
        </w:rPr>
        <w:t>prz</w:t>
      </w:r>
      <w:r w:rsidRPr="00493A63">
        <w:rPr>
          <w:noProof/>
          <w:sz w:val="24"/>
          <w:szCs w:val="24"/>
        </w:rPr>
        <w:t>ypadku której wymagane jest pozwolenie;</w:t>
      </w:r>
    </w:p>
    <w:p w14:paraId="4699416A" w14:textId="5834CD45" w:rsidR="00AA4920" w:rsidRPr="00493A63" w:rsidRDefault="0096435F" w:rsidP="00AA4920">
      <w:pPr>
        <w:pStyle w:val="ListParagraph"/>
        <w:numPr>
          <w:ilvl w:val="0"/>
          <w:numId w:val="24"/>
        </w:numPr>
        <w:rPr>
          <w:noProof/>
          <w:sz w:val="24"/>
          <w:szCs w:val="24"/>
        </w:rPr>
      </w:pPr>
      <w:r w:rsidRPr="00493A63">
        <w:rPr>
          <w:noProof/>
          <w:sz w:val="24"/>
          <w:szCs w:val="24"/>
        </w:rPr>
        <w:t>zapewnienie, aby</w:t>
      </w:r>
      <w:r w:rsidR="00C61CB6" w:rsidRPr="00493A63">
        <w:rPr>
          <w:noProof/>
          <w:sz w:val="24"/>
          <w:szCs w:val="24"/>
        </w:rPr>
        <w:t xml:space="preserve"> w</w:t>
      </w:r>
      <w:r w:rsidR="00C61CB6">
        <w:rPr>
          <w:noProof/>
          <w:sz w:val="24"/>
          <w:szCs w:val="24"/>
        </w:rPr>
        <w:t> </w:t>
      </w:r>
      <w:r w:rsidR="00C61CB6" w:rsidRPr="00493A63">
        <w:rPr>
          <w:noProof/>
          <w:sz w:val="24"/>
          <w:szCs w:val="24"/>
        </w:rPr>
        <w:t>prz</w:t>
      </w:r>
      <w:r w:rsidRPr="00493A63">
        <w:rPr>
          <w:noProof/>
          <w:sz w:val="24"/>
          <w:szCs w:val="24"/>
        </w:rPr>
        <w:t>ypadku wszystkich rodzajów broni, które nawet</w:t>
      </w:r>
      <w:r w:rsidR="00C61CB6" w:rsidRPr="00493A63">
        <w:rPr>
          <w:noProof/>
          <w:sz w:val="24"/>
          <w:szCs w:val="24"/>
        </w:rPr>
        <w:t xml:space="preserve"> z</w:t>
      </w:r>
      <w:r w:rsidR="00C61CB6">
        <w:rPr>
          <w:noProof/>
          <w:sz w:val="24"/>
          <w:szCs w:val="24"/>
        </w:rPr>
        <w:t> </w:t>
      </w:r>
      <w:r w:rsidR="00C61CB6" w:rsidRPr="00493A63">
        <w:rPr>
          <w:noProof/>
          <w:sz w:val="24"/>
          <w:szCs w:val="24"/>
        </w:rPr>
        <w:t>wyk</w:t>
      </w:r>
      <w:r w:rsidRPr="00493A63">
        <w:rPr>
          <w:noProof/>
          <w:sz w:val="24"/>
          <w:szCs w:val="24"/>
        </w:rPr>
        <w:t>orzystaniem specjalistycznych narzędzi</w:t>
      </w:r>
      <w:r w:rsidR="00C61CB6" w:rsidRPr="00493A63">
        <w:rPr>
          <w:noProof/>
          <w:sz w:val="24"/>
          <w:szCs w:val="24"/>
        </w:rPr>
        <w:t xml:space="preserve"> i</w:t>
      </w:r>
      <w:r w:rsidR="00C61CB6">
        <w:rPr>
          <w:noProof/>
          <w:sz w:val="24"/>
          <w:szCs w:val="24"/>
        </w:rPr>
        <w:t> </w:t>
      </w:r>
      <w:r w:rsidR="00C61CB6" w:rsidRPr="00493A63">
        <w:rPr>
          <w:noProof/>
          <w:sz w:val="24"/>
          <w:szCs w:val="24"/>
        </w:rPr>
        <w:t>wie</w:t>
      </w:r>
      <w:r w:rsidRPr="00493A63">
        <w:rPr>
          <w:noProof/>
          <w:sz w:val="24"/>
          <w:szCs w:val="24"/>
        </w:rPr>
        <w:t>dzy można przerobić</w:t>
      </w:r>
      <w:r w:rsidR="00C61CB6" w:rsidRPr="00493A63">
        <w:rPr>
          <w:noProof/>
          <w:sz w:val="24"/>
          <w:szCs w:val="24"/>
        </w:rPr>
        <w:t xml:space="preserve"> w</w:t>
      </w:r>
      <w:r w:rsidR="00C61CB6">
        <w:rPr>
          <w:noProof/>
          <w:sz w:val="24"/>
          <w:szCs w:val="24"/>
        </w:rPr>
        <w:t> </w:t>
      </w:r>
      <w:r w:rsidR="00C61CB6" w:rsidRPr="00493A63">
        <w:rPr>
          <w:noProof/>
          <w:sz w:val="24"/>
          <w:szCs w:val="24"/>
        </w:rPr>
        <w:t>tak</w:t>
      </w:r>
      <w:r w:rsidRPr="00493A63">
        <w:rPr>
          <w:noProof/>
          <w:sz w:val="24"/>
          <w:szCs w:val="24"/>
        </w:rPr>
        <w:t>i sposób, aby wystrzeliwały pociski, wymagane było co najmniej oświadczenie;</w:t>
      </w:r>
    </w:p>
    <w:p w14:paraId="56A1B5FB" w14:textId="57045C78" w:rsidR="00B042B9" w:rsidRPr="00493A63" w:rsidRDefault="00C32DA6" w:rsidP="00AA4920">
      <w:pPr>
        <w:pStyle w:val="ListParagraph"/>
        <w:numPr>
          <w:ilvl w:val="0"/>
          <w:numId w:val="24"/>
        </w:numPr>
        <w:rPr>
          <w:noProof/>
          <w:sz w:val="24"/>
          <w:szCs w:val="24"/>
        </w:rPr>
      </w:pPr>
      <w:r w:rsidRPr="00493A63">
        <w:rPr>
          <w:noProof/>
          <w:sz w:val="24"/>
          <w:szCs w:val="24"/>
        </w:rPr>
        <w:t>zapewnienie</w:t>
      </w:r>
      <w:r w:rsidR="00C61CB6" w:rsidRPr="00493A63">
        <w:rPr>
          <w:noProof/>
          <w:sz w:val="24"/>
          <w:szCs w:val="24"/>
        </w:rPr>
        <w:t xml:space="preserve"> w</w:t>
      </w:r>
      <w:r w:rsidR="00C61CB6">
        <w:rPr>
          <w:noProof/>
          <w:sz w:val="24"/>
          <w:szCs w:val="24"/>
        </w:rPr>
        <w:t> </w:t>
      </w:r>
      <w:r w:rsidR="00C61CB6" w:rsidRPr="00493A63">
        <w:rPr>
          <w:noProof/>
          <w:sz w:val="24"/>
          <w:szCs w:val="24"/>
        </w:rPr>
        <w:t>peł</w:t>
      </w:r>
      <w:r w:rsidRPr="00493A63">
        <w:rPr>
          <w:noProof/>
          <w:sz w:val="24"/>
          <w:szCs w:val="24"/>
        </w:rPr>
        <w:t>ni cyfrowej europejskiej karty broni palnej;</w:t>
      </w:r>
    </w:p>
    <w:p w14:paraId="7BD2723C" w14:textId="30E63AD2" w:rsidR="00875450" w:rsidRPr="00493A63" w:rsidRDefault="00A4251A" w:rsidP="00AA4920">
      <w:pPr>
        <w:pStyle w:val="ListParagraph"/>
        <w:numPr>
          <w:ilvl w:val="0"/>
          <w:numId w:val="24"/>
        </w:numPr>
        <w:rPr>
          <w:noProof/>
          <w:sz w:val="24"/>
          <w:szCs w:val="24"/>
        </w:rPr>
      </w:pPr>
      <w:r w:rsidRPr="00493A63">
        <w:rPr>
          <w:noProof/>
          <w:sz w:val="24"/>
          <w:szCs w:val="24"/>
        </w:rPr>
        <w:t>utrzymanie wszystkich rodzajów broni palnej, które zostały zgodnie</w:t>
      </w:r>
      <w:r w:rsidR="00C61CB6" w:rsidRPr="00493A63">
        <w:rPr>
          <w:noProof/>
          <w:sz w:val="24"/>
          <w:szCs w:val="24"/>
        </w:rPr>
        <w:t xml:space="preserve"> z</w:t>
      </w:r>
      <w:r w:rsidR="00C61CB6">
        <w:rPr>
          <w:noProof/>
          <w:sz w:val="24"/>
          <w:szCs w:val="24"/>
        </w:rPr>
        <w:t> </w:t>
      </w:r>
      <w:r w:rsidR="00C61CB6" w:rsidRPr="00493A63">
        <w:rPr>
          <w:noProof/>
          <w:sz w:val="24"/>
          <w:szCs w:val="24"/>
        </w:rPr>
        <w:t>pra</w:t>
      </w:r>
      <w:r w:rsidRPr="00493A63">
        <w:rPr>
          <w:noProof/>
          <w:sz w:val="24"/>
          <w:szCs w:val="24"/>
        </w:rPr>
        <w:t>wem przerobione</w:t>
      </w:r>
      <w:r w:rsidR="00C61CB6" w:rsidRPr="00493A63">
        <w:rPr>
          <w:noProof/>
          <w:sz w:val="24"/>
          <w:szCs w:val="24"/>
        </w:rPr>
        <w:t xml:space="preserve"> i</w:t>
      </w:r>
      <w:r w:rsidR="00C61CB6">
        <w:rPr>
          <w:noProof/>
          <w:sz w:val="24"/>
          <w:szCs w:val="24"/>
        </w:rPr>
        <w:t> </w:t>
      </w:r>
      <w:r w:rsidR="00C61CB6" w:rsidRPr="00493A63">
        <w:rPr>
          <w:noProof/>
          <w:sz w:val="24"/>
          <w:szCs w:val="24"/>
        </w:rPr>
        <w:t>zmo</w:t>
      </w:r>
      <w:r w:rsidRPr="00493A63">
        <w:rPr>
          <w:noProof/>
          <w:sz w:val="24"/>
          <w:szCs w:val="24"/>
        </w:rPr>
        <w:t>dyfikowane,</w:t>
      </w:r>
      <w:r w:rsidR="00C61CB6" w:rsidRPr="00493A63">
        <w:rPr>
          <w:noProof/>
          <w:sz w:val="24"/>
          <w:szCs w:val="24"/>
        </w:rPr>
        <w:t xml:space="preserve"> w</w:t>
      </w:r>
      <w:r w:rsidR="00C61CB6">
        <w:rPr>
          <w:noProof/>
          <w:sz w:val="24"/>
          <w:szCs w:val="24"/>
        </w:rPr>
        <w:t> </w:t>
      </w:r>
      <w:r w:rsidR="00C61CB6" w:rsidRPr="00493A63">
        <w:rPr>
          <w:noProof/>
          <w:sz w:val="24"/>
          <w:szCs w:val="24"/>
        </w:rPr>
        <w:t>ich</w:t>
      </w:r>
      <w:r w:rsidRPr="00493A63">
        <w:rPr>
          <w:noProof/>
          <w:sz w:val="24"/>
          <w:szCs w:val="24"/>
        </w:rPr>
        <w:t xml:space="preserve"> pierwotnej kategorii;</w:t>
      </w:r>
    </w:p>
    <w:p w14:paraId="33A860EC" w14:textId="11F733CF" w:rsidR="0096435F" w:rsidRPr="00493A63" w:rsidRDefault="00004E90" w:rsidP="00AA4920">
      <w:pPr>
        <w:pStyle w:val="ListParagraph"/>
        <w:numPr>
          <w:ilvl w:val="0"/>
          <w:numId w:val="24"/>
        </w:numPr>
        <w:rPr>
          <w:noProof/>
          <w:sz w:val="24"/>
          <w:szCs w:val="24"/>
        </w:rPr>
      </w:pPr>
      <w:r w:rsidRPr="00493A63">
        <w:rPr>
          <w:noProof/>
          <w:sz w:val="24"/>
          <w:szCs w:val="24"/>
        </w:rPr>
        <w:t>zharmonizowanie przepisów dotyczących zabytkowej broni palnej;</w:t>
      </w:r>
    </w:p>
    <w:p w14:paraId="0277EDFE" w14:textId="1534C9B2" w:rsidR="00E2665A" w:rsidRPr="00493A63" w:rsidRDefault="00E2665A" w:rsidP="0004239C">
      <w:pPr>
        <w:pStyle w:val="ListParagraph"/>
        <w:numPr>
          <w:ilvl w:val="0"/>
          <w:numId w:val="24"/>
        </w:numPr>
        <w:rPr>
          <w:noProof/>
          <w:sz w:val="24"/>
          <w:szCs w:val="24"/>
        </w:rPr>
      </w:pPr>
      <w:r w:rsidRPr="00493A63">
        <w:rPr>
          <w:noProof/>
          <w:sz w:val="24"/>
          <w:szCs w:val="24"/>
        </w:rPr>
        <w:t>wprowadzenie zakazu nabywania, reklamowania</w:t>
      </w:r>
      <w:r w:rsidR="00C61CB6" w:rsidRPr="00493A63">
        <w:rPr>
          <w:noProof/>
          <w:sz w:val="24"/>
          <w:szCs w:val="24"/>
        </w:rPr>
        <w:t xml:space="preserve"> i</w:t>
      </w:r>
      <w:r w:rsidR="00C61CB6">
        <w:rPr>
          <w:noProof/>
          <w:sz w:val="24"/>
          <w:szCs w:val="24"/>
        </w:rPr>
        <w:t> </w:t>
      </w:r>
      <w:r w:rsidR="00C61CB6" w:rsidRPr="00493A63">
        <w:rPr>
          <w:noProof/>
          <w:sz w:val="24"/>
          <w:szCs w:val="24"/>
        </w:rPr>
        <w:t>pos</w:t>
      </w:r>
      <w:r w:rsidRPr="00493A63">
        <w:rPr>
          <w:noProof/>
          <w:sz w:val="24"/>
          <w:szCs w:val="24"/>
        </w:rPr>
        <w:t xml:space="preserve">iadania przez nieautoryzowanych sprzedawców broni projektów na potrzeby drukowania przestrzennego broni; </w:t>
      </w:r>
    </w:p>
    <w:p w14:paraId="6D316996" w14:textId="2EBF5DB9" w:rsidR="00E2665A" w:rsidRPr="00493A63" w:rsidRDefault="00E2665A" w:rsidP="00AA4920">
      <w:pPr>
        <w:pStyle w:val="ListParagraph"/>
        <w:numPr>
          <w:ilvl w:val="0"/>
          <w:numId w:val="24"/>
        </w:numPr>
        <w:rPr>
          <w:noProof/>
          <w:sz w:val="24"/>
          <w:szCs w:val="24"/>
        </w:rPr>
      </w:pPr>
      <w:r w:rsidRPr="00493A63">
        <w:rPr>
          <w:noProof/>
          <w:sz w:val="24"/>
          <w:szCs w:val="24"/>
        </w:rPr>
        <w:t>zapewnienie</w:t>
      </w:r>
      <w:r w:rsidR="00C61CB6" w:rsidRPr="00493A63">
        <w:rPr>
          <w:noProof/>
          <w:sz w:val="24"/>
          <w:szCs w:val="24"/>
        </w:rPr>
        <w:t xml:space="preserve"> w</w:t>
      </w:r>
      <w:r w:rsidR="00C61CB6">
        <w:rPr>
          <w:noProof/>
          <w:sz w:val="24"/>
          <w:szCs w:val="24"/>
        </w:rPr>
        <w:t> </w:t>
      </w:r>
      <w:r w:rsidR="00C61CB6" w:rsidRPr="00493A63">
        <w:rPr>
          <w:noProof/>
          <w:sz w:val="24"/>
          <w:szCs w:val="24"/>
        </w:rPr>
        <w:t>dyr</w:t>
      </w:r>
      <w:r w:rsidRPr="00493A63">
        <w:rPr>
          <w:noProof/>
          <w:sz w:val="24"/>
          <w:szCs w:val="24"/>
        </w:rPr>
        <w:t>ektywie</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 wyraźnej podstawy prawnej wykorzystywania systemu wymiany informacji na rynku wewnętrznym;</w:t>
      </w:r>
    </w:p>
    <w:p w14:paraId="311CCD07" w14:textId="553B04B9" w:rsidR="0096435F" w:rsidRPr="00493A63" w:rsidRDefault="0096435F" w:rsidP="00AA4920">
      <w:pPr>
        <w:pStyle w:val="ListParagraph"/>
        <w:numPr>
          <w:ilvl w:val="0"/>
          <w:numId w:val="24"/>
        </w:numPr>
        <w:rPr>
          <w:noProof/>
          <w:sz w:val="24"/>
          <w:szCs w:val="24"/>
        </w:rPr>
      </w:pPr>
      <w:r w:rsidRPr="00493A63">
        <w:rPr>
          <w:noProof/>
          <w:sz w:val="24"/>
          <w:szCs w:val="24"/>
        </w:rPr>
        <w:t>doprecyzowanie obowiązków organów krajowych</w:t>
      </w:r>
      <w:r w:rsidR="00C61CB6" w:rsidRPr="00493A63">
        <w:rPr>
          <w:noProof/>
          <w:sz w:val="24"/>
          <w:szCs w:val="24"/>
        </w:rPr>
        <w:t xml:space="preserve"> w</w:t>
      </w:r>
      <w:r w:rsidR="00C61CB6">
        <w:rPr>
          <w:noProof/>
          <w:sz w:val="24"/>
          <w:szCs w:val="24"/>
        </w:rPr>
        <w:t> </w:t>
      </w:r>
      <w:r w:rsidR="00C61CB6" w:rsidRPr="00493A63">
        <w:rPr>
          <w:noProof/>
          <w:sz w:val="24"/>
          <w:szCs w:val="24"/>
        </w:rPr>
        <w:t>zak</w:t>
      </w:r>
      <w:r w:rsidRPr="00493A63">
        <w:rPr>
          <w:noProof/>
          <w:sz w:val="24"/>
          <w:szCs w:val="24"/>
        </w:rPr>
        <w:t>resie wymiany informacji;</w:t>
      </w:r>
    </w:p>
    <w:p w14:paraId="1C476951" w14:textId="3FE327E8" w:rsidR="0096435F" w:rsidRPr="00493A63" w:rsidRDefault="00E2665A" w:rsidP="00AA4920">
      <w:pPr>
        <w:pStyle w:val="ListParagraph"/>
        <w:numPr>
          <w:ilvl w:val="0"/>
          <w:numId w:val="24"/>
        </w:numPr>
        <w:rPr>
          <w:noProof/>
          <w:sz w:val="24"/>
          <w:szCs w:val="24"/>
        </w:rPr>
      </w:pPr>
      <w:r w:rsidRPr="00493A63">
        <w:rPr>
          <w:noProof/>
          <w:sz w:val="24"/>
          <w:szCs w:val="24"/>
        </w:rPr>
        <w:t>określenie minimalnej głębokości oznakowania broni palnej</w:t>
      </w:r>
      <w:r w:rsidR="00C61CB6" w:rsidRPr="00493A63">
        <w:rPr>
          <w:noProof/>
          <w:sz w:val="24"/>
          <w:szCs w:val="24"/>
        </w:rPr>
        <w:t xml:space="preserve"> i</w:t>
      </w:r>
      <w:r w:rsidR="00C61CB6">
        <w:rPr>
          <w:noProof/>
          <w:sz w:val="24"/>
          <w:szCs w:val="24"/>
        </w:rPr>
        <w:t> </w:t>
      </w:r>
      <w:r w:rsidR="00C61CB6" w:rsidRPr="00493A63">
        <w:rPr>
          <w:noProof/>
          <w:sz w:val="24"/>
          <w:szCs w:val="24"/>
        </w:rPr>
        <w:t>jej</w:t>
      </w:r>
      <w:r w:rsidRPr="00493A63">
        <w:rPr>
          <w:noProof/>
          <w:sz w:val="24"/>
          <w:szCs w:val="24"/>
        </w:rPr>
        <w:t xml:space="preserve"> istotnych komponentów.</w:t>
      </w:r>
    </w:p>
    <w:p w14:paraId="21EE8E6C" w14:textId="336F26D7" w:rsidR="003D59DD" w:rsidRPr="00493A63" w:rsidRDefault="00262402" w:rsidP="003D59DD">
      <w:pPr>
        <w:spacing w:after="240" w:line="240" w:lineRule="auto"/>
        <w:rPr>
          <w:noProof/>
          <w:sz w:val="24"/>
          <w:szCs w:val="24"/>
        </w:rPr>
      </w:pPr>
      <w:r w:rsidRPr="00493A63">
        <w:rPr>
          <w:noProof/>
          <w:sz w:val="24"/>
          <w:szCs w:val="24"/>
        </w:rPr>
        <w:t>Komisja przeprowadzi zatem ocenę skutków</w:t>
      </w:r>
      <w:r w:rsidR="00C61CB6" w:rsidRPr="00493A63">
        <w:rPr>
          <w:noProof/>
          <w:sz w:val="24"/>
          <w:szCs w:val="24"/>
        </w:rPr>
        <w:t xml:space="preserve"> w</w:t>
      </w:r>
      <w:r w:rsidR="00C61CB6">
        <w:rPr>
          <w:noProof/>
          <w:sz w:val="24"/>
          <w:szCs w:val="24"/>
        </w:rPr>
        <w:t> </w:t>
      </w:r>
      <w:r w:rsidR="00C61CB6" w:rsidRPr="00493A63">
        <w:rPr>
          <w:noProof/>
          <w:sz w:val="24"/>
          <w:szCs w:val="24"/>
        </w:rPr>
        <w:t>zwi</w:t>
      </w:r>
      <w:r w:rsidRPr="00493A63">
        <w:rPr>
          <w:noProof/>
          <w:sz w:val="24"/>
          <w:szCs w:val="24"/>
        </w:rPr>
        <w:t>ązku</w:t>
      </w:r>
      <w:r w:rsidR="00C61CB6" w:rsidRPr="00493A63">
        <w:rPr>
          <w:noProof/>
          <w:sz w:val="24"/>
          <w:szCs w:val="24"/>
        </w:rPr>
        <w:t xml:space="preserve"> z</w:t>
      </w:r>
      <w:r w:rsidR="00C61CB6">
        <w:rPr>
          <w:noProof/>
          <w:sz w:val="24"/>
          <w:szCs w:val="24"/>
        </w:rPr>
        <w:t> </w:t>
      </w:r>
      <w:r w:rsidR="00C61CB6" w:rsidRPr="00493A63">
        <w:rPr>
          <w:noProof/>
          <w:sz w:val="24"/>
          <w:szCs w:val="24"/>
        </w:rPr>
        <w:t>moż</w:t>
      </w:r>
      <w:r w:rsidRPr="00493A63">
        <w:rPr>
          <w:noProof/>
          <w:sz w:val="24"/>
          <w:szCs w:val="24"/>
        </w:rPr>
        <w:t>liwością zmiany dyrektywy</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w:t>
      </w:r>
      <w:r w:rsidRPr="00493A63">
        <w:rPr>
          <w:noProof/>
        </w:rPr>
        <w:t xml:space="preserve"> </w:t>
      </w:r>
      <w:r w:rsidRPr="00493A63">
        <w:rPr>
          <w:noProof/>
          <w:sz w:val="24"/>
          <w:szCs w:val="24"/>
        </w:rPr>
        <w:t>Ponadto Komisja nadal będzie bezpośrednio i za pośrednictwem projektów finansowanych ze środków UE monitorować postępy technologiczne</w:t>
      </w:r>
      <w:r w:rsidR="00C61CB6" w:rsidRPr="00493A63">
        <w:rPr>
          <w:noProof/>
          <w:sz w:val="24"/>
          <w:szCs w:val="24"/>
        </w:rPr>
        <w:t xml:space="preserve"> i</w:t>
      </w:r>
      <w:r w:rsidR="00C61CB6">
        <w:rPr>
          <w:noProof/>
          <w:sz w:val="24"/>
          <w:szCs w:val="24"/>
        </w:rPr>
        <w:t> </w:t>
      </w:r>
      <w:r w:rsidR="00C61CB6" w:rsidRPr="00493A63">
        <w:rPr>
          <w:noProof/>
          <w:sz w:val="24"/>
          <w:szCs w:val="24"/>
        </w:rPr>
        <w:t>syt</w:t>
      </w:r>
      <w:r w:rsidRPr="00493A63">
        <w:rPr>
          <w:noProof/>
          <w:sz w:val="24"/>
          <w:szCs w:val="24"/>
        </w:rPr>
        <w:t>uację na rynku</w:t>
      </w:r>
      <w:r w:rsidR="00C61CB6" w:rsidRPr="00493A63">
        <w:rPr>
          <w:noProof/>
          <w:sz w:val="24"/>
          <w:szCs w:val="24"/>
        </w:rPr>
        <w:t xml:space="preserve"> w</w:t>
      </w:r>
      <w:r w:rsidR="00C61CB6">
        <w:rPr>
          <w:noProof/>
          <w:sz w:val="24"/>
          <w:szCs w:val="24"/>
        </w:rPr>
        <w:t> </w:t>
      </w:r>
      <w:r w:rsidR="00C61CB6" w:rsidRPr="00493A63">
        <w:rPr>
          <w:noProof/>
          <w:sz w:val="24"/>
          <w:szCs w:val="24"/>
        </w:rPr>
        <w:t>cel</w:t>
      </w:r>
      <w:r w:rsidRPr="00493A63">
        <w:rPr>
          <w:noProof/>
          <w:sz w:val="24"/>
          <w:szCs w:val="24"/>
        </w:rPr>
        <w:t>u poprawy możliwości śledzenia</w:t>
      </w:r>
      <w:r w:rsidR="00C61CB6" w:rsidRPr="00493A63">
        <w:rPr>
          <w:noProof/>
          <w:sz w:val="24"/>
          <w:szCs w:val="24"/>
        </w:rPr>
        <w:t xml:space="preserve"> i</w:t>
      </w:r>
      <w:r w:rsidR="00C61CB6">
        <w:rPr>
          <w:noProof/>
          <w:sz w:val="24"/>
          <w:szCs w:val="24"/>
        </w:rPr>
        <w:t> </w:t>
      </w:r>
      <w:r w:rsidR="00C61CB6" w:rsidRPr="00493A63">
        <w:rPr>
          <w:noProof/>
          <w:sz w:val="24"/>
          <w:szCs w:val="24"/>
        </w:rPr>
        <w:t>kon</w:t>
      </w:r>
      <w:r w:rsidRPr="00493A63">
        <w:rPr>
          <w:noProof/>
          <w:sz w:val="24"/>
          <w:szCs w:val="24"/>
        </w:rPr>
        <w:t>troli inwentaryzacji broni palnej za pomocą różnych technologii stosowanych</w:t>
      </w:r>
      <w:r w:rsidR="00C61CB6" w:rsidRPr="00493A63">
        <w:rPr>
          <w:noProof/>
          <w:sz w:val="24"/>
          <w:szCs w:val="24"/>
        </w:rPr>
        <w:t xml:space="preserve"> w</w:t>
      </w:r>
      <w:r w:rsidR="00C61CB6">
        <w:rPr>
          <w:noProof/>
          <w:sz w:val="24"/>
          <w:szCs w:val="24"/>
        </w:rPr>
        <w:t> </w:t>
      </w:r>
      <w:r w:rsidR="00C61CB6" w:rsidRPr="00493A63">
        <w:rPr>
          <w:noProof/>
          <w:sz w:val="24"/>
          <w:szCs w:val="24"/>
        </w:rPr>
        <w:t>odn</w:t>
      </w:r>
      <w:r w:rsidRPr="00493A63">
        <w:rPr>
          <w:noProof/>
          <w:sz w:val="24"/>
          <w:szCs w:val="24"/>
        </w:rPr>
        <w:t xml:space="preserve">iesieniu do innych sektorów przemysłu. </w:t>
      </w:r>
    </w:p>
    <w:p w14:paraId="57DA99FA" w14:textId="34B958CE" w:rsidR="00A84AA3" w:rsidRPr="00493A63" w:rsidRDefault="004E07D1" w:rsidP="00704D37">
      <w:pPr>
        <w:rPr>
          <w:noProof/>
          <w:sz w:val="24"/>
          <w:szCs w:val="24"/>
        </w:rPr>
      </w:pPr>
      <w:r w:rsidRPr="00493A63">
        <w:rPr>
          <w:noProof/>
          <w:sz w:val="24"/>
          <w:szCs w:val="24"/>
        </w:rPr>
        <w:t>Te kluczowe działania przyczynią się do realizacji celów dyrektywy</w:t>
      </w:r>
      <w:r w:rsidR="00C61CB6" w:rsidRPr="00493A63">
        <w:rPr>
          <w:noProof/>
          <w:sz w:val="24"/>
          <w:szCs w:val="24"/>
        </w:rPr>
        <w:t xml:space="preserve"> w</w:t>
      </w:r>
      <w:r w:rsidR="00C61CB6">
        <w:rPr>
          <w:noProof/>
          <w:sz w:val="24"/>
          <w:szCs w:val="24"/>
        </w:rPr>
        <w:t> </w:t>
      </w:r>
      <w:r w:rsidR="00C61CB6" w:rsidRPr="00493A63">
        <w:rPr>
          <w:noProof/>
          <w:sz w:val="24"/>
          <w:szCs w:val="24"/>
        </w:rPr>
        <w:t>spr</w:t>
      </w:r>
      <w:r w:rsidRPr="00493A63">
        <w:rPr>
          <w:noProof/>
          <w:sz w:val="24"/>
          <w:szCs w:val="24"/>
        </w:rPr>
        <w:t>awie broni palnej, jakimi są: umożliwienie transgranicznego przepływu broni palnej przy jednoczesnym utrzymaniu wysokiego poziomu bezpieczeństwa</w:t>
      </w:r>
      <w:r w:rsidR="00C61CB6" w:rsidRPr="00493A63">
        <w:rPr>
          <w:noProof/>
          <w:sz w:val="24"/>
          <w:szCs w:val="24"/>
        </w:rPr>
        <w:t xml:space="preserve"> i</w:t>
      </w:r>
      <w:r w:rsidR="00C61CB6">
        <w:rPr>
          <w:noProof/>
          <w:sz w:val="24"/>
          <w:szCs w:val="24"/>
        </w:rPr>
        <w:t> </w:t>
      </w:r>
      <w:r w:rsidR="00C61CB6" w:rsidRPr="00493A63">
        <w:rPr>
          <w:noProof/>
          <w:sz w:val="24"/>
          <w:szCs w:val="24"/>
        </w:rPr>
        <w:t>och</w:t>
      </w:r>
      <w:r w:rsidRPr="00493A63">
        <w:rPr>
          <w:noProof/>
          <w:sz w:val="24"/>
          <w:szCs w:val="24"/>
        </w:rPr>
        <w:t>rony przed przestępstwami</w:t>
      </w:r>
      <w:r w:rsidR="00C61CB6" w:rsidRPr="00493A63">
        <w:rPr>
          <w:noProof/>
          <w:sz w:val="24"/>
          <w:szCs w:val="24"/>
        </w:rPr>
        <w:t xml:space="preserve"> i</w:t>
      </w:r>
      <w:r w:rsidR="00C61CB6">
        <w:rPr>
          <w:noProof/>
          <w:sz w:val="24"/>
          <w:szCs w:val="24"/>
        </w:rPr>
        <w:t> </w:t>
      </w:r>
      <w:r w:rsidR="00C61CB6" w:rsidRPr="00493A63">
        <w:rPr>
          <w:noProof/>
          <w:sz w:val="24"/>
          <w:szCs w:val="24"/>
        </w:rPr>
        <w:t>nie</w:t>
      </w:r>
      <w:r w:rsidRPr="00493A63">
        <w:rPr>
          <w:noProof/>
          <w:sz w:val="24"/>
          <w:szCs w:val="24"/>
        </w:rPr>
        <w:t>legalnym handlem bronią palną.</w:t>
      </w:r>
    </w:p>
    <w:sectPr w:rsidR="00A84AA3" w:rsidRPr="00493A63" w:rsidSect="00AC317D">
      <w:headerReference w:type="even" r:id="rId30"/>
      <w:headerReference w:type="default" r:id="rId31"/>
      <w:footerReference w:type="even" r:id="rId32"/>
      <w:footerReference w:type="default" r:id="rId33"/>
      <w:headerReference w:type="first" r:id="rId34"/>
      <w:footerReference w:type="first" r:id="rId35"/>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56B43" w14:textId="77777777" w:rsidR="00C61CB6" w:rsidRDefault="00C61CB6">
      <w:pPr>
        <w:spacing w:after="0" w:line="240" w:lineRule="auto"/>
      </w:pPr>
      <w:r>
        <w:separator/>
      </w:r>
    </w:p>
  </w:endnote>
  <w:endnote w:type="continuationSeparator" w:id="0">
    <w:p w14:paraId="2647B5D9" w14:textId="77777777" w:rsidR="00C61CB6" w:rsidRDefault="00C61CB6">
      <w:pPr>
        <w:spacing w:after="0" w:line="240" w:lineRule="auto"/>
      </w:pPr>
      <w:r>
        <w:continuationSeparator/>
      </w:r>
    </w:p>
  </w:endnote>
  <w:endnote w:type="continuationNotice" w:id="1">
    <w:p w14:paraId="3D480067" w14:textId="77777777" w:rsidR="00C61CB6" w:rsidRDefault="00C61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A84F0" w14:textId="77777777" w:rsidR="00680DFF" w:rsidRPr="00680DFF" w:rsidRDefault="00680DFF" w:rsidP="00680DF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C1DA6" w14:textId="77777777" w:rsidR="00C61CB6" w:rsidRDefault="00C61CB6">
    <w:pPr>
      <w:pStyle w:val="FooterLine"/>
    </w:pPr>
    <w:r>
      <w:t xml:space="preserve"> - </w:t>
    </w:r>
    <w:r>
      <w:tab/>
      <w:t xml:space="preserve">Strona </w:t>
    </w:r>
    <w:r>
      <w:fldChar w:fldCharType="begin"/>
    </w:r>
    <w:r>
      <w:instrText>PAGE</w:instrText>
    </w:r>
    <w:r>
      <w:fldChar w:fldCharType="separate"/>
    </w:r>
    <w:r>
      <w:t>3</w:t>
    </w:r>
    <w:r>
      <w:fldChar w:fldCharType="end"/>
    </w:r>
    <w:r>
      <w:t xml:space="preserve"> / </w:t>
    </w:r>
    <w:r>
      <w:fldChar w:fldCharType="begin"/>
    </w:r>
    <w:r>
      <w:instrText>NUMPAGES</w:instrText>
    </w:r>
    <w:r>
      <w:fldChar w:fldCharType="separate"/>
    </w:r>
    <w:r>
      <w:t>4</w:t>
    </w:r>
    <w:r>
      <w:fldChar w:fldCharType="end"/>
    </w:r>
  </w:p>
  <w:p w14:paraId="20BA6550" w14:textId="77777777" w:rsidR="00C61CB6" w:rsidRDefault="00680DFF">
    <w:pPr>
      <w:pStyle w:val="Footer"/>
    </w:pPr>
    <w:sdt>
      <w:sdtPr>
        <w:id w:val="203450610"/>
        <w:dataBinding w:xpath="/Texts/TechFooterVersion" w:storeItemID="{4EF90DE6-88B6-4264-9629-4D8DFDFE87D2}"/>
        <w:text w:multiLine="1"/>
      </w:sdtPr>
      <w:sdtEndPr/>
      <w:sdtContent>
        <w:r w:rsidR="00C61CB6">
          <w:t>Wersja dokumentu</w:t>
        </w:r>
      </w:sdtContent>
    </w:sdt>
    <w:r w:rsidR="00C61CB6">
      <w:t xml:space="preserve"> </w:t>
    </w:r>
    <w:sdt>
      <w:sdtPr>
        <w:alias w:val="Wersja"/>
        <w:id w:val="1862395110"/>
        <w:dataBinding w:xpath="/EurolookProperties/DocumentVersion" w:storeItemID="{D3EA5527-7367-4268-9D83-5125C98D0ED2}"/>
        <w:text w:multiLine="1"/>
      </w:sdtPr>
      <w:sdtEndPr/>
      <w:sdtContent>
        <w:r w:rsidR="00C61CB6">
          <w:t>0.1</w:t>
        </w:r>
      </w:sdtContent>
    </w:sdt>
    <w:r w:rsidR="00C61CB6">
      <w:t xml:space="preserve"> </w:t>
    </w:r>
    <w:sdt>
      <w:sdtPr>
        <w:id w:val="-1454549243"/>
        <w:dataBinding w:xpath="/Texts/TechFooterDated" w:storeItemID="{4EF90DE6-88B6-4264-9629-4D8DFDFE87D2}"/>
        <w:text w:multiLine="1"/>
      </w:sdtPr>
      <w:sdtEndPr/>
      <w:sdtContent>
        <w:r w:rsidR="00C61CB6">
          <w:t>data utworzenia</w:t>
        </w:r>
      </w:sdtContent>
    </w:sdt>
    <w:r w:rsidR="00C61CB6">
      <w:t xml:space="preserve"> </w:t>
    </w:r>
    <w:sdt>
      <w:sdtPr>
        <w:alias w:val=""/>
        <w:id w:val="-1314870678"/>
        <w:dataBinding w:xpath="/EurolookProperties/DocumentDate" w:storeItemID="{D3EA5527-7367-4268-9D83-5125C98D0ED2}"/>
        <w:date w:fullDate="2020-03-26T10:19:00Z">
          <w:dateFormat w:val="dd/MM/yyyy"/>
          <w:lid w:val="pl-PL"/>
          <w:storeMappedDataAs w:val="dateTime"/>
          <w:calendar w:val="gregorian"/>
        </w:date>
      </w:sdtPr>
      <w:sdtEndPr/>
      <w:sdtContent>
        <w:r w:rsidR="00C61CB6">
          <w:t>26/03/2020</w:t>
        </w:r>
      </w:sdtContent>
    </w:sdt>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101032"/>
      <w:docPartObj>
        <w:docPartGallery w:val="Page Numbers (Bottom of Page)"/>
        <w:docPartUnique/>
      </w:docPartObj>
    </w:sdtPr>
    <w:sdtEndPr>
      <w:rPr>
        <w:noProof/>
      </w:rPr>
    </w:sdtEndPr>
    <w:sdtContent>
      <w:p w14:paraId="6E3B1223" w14:textId="1378F837" w:rsidR="00C61CB6" w:rsidRDefault="00C61CB6">
        <w:pPr>
          <w:pStyle w:val="Footer"/>
          <w:jc w:val="center"/>
        </w:pPr>
        <w:r>
          <w:fldChar w:fldCharType="begin"/>
        </w:r>
        <w:r>
          <w:instrText xml:space="preserve"> PAGE   \* MERGEFORMAT </w:instrText>
        </w:r>
        <w:r>
          <w:fldChar w:fldCharType="separate"/>
        </w:r>
        <w:r w:rsidR="00680DFF">
          <w:rPr>
            <w:noProof/>
          </w:rPr>
          <w:t>18</w:t>
        </w:r>
        <w:r>
          <w:fldChar w:fldCharType="end"/>
        </w:r>
      </w:p>
    </w:sdtContent>
  </w:sdt>
  <w:p w14:paraId="6B33C47E" w14:textId="77777777" w:rsidR="00C61CB6" w:rsidRDefault="00C61CB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476119"/>
      <w:docPartObj>
        <w:docPartGallery w:val="Page Numbers (Bottom of Page)"/>
        <w:docPartUnique/>
      </w:docPartObj>
    </w:sdtPr>
    <w:sdtEndPr>
      <w:rPr>
        <w:noProof/>
      </w:rPr>
    </w:sdtEndPr>
    <w:sdtContent>
      <w:p w14:paraId="3C377D00" w14:textId="73400251" w:rsidR="00C61CB6" w:rsidRDefault="00C61CB6">
        <w:pPr>
          <w:pStyle w:val="Footer"/>
          <w:jc w:val="center"/>
        </w:pPr>
        <w:r>
          <w:fldChar w:fldCharType="begin"/>
        </w:r>
        <w:r>
          <w:instrText xml:space="preserve"> PAGE   \* MERGEFORMAT </w:instrText>
        </w:r>
        <w:r>
          <w:fldChar w:fldCharType="separate"/>
        </w:r>
        <w:r w:rsidR="00680DFF">
          <w:rPr>
            <w:noProof/>
          </w:rPr>
          <w:t>5</w:t>
        </w:r>
        <w:r>
          <w:fldChar w:fldCharType="end"/>
        </w:r>
      </w:p>
    </w:sdtContent>
  </w:sdt>
  <w:p w14:paraId="37C32CF6" w14:textId="77777777" w:rsidR="00C61CB6" w:rsidRDefault="00C61CB6">
    <w:pPr>
      <w:pStyle w:val="Foo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E205E" w14:textId="4AAD4008" w:rsidR="006736E8" w:rsidRPr="00680DFF" w:rsidRDefault="00680DFF" w:rsidP="00680DFF">
    <w:pPr>
      <w:pStyle w:val="FooterCoverPage"/>
      <w:rPr>
        <w:rFonts w:ascii="Arial" w:hAnsi="Arial" w:cs="Arial"/>
        <w:b/>
        <w:sz w:val="48"/>
      </w:rPr>
    </w:pPr>
    <w:r w:rsidRPr="00680DFF">
      <w:rPr>
        <w:rFonts w:ascii="Arial" w:hAnsi="Arial" w:cs="Arial"/>
        <w:b/>
        <w:sz w:val="48"/>
      </w:rPr>
      <w:t>PL</w:t>
    </w:r>
    <w:r w:rsidRPr="00680DFF">
      <w:rPr>
        <w:rFonts w:ascii="Arial" w:hAnsi="Arial" w:cs="Arial"/>
        <w:b/>
        <w:sz w:val="48"/>
      </w:rPr>
      <w:tab/>
    </w:r>
    <w:r w:rsidRPr="00680DFF">
      <w:rPr>
        <w:rFonts w:ascii="Arial" w:hAnsi="Arial" w:cs="Arial"/>
        <w:b/>
        <w:sz w:val="48"/>
      </w:rPr>
      <w:tab/>
    </w:r>
    <w:r w:rsidRPr="00680DFF">
      <w:tab/>
    </w:r>
    <w:r w:rsidRPr="00680DFF">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A786" w14:textId="77777777" w:rsidR="00680DFF" w:rsidRPr="00680DFF" w:rsidRDefault="00680DFF" w:rsidP="00680DF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DA231" w14:textId="31495BD6" w:rsidR="00C61CB6" w:rsidRDefault="00C61CB6">
    <w:pPr>
      <w:pStyle w:val="FooterLine"/>
    </w:pPr>
    <w:r>
      <w:t xml:space="preserve"> - </w:t>
    </w:r>
    <w:r>
      <w:tab/>
      <w:t xml:space="preserve">Strona </w:t>
    </w:r>
    <w:r>
      <w:fldChar w:fldCharType="begin"/>
    </w:r>
    <w:r>
      <w:instrText>PAGE</w:instrText>
    </w:r>
    <w:r>
      <w:fldChar w:fldCharType="separate"/>
    </w:r>
    <w:r>
      <w:t>3</w:t>
    </w:r>
    <w:r>
      <w:fldChar w:fldCharType="end"/>
    </w:r>
    <w:r>
      <w:t xml:space="preserve"> / </w:t>
    </w:r>
    <w:r>
      <w:fldChar w:fldCharType="begin"/>
    </w:r>
    <w:r>
      <w:instrText>NUMPAGES</w:instrText>
    </w:r>
    <w:r>
      <w:fldChar w:fldCharType="separate"/>
    </w:r>
    <w:r>
      <w:t>4</w:t>
    </w:r>
    <w:r>
      <w:fldChar w:fldCharType="end"/>
    </w:r>
  </w:p>
  <w:p w14:paraId="055417EF" w14:textId="77777777" w:rsidR="00C61CB6" w:rsidRDefault="00680DFF">
    <w:pPr>
      <w:pStyle w:val="Footer"/>
    </w:pPr>
    <w:sdt>
      <w:sdtPr>
        <w:id w:val="-1717954504"/>
        <w:dataBinding w:xpath="/Texts/TechFooterVersion" w:storeItemID="{4EF90DE6-88B6-4264-9629-4D8DFDFE87D2}"/>
        <w:text w:multiLine="1"/>
      </w:sdtPr>
      <w:sdtEndPr/>
      <w:sdtContent>
        <w:r w:rsidR="00C61CB6">
          <w:t>Wersja dokumentu</w:t>
        </w:r>
      </w:sdtContent>
    </w:sdt>
    <w:r w:rsidR="00C61CB6">
      <w:t xml:space="preserve"> </w:t>
    </w:r>
    <w:sdt>
      <w:sdtPr>
        <w:alias w:val="Wersja"/>
        <w:id w:val="1725406815"/>
        <w:dataBinding w:xpath="/EurolookProperties/DocumentVersion" w:storeItemID="{D3EA5527-7367-4268-9D83-5125C98D0ED2}"/>
        <w:text w:multiLine="1"/>
      </w:sdtPr>
      <w:sdtEndPr/>
      <w:sdtContent>
        <w:r w:rsidR="00C61CB6">
          <w:t>0.1</w:t>
        </w:r>
      </w:sdtContent>
    </w:sdt>
    <w:r w:rsidR="00C61CB6">
      <w:t xml:space="preserve"> </w:t>
    </w:r>
    <w:sdt>
      <w:sdtPr>
        <w:id w:val="-167176333"/>
        <w:dataBinding w:xpath="/Texts/TechFooterDated" w:storeItemID="{4EF90DE6-88B6-4264-9629-4D8DFDFE87D2}"/>
        <w:text w:multiLine="1"/>
      </w:sdtPr>
      <w:sdtEndPr/>
      <w:sdtContent>
        <w:r w:rsidR="00C61CB6">
          <w:t>data utworzenia</w:t>
        </w:r>
      </w:sdtContent>
    </w:sdt>
    <w:r w:rsidR="00C61CB6">
      <w:t xml:space="preserve"> </w:t>
    </w:r>
    <w:sdt>
      <w:sdtPr>
        <w:alias w:val=""/>
        <w:id w:val="-770240014"/>
        <w:dataBinding w:xpath="/EurolookProperties/DocumentDate" w:storeItemID="{D3EA5527-7367-4268-9D83-5125C98D0ED2}"/>
        <w:date w:fullDate="2020-03-26T10:19:00Z">
          <w:dateFormat w:val="dd/MM/yyyy"/>
          <w:lid w:val="pl-PL"/>
          <w:storeMappedDataAs w:val="dateTime"/>
          <w:calendar w:val="gregorian"/>
        </w:date>
      </w:sdtPr>
      <w:sdtEndPr/>
      <w:sdtContent>
        <w:r w:rsidR="00C61CB6">
          <w:t>26/03/2020</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627057"/>
      <w:docPartObj>
        <w:docPartGallery w:val="Page Numbers (Bottom of Page)"/>
        <w:docPartUnique/>
      </w:docPartObj>
    </w:sdtPr>
    <w:sdtEndPr>
      <w:rPr>
        <w:noProof/>
      </w:rPr>
    </w:sdtEndPr>
    <w:sdtContent>
      <w:p w14:paraId="466F5A1A" w14:textId="51CB1639" w:rsidR="00C61CB6" w:rsidRDefault="00C61CB6">
        <w:pPr>
          <w:pStyle w:val="Footer"/>
          <w:jc w:val="center"/>
        </w:pPr>
        <w:r>
          <w:fldChar w:fldCharType="begin"/>
        </w:r>
        <w:r>
          <w:instrText xml:space="preserve"> PAGE   \* MERGEFORMAT </w:instrText>
        </w:r>
        <w:r>
          <w:fldChar w:fldCharType="separate"/>
        </w:r>
        <w:r w:rsidR="00680DFF">
          <w:rPr>
            <w:noProof/>
          </w:rPr>
          <w:t>3</w:t>
        </w:r>
        <w:r>
          <w:fldChar w:fldCharType="end"/>
        </w:r>
      </w:p>
    </w:sdtContent>
  </w:sdt>
  <w:p w14:paraId="7EF8F70E" w14:textId="77777777" w:rsidR="00C61CB6" w:rsidRDefault="00C61C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895216"/>
      <w:docPartObj>
        <w:docPartGallery w:val="Page Numbers (Bottom of Page)"/>
        <w:docPartUnique/>
      </w:docPartObj>
    </w:sdtPr>
    <w:sdtEndPr>
      <w:rPr>
        <w:noProof/>
      </w:rPr>
    </w:sdtEndPr>
    <w:sdtContent>
      <w:p w14:paraId="140DE163" w14:textId="44C81F4A" w:rsidR="00C61CB6" w:rsidRDefault="00C61CB6">
        <w:pPr>
          <w:pStyle w:val="Footer"/>
          <w:jc w:val="center"/>
        </w:pPr>
        <w:r>
          <w:fldChar w:fldCharType="begin"/>
        </w:r>
        <w:r>
          <w:instrText xml:space="preserve"> PAGE   \* MERGEFORMAT </w:instrText>
        </w:r>
        <w:r>
          <w:fldChar w:fldCharType="separate"/>
        </w:r>
        <w:r w:rsidR="00680DFF">
          <w:rPr>
            <w:noProof/>
          </w:rPr>
          <w:t>1</w:t>
        </w:r>
        <w:r>
          <w:fldChar w:fldCharType="end"/>
        </w:r>
      </w:p>
    </w:sdtContent>
  </w:sdt>
  <w:p w14:paraId="4A1A0CDF" w14:textId="16F639FF" w:rsidR="00C61CB6" w:rsidRDefault="00C61CB6">
    <w:pPr>
      <w:pStyle w:val="Footer"/>
      <w:rPr>
        <w:sz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B77" w14:textId="77777777" w:rsidR="00C61CB6" w:rsidRDefault="00C61CB6">
    <w:pPr>
      <w:pStyle w:val="FooterLine"/>
    </w:pPr>
    <w:r>
      <w:t xml:space="preserve"> - </w:t>
    </w:r>
    <w:r>
      <w:tab/>
      <w:t xml:space="preserve">Strona </w:t>
    </w:r>
    <w:r>
      <w:fldChar w:fldCharType="begin"/>
    </w:r>
    <w:r>
      <w:instrText>PAGE</w:instrText>
    </w:r>
    <w:r>
      <w:fldChar w:fldCharType="separate"/>
    </w:r>
    <w:r>
      <w:t>3</w:t>
    </w:r>
    <w:r>
      <w:fldChar w:fldCharType="end"/>
    </w:r>
    <w:r>
      <w:t xml:space="preserve"> / </w:t>
    </w:r>
    <w:r>
      <w:fldChar w:fldCharType="begin"/>
    </w:r>
    <w:r>
      <w:instrText>NUMPAGES</w:instrText>
    </w:r>
    <w:r>
      <w:fldChar w:fldCharType="separate"/>
    </w:r>
    <w:r>
      <w:t>4</w:t>
    </w:r>
    <w:r>
      <w:fldChar w:fldCharType="end"/>
    </w:r>
  </w:p>
  <w:p w14:paraId="59EC621F" w14:textId="77777777" w:rsidR="00C61CB6" w:rsidRDefault="00680DFF">
    <w:pPr>
      <w:pStyle w:val="Footer"/>
    </w:pPr>
    <w:sdt>
      <w:sdtPr>
        <w:id w:val="-1511748948"/>
        <w:dataBinding w:xpath="/Texts/TechFooterVersion" w:storeItemID="{4EF90DE6-88B6-4264-9629-4D8DFDFE87D2}"/>
        <w:text w:multiLine="1"/>
      </w:sdtPr>
      <w:sdtEndPr/>
      <w:sdtContent>
        <w:r w:rsidR="00C61CB6">
          <w:t>Wersja dokumentu</w:t>
        </w:r>
      </w:sdtContent>
    </w:sdt>
    <w:r w:rsidR="00C61CB6">
      <w:t xml:space="preserve"> </w:t>
    </w:r>
    <w:sdt>
      <w:sdtPr>
        <w:alias w:val="Wersja"/>
        <w:id w:val="1279220357"/>
        <w:dataBinding w:xpath="/EurolookProperties/DocumentVersion" w:storeItemID="{D3EA5527-7367-4268-9D83-5125C98D0ED2}"/>
        <w:text w:multiLine="1"/>
      </w:sdtPr>
      <w:sdtEndPr/>
      <w:sdtContent>
        <w:r w:rsidR="00C61CB6">
          <w:t>0.1</w:t>
        </w:r>
      </w:sdtContent>
    </w:sdt>
    <w:r w:rsidR="00C61CB6">
      <w:t xml:space="preserve"> </w:t>
    </w:r>
    <w:sdt>
      <w:sdtPr>
        <w:id w:val="-370915512"/>
        <w:dataBinding w:xpath="/Texts/TechFooterDated" w:storeItemID="{4EF90DE6-88B6-4264-9629-4D8DFDFE87D2}"/>
        <w:text w:multiLine="1"/>
      </w:sdtPr>
      <w:sdtEndPr/>
      <w:sdtContent>
        <w:r w:rsidR="00C61CB6">
          <w:t>data utworzenia</w:t>
        </w:r>
      </w:sdtContent>
    </w:sdt>
    <w:r w:rsidR="00C61CB6">
      <w:t xml:space="preserve"> </w:t>
    </w:r>
    <w:sdt>
      <w:sdtPr>
        <w:alias w:val=""/>
        <w:id w:val="-113440500"/>
        <w:dataBinding w:xpath="/EurolookProperties/DocumentDate" w:storeItemID="{D3EA5527-7367-4268-9D83-5125C98D0ED2}"/>
        <w:date w:fullDate="2020-03-26T10:19:00Z">
          <w:dateFormat w:val="dd/MM/yyyy"/>
          <w:lid w:val="pl-PL"/>
          <w:storeMappedDataAs w:val="dateTime"/>
          <w:calendar w:val="gregorian"/>
        </w:date>
      </w:sdtPr>
      <w:sdtEndPr/>
      <w:sdtContent>
        <w:r w:rsidR="00C61CB6">
          <w:t>26/03/2020</w:t>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316569"/>
      <w:docPartObj>
        <w:docPartGallery w:val="Page Numbers (Bottom of Page)"/>
        <w:docPartUnique/>
      </w:docPartObj>
    </w:sdtPr>
    <w:sdtEndPr>
      <w:rPr>
        <w:noProof/>
      </w:rPr>
    </w:sdtEndPr>
    <w:sdtContent>
      <w:p w14:paraId="67C7327F" w14:textId="77777777" w:rsidR="00C61CB6" w:rsidRDefault="00C61CB6">
        <w:pPr>
          <w:pStyle w:val="Footer"/>
          <w:jc w:val="center"/>
        </w:pPr>
        <w:r>
          <w:fldChar w:fldCharType="begin"/>
        </w:r>
        <w:r>
          <w:instrText xml:space="preserve"> PAGE   \* MERGEFORMAT </w:instrText>
        </w:r>
        <w:r>
          <w:fldChar w:fldCharType="separate"/>
        </w:r>
        <w:r>
          <w:t>2</w:t>
        </w:r>
        <w:r>
          <w:fldChar w:fldCharType="end"/>
        </w:r>
      </w:p>
    </w:sdtContent>
  </w:sdt>
  <w:p w14:paraId="5FE92AEB" w14:textId="77777777" w:rsidR="00C61CB6" w:rsidRDefault="00C61CB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904228"/>
      <w:docPartObj>
        <w:docPartGallery w:val="Page Numbers (Bottom of Page)"/>
        <w:docPartUnique/>
      </w:docPartObj>
    </w:sdtPr>
    <w:sdtEndPr>
      <w:rPr>
        <w:noProof/>
      </w:rPr>
    </w:sdtEndPr>
    <w:sdtContent>
      <w:p w14:paraId="69A1FAD4" w14:textId="2F26D568" w:rsidR="00C61CB6" w:rsidRDefault="00C61CB6">
        <w:pPr>
          <w:pStyle w:val="Footer"/>
          <w:jc w:val="center"/>
        </w:pPr>
        <w:r>
          <w:fldChar w:fldCharType="begin"/>
        </w:r>
        <w:r>
          <w:instrText xml:space="preserve"> PAGE   \* MERGEFORMAT </w:instrText>
        </w:r>
        <w:r>
          <w:fldChar w:fldCharType="separate"/>
        </w:r>
        <w:r w:rsidR="00680DFF">
          <w:rPr>
            <w:noProof/>
          </w:rPr>
          <w:t>4</w:t>
        </w:r>
        <w:r>
          <w:fldChar w:fldCharType="end"/>
        </w:r>
      </w:p>
    </w:sdtContent>
  </w:sdt>
  <w:p w14:paraId="06208E61" w14:textId="77777777" w:rsidR="00C61CB6" w:rsidRDefault="00C61CB6">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B3AE7" w14:textId="77777777" w:rsidR="00C61CB6" w:rsidRDefault="00C61CB6">
      <w:pPr>
        <w:spacing w:after="0" w:line="240" w:lineRule="auto"/>
      </w:pPr>
      <w:r>
        <w:separator/>
      </w:r>
    </w:p>
  </w:footnote>
  <w:footnote w:type="continuationSeparator" w:id="0">
    <w:p w14:paraId="2D99E843" w14:textId="77777777" w:rsidR="00C61CB6" w:rsidRDefault="00C61CB6">
      <w:pPr>
        <w:spacing w:after="0" w:line="240" w:lineRule="auto"/>
      </w:pPr>
      <w:r>
        <w:continuationSeparator/>
      </w:r>
    </w:p>
  </w:footnote>
  <w:footnote w:type="continuationNotice" w:id="1">
    <w:p w14:paraId="5AF79970" w14:textId="77777777" w:rsidR="00C61CB6" w:rsidRDefault="00C61CB6">
      <w:pPr>
        <w:spacing w:after="0" w:line="240" w:lineRule="auto"/>
      </w:pPr>
    </w:p>
  </w:footnote>
  <w:footnote w:id="2">
    <w:p w14:paraId="716D3BF3" w14:textId="53F6FE32" w:rsidR="00C61CB6" w:rsidRPr="00493A63" w:rsidRDefault="00C61CB6">
      <w:pPr>
        <w:pStyle w:val="FootnoteText"/>
      </w:pPr>
      <w:r w:rsidRPr="00493A63">
        <w:rPr>
          <w:rStyle w:val="FootnoteReference"/>
        </w:rPr>
        <w:footnoteRef/>
      </w:r>
      <w:r w:rsidRPr="00493A63">
        <w:t xml:space="preserve"> </w:t>
      </w:r>
      <w:r w:rsidRPr="00493A63">
        <w:tab/>
        <w:t>COM(2020) 608 final.</w:t>
      </w:r>
    </w:p>
  </w:footnote>
  <w:footnote w:id="3">
    <w:p w14:paraId="2BA4A79E" w14:textId="417F5D33" w:rsidR="00C61CB6" w:rsidRPr="00493A63" w:rsidRDefault="00C61CB6">
      <w:pPr>
        <w:pStyle w:val="FootnoteText"/>
      </w:pPr>
      <w:r w:rsidRPr="00493A63">
        <w:rPr>
          <w:rStyle w:val="FootnoteReference"/>
        </w:rPr>
        <w:footnoteRef/>
      </w:r>
      <w:r w:rsidRPr="00493A63">
        <w:t xml:space="preserve"> </w:t>
      </w:r>
      <w:r w:rsidRPr="00493A63">
        <w:tab/>
        <w:t>COM(2020) 795 final.</w:t>
      </w:r>
    </w:p>
  </w:footnote>
  <w:footnote w:id="4">
    <w:p w14:paraId="0BF2E965" w14:textId="387FF768" w:rsidR="00C61CB6" w:rsidRPr="00493A63" w:rsidRDefault="00C61CB6" w:rsidP="009209EA">
      <w:pPr>
        <w:pStyle w:val="FootnoteText"/>
      </w:pPr>
      <w:r w:rsidRPr="00493A63">
        <w:rPr>
          <w:rStyle w:val="FootnoteReference"/>
        </w:rPr>
        <w:footnoteRef/>
      </w:r>
      <w:r w:rsidRPr="00493A63">
        <w:tab/>
        <w:t>Dz.U. L 137 z</w:t>
      </w:r>
      <w:r>
        <w:t> </w:t>
      </w:r>
      <w:r w:rsidRPr="00493A63">
        <w:t xml:space="preserve">24.5.2017, s. 22. </w:t>
      </w:r>
    </w:p>
  </w:footnote>
  <w:footnote w:id="5">
    <w:p w14:paraId="3CF6589D" w14:textId="0DE66856" w:rsidR="00C61CB6" w:rsidRPr="00493A63" w:rsidRDefault="00C61CB6">
      <w:pPr>
        <w:pStyle w:val="FootnoteText"/>
      </w:pPr>
      <w:r w:rsidRPr="00493A63">
        <w:rPr>
          <w:rStyle w:val="FootnoteReference"/>
        </w:rPr>
        <w:footnoteRef/>
      </w:r>
      <w:r w:rsidRPr="00493A63">
        <w:t xml:space="preserve"> </w:t>
      </w:r>
      <w:r w:rsidRPr="00493A63">
        <w:tab/>
      </w:r>
      <w:r w:rsidRPr="00493A63">
        <w:rPr>
          <w:rStyle w:val="Emphasis"/>
          <w:i w:val="0"/>
        </w:rPr>
        <w:t>Dz.U. L 115 z</w:t>
      </w:r>
      <w:r>
        <w:rPr>
          <w:rStyle w:val="Emphasis"/>
          <w:i w:val="0"/>
        </w:rPr>
        <w:t> </w:t>
      </w:r>
      <w:r w:rsidRPr="00493A63">
        <w:rPr>
          <w:rStyle w:val="Emphasis"/>
          <w:i w:val="0"/>
        </w:rPr>
        <w:t>6.4.2021, s. 1.</w:t>
      </w:r>
    </w:p>
  </w:footnote>
  <w:footnote w:id="6">
    <w:p w14:paraId="6504ABBC" w14:textId="77777777" w:rsidR="00C61CB6" w:rsidRPr="00493A63" w:rsidRDefault="00C61CB6" w:rsidP="00731B25">
      <w:pPr>
        <w:pStyle w:val="FootnoteText"/>
      </w:pPr>
      <w:r w:rsidRPr="00493A63">
        <w:rPr>
          <w:rStyle w:val="FootnoteReference"/>
        </w:rPr>
        <w:footnoteRef/>
      </w:r>
      <w:r w:rsidRPr="00493A63">
        <w:t xml:space="preserve"> </w:t>
      </w:r>
      <w:r w:rsidRPr="00493A63">
        <w:tab/>
        <w:t>COM(2021) 170 final.</w:t>
      </w:r>
      <w:r w:rsidRPr="00493A63">
        <w:tab/>
      </w:r>
    </w:p>
  </w:footnote>
  <w:footnote w:id="7">
    <w:p w14:paraId="64D5F78F" w14:textId="4D21D43C" w:rsidR="00C61CB6" w:rsidRPr="00493A63" w:rsidRDefault="00C61CB6" w:rsidP="00FB7F6A">
      <w:pPr>
        <w:pStyle w:val="FootnoteText"/>
      </w:pPr>
      <w:r w:rsidRPr="00493A63">
        <w:rPr>
          <w:rStyle w:val="FootnoteReference"/>
        </w:rPr>
        <w:footnoteRef/>
      </w:r>
      <w:r w:rsidRPr="00493A63">
        <w:t xml:space="preserve"> </w:t>
      </w:r>
      <w:r w:rsidRPr="00493A63">
        <w:tab/>
        <w:t>EMPACT (https://www.consilium.europa.eu/pl/documents-publications/publications/empact/) to platforma, która umożliwia współpracę strukturalną między organami ścigania, służbą celną, organami podatkowymi, sędziami państw członkowskich, instytucjami i</w:t>
      </w:r>
      <w:r>
        <w:t> </w:t>
      </w:r>
      <w:r w:rsidRPr="00493A63">
        <w:t>agencjami europejskimi oraz, w</w:t>
      </w:r>
      <w:r>
        <w:t> </w:t>
      </w:r>
      <w:r w:rsidRPr="00493A63">
        <w:t>stosownych przypadkach, państwami trzecimi, organizacjami międzynarodowymi i</w:t>
      </w:r>
      <w:r>
        <w:t> </w:t>
      </w:r>
      <w:r w:rsidRPr="00493A63">
        <w:t>sektorem prywatnym w</w:t>
      </w:r>
      <w:r>
        <w:t> </w:t>
      </w:r>
      <w:r w:rsidRPr="00493A63">
        <w:t>czteroletnim cyklu operacyjnym.</w:t>
      </w:r>
    </w:p>
  </w:footnote>
  <w:footnote w:id="8">
    <w:p w14:paraId="7F872673" w14:textId="7DD1DE7F" w:rsidR="00C61CB6" w:rsidRPr="00493A63" w:rsidRDefault="00C61CB6" w:rsidP="00FB7F6A">
      <w:pPr>
        <w:pStyle w:val="FootnoteText"/>
      </w:pPr>
      <w:r w:rsidRPr="00493A63">
        <w:rPr>
          <w:rStyle w:val="FootnoteReference"/>
        </w:rPr>
        <w:footnoteRef/>
      </w:r>
      <w:r w:rsidRPr="00493A63">
        <w:t xml:space="preserve"> </w:t>
      </w:r>
      <w:r w:rsidRPr="00493A63">
        <w:tab/>
        <w:t>Podgrupa Grupy Roboczej ds. Egzekwowania Prawa (LEWP) działającej przy Radzie Unii Europejskiej, https://www.consilium.europa.eu/pl/council-eu/preparatory-bodies/law-enforcement-working-party/</w:t>
      </w:r>
    </w:p>
  </w:footnote>
  <w:footnote w:id="9">
    <w:p w14:paraId="207EF714" w14:textId="5A2695FC" w:rsidR="00C61CB6" w:rsidRPr="00493A63" w:rsidRDefault="00C61CB6">
      <w:pPr>
        <w:pStyle w:val="FootnoteText"/>
      </w:pPr>
      <w:r w:rsidRPr="00493A63">
        <w:rPr>
          <w:rStyle w:val="FootnoteReference"/>
        </w:rPr>
        <w:footnoteRef/>
      </w:r>
      <w:r w:rsidRPr="00493A63">
        <w:t xml:space="preserve"> </w:t>
      </w:r>
      <w:r w:rsidRPr="00493A63">
        <w:tab/>
        <w:t>Komisja wszczęła postępowania w</w:t>
      </w:r>
      <w:r>
        <w:t> </w:t>
      </w:r>
      <w:r w:rsidRPr="00493A63">
        <w:t>sprawie uchybienia zobowiązaniom państwa członkowskiego przeciwko 25 państwom członkowskim w</w:t>
      </w:r>
      <w:r>
        <w:t> </w:t>
      </w:r>
      <w:r w:rsidRPr="00493A63">
        <w:t>związku z</w:t>
      </w:r>
      <w:r>
        <w:t> </w:t>
      </w:r>
      <w:r w:rsidRPr="00493A63">
        <w:t>brakiem transpozycji dyrektywy w</w:t>
      </w:r>
      <w:r>
        <w:t> </w:t>
      </w:r>
      <w:r w:rsidRPr="00493A63">
        <w:t>sprawie broni palnej oraz przeciwko 20 państwom członkowskim w</w:t>
      </w:r>
      <w:r>
        <w:t> </w:t>
      </w:r>
      <w:r w:rsidRPr="00493A63">
        <w:t>odniesieniu do dwóch dyrektyw wykonawczych w</w:t>
      </w:r>
      <w:r>
        <w:t> </w:t>
      </w:r>
      <w:r w:rsidRPr="00493A63">
        <w:t>sprawie oznakowania broni palnej oraz w</w:t>
      </w:r>
      <w:r>
        <w:t> </w:t>
      </w:r>
      <w:r w:rsidRPr="00493A63">
        <w:t>sprawie broni alarmowej i</w:t>
      </w:r>
      <w:r>
        <w:t> </w:t>
      </w:r>
      <w:r w:rsidRPr="00493A63">
        <w:t>sygnałowej – więcej informacji na ten temat znajduje się w</w:t>
      </w:r>
      <w:r>
        <w:t> </w:t>
      </w:r>
      <w:r w:rsidRPr="00493A63">
        <w:t>sekcji 2.2.</w:t>
      </w:r>
    </w:p>
  </w:footnote>
  <w:footnote w:id="10">
    <w:p w14:paraId="598529CD" w14:textId="77777777" w:rsidR="00C61CB6" w:rsidRPr="00493A63" w:rsidRDefault="00C61CB6">
      <w:pPr>
        <w:pStyle w:val="FootnoteText"/>
      </w:pPr>
      <w:r w:rsidRPr="00493A63">
        <w:rPr>
          <w:rStyle w:val="FootnoteReference"/>
        </w:rPr>
        <w:footnoteRef/>
      </w:r>
      <w:r w:rsidRPr="00493A63">
        <w:t xml:space="preserve"> </w:t>
      </w:r>
      <w:r w:rsidRPr="00493A63">
        <w:tab/>
        <w:t>Organizacja Narodów Zjednoczonych, Wiedeń 2020, https://www.unodc.org/documents/firearms-protocol/2020/UNODC-EU-Report-A8_FINAL.pdf</w:t>
      </w:r>
    </w:p>
  </w:footnote>
  <w:footnote w:id="11">
    <w:p w14:paraId="64A1768F" w14:textId="308D33AE" w:rsidR="00C61CB6" w:rsidRPr="00493A63" w:rsidRDefault="00C61CB6" w:rsidP="00944145">
      <w:pPr>
        <w:pStyle w:val="FootnoteText"/>
      </w:pPr>
      <w:r w:rsidRPr="00493A63">
        <w:rPr>
          <w:rStyle w:val="FootnoteReference"/>
        </w:rPr>
        <w:footnoteRef/>
      </w:r>
      <w:r w:rsidRPr="00493A63">
        <w:t xml:space="preserve"> </w:t>
      </w:r>
      <w:r w:rsidRPr="00493A63">
        <w:tab/>
        <w:t>Protokół transponowano do porządku prawnego UE w</w:t>
      </w:r>
      <w:r>
        <w:t> </w:t>
      </w:r>
      <w:r w:rsidRPr="00493A63">
        <w:t>decyzji Rady 2014/164/UE z</w:t>
      </w:r>
      <w:r>
        <w:t> </w:t>
      </w:r>
      <w:r w:rsidRPr="00493A63">
        <w:t>dnia 11 lutego 2014 r. w</w:t>
      </w:r>
      <w:r>
        <w:t> </w:t>
      </w:r>
      <w:r w:rsidRPr="00493A63">
        <w:t>sprawie zawarcia w</w:t>
      </w:r>
      <w:r>
        <w:t> </w:t>
      </w:r>
      <w:r w:rsidRPr="00493A63">
        <w:t>imieniu Unii Europejskiej Protokołu przeciwko nielegalnemu wytwarzaniu i</w:t>
      </w:r>
      <w:r>
        <w:t> </w:t>
      </w:r>
      <w:r w:rsidRPr="00493A63">
        <w:t>obrotowi bronią palną, jej częściami i</w:t>
      </w:r>
      <w:r>
        <w:t> </w:t>
      </w:r>
      <w:r w:rsidRPr="00493A63">
        <w:t>komponentami oraz amunicją, uzupełniającego Konwencję Narodów Zjednoczonych przeciwko międzynarodowej przestępczości zorganizowanej (Dz.U. L 89 z</w:t>
      </w:r>
      <w:r>
        <w:t> </w:t>
      </w:r>
      <w:r w:rsidRPr="00493A63">
        <w:t>25.3.2014, s. 7).</w:t>
      </w:r>
    </w:p>
  </w:footnote>
  <w:footnote w:id="12">
    <w:p w14:paraId="687FEE22" w14:textId="58B60977" w:rsidR="00C61CB6" w:rsidRPr="00493A63" w:rsidRDefault="00C61CB6">
      <w:pPr>
        <w:pStyle w:val="FootnoteText"/>
      </w:pPr>
      <w:r w:rsidRPr="00493A63">
        <w:rPr>
          <w:rStyle w:val="FootnoteReference"/>
        </w:rPr>
        <w:footnoteRef/>
      </w:r>
      <w:r w:rsidRPr="00493A63">
        <w:t xml:space="preserve"> </w:t>
      </w:r>
      <w:r w:rsidRPr="00493A63">
        <w:tab/>
        <w:t>Wszystkim państwom członkowskim z</w:t>
      </w:r>
      <w:r>
        <w:t> </w:t>
      </w:r>
      <w:r w:rsidRPr="00493A63">
        <w:t>wyjątkiem Bułgarii, Francji, Łotwy, Malty i</w:t>
      </w:r>
      <w:r>
        <w:t> </w:t>
      </w:r>
      <w:r w:rsidRPr="00493A63">
        <w:t>Austrii.</w:t>
      </w:r>
    </w:p>
  </w:footnote>
  <w:footnote w:id="13">
    <w:p w14:paraId="0EDF7D53" w14:textId="193E676D" w:rsidR="00C61CB6" w:rsidRPr="00493A63" w:rsidRDefault="00C61CB6">
      <w:pPr>
        <w:pStyle w:val="FootnoteText"/>
      </w:pPr>
      <w:r w:rsidRPr="00493A63">
        <w:rPr>
          <w:rStyle w:val="FootnoteReference"/>
        </w:rPr>
        <w:footnoteRef/>
      </w:r>
      <w:r w:rsidRPr="00493A63">
        <w:t xml:space="preserve"> </w:t>
      </w:r>
      <w:r w:rsidRPr="00493A63">
        <w:tab/>
        <w:t>Wszystkim państwom członkowskim z</w:t>
      </w:r>
      <w:r>
        <w:t> </w:t>
      </w:r>
      <w:r w:rsidRPr="00493A63">
        <w:t>wyjątkiem Bułgarii, Chorwacji, Włoch, Łotwy, Litwy, Malty, Niderlandów, Austrii, Portugalii, Rumunii i</w:t>
      </w:r>
      <w:r>
        <w:t> </w:t>
      </w:r>
      <w:r w:rsidRPr="00493A63">
        <w:t>Finlandii.</w:t>
      </w:r>
    </w:p>
  </w:footnote>
  <w:footnote w:id="14">
    <w:p w14:paraId="2ED78D01" w14:textId="71BF67DC" w:rsidR="00C61CB6" w:rsidRPr="00493A63" w:rsidRDefault="00C61CB6">
      <w:pPr>
        <w:pStyle w:val="FootnoteText"/>
      </w:pPr>
      <w:r w:rsidRPr="00493A63">
        <w:rPr>
          <w:rStyle w:val="FootnoteReference"/>
        </w:rPr>
        <w:footnoteRef/>
      </w:r>
      <w:r w:rsidRPr="00493A63">
        <w:t xml:space="preserve"> </w:t>
      </w:r>
      <w:r w:rsidRPr="00493A63">
        <w:tab/>
        <w:t>Przeciwko wszystkim państwom członkowskim z</w:t>
      </w:r>
      <w:r>
        <w:t> </w:t>
      </w:r>
      <w:r w:rsidRPr="00493A63">
        <w:t>wyjątkiem Danii, Estonii, Francji, Łotwy, Litwy, Malty, Niderlandów, Portugalii i</w:t>
      </w:r>
      <w:r>
        <w:t> </w:t>
      </w:r>
      <w:r w:rsidRPr="00493A63">
        <w:t>Słowacji.</w:t>
      </w:r>
    </w:p>
  </w:footnote>
  <w:footnote w:id="15">
    <w:p w14:paraId="1E492D84" w14:textId="094B30FA" w:rsidR="00C61CB6" w:rsidRPr="00493A63" w:rsidRDefault="00C61CB6">
      <w:pPr>
        <w:pStyle w:val="FootnoteText"/>
      </w:pPr>
      <w:r w:rsidRPr="00493A63">
        <w:rPr>
          <w:rStyle w:val="FootnoteReference"/>
        </w:rPr>
        <w:footnoteRef/>
      </w:r>
      <w:r w:rsidRPr="00493A63">
        <w:t xml:space="preserve"> </w:t>
      </w:r>
      <w:r w:rsidRPr="00493A63">
        <w:tab/>
        <w:t>Przeciwko wszystkim państwom członkowskim z</w:t>
      </w:r>
      <w:r>
        <w:t> </w:t>
      </w:r>
      <w:r w:rsidRPr="00493A63">
        <w:t>wyjątkiem Belgii, Danii, Niemiec, Estonii, Francji, Łotwy, Litwy, Malty, Austrii, Portugalii i</w:t>
      </w:r>
      <w:r>
        <w:t> </w:t>
      </w:r>
      <w:r w:rsidRPr="00493A63">
        <w:t>Słowacji.</w:t>
      </w:r>
    </w:p>
  </w:footnote>
  <w:footnote w:id="16">
    <w:p w14:paraId="5B3C2DEC" w14:textId="21E32F9A" w:rsidR="00C61CB6" w:rsidRPr="00493A63" w:rsidRDefault="00C61CB6" w:rsidP="00033EC7">
      <w:pPr>
        <w:pStyle w:val="FootnoteText"/>
      </w:pPr>
      <w:r w:rsidRPr="00493A63">
        <w:rPr>
          <w:rStyle w:val="FootnoteReference"/>
        </w:rPr>
        <w:footnoteRef/>
      </w:r>
      <w:r w:rsidRPr="00493A63">
        <w:t xml:space="preserve"> </w:t>
      </w:r>
      <w:r w:rsidRPr="00493A63">
        <w:tab/>
        <w:t>Od 2016 do 2020 r. państwa członkowskie skonfiskowały 15 949 sztuk broni alarmowej i</w:t>
      </w:r>
      <w:r>
        <w:t> </w:t>
      </w:r>
      <w:r w:rsidRPr="00493A63">
        <w:t>sygnałowej marek Ekol, Zoraki i</w:t>
      </w:r>
      <w:r>
        <w:t> </w:t>
      </w:r>
      <w:r w:rsidRPr="00493A63">
        <w:t>Bruni, przy czym większości konfiskat dokonano w</w:t>
      </w:r>
      <w:r>
        <w:t> </w:t>
      </w:r>
      <w:r w:rsidRPr="00493A63">
        <w:t>ramach platformy ds. broni palnej, z</w:t>
      </w:r>
      <w:r>
        <w:t> </w:t>
      </w:r>
      <w:r w:rsidRPr="00493A63">
        <w:t xml:space="preserve">udziałem Europolu. </w:t>
      </w:r>
    </w:p>
  </w:footnote>
  <w:footnote w:id="17">
    <w:p w14:paraId="7863E5BC" w14:textId="1A75C2AA" w:rsidR="00C61CB6" w:rsidRPr="00493A63" w:rsidRDefault="00C61CB6">
      <w:pPr>
        <w:pStyle w:val="FootnoteText"/>
      </w:pPr>
      <w:r w:rsidRPr="00493A63">
        <w:rPr>
          <w:rStyle w:val="FootnoteReference"/>
        </w:rPr>
        <w:footnoteRef/>
      </w:r>
      <w:r w:rsidRPr="00493A63">
        <w:t xml:space="preserve"> </w:t>
      </w:r>
      <w:r w:rsidRPr="00493A63">
        <w:tab/>
        <w:t>Dotychczas wykryto takich producentów na Słowacji i</w:t>
      </w:r>
      <w:r>
        <w:t> </w:t>
      </w:r>
      <w:r w:rsidRPr="00493A63">
        <w:t>w</w:t>
      </w:r>
      <w:r>
        <w:t> </w:t>
      </w:r>
      <w:r w:rsidRPr="00493A63">
        <w:t>Czechach.</w:t>
      </w:r>
    </w:p>
  </w:footnote>
  <w:footnote w:id="18">
    <w:p w14:paraId="1275BEA2" w14:textId="525E37F6" w:rsidR="00C61CB6" w:rsidRPr="00493A63" w:rsidRDefault="00C61CB6" w:rsidP="007B3401">
      <w:pPr>
        <w:pStyle w:val="FootnoteText"/>
      </w:pPr>
      <w:r w:rsidRPr="00493A63">
        <w:rPr>
          <w:rStyle w:val="FootnoteReference"/>
        </w:rPr>
        <w:footnoteRef/>
      </w:r>
      <w:r w:rsidRPr="00493A63">
        <w:t xml:space="preserve"> </w:t>
      </w:r>
      <w:r w:rsidRPr="00493A63">
        <w:tab/>
        <w:t>SOCTA UE z</w:t>
      </w:r>
      <w:r>
        <w:t> </w:t>
      </w:r>
      <w:r w:rsidRPr="00493A63">
        <w:t>2021 r., wersja zastrzeżona.</w:t>
      </w:r>
    </w:p>
  </w:footnote>
  <w:footnote w:id="19">
    <w:p w14:paraId="25AC620A" w14:textId="7578F20B" w:rsidR="00C61CB6" w:rsidRPr="00493A63" w:rsidRDefault="00C61CB6">
      <w:pPr>
        <w:pStyle w:val="FootnoteText"/>
      </w:pPr>
      <w:r w:rsidRPr="00493A63">
        <w:rPr>
          <w:rStyle w:val="FootnoteReference"/>
        </w:rPr>
        <w:footnoteRef/>
      </w:r>
      <w:r w:rsidRPr="00493A63">
        <w:t xml:space="preserve"> </w:t>
      </w:r>
      <w:r w:rsidRPr="00493A63">
        <w:tab/>
        <w:t>Źródło: Digital transformation monitor, „The disruptive nature of 3D printing” [„Przełomowy charakter drukowania przestrzennego”], styczeń 2017, https://ec.europa.eu/growth/tools-databases/dem/monitor/sites/default/files/DTM_The%20disruptive%20nature%20of%203D%20printing%20v1.pdf</w:t>
      </w:r>
    </w:p>
  </w:footnote>
  <w:footnote w:id="20">
    <w:p w14:paraId="6139D892" w14:textId="027E2688" w:rsidR="00C61CB6" w:rsidRPr="00493A63" w:rsidRDefault="00C61CB6" w:rsidP="00143F1A">
      <w:pPr>
        <w:pStyle w:val="FootnoteText"/>
        <w:rPr>
          <w:rStyle w:val="FootnoteReference"/>
          <w:vertAlign w:val="baseline"/>
        </w:rPr>
      </w:pPr>
      <w:r w:rsidRPr="00493A63">
        <w:rPr>
          <w:rStyle w:val="FootnoteReference"/>
        </w:rPr>
        <w:footnoteRef/>
      </w:r>
      <w:r w:rsidRPr="00493A63">
        <w:rPr>
          <w:rStyle w:val="FootnoteReference"/>
        </w:rPr>
        <w:t xml:space="preserve"> </w:t>
      </w:r>
      <w:r w:rsidRPr="00493A63">
        <w:tab/>
        <w:t xml:space="preserve">Źródło: </w:t>
      </w:r>
      <w:r w:rsidRPr="00493A63">
        <w:rPr>
          <w:rStyle w:val="FootnoteReference"/>
          <w:vertAlign w:val="baseline"/>
        </w:rPr>
        <w:t>„Triggering Terror – Illicit Gun Markets and Firearms Acquisition of Terrorist Networks in Europe” [„Wyzwalanie terroryzmu: rynki nielegalnej broni i</w:t>
      </w:r>
      <w:r>
        <w:rPr>
          <w:rStyle w:val="FootnoteReference"/>
          <w:vertAlign w:val="baseline"/>
        </w:rPr>
        <w:t> </w:t>
      </w:r>
      <w:r w:rsidRPr="00493A63">
        <w:rPr>
          <w:rStyle w:val="FootnoteReference"/>
          <w:vertAlign w:val="baseline"/>
        </w:rPr>
        <w:t>nabywanie broni palnej przez sieci terrorystyczne w</w:t>
      </w:r>
      <w:r>
        <w:rPr>
          <w:rStyle w:val="FootnoteReference"/>
          <w:vertAlign w:val="baseline"/>
        </w:rPr>
        <w:t> </w:t>
      </w:r>
      <w:r w:rsidRPr="00493A63">
        <w:rPr>
          <w:rStyle w:val="FootnoteReference"/>
          <w:vertAlign w:val="baseline"/>
        </w:rPr>
        <w:t>Europie”], dokument opublikowany w</w:t>
      </w:r>
      <w:r>
        <w:rPr>
          <w:rStyle w:val="FootnoteReference"/>
          <w:vertAlign w:val="baseline"/>
        </w:rPr>
        <w:t> </w:t>
      </w:r>
      <w:r w:rsidRPr="00493A63">
        <w:rPr>
          <w:rStyle w:val="FootnoteReference"/>
          <w:vertAlign w:val="baseline"/>
        </w:rPr>
        <w:t xml:space="preserve">dniu 17 kwietnia 2018 r., dostępny pod adresem: </w:t>
      </w:r>
      <w:hyperlink r:id="rId1" w:history="1">
        <w:r w:rsidRPr="00493A63">
          <w:rPr>
            <w:rStyle w:val="FootnoteReference"/>
            <w:vertAlign w:val="baseline"/>
          </w:rPr>
          <w:t>https://vlaamsvredesinstituut.eu/en/report/triggering-terror-illicit-gun-markets-and-firearms-acquisition-of-terrorist-networks-in-europe/</w:t>
        </w:r>
      </w:hyperlink>
      <w:r w:rsidRPr="00493A63">
        <w:rPr>
          <w:rStyle w:val="FootnoteReference"/>
          <w:vertAlign w:val="baseline"/>
        </w:rPr>
        <w:t>; Europol (2015), „Exploring tomorrow’s organised crime” [„Badania nad przestępczością zorganizowaną w</w:t>
      </w:r>
      <w:r>
        <w:rPr>
          <w:rStyle w:val="FootnoteReference"/>
          <w:vertAlign w:val="baseline"/>
        </w:rPr>
        <w:t> </w:t>
      </w:r>
      <w:r w:rsidRPr="00493A63">
        <w:rPr>
          <w:rStyle w:val="FootnoteReference"/>
          <w:vertAlign w:val="baseline"/>
        </w:rPr>
        <w:t xml:space="preserve">przyszłości”], Haga: Europol, s. 41. </w:t>
      </w:r>
    </w:p>
  </w:footnote>
  <w:footnote w:id="21">
    <w:p w14:paraId="03364910" w14:textId="08799C40" w:rsidR="00C61CB6" w:rsidRPr="00493A63" w:rsidRDefault="00C61CB6">
      <w:pPr>
        <w:pStyle w:val="FootnoteText"/>
      </w:pPr>
      <w:r w:rsidRPr="00493A63">
        <w:rPr>
          <w:rStyle w:val="FootnoteReference"/>
        </w:rPr>
        <w:footnoteRef/>
      </w:r>
      <w:r w:rsidRPr="00493A63">
        <w:t xml:space="preserve"> </w:t>
      </w:r>
      <w:r w:rsidRPr="00493A63">
        <w:tab/>
        <w:t>Sprawozdanie Europolu z</w:t>
      </w:r>
      <w:r>
        <w:t> </w:t>
      </w:r>
      <w:r w:rsidRPr="00493A63">
        <w:t>2019 r., ZASTRZEŻONE.</w:t>
      </w:r>
    </w:p>
  </w:footnote>
  <w:footnote w:id="22">
    <w:p w14:paraId="549D8D21" w14:textId="5AEEBD12" w:rsidR="00C61CB6" w:rsidRPr="00493A63" w:rsidRDefault="00C61CB6" w:rsidP="001D4C6C">
      <w:pPr>
        <w:pStyle w:val="FootnoteText"/>
      </w:pPr>
      <w:r w:rsidRPr="00493A63">
        <w:rPr>
          <w:rStyle w:val="FootnoteReference"/>
        </w:rPr>
        <w:footnoteRef/>
      </w:r>
      <w:r w:rsidRPr="00493A63">
        <w:t xml:space="preserve"> </w:t>
      </w:r>
      <w:r w:rsidRPr="00493A63">
        <w:tab/>
        <w:t>Biuletyn EMPACT FIREARMS, nr 10 i</w:t>
      </w:r>
      <w:r>
        <w:t> </w:t>
      </w:r>
      <w:r w:rsidRPr="00493A63">
        <w:t>12, ZASTRZEŻONY.</w:t>
      </w:r>
    </w:p>
  </w:footnote>
  <w:footnote w:id="23">
    <w:p w14:paraId="3B3C0C2C" w14:textId="47A8A597" w:rsidR="00C61CB6" w:rsidRPr="00493A63" w:rsidRDefault="00C61CB6" w:rsidP="00143F1A">
      <w:pPr>
        <w:pStyle w:val="FootnoteText"/>
      </w:pPr>
      <w:r w:rsidRPr="00493A63">
        <w:rPr>
          <w:rStyle w:val="FootnoteReference"/>
        </w:rPr>
        <w:footnoteRef/>
      </w:r>
      <w:r w:rsidRPr="00493A63">
        <w:t xml:space="preserve"> </w:t>
      </w:r>
      <w:r w:rsidRPr="00493A63">
        <w:tab/>
        <w:t>Źródło: https://www.law.kuleuven.be/citip/blog/warning-toner-low-3d-printed-guns-and-the-law/</w:t>
      </w:r>
    </w:p>
  </w:footnote>
  <w:footnote w:id="24">
    <w:p w14:paraId="09ABD505" w14:textId="3D1A97F0" w:rsidR="00C61CB6" w:rsidRPr="00493A63" w:rsidRDefault="00C61CB6" w:rsidP="00FD738F">
      <w:pPr>
        <w:pStyle w:val="FootnoteText"/>
        <w:rPr>
          <w:rStyle w:val="FootnoteReference"/>
          <w:vertAlign w:val="baseline"/>
        </w:rPr>
      </w:pPr>
      <w:r w:rsidRPr="00493A63">
        <w:rPr>
          <w:rStyle w:val="FootnoteReference"/>
        </w:rPr>
        <w:footnoteRef/>
      </w:r>
      <w:r>
        <w:t xml:space="preserve"> </w:t>
      </w:r>
      <w:r>
        <w:tab/>
      </w:r>
      <w:r w:rsidRPr="00493A63">
        <w:t xml:space="preserve">Źródło: </w:t>
      </w:r>
      <w:r w:rsidRPr="00493A63">
        <w:rPr>
          <w:rStyle w:val="FootnoteReference"/>
          <w:vertAlign w:val="baseline"/>
        </w:rPr>
        <w:t>„Metal 3D Printing in Firearms: Real-World Case Studies” [„Drukowanie przestrzenne z</w:t>
      </w:r>
      <w:r>
        <w:rPr>
          <w:rStyle w:val="FootnoteReference"/>
          <w:vertAlign w:val="baseline"/>
        </w:rPr>
        <w:t> </w:t>
      </w:r>
      <w:r w:rsidRPr="00493A63">
        <w:rPr>
          <w:rStyle w:val="FootnoteReference"/>
          <w:vertAlign w:val="baseline"/>
        </w:rPr>
        <w:t>metalu w</w:t>
      </w:r>
      <w:r>
        <w:rPr>
          <w:rStyle w:val="FootnoteReference"/>
          <w:vertAlign w:val="baseline"/>
        </w:rPr>
        <w:t> </w:t>
      </w:r>
      <w:r w:rsidRPr="00493A63">
        <w:rPr>
          <w:rStyle w:val="FootnoteReference"/>
          <w:vertAlign w:val="baseline"/>
        </w:rPr>
        <w:t>produkcji broni palnej: rzeczywiste studia przypadków”], dokument opublikowany w</w:t>
      </w:r>
      <w:r>
        <w:rPr>
          <w:rStyle w:val="FootnoteReference"/>
          <w:vertAlign w:val="baseline"/>
        </w:rPr>
        <w:t> </w:t>
      </w:r>
      <w:r w:rsidRPr="00493A63">
        <w:rPr>
          <w:rStyle w:val="FootnoteReference"/>
          <w:vertAlign w:val="baseline"/>
        </w:rPr>
        <w:t>dniu 18 stycznia 2018 r.</w:t>
      </w:r>
      <w:r w:rsidRPr="00493A63">
        <w:t xml:space="preserve"> </w:t>
      </w:r>
      <w:hyperlink r:id="rId2" w:history="1">
        <w:r w:rsidRPr="00493A63">
          <w:rPr>
            <w:rStyle w:val="FootnoteReference"/>
            <w:vertAlign w:val="baseline"/>
          </w:rPr>
          <w:t>https://news.3deo.co/metal-3d-printing-firearms-case-studies</w:t>
        </w:r>
      </w:hyperlink>
      <w:r w:rsidRPr="00493A63">
        <w:rPr>
          <w:rStyle w:val="FootnoteReference"/>
          <w:vertAlign w:val="baseline"/>
        </w:rPr>
        <w:t xml:space="preserve"> </w:t>
      </w:r>
    </w:p>
  </w:footnote>
  <w:footnote w:id="25">
    <w:p w14:paraId="2017DCE9" w14:textId="6AD0884C" w:rsidR="00C61CB6" w:rsidRPr="00493A63" w:rsidRDefault="00C61CB6">
      <w:pPr>
        <w:pStyle w:val="FootnoteText"/>
      </w:pPr>
      <w:r w:rsidRPr="00493A63">
        <w:rPr>
          <w:rStyle w:val="FootnoteReference"/>
        </w:rPr>
        <w:footnoteRef/>
      </w:r>
      <w:r w:rsidRPr="00493A63">
        <w:t xml:space="preserve"> </w:t>
      </w:r>
      <w:r w:rsidRPr="00493A63">
        <w:tab/>
        <w:t>Źródło: ARES, sprawozdanie naukowe nr 8, „Desktop Firearms: emergent small arms craft production technologies” [„Broń palna z</w:t>
      </w:r>
      <w:r>
        <w:t> </w:t>
      </w:r>
      <w:r w:rsidRPr="00493A63">
        <w:t>drukarki 3D klasy desktop: najnowsze technologie wytwarzania broni strzeleckiej”], marzec 2020. https://armamentresearch.com/wp-content/uploads/2020/03/ARES-Research-Report-8-Desktop-Firearms.pdf</w:t>
      </w:r>
      <w:r w:rsidRPr="00493A63">
        <w:tab/>
      </w:r>
    </w:p>
  </w:footnote>
  <w:footnote w:id="26">
    <w:p w14:paraId="4E82A40B" w14:textId="4E758852" w:rsidR="00C61CB6" w:rsidRPr="00493A63" w:rsidRDefault="00C61CB6" w:rsidP="00C1104C">
      <w:pPr>
        <w:pStyle w:val="FootnoteText"/>
        <w:jc w:val="left"/>
      </w:pPr>
      <w:r w:rsidRPr="00493A63">
        <w:rPr>
          <w:rStyle w:val="FootnoteReference"/>
        </w:rPr>
        <w:footnoteRef/>
      </w:r>
      <w:r w:rsidRPr="00493A63">
        <w:t xml:space="preserve"> </w:t>
      </w:r>
      <w:r w:rsidRPr="00493A63">
        <w:tab/>
        <w:t>Źródło: Technopolis Consulting Group Belgium, „Study on the Evaluation of the Firearms Directive” [„Badanie oceniające dyrektywę w</w:t>
      </w:r>
      <w:r>
        <w:t> </w:t>
      </w:r>
      <w:r w:rsidRPr="00493A63">
        <w:t>sprawie broni palnej”], grudzień 2014, załącznik, https://ec.europa.eu/docsroom/documents/8385?locale=en</w:t>
      </w:r>
    </w:p>
  </w:footnote>
  <w:footnote w:id="27">
    <w:p w14:paraId="04DC2C31" w14:textId="723ED8BA" w:rsidR="00C61CB6" w:rsidRPr="00493A63" w:rsidRDefault="00C61CB6" w:rsidP="00CD39AF">
      <w:pPr>
        <w:pStyle w:val="FootnoteText"/>
      </w:pPr>
      <w:r w:rsidRPr="00493A63">
        <w:rPr>
          <w:rStyle w:val="FootnoteReference"/>
        </w:rPr>
        <w:footnoteRef/>
      </w:r>
      <w:r w:rsidRPr="00493A63">
        <w:t xml:space="preserve"> </w:t>
      </w:r>
      <w:r w:rsidRPr="00493A63">
        <w:tab/>
        <w:t>Biuletyn EMPACT, nr 6, wrzesień 2018, ZASTRZEŻONY.</w:t>
      </w:r>
    </w:p>
  </w:footnote>
  <w:footnote w:id="28">
    <w:p w14:paraId="3EAEFBA8" w14:textId="5FB840F4" w:rsidR="00C61CB6" w:rsidRPr="00493A63" w:rsidRDefault="00C61CB6">
      <w:pPr>
        <w:pStyle w:val="FootnoteText"/>
      </w:pPr>
      <w:r w:rsidRPr="00493A63">
        <w:rPr>
          <w:rStyle w:val="FootnoteReference"/>
        </w:rPr>
        <w:footnoteRef/>
      </w:r>
      <w:r w:rsidRPr="00493A63">
        <w:t xml:space="preserve"> </w:t>
      </w:r>
      <w:r w:rsidRPr="00493A63">
        <w:tab/>
        <w:t>Źródło:https://ec.europa.eu/info/law/better-regulation/have-your-say/initiatives/12855-Firearms-review-of-export-rules-and-import-&amp;-transit-measures_en</w:t>
      </w:r>
    </w:p>
  </w:footnote>
  <w:footnote w:id="29">
    <w:p w14:paraId="0D980063" w14:textId="0109FDF4" w:rsidR="00C61CB6" w:rsidRPr="00493A63" w:rsidRDefault="00C61CB6">
      <w:pPr>
        <w:pStyle w:val="FootnoteText"/>
      </w:pPr>
      <w:r w:rsidRPr="00493A63">
        <w:rPr>
          <w:rStyle w:val="FootnoteReference"/>
        </w:rPr>
        <w:footnoteRef/>
      </w:r>
      <w:r w:rsidRPr="00493A63">
        <w:t xml:space="preserve"> </w:t>
      </w:r>
      <w:r w:rsidRPr="00493A63">
        <w:tab/>
        <w:t>„Badanie oceniające dyrektywę w</w:t>
      </w:r>
      <w:r>
        <w:t> </w:t>
      </w:r>
      <w:r w:rsidRPr="00493A63">
        <w:t>sprawie broni palnej”, op. cit.</w:t>
      </w:r>
    </w:p>
  </w:footnote>
  <w:footnote w:id="30">
    <w:p w14:paraId="1B538C5E" w14:textId="55575772" w:rsidR="00C61CB6" w:rsidRPr="00493A63" w:rsidRDefault="00C61CB6" w:rsidP="004879F4">
      <w:pPr>
        <w:ind w:left="357" w:hanging="357"/>
        <w:rPr>
          <w:sz w:val="20"/>
        </w:rPr>
      </w:pPr>
      <w:r w:rsidRPr="00493A63">
        <w:rPr>
          <w:rStyle w:val="FootnoteReference"/>
        </w:rPr>
        <w:footnoteRef/>
      </w:r>
      <w:r w:rsidRPr="00493A63">
        <w:tab/>
      </w:r>
      <w:r w:rsidRPr="00493A63">
        <w:rPr>
          <w:sz w:val="20"/>
        </w:rPr>
        <w:t>System wymiany informacji na rynku wewnętrznym został ustanowiony na mocy rozporządzenia (UE) nr 1024/2012. Jest to aplikacja dostępna za pośrednictwem internetu, którą Komisja opracowała we współpracy z</w:t>
      </w:r>
      <w:r>
        <w:rPr>
          <w:sz w:val="20"/>
        </w:rPr>
        <w:t> </w:t>
      </w:r>
      <w:r w:rsidRPr="00493A63">
        <w:rPr>
          <w:sz w:val="20"/>
        </w:rPr>
        <w:t>państwami członkowskimi, aby wesprzeć je w</w:t>
      </w:r>
      <w:r>
        <w:rPr>
          <w:sz w:val="20"/>
        </w:rPr>
        <w:t> </w:t>
      </w:r>
      <w:r w:rsidRPr="00493A63">
        <w:rPr>
          <w:sz w:val="20"/>
        </w:rPr>
        <w:t>wypełnieniu określonych w</w:t>
      </w:r>
      <w:r>
        <w:rPr>
          <w:sz w:val="20"/>
        </w:rPr>
        <w:t> </w:t>
      </w:r>
      <w:r w:rsidRPr="00493A63">
        <w:rPr>
          <w:sz w:val="20"/>
        </w:rPr>
        <w:t>aktach Unii wymogów w</w:t>
      </w:r>
      <w:r>
        <w:rPr>
          <w:sz w:val="20"/>
        </w:rPr>
        <w:t> </w:t>
      </w:r>
      <w:r w:rsidRPr="00493A63">
        <w:rPr>
          <w:sz w:val="20"/>
        </w:rPr>
        <w:t>zakresie wymiany informacji, poprzez udostępnienie scentralizowanego mechanizmu komunikacji służącego usprawnieniu wymiany informacji i</w:t>
      </w:r>
      <w:r>
        <w:rPr>
          <w:sz w:val="20"/>
        </w:rPr>
        <w:t> </w:t>
      </w:r>
      <w:r w:rsidRPr="00493A63">
        <w:rPr>
          <w:sz w:val="20"/>
        </w:rPr>
        <w:t>świadczeniu wzajemnej pomocy w</w:t>
      </w:r>
      <w:r>
        <w:rPr>
          <w:sz w:val="20"/>
        </w:rPr>
        <w:t> </w:t>
      </w:r>
      <w:r w:rsidRPr="00493A63">
        <w:rPr>
          <w:sz w:val="20"/>
        </w:rPr>
        <w:t>wymiarze transgranicznym.</w:t>
      </w:r>
    </w:p>
    <w:p w14:paraId="6F3CA0AD" w14:textId="77777777" w:rsidR="00C61CB6" w:rsidRPr="00493A63" w:rsidRDefault="00C61CB6" w:rsidP="00A809E7">
      <w:pPr>
        <w:pStyle w:val="FootnoteText"/>
      </w:pPr>
    </w:p>
  </w:footnote>
  <w:footnote w:id="31">
    <w:p w14:paraId="03ED0556" w14:textId="4E56044E" w:rsidR="00C61CB6" w:rsidRPr="00493A63" w:rsidRDefault="00C61CB6" w:rsidP="00E853FA">
      <w:pPr>
        <w:pStyle w:val="FootnoteText"/>
        <w:rPr>
          <w:sz w:val="18"/>
          <w:szCs w:val="18"/>
        </w:rPr>
      </w:pPr>
      <w:r w:rsidRPr="00493A63">
        <w:rPr>
          <w:rStyle w:val="FootnoteReference"/>
          <w:sz w:val="18"/>
          <w:szCs w:val="18"/>
        </w:rPr>
        <w:footnoteRef/>
      </w:r>
      <w:r w:rsidRPr="00493A63">
        <w:rPr>
          <w:sz w:val="18"/>
          <w:szCs w:val="18"/>
        </w:rPr>
        <w:t xml:space="preserve"> </w:t>
      </w:r>
      <w:r w:rsidRPr="00493A63">
        <w:tab/>
      </w:r>
      <w:r w:rsidRPr="00493A63">
        <w:rPr>
          <w:sz w:val="18"/>
          <w:szCs w:val="18"/>
        </w:rPr>
        <w:t>Źródło:</w:t>
      </w:r>
      <w:r w:rsidRPr="00493A63">
        <w:t xml:space="preserve"> </w:t>
      </w:r>
      <w:r w:rsidRPr="00493A63">
        <w:rPr>
          <w:sz w:val="18"/>
          <w:szCs w:val="18"/>
        </w:rPr>
        <w:t>https://www.smallarmssurvey.org/sites/default/files/resources/SAS-HB-06-Weapons-ID-ch3.pdf</w:t>
      </w:r>
    </w:p>
  </w:footnote>
  <w:footnote w:id="32">
    <w:p w14:paraId="36F26AB7" w14:textId="2D9122E5" w:rsidR="00C61CB6" w:rsidRPr="00493A63" w:rsidRDefault="00C61CB6" w:rsidP="00E853FA">
      <w:pPr>
        <w:pStyle w:val="FootnoteText"/>
      </w:pPr>
      <w:r w:rsidRPr="00493A63">
        <w:rPr>
          <w:rStyle w:val="FootnoteReference"/>
        </w:rPr>
        <w:footnoteRef/>
      </w:r>
      <w:r w:rsidRPr="00493A63">
        <w:rPr>
          <w:rStyle w:val="FootnoteReference"/>
        </w:rPr>
        <w:t xml:space="preserve"> </w:t>
      </w:r>
      <w:r w:rsidRPr="00493A63">
        <w:tab/>
      </w:r>
      <w:r w:rsidRPr="00493A63">
        <w:rPr>
          <w:sz w:val="18"/>
          <w:szCs w:val="18"/>
        </w:rPr>
        <w:t>Źródło: https://blog.matthews.com.au/datamatrix-and-qr-codes-why-2d-codes-are-still-relevant-in-2016/</w:t>
      </w:r>
      <w:r w:rsidRPr="00493A63">
        <w:t xml:space="preserve"> </w:t>
      </w:r>
    </w:p>
  </w:footnote>
  <w:footnote w:id="33">
    <w:p w14:paraId="0CF4CA59" w14:textId="33564D32" w:rsidR="00C61CB6" w:rsidRPr="00493A63" w:rsidRDefault="00C61CB6" w:rsidP="00E853FA">
      <w:pPr>
        <w:pStyle w:val="FootnoteText"/>
      </w:pPr>
      <w:r w:rsidRPr="00493A63">
        <w:rPr>
          <w:rStyle w:val="FootnoteReference"/>
        </w:rPr>
        <w:footnoteRef/>
      </w:r>
      <w:r w:rsidRPr="00493A63">
        <w:t xml:space="preserve"> </w:t>
      </w:r>
      <w:r w:rsidRPr="00493A63">
        <w:tab/>
      </w:r>
      <w:r w:rsidRPr="00493A63">
        <w:rPr>
          <w:sz w:val="18"/>
        </w:rPr>
        <w:t>Źródło:</w:t>
      </w:r>
      <w:r w:rsidRPr="00493A63">
        <w:t xml:space="preserve"> </w:t>
      </w:r>
      <w:r w:rsidRPr="00493A63">
        <w:rPr>
          <w:sz w:val="18"/>
        </w:rPr>
        <w:t>https://www.camcode.com/asset-tags/barcodes-data-matrix-vs-qr-codes/</w:t>
      </w:r>
      <w:r w:rsidRPr="00493A63">
        <w:t xml:space="preserve"> </w:t>
      </w:r>
    </w:p>
  </w:footnote>
  <w:footnote w:id="34">
    <w:p w14:paraId="26035FF9" w14:textId="125D91C6" w:rsidR="00C61CB6" w:rsidRPr="00493A63" w:rsidRDefault="00C61CB6">
      <w:pPr>
        <w:pStyle w:val="FootnoteText"/>
      </w:pPr>
      <w:r w:rsidRPr="00493A63">
        <w:rPr>
          <w:rStyle w:val="FootnoteReference"/>
        </w:rPr>
        <w:footnoteRef/>
      </w:r>
      <w:r w:rsidRPr="00493A63">
        <w:t xml:space="preserve"> </w:t>
      </w:r>
      <w:r w:rsidRPr="00493A63">
        <w:tab/>
        <w:t xml:space="preserve">Źródło: https://www.conflictarm.com/technical/developing-rfid-solutions-in-support-of-stockpile-management-and-postdiversion-tracing/ </w:t>
      </w:r>
    </w:p>
  </w:footnote>
  <w:footnote w:id="35">
    <w:p w14:paraId="6A858A4D" w14:textId="67040FA1" w:rsidR="00C61CB6" w:rsidRPr="00493A63" w:rsidRDefault="00C61CB6" w:rsidP="00E853FA">
      <w:pPr>
        <w:pStyle w:val="FootnoteText"/>
      </w:pPr>
      <w:r w:rsidRPr="00493A63">
        <w:rPr>
          <w:rStyle w:val="FootnoteReference"/>
          <w:sz w:val="18"/>
        </w:rPr>
        <w:footnoteRef/>
      </w:r>
      <w:r w:rsidRPr="00493A63">
        <w:rPr>
          <w:sz w:val="18"/>
        </w:rPr>
        <w:t xml:space="preserve"> </w:t>
      </w:r>
      <w:r w:rsidRPr="00493A63">
        <w:tab/>
      </w:r>
      <w:r w:rsidRPr="00493A63">
        <w:rPr>
          <w:sz w:val="18"/>
        </w:rPr>
        <w:t>Źródło: „Using RFID to Help Track Guns for Firearm Wholesalers and Distributors” [„Stosowanie RFID w</w:t>
      </w:r>
      <w:r>
        <w:rPr>
          <w:sz w:val="18"/>
        </w:rPr>
        <w:t> </w:t>
      </w:r>
      <w:r w:rsidRPr="00493A63">
        <w:rPr>
          <w:sz w:val="18"/>
        </w:rPr>
        <w:t>celu wsparcia śledzenia broni palnej na potrzeby hurtowników i</w:t>
      </w:r>
      <w:r>
        <w:rPr>
          <w:sz w:val="18"/>
        </w:rPr>
        <w:t> </w:t>
      </w:r>
      <w:r w:rsidRPr="00493A63">
        <w:rPr>
          <w:sz w:val="18"/>
        </w:rPr>
        <w:t>dystrybutorów broni palnej”], dokument opublikowany w</w:t>
      </w:r>
      <w:r>
        <w:rPr>
          <w:sz w:val="18"/>
        </w:rPr>
        <w:t> </w:t>
      </w:r>
      <w:r w:rsidRPr="00493A63">
        <w:rPr>
          <w:sz w:val="18"/>
        </w:rPr>
        <w:t>2013 r., dostępny pod adresem: https://www.rfidworld.ca/rfid-to-help-track-guns-by-firearm-wholesalers-and-distributors/1365</w:t>
      </w:r>
      <w:r w:rsidRPr="00493A63">
        <w:rPr>
          <w:rStyle w:val="Hyperlink"/>
          <w:sz w:val="18"/>
        </w:rPr>
        <w:t xml:space="preserve"> </w:t>
      </w:r>
    </w:p>
  </w:footnote>
  <w:footnote w:id="36">
    <w:p w14:paraId="2017AAAE" w14:textId="34DE8CC9" w:rsidR="00C61CB6" w:rsidRPr="00493A63" w:rsidRDefault="00C61CB6" w:rsidP="005D2B72">
      <w:pPr>
        <w:pStyle w:val="FootnoteText"/>
      </w:pPr>
      <w:r w:rsidRPr="00493A63">
        <w:rPr>
          <w:rStyle w:val="FootnoteReference"/>
        </w:rPr>
        <w:footnoteRef/>
      </w:r>
      <w:r w:rsidRPr="00493A63">
        <w:t xml:space="preserve"> </w:t>
      </w:r>
      <w:r w:rsidRPr="00493A63">
        <w:tab/>
        <w:t>Ibid.</w:t>
      </w:r>
      <w:r w:rsidRPr="00493A63">
        <w:rPr>
          <w:rStyle w:val="Hyperlink"/>
          <w:sz w:val="18"/>
        </w:rPr>
        <w:t xml:space="preserve"> </w:t>
      </w:r>
    </w:p>
  </w:footnote>
  <w:footnote w:id="37">
    <w:p w14:paraId="46FB8E9B" w14:textId="2890FC5C" w:rsidR="00C61CB6" w:rsidRPr="00493A63" w:rsidRDefault="00C61CB6" w:rsidP="00EE7ADE">
      <w:pPr>
        <w:pStyle w:val="FootnoteText"/>
      </w:pPr>
      <w:r w:rsidRPr="00493A63">
        <w:rPr>
          <w:rStyle w:val="FootnoteReference"/>
        </w:rPr>
        <w:footnoteRef/>
      </w:r>
      <w:r w:rsidRPr="00493A63">
        <w:t xml:space="preserve"> </w:t>
      </w:r>
      <w:r w:rsidRPr="00493A63">
        <w:tab/>
        <w:t xml:space="preserve">Źródło:https://www.ecb.europa.eu/euro/banknotes/ink-stained/html/index.en.html </w:t>
      </w:r>
    </w:p>
  </w:footnote>
  <w:footnote w:id="38">
    <w:p w14:paraId="3B9AAF65" w14:textId="1FC3340B" w:rsidR="00C61CB6" w:rsidRPr="00493A63" w:rsidRDefault="00C61CB6" w:rsidP="00EE7ADE">
      <w:pPr>
        <w:pStyle w:val="FootnoteText"/>
      </w:pPr>
      <w:r w:rsidRPr="00493A63">
        <w:rPr>
          <w:rStyle w:val="FootnoteReference"/>
        </w:rPr>
        <w:footnoteRef/>
      </w:r>
      <w:r w:rsidRPr="00493A63">
        <w:t xml:space="preserve"> </w:t>
      </w:r>
      <w:r w:rsidRPr="00493A63">
        <w:tab/>
        <w:t xml:space="preserve">Źródło: </w:t>
      </w:r>
      <w:hyperlink r:id="rId3" w:history="1">
        <w:r w:rsidRPr="00493A63">
          <w:t>https://www.reiner.de/index.php?UV-ink-with-handheld-inkjet-printer</w:t>
        </w:r>
      </w:hyperlink>
      <w:r w:rsidRPr="00493A63">
        <w:t xml:space="preserve">, https://www.sicpa.com/sicpa-history </w:t>
      </w:r>
    </w:p>
  </w:footnote>
  <w:footnote w:id="39">
    <w:p w14:paraId="38477C6D" w14:textId="5F49C5D7" w:rsidR="00C61CB6" w:rsidRPr="00493A63" w:rsidRDefault="00C61CB6" w:rsidP="00EE7ADE">
      <w:pPr>
        <w:pStyle w:val="FootnoteText"/>
      </w:pPr>
      <w:r w:rsidRPr="00493A63">
        <w:rPr>
          <w:rStyle w:val="FootnoteReference"/>
        </w:rPr>
        <w:footnoteRef/>
      </w:r>
      <w:r w:rsidRPr="00493A63">
        <w:t xml:space="preserve"> </w:t>
      </w:r>
      <w:r w:rsidRPr="00493A63">
        <w:tab/>
        <w:t xml:space="preserve">https://www.pharmtech.com/view/securing-the-pharmaceutical-supply-chain-with-full-traceability; https://www.pharmaceuticalprocessingworld.com/dna-marker-for-pharma-ink-ensures-traceability/ </w:t>
      </w:r>
    </w:p>
  </w:footnote>
  <w:footnote w:id="40">
    <w:p w14:paraId="4DCEE321" w14:textId="6807B8D7" w:rsidR="00C61CB6" w:rsidRPr="00493A63" w:rsidRDefault="00C61CB6">
      <w:pPr>
        <w:pStyle w:val="FootnoteText"/>
      </w:pPr>
      <w:r w:rsidRPr="00493A63">
        <w:rPr>
          <w:rStyle w:val="FootnoteReference"/>
        </w:rPr>
        <w:footnoteRef/>
      </w:r>
      <w:r w:rsidRPr="00493A63">
        <w:t xml:space="preserve"> </w:t>
      </w:r>
      <w:r w:rsidRPr="00493A63">
        <w:tab/>
        <w:t>Walka z</w:t>
      </w:r>
      <w:r>
        <w:t> </w:t>
      </w:r>
      <w:r w:rsidRPr="00493A63">
        <w:t>nielegalnym handlem bronią palną jest priorytetem państw członkowskich od 2014 r. w</w:t>
      </w:r>
      <w:r>
        <w:t> </w:t>
      </w:r>
      <w:r w:rsidRPr="00493A63">
        <w:t xml:space="preserve">ramach europejskiej multidyscyplinarnej platformy przeciwko zagrożeniom przestępstwami (EMPACT).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F4E89" w14:textId="77777777" w:rsidR="00680DFF" w:rsidRPr="00680DFF" w:rsidRDefault="00680DFF" w:rsidP="00680DF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7A623" w14:textId="77777777" w:rsidR="00C61CB6" w:rsidRDefault="00C61CB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7FE65" w14:textId="77777777" w:rsidR="00C61CB6" w:rsidRDefault="00C61CB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EE652" w14:textId="77777777" w:rsidR="00C61CB6" w:rsidRDefault="00C61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53E9A" w14:textId="77777777" w:rsidR="00680DFF" w:rsidRPr="00680DFF" w:rsidRDefault="00680DFF" w:rsidP="00680DF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3F3ED" w14:textId="77777777" w:rsidR="00680DFF" w:rsidRPr="00680DFF" w:rsidRDefault="00680DFF" w:rsidP="00680DF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E1A4E" w14:textId="77777777" w:rsidR="00C61CB6" w:rsidRDefault="00C61C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7828" w14:textId="77777777" w:rsidR="00C61CB6" w:rsidRDefault="00C61C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20890" w14:textId="77777777" w:rsidR="00C61CB6" w:rsidRDefault="00C61C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F8D3E" w14:textId="77777777" w:rsidR="00C61CB6" w:rsidRDefault="00C61CB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5AD9" w14:textId="77777777" w:rsidR="00C61CB6" w:rsidRDefault="00C61C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89E9E" w14:textId="77777777" w:rsidR="00C61CB6" w:rsidRDefault="00C6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F0E7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0B7201"/>
    <w:multiLevelType w:val="multilevel"/>
    <w:tmpl w:val="FB7C877C"/>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2D293CE3"/>
    <w:multiLevelType w:val="multilevel"/>
    <w:tmpl w:val="BD641E3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3" w15:restartNumberingAfterBreak="0">
    <w:nsid w:val="2D293CF4"/>
    <w:multiLevelType w:val="multilevel"/>
    <w:tmpl w:val="E39EAAF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4" w15:restartNumberingAfterBreak="0">
    <w:nsid w:val="32233771"/>
    <w:multiLevelType w:val="hybridMultilevel"/>
    <w:tmpl w:val="340C3B3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39A407A"/>
    <w:multiLevelType w:val="hybridMultilevel"/>
    <w:tmpl w:val="9D122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D674E6"/>
    <w:multiLevelType w:val="hybridMultilevel"/>
    <w:tmpl w:val="E794D4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E1A982C"/>
    <w:multiLevelType w:val="multilevel"/>
    <w:tmpl w:val="2DBE447A"/>
    <w:name w:val="ListBulletNumbering2"/>
    <w:lvl w:ilvl="0">
      <w:start w:val="1"/>
      <w:numFmt w:val="bullet"/>
      <w:pStyle w:val="ListBullet"/>
      <w:lvlText w:val=""/>
      <w:lvlJc w:val="left"/>
      <w:pPr>
        <w:tabs>
          <w:tab w:val="num" w:pos="454"/>
        </w:tabs>
        <w:ind w:left="454" w:hanging="454"/>
      </w:pPr>
      <w:rPr>
        <w:rFonts w:ascii="Symbol" w:hAnsi="Symbol"/>
      </w:rPr>
    </w:lvl>
    <w:lvl w:ilvl="1">
      <w:start w:val="1"/>
      <w:numFmt w:val="bullet"/>
      <w:pStyle w:val="ListBulletLevel2"/>
      <w:lvlText w:val=""/>
      <w:lvlJc w:val="left"/>
      <w:pPr>
        <w:tabs>
          <w:tab w:val="num" w:pos="907"/>
        </w:tabs>
        <w:ind w:left="907" w:hanging="453"/>
      </w:pPr>
      <w:rPr>
        <w:rFonts w:ascii="Symbol" w:hAnsi="Symbol"/>
      </w:rPr>
    </w:lvl>
    <w:lvl w:ilvl="2">
      <w:start w:val="1"/>
      <w:numFmt w:val="bullet"/>
      <w:pStyle w:val="ListBulletLevel3"/>
      <w:lvlText w:val=""/>
      <w:lvlJc w:val="left"/>
      <w:pPr>
        <w:tabs>
          <w:tab w:val="num" w:pos="1361"/>
        </w:tabs>
        <w:ind w:left="1361" w:hanging="454"/>
      </w:pPr>
      <w:rPr>
        <w:rFonts w:ascii="Symbol" w:hAnsi="Symbol"/>
      </w:rPr>
    </w:lvl>
    <w:lvl w:ilvl="3">
      <w:start w:val="1"/>
      <w:numFmt w:val="bullet"/>
      <w:pStyle w:val="ListBullet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5072619B"/>
    <w:multiLevelType w:val="multilevel"/>
    <w:tmpl w:val="5DF63B78"/>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55CA7558"/>
    <w:multiLevelType w:val="hybridMultilevel"/>
    <w:tmpl w:val="39FCD02A"/>
    <w:lvl w:ilvl="0" w:tplc="309425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975B95"/>
    <w:multiLevelType w:val="hybridMultilevel"/>
    <w:tmpl w:val="3B2ECD84"/>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E01E02"/>
    <w:multiLevelType w:val="hybridMultilevel"/>
    <w:tmpl w:val="C58644D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C65145E"/>
    <w:multiLevelType w:val="multilevel"/>
    <w:tmpl w:val="F9805C68"/>
    <w:name w:val="EurolookHeading"/>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lang w:val="en-US"/>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13"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0"/>
  </w:num>
  <w:num w:numId="2">
    <w:abstractNumId w:val="13"/>
  </w:num>
  <w:num w:numId="3">
    <w:abstractNumId w:val="3"/>
  </w:num>
  <w:num w:numId="4">
    <w:abstractNumId w:val="2"/>
  </w:num>
  <w:num w:numId="5">
    <w:abstractNumId w:val="8"/>
  </w:num>
  <w:num w:numId="6">
    <w:abstractNumId w:val="1"/>
  </w:num>
  <w:num w:numId="7">
    <w:abstractNumId w:val="7"/>
  </w:num>
  <w:num w:numId="8">
    <w:abstractNumId w:val="12"/>
  </w:num>
  <w:num w:numId="9">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abstractNumId w:val="7"/>
  </w:num>
  <w:num w:numId="14">
    <w:abstractNumId w:val="11"/>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4"/>
  </w:num>
  <w:num w:numId="22">
    <w:abstractNumId w:val="12"/>
  </w:num>
  <w:num w:numId="23">
    <w:abstractNumId w:val="0"/>
  </w:num>
  <w:num w:numId="24">
    <w:abstractNumId w:val="6"/>
  </w:num>
  <w:num w:numId="25">
    <w:abstractNumId w:val="5"/>
  </w:num>
  <w:num w:numId="2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en-IE" w:vendorID="64" w:dllVersion="131078" w:nlCheck="1" w:checkStyle="1"/>
  <w:activeWritingStyle w:appName="MSWord" w:lang="it-I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6588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416F53F-3AAD-4CB8-9212-B697A1858E10"/>
    <w:docVar w:name="LW_COVERPAGE_TYPE" w:val="1"/>
    <w:docVar w:name="LW_CROSSREFERENCE" w:val="&lt;UNUSED&gt;"/>
    <w:docVar w:name="LW_DocType" w:val="EUROLOOK"/>
    <w:docVar w:name="LW_EMISSION" w:val="27.10.2021"/>
    <w:docVar w:name="LW_EMISSION_ISODATE" w:val="2021-10-27"/>
    <w:docVar w:name="LW_EMISSION_LOCATION" w:val="BRX"/>
    <w:docVar w:name="LW_EMISSION_PREFIX" w:val="Bruksela, dnia "/>
    <w:docVar w:name="LW_EMISSION_SUFFIX" w:val=" r."/>
    <w:docVar w:name="LW_ID_DOCTYPE_NONLW" w:val="CP-006"/>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1) 6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ze stosowania dyrektywy Parlamentu Europejskiego i Rady (UE) 2021/555 z dnia 24 marca 2021 r. w sprawie kontroli nabywania i posiadania broni"/>
    <w:docVar w:name="LW_TYPE.DOC.CP" w:val="SPRAWOZDANIE KOMISJI DLA PARLAMENTU EUROPEJSKIEGO I RADY"/>
    <w:docVar w:name="LwApiVersions" w:val="LW4CoDe 1.23.1.0; LW 8.0, Build 20210728"/>
  </w:docVars>
  <w:rsids>
    <w:rsidRoot w:val="00AC317D"/>
    <w:rsid w:val="000049FD"/>
    <w:rsid w:val="00004E90"/>
    <w:rsid w:val="00004EA0"/>
    <w:rsid w:val="000053DE"/>
    <w:rsid w:val="00007659"/>
    <w:rsid w:val="000147A3"/>
    <w:rsid w:val="0001538C"/>
    <w:rsid w:val="000208B9"/>
    <w:rsid w:val="0003091D"/>
    <w:rsid w:val="0003097B"/>
    <w:rsid w:val="00033EC7"/>
    <w:rsid w:val="00034EED"/>
    <w:rsid w:val="0003662E"/>
    <w:rsid w:val="00040DBD"/>
    <w:rsid w:val="0004239C"/>
    <w:rsid w:val="00045806"/>
    <w:rsid w:val="00046960"/>
    <w:rsid w:val="000474A4"/>
    <w:rsid w:val="00053840"/>
    <w:rsid w:val="00053B28"/>
    <w:rsid w:val="0005482E"/>
    <w:rsid w:val="000648CB"/>
    <w:rsid w:val="00065B34"/>
    <w:rsid w:val="00067E64"/>
    <w:rsid w:val="00071814"/>
    <w:rsid w:val="00077994"/>
    <w:rsid w:val="00082C2C"/>
    <w:rsid w:val="00082D63"/>
    <w:rsid w:val="00084537"/>
    <w:rsid w:val="000854BC"/>
    <w:rsid w:val="00086457"/>
    <w:rsid w:val="00091CCB"/>
    <w:rsid w:val="000A0819"/>
    <w:rsid w:val="000A49AD"/>
    <w:rsid w:val="000A57B4"/>
    <w:rsid w:val="000B15B5"/>
    <w:rsid w:val="000B3F1D"/>
    <w:rsid w:val="000B6EEE"/>
    <w:rsid w:val="000C09D5"/>
    <w:rsid w:val="000C2856"/>
    <w:rsid w:val="000C2D75"/>
    <w:rsid w:val="000C3706"/>
    <w:rsid w:val="000C3ABF"/>
    <w:rsid w:val="000C3DD6"/>
    <w:rsid w:val="000C4A97"/>
    <w:rsid w:val="000C6B67"/>
    <w:rsid w:val="000C7797"/>
    <w:rsid w:val="000C7E66"/>
    <w:rsid w:val="000D33A8"/>
    <w:rsid w:val="000D4BC7"/>
    <w:rsid w:val="000D5548"/>
    <w:rsid w:val="000D6F2E"/>
    <w:rsid w:val="000E0420"/>
    <w:rsid w:val="000E0EFA"/>
    <w:rsid w:val="000E38D9"/>
    <w:rsid w:val="000E4165"/>
    <w:rsid w:val="000E5197"/>
    <w:rsid w:val="000E529A"/>
    <w:rsid w:val="000E6523"/>
    <w:rsid w:val="000E731A"/>
    <w:rsid w:val="000E7FB6"/>
    <w:rsid w:val="000F18E1"/>
    <w:rsid w:val="000F4AC4"/>
    <w:rsid w:val="000F4B0B"/>
    <w:rsid w:val="000F65FC"/>
    <w:rsid w:val="000F7430"/>
    <w:rsid w:val="000F7AFD"/>
    <w:rsid w:val="001001C9"/>
    <w:rsid w:val="00103365"/>
    <w:rsid w:val="00104F7D"/>
    <w:rsid w:val="001071D6"/>
    <w:rsid w:val="00111A2D"/>
    <w:rsid w:val="00115513"/>
    <w:rsid w:val="00115D46"/>
    <w:rsid w:val="001167A4"/>
    <w:rsid w:val="00120CBC"/>
    <w:rsid w:val="001212B8"/>
    <w:rsid w:val="001224EC"/>
    <w:rsid w:val="0012333B"/>
    <w:rsid w:val="001248DC"/>
    <w:rsid w:val="001254DD"/>
    <w:rsid w:val="0012593E"/>
    <w:rsid w:val="001301F2"/>
    <w:rsid w:val="00130856"/>
    <w:rsid w:val="00131E80"/>
    <w:rsid w:val="001327AD"/>
    <w:rsid w:val="001331AB"/>
    <w:rsid w:val="00133AD8"/>
    <w:rsid w:val="001343F2"/>
    <w:rsid w:val="00143226"/>
    <w:rsid w:val="00143F1A"/>
    <w:rsid w:val="0014591F"/>
    <w:rsid w:val="00145A6B"/>
    <w:rsid w:val="0014635C"/>
    <w:rsid w:val="00147760"/>
    <w:rsid w:val="0015281D"/>
    <w:rsid w:val="00152B11"/>
    <w:rsid w:val="00154FB1"/>
    <w:rsid w:val="00155AEC"/>
    <w:rsid w:val="00161452"/>
    <w:rsid w:val="00163104"/>
    <w:rsid w:val="0016378A"/>
    <w:rsid w:val="001644E0"/>
    <w:rsid w:val="0016778D"/>
    <w:rsid w:val="00172419"/>
    <w:rsid w:val="00176E6A"/>
    <w:rsid w:val="0018335A"/>
    <w:rsid w:val="001843E4"/>
    <w:rsid w:val="0018566D"/>
    <w:rsid w:val="001858DA"/>
    <w:rsid w:val="001860DF"/>
    <w:rsid w:val="00190113"/>
    <w:rsid w:val="00192D66"/>
    <w:rsid w:val="0019545D"/>
    <w:rsid w:val="00195542"/>
    <w:rsid w:val="001A1789"/>
    <w:rsid w:val="001A45E1"/>
    <w:rsid w:val="001A5B43"/>
    <w:rsid w:val="001A7726"/>
    <w:rsid w:val="001C0B82"/>
    <w:rsid w:val="001C247C"/>
    <w:rsid w:val="001C645E"/>
    <w:rsid w:val="001C78C0"/>
    <w:rsid w:val="001C7ADC"/>
    <w:rsid w:val="001D0272"/>
    <w:rsid w:val="001D1EFD"/>
    <w:rsid w:val="001D4C6C"/>
    <w:rsid w:val="001D7014"/>
    <w:rsid w:val="001F1236"/>
    <w:rsid w:val="00200BC7"/>
    <w:rsid w:val="00202748"/>
    <w:rsid w:val="002053FE"/>
    <w:rsid w:val="0020612A"/>
    <w:rsid w:val="002077F4"/>
    <w:rsid w:val="00213486"/>
    <w:rsid w:val="00217DE5"/>
    <w:rsid w:val="002225D0"/>
    <w:rsid w:val="002236A2"/>
    <w:rsid w:val="0023524E"/>
    <w:rsid w:val="00236221"/>
    <w:rsid w:val="00241E1B"/>
    <w:rsid w:val="00245825"/>
    <w:rsid w:val="00246C4D"/>
    <w:rsid w:val="00254505"/>
    <w:rsid w:val="00255587"/>
    <w:rsid w:val="002605B4"/>
    <w:rsid w:val="00262402"/>
    <w:rsid w:val="00262F0F"/>
    <w:rsid w:val="0026535C"/>
    <w:rsid w:val="00267E7B"/>
    <w:rsid w:val="0027264B"/>
    <w:rsid w:val="002732DD"/>
    <w:rsid w:val="00274701"/>
    <w:rsid w:val="00274AAF"/>
    <w:rsid w:val="00274B15"/>
    <w:rsid w:val="002764E5"/>
    <w:rsid w:val="002806C8"/>
    <w:rsid w:val="00284E92"/>
    <w:rsid w:val="00286AE8"/>
    <w:rsid w:val="0028756A"/>
    <w:rsid w:val="00287A48"/>
    <w:rsid w:val="00287F36"/>
    <w:rsid w:val="002A161C"/>
    <w:rsid w:val="002A33E8"/>
    <w:rsid w:val="002A3FA7"/>
    <w:rsid w:val="002A7815"/>
    <w:rsid w:val="002B109B"/>
    <w:rsid w:val="002B3766"/>
    <w:rsid w:val="002B61B7"/>
    <w:rsid w:val="002C039D"/>
    <w:rsid w:val="002C5441"/>
    <w:rsid w:val="002D01FF"/>
    <w:rsid w:val="002E10EB"/>
    <w:rsid w:val="002E1CD3"/>
    <w:rsid w:val="002E5CB8"/>
    <w:rsid w:val="002F16FA"/>
    <w:rsid w:val="002F292D"/>
    <w:rsid w:val="002F5B71"/>
    <w:rsid w:val="00300053"/>
    <w:rsid w:val="003012E0"/>
    <w:rsid w:val="00303BD4"/>
    <w:rsid w:val="0030409B"/>
    <w:rsid w:val="00304770"/>
    <w:rsid w:val="00307E0B"/>
    <w:rsid w:val="00321560"/>
    <w:rsid w:val="00325F33"/>
    <w:rsid w:val="0033246D"/>
    <w:rsid w:val="00332A35"/>
    <w:rsid w:val="00333038"/>
    <w:rsid w:val="00333BDF"/>
    <w:rsid w:val="003348AC"/>
    <w:rsid w:val="003359FC"/>
    <w:rsid w:val="0033646D"/>
    <w:rsid w:val="003456D1"/>
    <w:rsid w:val="00347AD0"/>
    <w:rsid w:val="0035561A"/>
    <w:rsid w:val="003556AB"/>
    <w:rsid w:val="003678DF"/>
    <w:rsid w:val="00370D6C"/>
    <w:rsid w:val="00371AB4"/>
    <w:rsid w:val="00374103"/>
    <w:rsid w:val="00375535"/>
    <w:rsid w:val="00375EF3"/>
    <w:rsid w:val="0038314C"/>
    <w:rsid w:val="00384669"/>
    <w:rsid w:val="003853BE"/>
    <w:rsid w:val="0038573E"/>
    <w:rsid w:val="00386D80"/>
    <w:rsid w:val="0039533F"/>
    <w:rsid w:val="003959BF"/>
    <w:rsid w:val="003973D1"/>
    <w:rsid w:val="003A21BE"/>
    <w:rsid w:val="003A4923"/>
    <w:rsid w:val="003A49E4"/>
    <w:rsid w:val="003B027E"/>
    <w:rsid w:val="003B2FE8"/>
    <w:rsid w:val="003B3D75"/>
    <w:rsid w:val="003B6578"/>
    <w:rsid w:val="003C4E22"/>
    <w:rsid w:val="003C5E90"/>
    <w:rsid w:val="003C658D"/>
    <w:rsid w:val="003D59DD"/>
    <w:rsid w:val="003E16AD"/>
    <w:rsid w:val="003E5DCD"/>
    <w:rsid w:val="003F0C8B"/>
    <w:rsid w:val="003F44E9"/>
    <w:rsid w:val="003F5375"/>
    <w:rsid w:val="003F7CB8"/>
    <w:rsid w:val="004007BA"/>
    <w:rsid w:val="00401A87"/>
    <w:rsid w:val="00402D56"/>
    <w:rsid w:val="00402F34"/>
    <w:rsid w:val="0040549D"/>
    <w:rsid w:val="00405DF9"/>
    <w:rsid w:val="00406664"/>
    <w:rsid w:val="00410E0D"/>
    <w:rsid w:val="0041151F"/>
    <w:rsid w:val="00413468"/>
    <w:rsid w:val="00417249"/>
    <w:rsid w:val="00421065"/>
    <w:rsid w:val="00424B77"/>
    <w:rsid w:val="00431495"/>
    <w:rsid w:val="004373E1"/>
    <w:rsid w:val="004379F9"/>
    <w:rsid w:val="00437E0A"/>
    <w:rsid w:val="00440C4D"/>
    <w:rsid w:val="0044117E"/>
    <w:rsid w:val="00442857"/>
    <w:rsid w:val="00452F69"/>
    <w:rsid w:val="00464D63"/>
    <w:rsid w:val="00467DDA"/>
    <w:rsid w:val="004700A2"/>
    <w:rsid w:val="004711E8"/>
    <w:rsid w:val="004733C1"/>
    <w:rsid w:val="00474550"/>
    <w:rsid w:val="00476547"/>
    <w:rsid w:val="00480C10"/>
    <w:rsid w:val="004817C1"/>
    <w:rsid w:val="004879F4"/>
    <w:rsid w:val="00490CC2"/>
    <w:rsid w:val="00493A63"/>
    <w:rsid w:val="00493DFE"/>
    <w:rsid w:val="00494389"/>
    <w:rsid w:val="004949DD"/>
    <w:rsid w:val="00496995"/>
    <w:rsid w:val="004A1400"/>
    <w:rsid w:val="004A20F3"/>
    <w:rsid w:val="004A40F3"/>
    <w:rsid w:val="004A432F"/>
    <w:rsid w:val="004A533D"/>
    <w:rsid w:val="004A5DE1"/>
    <w:rsid w:val="004A793E"/>
    <w:rsid w:val="004B239B"/>
    <w:rsid w:val="004B33E3"/>
    <w:rsid w:val="004B7E41"/>
    <w:rsid w:val="004C14D8"/>
    <w:rsid w:val="004C244F"/>
    <w:rsid w:val="004C363B"/>
    <w:rsid w:val="004C62CA"/>
    <w:rsid w:val="004D38E0"/>
    <w:rsid w:val="004D5809"/>
    <w:rsid w:val="004D65EC"/>
    <w:rsid w:val="004E039F"/>
    <w:rsid w:val="004E07D1"/>
    <w:rsid w:val="004E15AD"/>
    <w:rsid w:val="004E3E94"/>
    <w:rsid w:val="004F1272"/>
    <w:rsid w:val="004F1875"/>
    <w:rsid w:val="005034D2"/>
    <w:rsid w:val="00505AB1"/>
    <w:rsid w:val="00512396"/>
    <w:rsid w:val="00515270"/>
    <w:rsid w:val="0051655C"/>
    <w:rsid w:val="00516D9F"/>
    <w:rsid w:val="00517EC3"/>
    <w:rsid w:val="005204BE"/>
    <w:rsid w:val="00524DFB"/>
    <w:rsid w:val="005310C8"/>
    <w:rsid w:val="00536A8E"/>
    <w:rsid w:val="00536F54"/>
    <w:rsid w:val="0053707C"/>
    <w:rsid w:val="00541DF4"/>
    <w:rsid w:val="00543D20"/>
    <w:rsid w:val="00546FE5"/>
    <w:rsid w:val="00550BB3"/>
    <w:rsid w:val="005541D0"/>
    <w:rsid w:val="005602F6"/>
    <w:rsid w:val="00564196"/>
    <w:rsid w:val="00565384"/>
    <w:rsid w:val="00566156"/>
    <w:rsid w:val="00570A6D"/>
    <w:rsid w:val="00572A09"/>
    <w:rsid w:val="00572A50"/>
    <w:rsid w:val="00572CB1"/>
    <w:rsid w:val="005747CF"/>
    <w:rsid w:val="0057690B"/>
    <w:rsid w:val="00577ADE"/>
    <w:rsid w:val="0058164F"/>
    <w:rsid w:val="00581B27"/>
    <w:rsid w:val="005820AA"/>
    <w:rsid w:val="00582373"/>
    <w:rsid w:val="00583AB7"/>
    <w:rsid w:val="00590A0F"/>
    <w:rsid w:val="00590AAA"/>
    <w:rsid w:val="00591D1F"/>
    <w:rsid w:val="005922D4"/>
    <w:rsid w:val="005926CE"/>
    <w:rsid w:val="00595C04"/>
    <w:rsid w:val="005A261B"/>
    <w:rsid w:val="005A3F02"/>
    <w:rsid w:val="005B0C7E"/>
    <w:rsid w:val="005B109B"/>
    <w:rsid w:val="005B2137"/>
    <w:rsid w:val="005B4200"/>
    <w:rsid w:val="005B4578"/>
    <w:rsid w:val="005B4CBB"/>
    <w:rsid w:val="005B5C0D"/>
    <w:rsid w:val="005C3634"/>
    <w:rsid w:val="005C3C89"/>
    <w:rsid w:val="005C5413"/>
    <w:rsid w:val="005C7683"/>
    <w:rsid w:val="005D0CB3"/>
    <w:rsid w:val="005D1672"/>
    <w:rsid w:val="005D1CB9"/>
    <w:rsid w:val="005D2B72"/>
    <w:rsid w:val="005D54E5"/>
    <w:rsid w:val="005D7EB9"/>
    <w:rsid w:val="005D7F11"/>
    <w:rsid w:val="005E0AAA"/>
    <w:rsid w:val="005E0AAF"/>
    <w:rsid w:val="005E2A85"/>
    <w:rsid w:val="005E2C14"/>
    <w:rsid w:val="005E3CFD"/>
    <w:rsid w:val="005E4C2A"/>
    <w:rsid w:val="005E6037"/>
    <w:rsid w:val="005E65D0"/>
    <w:rsid w:val="005E6A1A"/>
    <w:rsid w:val="005F231C"/>
    <w:rsid w:val="005F2F76"/>
    <w:rsid w:val="005F5A75"/>
    <w:rsid w:val="00602FEC"/>
    <w:rsid w:val="00607D13"/>
    <w:rsid w:val="006119BF"/>
    <w:rsid w:val="00612EA0"/>
    <w:rsid w:val="006229D5"/>
    <w:rsid w:val="00622E85"/>
    <w:rsid w:val="006240FC"/>
    <w:rsid w:val="00624CF1"/>
    <w:rsid w:val="00633873"/>
    <w:rsid w:val="00637F3C"/>
    <w:rsid w:val="0065353F"/>
    <w:rsid w:val="00657478"/>
    <w:rsid w:val="006618BD"/>
    <w:rsid w:val="00665821"/>
    <w:rsid w:val="00667407"/>
    <w:rsid w:val="006736E8"/>
    <w:rsid w:val="00673D80"/>
    <w:rsid w:val="00674D12"/>
    <w:rsid w:val="0067563C"/>
    <w:rsid w:val="00675AA0"/>
    <w:rsid w:val="00677546"/>
    <w:rsid w:val="00680DFF"/>
    <w:rsid w:val="00681784"/>
    <w:rsid w:val="00682ABD"/>
    <w:rsid w:val="006833FF"/>
    <w:rsid w:val="006844C1"/>
    <w:rsid w:val="00685F3E"/>
    <w:rsid w:val="00686FE8"/>
    <w:rsid w:val="0068747B"/>
    <w:rsid w:val="00692323"/>
    <w:rsid w:val="0069310D"/>
    <w:rsid w:val="006958D1"/>
    <w:rsid w:val="006962E7"/>
    <w:rsid w:val="006A1146"/>
    <w:rsid w:val="006A222D"/>
    <w:rsid w:val="006A3638"/>
    <w:rsid w:val="006A63A9"/>
    <w:rsid w:val="006A7F07"/>
    <w:rsid w:val="006B0CA5"/>
    <w:rsid w:val="006B0E06"/>
    <w:rsid w:val="006B11D9"/>
    <w:rsid w:val="006B2CB6"/>
    <w:rsid w:val="006B4827"/>
    <w:rsid w:val="006B54EE"/>
    <w:rsid w:val="006B7325"/>
    <w:rsid w:val="006B77DD"/>
    <w:rsid w:val="006C22B2"/>
    <w:rsid w:val="006C540E"/>
    <w:rsid w:val="006C64D9"/>
    <w:rsid w:val="006C794D"/>
    <w:rsid w:val="006D0612"/>
    <w:rsid w:val="006D60E7"/>
    <w:rsid w:val="006E6231"/>
    <w:rsid w:val="006E6589"/>
    <w:rsid w:val="006F126D"/>
    <w:rsid w:val="00702744"/>
    <w:rsid w:val="00704D13"/>
    <w:rsid w:val="00704D37"/>
    <w:rsid w:val="007064CD"/>
    <w:rsid w:val="00706EAC"/>
    <w:rsid w:val="007074FF"/>
    <w:rsid w:val="00707A00"/>
    <w:rsid w:val="007127E2"/>
    <w:rsid w:val="00720335"/>
    <w:rsid w:val="00721D1D"/>
    <w:rsid w:val="00723BF9"/>
    <w:rsid w:val="00725832"/>
    <w:rsid w:val="00725AF5"/>
    <w:rsid w:val="00731B25"/>
    <w:rsid w:val="00732298"/>
    <w:rsid w:val="007338CC"/>
    <w:rsid w:val="00736350"/>
    <w:rsid w:val="00737668"/>
    <w:rsid w:val="0074506B"/>
    <w:rsid w:val="0074630E"/>
    <w:rsid w:val="007474C0"/>
    <w:rsid w:val="007549F6"/>
    <w:rsid w:val="00763E6A"/>
    <w:rsid w:val="0076410E"/>
    <w:rsid w:val="0076459E"/>
    <w:rsid w:val="00764B0D"/>
    <w:rsid w:val="007650C9"/>
    <w:rsid w:val="00766169"/>
    <w:rsid w:val="00770746"/>
    <w:rsid w:val="00770AEF"/>
    <w:rsid w:val="00780D68"/>
    <w:rsid w:val="00783721"/>
    <w:rsid w:val="00784781"/>
    <w:rsid w:val="00784BB0"/>
    <w:rsid w:val="007906A3"/>
    <w:rsid w:val="007954FC"/>
    <w:rsid w:val="007A0BA1"/>
    <w:rsid w:val="007A1C48"/>
    <w:rsid w:val="007A25AE"/>
    <w:rsid w:val="007A73EE"/>
    <w:rsid w:val="007B1D91"/>
    <w:rsid w:val="007B26F4"/>
    <w:rsid w:val="007B3401"/>
    <w:rsid w:val="007C4E7F"/>
    <w:rsid w:val="007C67FA"/>
    <w:rsid w:val="007D2973"/>
    <w:rsid w:val="007D3E75"/>
    <w:rsid w:val="007F0A0C"/>
    <w:rsid w:val="007F363A"/>
    <w:rsid w:val="007F4DE4"/>
    <w:rsid w:val="007F75F1"/>
    <w:rsid w:val="008001F7"/>
    <w:rsid w:val="00800D7B"/>
    <w:rsid w:val="00801E1B"/>
    <w:rsid w:val="008027D1"/>
    <w:rsid w:val="008062A5"/>
    <w:rsid w:val="0080716E"/>
    <w:rsid w:val="00810C3A"/>
    <w:rsid w:val="00811163"/>
    <w:rsid w:val="00815E6E"/>
    <w:rsid w:val="008320F4"/>
    <w:rsid w:val="0083291D"/>
    <w:rsid w:val="00833FCC"/>
    <w:rsid w:val="008354A8"/>
    <w:rsid w:val="00837841"/>
    <w:rsid w:val="00840ABF"/>
    <w:rsid w:val="008473E5"/>
    <w:rsid w:val="00853DCD"/>
    <w:rsid w:val="00856375"/>
    <w:rsid w:val="008564A4"/>
    <w:rsid w:val="008573D0"/>
    <w:rsid w:val="00862562"/>
    <w:rsid w:val="00862DE2"/>
    <w:rsid w:val="008644D6"/>
    <w:rsid w:val="008650C7"/>
    <w:rsid w:val="00871098"/>
    <w:rsid w:val="00873162"/>
    <w:rsid w:val="00873418"/>
    <w:rsid w:val="00873ECE"/>
    <w:rsid w:val="00875450"/>
    <w:rsid w:val="00875D37"/>
    <w:rsid w:val="008770F8"/>
    <w:rsid w:val="008838EE"/>
    <w:rsid w:val="00890EEE"/>
    <w:rsid w:val="00891D8B"/>
    <w:rsid w:val="00892E5D"/>
    <w:rsid w:val="008930AA"/>
    <w:rsid w:val="008939C4"/>
    <w:rsid w:val="008978B0"/>
    <w:rsid w:val="008978EE"/>
    <w:rsid w:val="00897B8C"/>
    <w:rsid w:val="008A1C4F"/>
    <w:rsid w:val="008A3CC4"/>
    <w:rsid w:val="008A47E1"/>
    <w:rsid w:val="008A48F6"/>
    <w:rsid w:val="008A6AE9"/>
    <w:rsid w:val="008B13F0"/>
    <w:rsid w:val="008C6FB6"/>
    <w:rsid w:val="008D72C1"/>
    <w:rsid w:val="008D794F"/>
    <w:rsid w:val="008E3298"/>
    <w:rsid w:val="008E41A4"/>
    <w:rsid w:val="008E44A1"/>
    <w:rsid w:val="008E5814"/>
    <w:rsid w:val="008F1DC5"/>
    <w:rsid w:val="008F7A7C"/>
    <w:rsid w:val="0090399B"/>
    <w:rsid w:val="009126A9"/>
    <w:rsid w:val="00913883"/>
    <w:rsid w:val="00914703"/>
    <w:rsid w:val="00916C72"/>
    <w:rsid w:val="00917831"/>
    <w:rsid w:val="009209EA"/>
    <w:rsid w:val="009253CA"/>
    <w:rsid w:val="0092554F"/>
    <w:rsid w:val="0093141C"/>
    <w:rsid w:val="00942927"/>
    <w:rsid w:val="00944145"/>
    <w:rsid w:val="00945D5D"/>
    <w:rsid w:val="00947DA5"/>
    <w:rsid w:val="0095001B"/>
    <w:rsid w:val="009518AD"/>
    <w:rsid w:val="009600B6"/>
    <w:rsid w:val="00961E10"/>
    <w:rsid w:val="00963C52"/>
    <w:rsid w:val="0096435F"/>
    <w:rsid w:val="00965D72"/>
    <w:rsid w:val="009706F2"/>
    <w:rsid w:val="00970ADA"/>
    <w:rsid w:val="00973FED"/>
    <w:rsid w:val="009745A1"/>
    <w:rsid w:val="00975FB8"/>
    <w:rsid w:val="009827EE"/>
    <w:rsid w:val="00984FD4"/>
    <w:rsid w:val="009879C9"/>
    <w:rsid w:val="00993A60"/>
    <w:rsid w:val="00994495"/>
    <w:rsid w:val="00996902"/>
    <w:rsid w:val="009A062D"/>
    <w:rsid w:val="009A0AA6"/>
    <w:rsid w:val="009A3B33"/>
    <w:rsid w:val="009A4321"/>
    <w:rsid w:val="009A7A34"/>
    <w:rsid w:val="009B41FC"/>
    <w:rsid w:val="009B7811"/>
    <w:rsid w:val="009C00C3"/>
    <w:rsid w:val="009C3010"/>
    <w:rsid w:val="009C6D2F"/>
    <w:rsid w:val="009C6D76"/>
    <w:rsid w:val="009C772E"/>
    <w:rsid w:val="009D30BE"/>
    <w:rsid w:val="009D4F4C"/>
    <w:rsid w:val="009D591B"/>
    <w:rsid w:val="009D71DA"/>
    <w:rsid w:val="009E4356"/>
    <w:rsid w:val="009E5B32"/>
    <w:rsid w:val="009F1BF1"/>
    <w:rsid w:val="009F6FA8"/>
    <w:rsid w:val="00A003B3"/>
    <w:rsid w:val="00A0112F"/>
    <w:rsid w:val="00A02BA0"/>
    <w:rsid w:val="00A03519"/>
    <w:rsid w:val="00A03B26"/>
    <w:rsid w:val="00A1002A"/>
    <w:rsid w:val="00A10E3F"/>
    <w:rsid w:val="00A13C8B"/>
    <w:rsid w:val="00A16EBB"/>
    <w:rsid w:val="00A21D00"/>
    <w:rsid w:val="00A21FDD"/>
    <w:rsid w:val="00A27232"/>
    <w:rsid w:val="00A30CE5"/>
    <w:rsid w:val="00A31CCF"/>
    <w:rsid w:val="00A3207C"/>
    <w:rsid w:val="00A337CB"/>
    <w:rsid w:val="00A35DAB"/>
    <w:rsid w:val="00A360F1"/>
    <w:rsid w:val="00A4251A"/>
    <w:rsid w:val="00A4612B"/>
    <w:rsid w:val="00A47559"/>
    <w:rsid w:val="00A53243"/>
    <w:rsid w:val="00A63084"/>
    <w:rsid w:val="00A6360B"/>
    <w:rsid w:val="00A64659"/>
    <w:rsid w:val="00A65B5F"/>
    <w:rsid w:val="00A65DAA"/>
    <w:rsid w:val="00A70134"/>
    <w:rsid w:val="00A70E22"/>
    <w:rsid w:val="00A73C77"/>
    <w:rsid w:val="00A74CF1"/>
    <w:rsid w:val="00A75739"/>
    <w:rsid w:val="00A8079E"/>
    <w:rsid w:val="00A809E7"/>
    <w:rsid w:val="00A811B4"/>
    <w:rsid w:val="00A81EA9"/>
    <w:rsid w:val="00A82014"/>
    <w:rsid w:val="00A8275A"/>
    <w:rsid w:val="00A83690"/>
    <w:rsid w:val="00A84AA3"/>
    <w:rsid w:val="00A861AE"/>
    <w:rsid w:val="00A8736E"/>
    <w:rsid w:val="00A922F4"/>
    <w:rsid w:val="00A93D12"/>
    <w:rsid w:val="00A93D14"/>
    <w:rsid w:val="00AA4920"/>
    <w:rsid w:val="00AA667A"/>
    <w:rsid w:val="00AB6CFC"/>
    <w:rsid w:val="00AC138B"/>
    <w:rsid w:val="00AC2B3F"/>
    <w:rsid w:val="00AC317D"/>
    <w:rsid w:val="00AC4ED2"/>
    <w:rsid w:val="00AC5BBD"/>
    <w:rsid w:val="00AC5ED1"/>
    <w:rsid w:val="00AD21BF"/>
    <w:rsid w:val="00AD2869"/>
    <w:rsid w:val="00AD2B2E"/>
    <w:rsid w:val="00AD417C"/>
    <w:rsid w:val="00AD6223"/>
    <w:rsid w:val="00AE0951"/>
    <w:rsid w:val="00AE0C64"/>
    <w:rsid w:val="00AE2154"/>
    <w:rsid w:val="00AE2954"/>
    <w:rsid w:val="00AE72D3"/>
    <w:rsid w:val="00AF08BF"/>
    <w:rsid w:val="00AF27EC"/>
    <w:rsid w:val="00AF4D97"/>
    <w:rsid w:val="00AF6BA0"/>
    <w:rsid w:val="00B042B9"/>
    <w:rsid w:val="00B06579"/>
    <w:rsid w:val="00B129B1"/>
    <w:rsid w:val="00B14E8B"/>
    <w:rsid w:val="00B239C6"/>
    <w:rsid w:val="00B30E44"/>
    <w:rsid w:val="00B30E8D"/>
    <w:rsid w:val="00B31A58"/>
    <w:rsid w:val="00B3393F"/>
    <w:rsid w:val="00B418F7"/>
    <w:rsid w:val="00B466AE"/>
    <w:rsid w:val="00B51553"/>
    <w:rsid w:val="00B615DC"/>
    <w:rsid w:val="00B63539"/>
    <w:rsid w:val="00B65F6D"/>
    <w:rsid w:val="00B67C40"/>
    <w:rsid w:val="00B70D5A"/>
    <w:rsid w:val="00B74119"/>
    <w:rsid w:val="00B74755"/>
    <w:rsid w:val="00B81B7B"/>
    <w:rsid w:val="00B82846"/>
    <w:rsid w:val="00B83186"/>
    <w:rsid w:val="00B832F4"/>
    <w:rsid w:val="00B853E1"/>
    <w:rsid w:val="00B90006"/>
    <w:rsid w:val="00B90B8C"/>
    <w:rsid w:val="00B9763E"/>
    <w:rsid w:val="00BA1F23"/>
    <w:rsid w:val="00BA222C"/>
    <w:rsid w:val="00BA2C06"/>
    <w:rsid w:val="00BA4988"/>
    <w:rsid w:val="00BA5F9C"/>
    <w:rsid w:val="00BA661D"/>
    <w:rsid w:val="00BB047C"/>
    <w:rsid w:val="00BB0C3B"/>
    <w:rsid w:val="00BB53F9"/>
    <w:rsid w:val="00BB5B28"/>
    <w:rsid w:val="00BB617B"/>
    <w:rsid w:val="00BB7818"/>
    <w:rsid w:val="00BC25EE"/>
    <w:rsid w:val="00BC283F"/>
    <w:rsid w:val="00BC6587"/>
    <w:rsid w:val="00BD0210"/>
    <w:rsid w:val="00BD0DDF"/>
    <w:rsid w:val="00BD171F"/>
    <w:rsid w:val="00BD6A5E"/>
    <w:rsid w:val="00BD78F1"/>
    <w:rsid w:val="00BE7463"/>
    <w:rsid w:val="00BF01BF"/>
    <w:rsid w:val="00BF0BE2"/>
    <w:rsid w:val="00BF24F7"/>
    <w:rsid w:val="00BF6404"/>
    <w:rsid w:val="00C00421"/>
    <w:rsid w:val="00C0076B"/>
    <w:rsid w:val="00C03289"/>
    <w:rsid w:val="00C1104C"/>
    <w:rsid w:val="00C13B65"/>
    <w:rsid w:val="00C20FFF"/>
    <w:rsid w:val="00C22651"/>
    <w:rsid w:val="00C23249"/>
    <w:rsid w:val="00C27C58"/>
    <w:rsid w:val="00C32DA6"/>
    <w:rsid w:val="00C368DD"/>
    <w:rsid w:val="00C37F03"/>
    <w:rsid w:val="00C413D1"/>
    <w:rsid w:val="00C43187"/>
    <w:rsid w:val="00C450C7"/>
    <w:rsid w:val="00C4584E"/>
    <w:rsid w:val="00C4620A"/>
    <w:rsid w:val="00C509A2"/>
    <w:rsid w:val="00C51414"/>
    <w:rsid w:val="00C530BF"/>
    <w:rsid w:val="00C535CE"/>
    <w:rsid w:val="00C537C1"/>
    <w:rsid w:val="00C572E2"/>
    <w:rsid w:val="00C61CB6"/>
    <w:rsid w:val="00C61FEE"/>
    <w:rsid w:val="00C6228A"/>
    <w:rsid w:val="00C64ABD"/>
    <w:rsid w:val="00C65B33"/>
    <w:rsid w:val="00C65D1D"/>
    <w:rsid w:val="00C663DA"/>
    <w:rsid w:val="00C70046"/>
    <w:rsid w:val="00C77037"/>
    <w:rsid w:val="00C80653"/>
    <w:rsid w:val="00C80980"/>
    <w:rsid w:val="00C91198"/>
    <w:rsid w:val="00C93519"/>
    <w:rsid w:val="00C95B59"/>
    <w:rsid w:val="00CA0600"/>
    <w:rsid w:val="00CA4961"/>
    <w:rsid w:val="00CA709A"/>
    <w:rsid w:val="00CB157E"/>
    <w:rsid w:val="00CB2D56"/>
    <w:rsid w:val="00CB7855"/>
    <w:rsid w:val="00CC29F9"/>
    <w:rsid w:val="00CC6F11"/>
    <w:rsid w:val="00CC7AD5"/>
    <w:rsid w:val="00CD2E92"/>
    <w:rsid w:val="00CD39AF"/>
    <w:rsid w:val="00CD6815"/>
    <w:rsid w:val="00CD7CF9"/>
    <w:rsid w:val="00CE1370"/>
    <w:rsid w:val="00CE240D"/>
    <w:rsid w:val="00CE3228"/>
    <w:rsid w:val="00CE6F3F"/>
    <w:rsid w:val="00CF0048"/>
    <w:rsid w:val="00CF272F"/>
    <w:rsid w:val="00CF3EA6"/>
    <w:rsid w:val="00D0122D"/>
    <w:rsid w:val="00D114C7"/>
    <w:rsid w:val="00D115F0"/>
    <w:rsid w:val="00D15574"/>
    <w:rsid w:val="00D21FBE"/>
    <w:rsid w:val="00D2323A"/>
    <w:rsid w:val="00D25B35"/>
    <w:rsid w:val="00D3467B"/>
    <w:rsid w:val="00D34FAE"/>
    <w:rsid w:val="00D41D0E"/>
    <w:rsid w:val="00D4240A"/>
    <w:rsid w:val="00D431A7"/>
    <w:rsid w:val="00D431EF"/>
    <w:rsid w:val="00D4387D"/>
    <w:rsid w:val="00D440C5"/>
    <w:rsid w:val="00D4490A"/>
    <w:rsid w:val="00D51CBC"/>
    <w:rsid w:val="00D52DC0"/>
    <w:rsid w:val="00D53535"/>
    <w:rsid w:val="00D5730E"/>
    <w:rsid w:val="00D605A9"/>
    <w:rsid w:val="00D606D5"/>
    <w:rsid w:val="00D60FD7"/>
    <w:rsid w:val="00D63370"/>
    <w:rsid w:val="00D65A78"/>
    <w:rsid w:val="00D65E68"/>
    <w:rsid w:val="00D672DE"/>
    <w:rsid w:val="00D7071A"/>
    <w:rsid w:val="00D736FF"/>
    <w:rsid w:val="00D809A9"/>
    <w:rsid w:val="00D94D94"/>
    <w:rsid w:val="00D94EFA"/>
    <w:rsid w:val="00D95A19"/>
    <w:rsid w:val="00DA05C2"/>
    <w:rsid w:val="00DA73EA"/>
    <w:rsid w:val="00DA7A1F"/>
    <w:rsid w:val="00DB0535"/>
    <w:rsid w:val="00DB2226"/>
    <w:rsid w:val="00DB62D6"/>
    <w:rsid w:val="00DB702F"/>
    <w:rsid w:val="00DB732C"/>
    <w:rsid w:val="00DB744B"/>
    <w:rsid w:val="00DB7AA1"/>
    <w:rsid w:val="00DC021A"/>
    <w:rsid w:val="00DC2766"/>
    <w:rsid w:val="00DC2DBA"/>
    <w:rsid w:val="00DC42FB"/>
    <w:rsid w:val="00DC4CA9"/>
    <w:rsid w:val="00DC566E"/>
    <w:rsid w:val="00DC72DD"/>
    <w:rsid w:val="00DD1ECA"/>
    <w:rsid w:val="00DD1FCD"/>
    <w:rsid w:val="00DD21AB"/>
    <w:rsid w:val="00DD5963"/>
    <w:rsid w:val="00DD694D"/>
    <w:rsid w:val="00DE4C03"/>
    <w:rsid w:val="00DE6EB5"/>
    <w:rsid w:val="00DE79DC"/>
    <w:rsid w:val="00DF101E"/>
    <w:rsid w:val="00DF24A1"/>
    <w:rsid w:val="00DF7706"/>
    <w:rsid w:val="00E011F0"/>
    <w:rsid w:val="00E023B8"/>
    <w:rsid w:val="00E03D37"/>
    <w:rsid w:val="00E13A39"/>
    <w:rsid w:val="00E1604C"/>
    <w:rsid w:val="00E20443"/>
    <w:rsid w:val="00E2069B"/>
    <w:rsid w:val="00E21ED6"/>
    <w:rsid w:val="00E244E5"/>
    <w:rsid w:val="00E25126"/>
    <w:rsid w:val="00E25A6E"/>
    <w:rsid w:val="00E2665A"/>
    <w:rsid w:val="00E3236D"/>
    <w:rsid w:val="00E345DD"/>
    <w:rsid w:val="00E36530"/>
    <w:rsid w:val="00E425CF"/>
    <w:rsid w:val="00E45535"/>
    <w:rsid w:val="00E45651"/>
    <w:rsid w:val="00E52B43"/>
    <w:rsid w:val="00E60200"/>
    <w:rsid w:val="00E65DFA"/>
    <w:rsid w:val="00E822AE"/>
    <w:rsid w:val="00E84EC8"/>
    <w:rsid w:val="00E853FA"/>
    <w:rsid w:val="00E96321"/>
    <w:rsid w:val="00EA50AE"/>
    <w:rsid w:val="00EA54A3"/>
    <w:rsid w:val="00EA55A7"/>
    <w:rsid w:val="00EA56A9"/>
    <w:rsid w:val="00EB1967"/>
    <w:rsid w:val="00EB3137"/>
    <w:rsid w:val="00EB3285"/>
    <w:rsid w:val="00EB3422"/>
    <w:rsid w:val="00EB34AF"/>
    <w:rsid w:val="00EC404F"/>
    <w:rsid w:val="00EC4238"/>
    <w:rsid w:val="00EC66F6"/>
    <w:rsid w:val="00ED00CD"/>
    <w:rsid w:val="00ED1E2E"/>
    <w:rsid w:val="00ED3019"/>
    <w:rsid w:val="00ED71C3"/>
    <w:rsid w:val="00ED7C57"/>
    <w:rsid w:val="00EE11BE"/>
    <w:rsid w:val="00EE153A"/>
    <w:rsid w:val="00EE292A"/>
    <w:rsid w:val="00EE29FF"/>
    <w:rsid w:val="00EE2B07"/>
    <w:rsid w:val="00EE2D97"/>
    <w:rsid w:val="00EE3B46"/>
    <w:rsid w:val="00EE7ADE"/>
    <w:rsid w:val="00EF33FD"/>
    <w:rsid w:val="00EF79BE"/>
    <w:rsid w:val="00F0040C"/>
    <w:rsid w:val="00F02A17"/>
    <w:rsid w:val="00F04144"/>
    <w:rsid w:val="00F0423B"/>
    <w:rsid w:val="00F1052D"/>
    <w:rsid w:val="00F10A27"/>
    <w:rsid w:val="00F10D30"/>
    <w:rsid w:val="00F1234F"/>
    <w:rsid w:val="00F209C3"/>
    <w:rsid w:val="00F25EAF"/>
    <w:rsid w:val="00F3080F"/>
    <w:rsid w:val="00F3559F"/>
    <w:rsid w:val="00F355F2"/>
    <w:rsid w:val="00F36799"/>
    <w:rsid w:val="00F3679A"/>
    <w:rsid w:val="00F42FED"/>
    <w:rsid w:val="00F4359C"/>
    <w:rsid w:val="00F536EA"/>
    <w:rsid w:val="00F557D2"/>
    <w:rsid w:val="00F61A6A"/>
    <w:rsid w:val="00F6317B"/>
    <w:rsid w:val="00F64397"/>
    <w:rsid w:val="00F664B8"/>
    <w:rsid w:val="00F70C00"/>
    <w:rsid w:val="00F7107A"/>
    <w:rsid w:val="00F711A9"/>
    <w:rsid w:val="00F7213E"/>
    <w:rsid w:val="00F7218B"/>
    <w:rsid w:val="00F731ED"/>
    <w:rsid w:val="00F760B0"/>
    <w:rsid w:val="00F76405"/>
    <w:rsid w:val="00F84121"/>
    <w:rsid w:val="00FA1AC2"/>
    <w:rsid w:val="00FA3E53"/>
    <w:rsid w:val="00FA7F69"/>
    <w:rsid w:val="00FB1AC1"/>
    <w:rsid w:val="00FB397B"/>
    <w:rsid w:val="00FB5F8F"/>
    <w:rsid w:val="00FB7F6A"/>
    <w:rsid w:val="00FC0B72"/>
    <w:rsid w:val="00FC2177"/>
    <w:rsid w:val="00FC27DD"/>
    <w:rsid w:val="00FC333D"/>
    <w:rsid w:val="00FC3D2A"/>
    <w:rsid w:val="00FC5D59"/>
    <w:rsid w:val="00FC64B3"/>
    <w:rsid w:val="00FC752C"/>
    <w:rsid w:val="00FD2EB2"/>
    <w:rsid w:val="00FD5A1B"/>
    <w:rsid w:val="00FD738F"/>
    <w:rsid w:val="00FE1F89"/>
    <w:rsid w:val="00FE3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3BC9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pl-PL" w:eastAsia="en-GB"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uiPriority="2"/>
    <w:lsdException w:name="footer" w:uiPriority="99"/>
    <w:lsdException w:name="index heading" w:semiHidden="1"/>
    <w:lsdException w:name="caption" w:uiPriority="2"/>
    <w:lsdException w:name="table of figures" w:semiHidden="1"/>
    <w:lsdException w:name="envelope address" w:semiHidden="1"/>
    <w:lsdException w:name="envelope return" w:semiHidden="1"/>
    <w:lsdException w:name="footnote reference" w:semiHidden="1" w:uiPriority="99"/>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uiPriority="1" w:qFormat="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2"/>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atentStyles>
  <w:style w:type="paragraph" w:default="1" w:styleId="Normal">
    <w:name w:val="Normal"/>
    <w:uiPriority w:val="1"/>
    <w:qFormat/>
    <w:rsid w:val="005541D0"/>
    <w:pPr>
      <w:spacing w:after="120" w:line="264" w:lineRule="auto"/>
      <w:jc w:val="both"/>
    </w:pPr>
    <w:rPr>
      <w:sz w:val="22"/>
    </w:rPr>
  </w:style>
  <w:style w:type="paragraph" w:styleId="Heading1">
    <w:name w:val="heading 1"/>
    <w:basedOn w:val="Normal"/>
    <w:next w:val="Normal"/>
    <w:autoRedefine/>
    <w:uiPriority w:val="1"/>
    <w:qFormat/>
    <w:rsid w:val="00DA05C2"/>
    <w:pPr>
      <w:keepNext/>
      <w:numPr>
        <w:numId w:val="8"/>
      </w:numPr>
      <w:tabs>
        <w:tab w:val="left" w:pos="510"/>
      </w:tabs>
      <w:spacing w:before="480"/>
      <w:outlineLvl w:val="0"/>
    </w:pPr>
    <w:rPr>
      <w:b/>
      <w:smallCaps/>
      <w:sz w:val="26"/>
    </w:rPr>
  </w:style>
  <w:style w:type="paragraph" w:styleId="Heading2">
    <w:name w:val="heading 2"/>
    <w:basedOn w:val="Normal"/>
    <w:next w:val="Normal"/>
    <w:autoRedefine/>
    <w:uiPriority w:val="1"/>
    <w:qFormat/>
    <w:rsid w:val="0014591F"/>
    <w:pPr>
      <w:keepNext/>
      <w:numPr>
        <w:ilvl w:val="1"/>
        <w:numId w:val="8"/>
      </w:numPr>
      <w:tabs>
        <w:tab w:val="left" w:pos="737"/>
      </w:tabs>
      <w:spacing w:before="420"/>
      <w:outlineLvl w:val="1"/>
    </w:pPr>
    <w:rPr>
      <w:b/>
      <w:sz w:val="26"/>
    </w:rPr>
  </w:style>
  <w:style w:type="paragraph" w:styleId="Heading3">
    <w:name w:val="heading 3"/>
    <w:basedOn w:val="Normal"/>
    <w:next w:val="Normal"/>
    <w:autoRedefine/>
    <w:uiPriority w:val="1"/>
    <w:qFormat/>
    <w:rsid w:val="004E3E94"/>
    <w:pPr>
      <w:keepNext/>
      <w:numPr>
        <w:ilvl w:val="2"/>
        <w:numId w:val="8"/>
      </w:numPr>
      <w:tabs>
        <w:tab w:val="left" w:pos="935"/>
      </w:tabs>
      <w:spacing w:before="360"/>
      <w:outlineLvl w:val="2"/>
    </w:pPr>
    <w:rPr>
      <w:b/>
      <w:sz w:val="24"/>
    </w:rPr>
  </w:style>
  <w:style w:type="paragraph" w:styleId="Heading4">
    <w:name w:val="heading 4"/>
    <w:basedOn w:val="Normal"/>
    <w:next w:val="Normal"/>
    <w:uiPriority w:val="1"/>
    <w:qFormat/>
    <w:pPr>
      <w:keepNext/>
      <w:numPr>
        <w:ilvl w:val="3"/>
        <w:numId w:val="8"/>
      </w:numPr>
      <w:tabs>
        <w:tab w:val="left" w:pos="1049"/>
      </w:tabs>
      <w:spacing w:before="360"/>
      <w:outlineLvl w:val="3"/>
    </w:pPr>
    <w:rPr>
      <w:b/>
    </w:rPr>
  </w:style>
  <w:style w:type="paragraph" w:styleId="Heading5">
    <w:name w:val="heading 5"/>
    <w:basedOn w:val="Normal"/>
    <w:next w:val="Normal"/>
    <w:semiHidden/>
    <w:pPr>
      <w:keepNext/>
      <w:numPr>
        <w:ilvl w:val="4"/>
        <w:numId w:val="8"/>
      </w:numPr>
      <w:outlineLvl w:val="4"/>
    </w:pPr>
  </w:style>
  <w:style w:type="paragraph" w:styleId="Heading6">
    <w:name w:val="heading 6"/>
    <w:basedOn w:val="Normal"/>
    <w:next w:val="Normal"/>
    <w:semiHidden/>
    <w:pPr>
      <w:keepNext/>
      <w:numPr>
        <w:ilvl w:val="5"/>
        <w:numId w:val="8"/>
      </w:numPr>
      <w:outlineLvl w:val="5"/>
    </w:pPr>
  </w:style>
  <w:style w:type="paragraph" w:styleId="Heading7">
    <w:name w:val="heading 7"/>
    <w:basedOn w:val="Normal"/>
    <w:next w:val="Normal"/>
    <w:semiHidden/>
    <w:pPr>
      <w:keepNext/>
      <w:numPr>
        <w:ilvl w:val="6"/>
        <w:numId w:val="8"/>
      </w:numPr>
      <w:outlineLvl w:val="6"/>
    </w:pPr>
  </w:style>
  <w:style w:type="paragraph" w:styleId="Heading8">
    <w:name w:val="heading 8"/>
    <w:basedOn w:val="Normal"/>
    <w:next w:val="Normal"/>
    <w:semiHidden/>
    <w:pPr>
      <w:keepNext/>
      <w:numPr>
        <w:ilvl w:val="7"/>
        <w:numId w:val="8"/>
      </w:numPr>
      <w:outlineLvl w:val="7"/>
    </w:pPr>
  </w:style>
  <w:style w:type="paragraph" w:styleId="Heading9">
    <w:name w:val="heading 9"/>
    <w:basedOn w:val="Normal"/>
    <w:next w:val="Normal"/>
    <w:semiHidden/>
    <w:pPr>
      <w:keepNext/>
      <w:numPr>
        <w:ilvl w:val="8"/>
        <w:numId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References">
    <w:name w:val="YReferences"/>
    <w:basedOn w:val="Normal"/>
    <w:pPr>
      <w:spacing w:after="480"/>
      <w:ind w:left="1531" w:hanging="1531"/>
      <w:contextualSpacing/>
    </w:pPr>
  </w:style>
  <w:style w:type="paragraph" w:customStyle="1" w:styleId="Enclosures">
    <w:name w:val="Enclosures"/>
    <w:basedOn w:val="Normal"/>
    <w:pPr>
      <w:keepNext/>
      <w:keepLines/>
      <w:tabs>
        <w:tab w:val="left" w:pos="5641"/>
      </w:tabs>
      <w:spacing w:before="480" w:after="0"/>
      <w:ind w:left="1794" w:hanging="1794"/>
      <w:contextualSpacing/>
    </w:pPr>
  </w:style>
  <w:style w:type="character" w:customStyle="1" w:styleId="MacroTextChar">
    <w:name w:val="Macro Text Char"/>
    <w:basedOn w:val="DefaultParagraphFont"/>
    <w:uiPriority w:val="90"/>
    <w:qFormat/>
    <w:rPr>
      <w:rFonts w:ascii="Courier New" w:hAnsi="Courier New"/>
      <w:sz w:val="20"/>
    </w:rPr>
  </w:style>
  <w:style w:type="character" w:customStyle="1" w:styleId="Marker">
    <w:name w:val="Marker"/>
    <w:basedOn w:val="DefaultParagraphFont"/>
    <w:rsid w:val="00AC317D"/>
    <w:rPr>
      <w:color w:val="0000FF"/>
      <w:shd w:val="clear" w:color="auto" w:fill="auto"/>
    </w:rPr>
  </w:style>
  <w:style w:type="paragraph" w:customStyle="1" w:styleId="Pagedecouverture">
    <w:name w:val="Page de couverture"/>
    <w:basedOn w:val="Normal"/>
    <w:next w:val="Normal"/>
    <w:rsid w:val="00AC317D"/>
    <w:pPr>
      <w:spacing w:after="0" w:line="240" w:lineRule="auto"/>
    </w:pPr>
    <w:rPr>
      <w:rFonts w:eastAsiaTheme="minorHAnsi"/>
      <w:sz w:val="24"/>
      <w:szCs w:val="22"/>
    </w:rPr>
  </w:style>
  <w:style w:type="paragraph" w:customStyle="1" w:styleId="Typedudocument">
    <w:name w:val="Type du document"/>
    <w:basedOn w:val="Normal"/>
    <w:next w:val="Normal"/>
    <w:link w:val="TypedudocumentChar"/>
    <w:rsid w:val="00AC317D"/>
    <w:pPr>
      <w:spacing w:before="360" w:after="0" w:line="240" w:lineRule="auto"/>
      <w:jc w:val="center"/>
    </w:pPr>
    <w:rPr>
      <w:rFonts w:eastAsiaTheme="minorHAnsi"/>
      <w:b/>
      <w:sz w:val="24"/>
      <w:szCs w:val="22"/>
    </w:rPr>
  </w:style>
  <w:style w:type="paragraph" w:customStyle="1" w:styleId="Titreobjet">
    <w:name w:val="Titre objet"/>
    <w:basedOn w:val="Normal"/>
    <w:next w:val="Normal"/>
    <w:rsid w:val="00AC317D"/>
    <w:pPr>
      <w:spacing w:before="360" w:after="360" w:line="240" w:lineRule="auto"/>
      <w:jc w:val="center"/>
    </w:pPr>
    <w:rPr>
      <w:rFonts w:eastAsiaTheme="minorHAnsi"/>
      <w:b/>
      <w:sz w:val="24"/>
      <w:szCs w:val="22"/>
    </w:rPr>
  </w:style>
  <w:style w:type="paragraph" w:customStyle="1" w:styleId="FooterCoverPage">
    <w:name w:val="Footer Cover Page"/>
    <w:basedOn w:val="Normal"/>
    <w:link w:val="FooterCoverPageChar"/>
    <w:rsid w:val="00AC317D"/>
    <w:pPr>
      <w:tabs>
        <w:tab w:val="center" w:pos="4535"/>
        <w:tab w:val="right" w:pos="9071"/>
        <w:tab w:val="right" w:pos="9921"/>
      </w:tabs>
      <w:spacing w:before="360" w:after="0" w:line="240" w:lineRule="auto"/>
      <w:ind w:left="-850" w:right="-850"/>
      <w:jc w:val="left"/>
    </w:pPr>
    <w:rPr>
      <w:sz w:val="24"/>
    </w:rPr>
  </w:style>
  <w:style w:type="character" w:customStyle="1" w:styleId="TypedudocumentChar">
    <w:name w:val="Type du document Char"/>
    <w:basedOn w:val="DefaultParagraphFont"/>
    <w:link w:val="Typedudocument"/>
    <w:rsid w:val="00AC317D"/>
    <w:rPr>
      <w:rFonts w:eastAsiaTheme="minorHAnsi"/>
      <w:b/>
      <w:szCs w:val="22"/>
    </w:rPr>
  </w:style>
  <w:style w:type="character" w:customStyle="1" w:styleId="FooterCoverPageChar">
    <w:name w:val="Footer Cover Page Char"/>
    <w:basedOn w:val="TypedudocumentChar"/>
    <w:link w:val="FooterCoverPage"/>
    <w:rsid w:val="00AC317D"/>
    <w:rPr>
      <w:rFonts w:eastAsiaTheme="minorHAnsi"/>
      <w:b w:val="0"/>
      <w:szCs w:val="22"/>
    </w:rPr>
  </w:style>
  <w:style w:type="paragraph" w:customStyle="1" w:styleId="FooterSensitivity">
    <w:name w:val="Footer Sensitivity"/>
    <w:basedOn w:val="Normal"/>
    <w:link w:val="FooterSensitivityChar"/>
    <w:rsid w:val="00AC317D"/>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TypedudocumentChar"/>
    <w:link w:val="FooterSensitivity"/>
    <w:rsid w:val="00AC317D"/>
    <w:rPr>
      <w:rFonts w:eastAsiaTheme="minorHAnsi"/>
      <w:b/>
      <w:sz w:val="32"/>
      <w:szCs w:val="22"/>
    </w:rPr>
  </w:style>
  <w:style w:type="paragraph" w:customStyle="1" w:styleId="HeaderCoverPage">
    <w:name w:val="Header Cover Page"/>
    <w:basedOn w:val="Normal"/>
    <w:link w:val="HeaderCoverPageChar"/>
    <w:rsid w:val="00AC317D"/>
    <w:pPr>
      <w:tabs>
        <w:tab w:val="center" w:pos="4535"/>
        <w:tab w:val="right" w:pos="9071"/>
      </w:tabs>
      <w:spacing w:line="240" w:lineRule="auto"/>
    </w:pPr>
    <w:rPr>
      <w:sz w:val="24"/>
    </w:rPr>
  </w:style>
  <w:style w:type="character" w:customStyle="1" w:styleId="HeaderCoverPageChar">
    <w:name w:val="Header Cover Page Char"/>
    <w:basedOn w:val="TypedudocumentChar"/>
    <w:link w:val="HeaderCoverPage"/>
    <w:rsid w:val="00AC317D"/>
    <w:rPr>
      <w:rFonts w:eastAsiaTheme="minorHAnsi"/>
      <w:b w:val="0"/>
      <w:szCs w:val="22"/>
    </w:rPr>
  </w:style>
  <w:style w:type="paragraph" w:customStyle="1" w:styleId="HeaderSensitivity">
    <w:name w:val="Header Sensitivity"/>
    <w:basedOn w:val="Normal"/>
    <w:link w:val="HeaderSensitivityChar"/>
    <w:rsid w:val="00AC317D"/>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TypedudocumentChar"/>
    <w:link w:val="HeaderSensitivity"/>
    <w:rsid w:val="00AC317D"/>
    <w:rPr>
      <w:rFonts w:eastAsiaTheme="minorHAnsi"/>
      <w:b/>
      <w:sz w:val="32"/>
      <w:szCs w:val="22"/>
    </w:rPr>
  </w:style>
  <w:style w:type="paragraph" w:customStyle="1" w:styleId="HeaderSensitivityRight">
    <w:name w:val="Header Sensitivity Right"/>
    <w:basedOn w:val="Normal"/>
    <w:link w:val="HeaderSensitivityRightChar"/>
    <w:rsid w:val="004B239B"/>
    <w:pPr>
      <w:spacing w:line="240" w:lineRule="auto"/>
      <w:jc w:val="right"/>
    </w:pPr>
    <w:rPr>
      <w:sz w:val="28"/>
    </w:rPr>
  </w:style>
  <w:style w:type="character" w:customStyle="1" w:styleId="HeaderSensitivityRightChar">
    <w:name w:val="Header Sensitivity Right Char"/>
    <w:basedOn w:val="TypedudocumentChar"/>
    <w:link w:val="HeaderSensitivityRight"/>
    <w:rsid w:val="00AC317D"/>
    <w:rPr>
      <w:rFonts w:eastAsiaTheme="minorHAnsi"/>
      <w:b w:val="0"/>
      <w:sz w:val="28"/>
      <w:szCs w:val="22"/>
    </w:rPr>
  </w:style>
  <w:style w:type="character" w:styleId="FootnoteReference">
    <w:name w:val="footnote reference"/>
    <w:basedOn w:val="DefaultParagraphFont"/>
    <w:uiPriority w:val="99"/>
    <w:semiHidden/>
    <w:locked/>
    <w:rsid w:val="00007659"/>
    <w:rPr>
      <w:vertAlign w:val="superscript"/>
    </w:rPr>
  </w:style>
  <w:style w:type="character" w:styleId="Hyperlink">
    <w:name w:val="Hyperlink"/>
    <w:basedOn w:val="DefaultParagraphFont"/>
    <w:uiPriority w:val="99"/>
    <w:unhideWhenUsed/>
    <w:locked/>
    <w:rsid w:val="00CB7855"/>
    <w:rPr>
      <w:color w:val="0563C1" w:themeColor="hyperlink"/>
      <w:u w:val="single"/>
    </w:rPr>
  </w:style>
  <w:style w:type="paragraph" w:styleId="ListParagraph">
    <w:name w:val="List Paragraph"/>
    <w:basedOn w:val="Normal"/>
    <w:semiHidden/>
    <w:locked/>
    <w:rsid w:val="006958D1"/>
    <w:pPr>
      <w:ind w:left="720"/>
      <w:contextualSpacing/>
    </w:pPr>
  </w:style>
  <w:style w:type="character" w:styleId="CommentReference">
    <w:name w:val="annotation reference"/>
    <w:basedOn w:val="DefaultParagraphFont"/>
    <w:uiPriority w:val="99"/>
    <w:semiHidden/>
    <w:locked/>
    <w:rsid w:val="00764B0D"/>
    <w:rPr>
      <w:sz w:val="16"/>
      <w:szCs w:val="16"/>
    </w:rPr>
  </w:style>
  <w:style w:type="paragraph" w:styleId="CommentText">
    <w:name w:val="annotation text"/>
    <w:basedOn w:val="Normal"/>
    <w:link w:val="CommentTextChar"/>
    <w:uiPriority w:val="99"/>
    <w:semiHidden/>
    <w:locked/>
    <w:rsid w:val="00764B0D"/>
    <w:pPr>
      <w:spacing w:line="240" w:lineRule="auto"/>
    </w:pPr>
    <w:rPr>
      <w:sz w:val="20"/>
    </w:rPr>
  </w:style>
  <w:style w:type="character" w:customStyle="1" w:styleId="CommentTextChar">
    <w:name w:val="Comment Text Char"/>
    <w:basedOn w:val="DefaultParagraphFont"/>
    <w:link w:val="CommentText"/>
    <w:uiPriority w:val="99"/>
    <w:semiHidden/>
    <w:rsid w:val="00764B0D"/>
    <w:rPr>
      <w:sz w:val="20"/>
    </w:rPr>
  </w:style>
  <w:style w:type="paragraph" w:styleId="CommentSubject">
    <w:name w:val="annotation subject"/>
    <w:basedOn w:val="CommentText"/>
    <w:next w:val="CommentText"/>
    <w:link w:val="CommentSubjectChar"/>
    <w:semiHidden/>
    <w:locked/>
    <w:rsid w:val="00764B0D"/>
    <w:rPr>
      <w:b/>
      <w:bCs/>
    </w:rPr>
  </w:style>
  <w:style w:type="character" w:customStyle="1" w:styleId="CommentSubjectChar">
    <w:name w:val="Comment Subject Char"/>
    <w:basedOn w:val="CommentTextChar"/>
    <w:link w:val="CommentSubject"/>
    <w:semiHidden/>
    <w:rsid w:val="00764B0D"/>
    <w:rPr>
      <w:b/>
      <w:bCs/>
      <w:sz w:val="20"/>
    </w:rPr>
  </w:style>
  <w:style w:type="paragraph" w:styleId="BalloonText">
    <w:name w:val="Balloon Text"/>
    <w:basedOn w:val="Normal"/>
    <w:link w:val="BalloonTextChar"/>
    <w:semiHidden/>
    <w:locked/>
    <w:rsid w:val="00764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64B0D"/>
    <w:rPr>
      <w:rFonts w:ascii="Segoe UI" w:hAnsi="Segoe UI" w:cs="Segoe UI"/>
      <w:sz w:val="18"/>
      <w:szCs w:val="18"/>
    </w:rPr>
  </w:style>
  <w:style w:type="paragraph" w:customStyle="1" w:styleId="paragraph">
    <w:name w:val="paragraph"/>
    <w:basedOn w:val="Normal"/>
    <w:rsid w:val="00325F33"/>
    <w:pPr>
      <w:spacing w:before="100" w:beforeAutospacing="1" w:after="100" w:afterAutospacing="1" w:line="240" w:lineRule="auto"/>
      <w:jc w:val="left"/>
    </w:pPr>
    <w:rPr>
      <w:sz w:val="24"/>
      <w:szCs w:val="24"/>
    </w:rPr>
  </w:style>
  <w:style w:type="character" w:customStyle="1" w:styleId="normaltextrun">
    <w:name w:val="normaltextrun"/>
    <w:basedOn w:val="DefaultParagraphFont"/>
    <w:rsid w:val="00325F33"/>
  </w:style>
  <w:style w:type="character" w:customStyle="1" w:styleId="eop">
    <w:name w:val="eop"/>
    <w:basedOn w:val="DefaultParagraphFont"/>
    <w:rsid w:val="00325F33"/>
  </w:style>
  <w:style w:type="character" w:customStyle="1" w:styleId="superscript">
    <w:name w:val="superscript"/>
    <w:basedOn w:val="DefaultParagraphFont"/>
    <w:rsid w:val="00325F33"/>
  </w:style>
  <w:style w:type="paragraph" w:styleId="NoSpacing">
    <w:name w:val="No Spacing"/>
    <w:uiPriority w:val="1"/>
    <w:qFormat/>
    <w:locked/>
    <w:rsid w:val="005E65D0"/>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semiHidden/>
    <w:rsid w:val="0035561A"/>
    <w:rPr>
      <w:sz w:val="20"/>
    </w:rPr>
  </w:style>
  <w:style w:type="character" w:customStyle="1" w:styleId="italic">
    <w:name w:val="italic"/>
    <w:basedOn w:val="DefaultParagraphFont"/>
    <w:rsid w:val="003A49E4"/>
  </w:style>
  <w:style w:type="character" w:styleId="FollowedHyperlink">
    <w:name w:val="FollowedHyperlink"/>
    <w:basedOn w:val="DefaultParagraphFont"/>
    <w:semiHidden/>
    <w:locked/>
    <w:rsid w:val="00E244E5"/>
    <w:rPr>
      <w:color w:val="954F72" w:themeColor="followedHyperlink"/>
      <w:u w:val="single"/>
    </w:rPr>
  </w:style>
  <w:style w:type="paragraph" w:styleId="Revision">
    <w:name w:val="Revision"/>
    <w:hidden/>
    <w:semiHidden/>
    <w:locked/>
    <w:rsid w:val="00307E0B"/>
    <w:rPr>
      <w:sz w:val="22"/>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CrossReference">
    <w:name w:val="Cross Reference"/>
    <w:basedOn w:val="DefaultParagraphFont"/>
    <w:uiPriority w:val="2"/>
    <w:rPr>
      <w:i/>
    </w:rPr>
  </w:style>
  <w:style w:type="character" w:customStyle="1" w:styleId="InstructionPlaceholder">
    <w:name w:val="InstructionPlaceholder"/>
    <w:uiPriority w:val="1"/>
    <w:rPr>
      <w:color w:val="CB3535"/>
    </w:rPr>
  </w:style>
  <w:style w:type="character" w:customStyle="1" w:styleId="InstructionBlue">
    <w:name w:val="InstructionBlue"/>
    <w:uiPriority w:val="1"/>
    <w:rPr>
      <w:color w:val="3366CC"/>
    </w:rPr>
  </w:style>
  <w:style w:type="character" w:customStyle="1" w:styleId="InstructionRed">
    <w:name w:val="InstructionRed"/>
    <w:uiPriority w:val="1"/>
    <w:rPr>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FigureSource">
    <w:name w:val="Figure Source"/>
    <w:basedOn w:val="Normal"/>
    <w:next w:val="Normal"/>
    <w:uiPriority w:val="2"/>
    <w:pPr>
      <w:spacing w:after="240" w:line="240" w:lineRule="auto"/>
    </w:pPr>
    <w:rPr>
      <w:sz w:val="18"/>
    </w:rPr>
  </w:style>
  <w:style w:type="paragraph" w:customStyle="1" w:styleId="FigureNote">
    <w:name w:val="Figure Note"/>
    <w:basedOn w:val="FigureSource"/>
    <w:next w:val="FigureSource"/>
    <w:uiPriority w:val="2"/>
    <w:rPr>
      <w:b/>
    </w:rPr>
  </w:style>
  <w:style w:type="paragraph" w:customStyle="1" w:styleId="FigureBody">
    <w:name w:val="Figure Body"/>
    <w:basedOn w:val="Normal"/>
    <w:next w:val="FigureNote"/>
    <w:uiPriority w:val="2"/>
    <w:pPr>
      <w:keepNext/>
      <w:spacing w:after="40" w:line="240" w:lineRule="auto"/>
    </w:pPr>
  </w:style>
  <w:style w:type="paragraph" w:customStyle="1" w:styleId="FigureTitle">
    <w:name w:val="Figure Title"/>
    <w:basedOn w:val="Normal"/>
    <w:next w:val="FigureBody"/>
    <w:uiPriority w:val="2"/>
    <w:pPr>
      <w:keepNext/>
      <w:spacing w:before="120"/>
    </w:pPr>
    <w:rPr>
      <w:b/>
      <w:i/>
    </w:rPr>
  </w:style>
  <w:style w:type="paragraph" w:customStyle="1" w:styleId="HistoryTable">
    <w:name w:val="HistoryTable"/>
    <w:basedOn w:val="Normal"/>
    <w:uiPriority w:val="2"/>
    <w:pPr>
      <w:spacing w:before="60" w:after="60"/>
    </w:pPr>
    <w:rPr>
      <w:sz w:val="20"/>
    </w:rPr>
  </w:style>
  <w:style w:type="paragraph" w:customStyle="1" w:styleId="HistTableHeading">
    <w:name w:val="HistTableHeading"/>
    <w:basedOn w:val="Normal"/>
    <w:next w:val="HistoryTable"/>
    <w:uiPriority w:val="2"/>
    <w:pPr>
      <w:jc w:val="center"/>
    </w:pPr>
    <w:rPr>
      <w:rFonts w:ascii="Times New Roman Bold" w:hAnsi="Times New Roman Bold"/>
      <w:b/>
      <w:sz w:val="32"/>
    </w:rPr>
  </w:style>
  <w:style w:type="paragraph" w:customStyle="1" w:styleId="TableText">
    <w:name w:val="Table Text"/>
    <w:basedOn w:val="Normal"/>
    <w:uiPriority w:val="1"/>
    <w:qFormat/>
    <w:pPr>
      <w:spacing w:before="60" w:after="60"/>
    </w:pPr>
  </w:style>
  <w:style w:type="paragraph" w:customStyle="1" w:styleId="ContNumLevel3">
    <w:name w:val="ContNum (Level 3)"/>
    <w:basedOn w:val="Normal"/>
    <w:uiPriority w:val="1"/>
    <w:pPr>
      <w:numPr>
        <w:ilvl w:val="2"/>
        <w:numId w:val="3"/>
      </w:numPr>
    </w:pPr>
  </w:style>
  <w:style w:type="paragraph" w:customStyle="1" w:styleId="ContNumLevel2">
    <w:name w:val="ContNum (Level 2)"/>
    <w:basedOn w:val="Normal"/>
    <w:uiPriority w:val="1"/>
    <w:pPr>
      <w:numPr>
        <w:ilvl w:val="1"/>
        <w:numId w:val="3"/>
      </w:numPr>
    </w:pPr>
  </w:style>
  <w:style w:type="paragraph" w:customStyle="1" w:styleId="ContNum">
    <w:name w:val="ContNum"/>
    <w:basedOn w:val="Normal"/>
    <w:uiPriority w:val="1"/>
    <w:qFormat/>
    <w:pPr>
      <w:numPr>
        <w:numId w:val="3"/>
      </w:numPr>
    </w:pPr>
  </w:style>
  <w:style w:type="paragraph" w:customStyle="1" w:styleId="LegalNumPar3">
    <w:name w:val="LegalNumPar3"/>
    <w:basedOn w:val="Normal"/>
    <w:uiPriority w:val="1"/>
    <w:pPr>
      <w:numPr>
        <w:ilvl w:val="2"/>
        <w:numId w:val="4"/>
      </w:numPr>
      <w:spacing w:line="360" w:lineRule="auto"/>
    </w:pPr>
    <w:rPr>
      <w:sz w:val="24"/>
    </w:rPr>
  </w:style>
  <w:style w:type="paragraph" w:customStyle="1" w:styleId="LegalNumPar2">
    <w:name w:val="LegalNumPar2"/>
    <w:basedOn w:val="Normal"/>
    <w:uiPriority w:val="1"/>
    <w:pPr>
      <w:numPr>
        <w:ilvl w:val="1"/>
        <w:numId w:val="4"/>
      </w:numPr>
      <w:spacing w:line="360" w:lineRule="auto"/>
    </w:pPr>
    <w:rPr>
      <w:sz w:val="24"/>
    </w:rPr>
  </w:style>
  <w:style w:type="paragraph" w:customStyle="1" w:styleId="LegalNumPar">
    <w:name w:val="LegalNumPar"/>
    <w:basedOn w:val="Normal"/>
    <w:uiPriority w:val="1"/>
    <w:qFormat/>
    <w:pPr>
      <w:numPr>
        <w:numId w:val="4"/>
      </w:numPr>
      <w:spacing w:line="360" w:lineRule="auto"/>
    </w:pPr>
    <w:rPr>
      <w:sz w:val="24"/>
    </w:rPr>
  </w:style>
  <w:style w:type="paragraph" w:customStyle="1" w:styleId="Marking">
    <w:name w:val="Marking"/>
    <w:basedOn w:val="Normal"/>
    <w:semiHidden/>
    <w:pPr>
      <w:spacing w:line="240" w:lineRule="auto"/>
      <w:ind w:left="5102" w:right="-567"/>
      <w:contextualSpacing/>
      <w:jc w:val="left"/>
    </w:pPr>
    <w:rPr>
      <w:sz w:val="28"/>
    </w:rPr>
  </w:style>
  <w:style w:type="paragraph" w:customStyle="1" w:styleId="SectionTitle">
    <w:name w:val="SectionTitle"/>
    <w:basedOn w:val="Normal"/>
    <w:next w:val="Heading1"/>
    <w:uiPriority w:val="1"/>
    <w:qFormat/>
    <w:pPr>
      <w:keepNext/>
      <w:spacing w:before="720" w:after="360"/>
      <w:contextualSpacing/>
      <w:jc w:val="center"/>
      <w:outlineLvl w:val="0"/>
    </w:pPr>
    <w:rPr>
      <w:rFonts w:ascii="Times New Roman Bold" w:hAnsi="Times New Roman Bold"/>
      <w:b/>
      <w:smallCaps/>
      <w:sz w:val="32"/>
    </w:rPr>
  </w:style>
  <w:style w:type="paragraph" w:customStyle="1" w:styleId="ChapterTitle">
    <w:name w:val="ChapterTitle"/>
    <w:basedOn w:val="Normal"/>
    <w:next w:val="SectionTitle"/>
    <w:uiPriority w:val="1"/>
    <w:qFormat/>
    <w:pPr>
      <w:keepNext/>
      <w:spacing w:before="720" w:after="360"/>
      <w:jc w:val="center"/>
      <w:outlineLvl w:val="0"/>
    </w:pPr>
    <w:rPr>
      <w:b/>
      <w:sz w:val="36"/>
    </w:rPr>
  </w:style>
  <w:style w:type="paragraph" w:customStyle="1" w:styleId="PartTitle">
    <w:name w:val="PartTitle"/>
    <w:basedOn w:val="Normal"/>
    <w:next w:val="ChapterTitle"/>
    <w:uiPriority w:val="1"/>
    <w:qFormat/>
    <w:pPr>
      <w:keepNext/>
      <w:pageBreakBefore/>
      <w:spacing w:before="720" w:after="360"/>
      <w:jc w:val="center"/>
      <w:outlineLvl w:val="0"/>
    </w:pPr>
    <w:rPr>
      <w:b/>
      <w:sz w:val="40"/>
    </w:rPr>
  </w:style>
  <w:style w:type="paragraph" w:customStyle="1" w:styleId="AnnexTitle">
    <w:name w:val="AnnexTitle"/>
    <w:basedOn w:val="Normal"/>
    <w:next w:val="Normal"/>
    <w:uiPriority w:val="1"/>
    <w:qFormat/>
    <w:pPr>
      <w:pageBreakBefore/>
      <w:numPr>
        <w:numId w:val="2"/>
      </w:numPr>
      <w:spacing w:before="240" w:after="360"/>
      <w:outlineLvl w:val="0"/>
    </w:pPr>
    <w:rPr>
      <w:b/>
      <w:sz w:val="36"/>
    </w:rPr>
  </w:style>
  <w:style w:type="paragraph" w:customStyle="1" w:styleId="FITTable">
    <w:name w:val="FIT Table"/>
    <w:basedOn w:val="Normal"/>
    <w:uiPriority w:val="2"/>
    <w:pPr>
      <w:spacing w:before="60" w:after="60"/>
    </w:pPr>
  </w:style>
  <w:style w:type="paragraph" w:customStyle="1" w:styleId="ListNumberLevel4">
    <w:name w:val="List Number (Level 4)"/>
    <w:basedOn w:val="Normal"/>
    <w:uiPriority w:val="1"/>
    <w:semiHidden/>
    <w:unhideWhenUsed/>
    <w:pPr>
      <w:numPr>
        <w:ilvl w:val="3"/>
        <w:numId w:val="6"/>
      </w:numPr>
      <w:ind w:left="1815" w:hanging="454"/>
      <w:contextualSpacing/>
    </w:pPr>
  </w:style>
  <w:style w:type="paragraph" w:customStyle="1" w:styleId="ListNumberLevel3">
    <w:name w:val="List Number (Level 3)"/>
    <w:basedOn w:val="Normal"/>
    <w:uiPriority w:val="1"/>
    <w:semiHidden/>
    <w:unhideWhenUsed/>
    <w:pPr>
      <w:numPr>
        <w:ilvl w:val="2"/>
        <w:numId w:val="6"/>
      </w:numPr>
      <w:contextualSpacing/>
    </w:pPr>
  </w:style>
  <w:style w:type="paragraph" w:customStyle="1" w:styleId="ListNumberLevel2">
    <w:name w:val="List Number (Level 2)"/>
    <w:basedOn w:val="Normal"/>
    <w:uiPriority w:val="1"/>
    <w:pPr>
      <w:numPr>
        <w:ilvl w:val="1"/>
        <w:numId w:val="6"/>
      </w:numPr>
      <w:ind w:left="908" w:hanging="454"/>
      <w:contextualSpacing/>
    </w:pPr>
  </w:style>
  <w:style w:type="paragraph" w:styleId="ListNumber">
    <w:name w:val="List Number"/>
    <w:basedOn w:val="Normal"/>
    <w:uiPriority w:val="1"/>
    <w:pPr>
      <w:numPr>
        <w:numId w:val="6"/>
      </w:numPr>
      <w:contextualSpacing/>
    </w:pPr>
  </w:style>
  <w:style w:type="paragraph" w:customStyle="1" w:styleId="ListDashLevel4">
    <w:name w:val="List Dash (Level 4)"/>
    <w:basedOn w:val="Normal"/>
    <w:uiPriority w:val="1"/>
    <w:semiHidden/>
    <w:unhideWhenUsed/>
    <w:pPr>
      <w:numPr>
        <w:ilvl w:val="3"/>
        <w:numId w:val="5"/>
      </w:numPr>
      <w:contextualSpacing/>
    </w:pPr>
  </w:style>
  <w:style w:type="paragraph" w:customStyle="1" w:styleId="ListDashLevel3">
    <w:name w:val="List Dash (Level 3)"/>
    <w:basedOn w:val="Normal"/>
    <w:uiPriority w:val="1"/>
    <w:semiHidden/>
    <w:unhideWhenUsed/>
    <w:pPr>
      <w:numPr>
        <w:ilvl w:val="2"/>
        <w:numId w:val="5"/>
      </w:numPr>
      <w:contextualSpacing/>
    </w:pPr>
  </w:style>
  <w:style w:type="paragraph" w:customStyle="1" w:styleId="ListDashLevel2">
    <w:name w:val="List Dash (Level 2)"/>
    <w:basedOn w:val="Normal"/>
    <w:uiPriority w:val="1"/>
    <w:pPr>
      <w:numPr>
        <w:ilvl w:val="1"/>
        <w:numId w:val="5"/>
      </w:numPr>
      <w:contextualSpacing/>
    </w:pPr>
  </w:style>
  <w:style w:type="paragraph" w:customStyle="1" w:styleId="ListDash">
    <w:name w:val="List Dash"/>
    <w:basedOn w:val="Normal"/>
    <w:uiPriority w:val="1"/>
    <w:pPr>
      <w:numPr>
        <w:numId w:val="5"/>
      </w:numPr>
      <w:contextualSpacing/>
    </w:pPr>
  </w:style>
  <w:style w:type="paragraph" w:customStyle="1" w:styleId="ListBulletLevel4">
    <w:name w:val="List Bullet (Level 4)"/>
    <w:basedOn w:val="Normal"/>
    <w:uiPriority w:val="1"/>
    <w:semiHidden/>
    <w:unhideWhenUsed/>
    <w:pPr>
      <w:numPr>
        <w:ilvl w:val="3"/>
        <w:numId w:val="7"/>
      </w:numPr>
      <w:contextualSpacing/>
    </w:pPr>
  </w:style>
  <w:style w:type="paragraph" w:customStyle="1" w:styleId="ListBulletLevel3">
    <w:name w:val="List Bullet (Level 3)"/>
    <w:basedOn w:val="Normal"/>
    <w:uiPriority w:val="1"/>
    <w:semiHidden/>
    <w:unhideWhenUsed/>
    <w:pPr>
      <w:numPr>
        <w:ilvl w:val="2"/>
        <w:numId w:val="7"/>
      </w:numPr>
      <w:contextualSpacing/>
    </w:pPr>
  </w:style>
  <w:style w:type="paragraph" w:customStyle="1" w:styleId="ListBulletLevel2">
    <w:name w:val="List Bullet (Level 2)"/>
    <w:basedOn w:val="Normal"/>
    <w:uiPriority w:val="1"/>
    <w:pPr>
      <w:numPr>
        <w:ilvl w:val="1"/>
        <w:numId w:val="7"/>
      </w:numPr>
      <w:contextualSpacing/>
    </w:pPr>
  </w:style>
  <w:style w:type="paragraph" w:styleId="ListBullet">
    <w:name w:val="List Bullet"/>
    <w:basedOn w:val="Normal"/>
    <w:uiPriority w:val="1"/>
    <w:pPr>
      <w:numPr>
        <w:numId w:val="7"/>
      </w:numPr>
      <w:contextualSpacing/>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left" w:pos="595"/>
        <w:tab w:val="right" w:leader="dot" w:pos="8640"/>
      </w:tabs>
      <w:spacing w:before="240" w:after="60" w:line="240" w:lineRule="auto"/>
      <w:ind w:left="1446" w:right="720" w:hanging="1446"/>
    </w:pPr>
    <w:rPr>
      <w:b/>
      <w:sz w:val="20"/>
    </w:rPr>
  </w:style>
  <w:style w:type="paragraph" w:styleId="TOC5">
    <w:name w:val="toc 5"/>
    <w:basedOn w:val="Normal"/>
    <w:next w:val="Normal"/>
    <w:semiHidden/>
    <w:pPr>
      <w:tabs>
        <w:tab w:val="left" w:pos="595"/>
        <w:tab w:val="right" w:leader="dot" w:pos="8640"/>
      </w:tabs>
      <w:spacing w:before="240" w:after="60" w:line="240" w:lineRule="auto"/>
      <w:ind w:right="720"/>
    </w:pPr>
    <w:rPr>
      <w:b/>
      <w:sz w:val="20"/>
    </w:rPr>
  </w:style>
  <w:style w:type="paragraph" w:styleId="TOC4">
    <w:name w:val="toc 4"/>
    <w:basedOn w:val="Normal"/>
    <w:next w:val="Normal"/>
    <w:semiHidden/>
    <w:pPr>
      <w:tabs>
        <w:tab w:val="left" w:pos="1446"/>
        <w:tab w:val="left" w:pos="1587"/>
        <w:tab w:val="right" w:leader="dot" w:pos="8640"/>
      </w:tabs>
      <w:spacing w:after="60" w:line="240" w:lineRule="auto"/>
      <w:ind w:left="1445" w:right="720" w:hanging="850"/>
    </w:pPr>
    <w:rPr>
      <w:noProof/>
      <w:sz w:val="20"/>
    </w:rPr>
  </w:style>
  <w:style w:type="paragraph" w:styleId="TOC3">
    <w:name w:val="toc 3"/>
    <w:basedOn w:val="Normal"/>
    <w:next w:val="Normal"/>
    <w:uiPriority w:val="39"/>
    <w:pPr>
      <w:tabs>
        <w:tab w:val="left" w:pos="1446"/>
        <w:tab w:val="left" w:pos="1587"/>
        <w:tab w:val="right" w:leader="dot" w:pos="8640"/>
      </w:tabs>
      <w:spacing w:after="60" w:line="240" w:lineRule="auto"/>
      <w:ind w:left="1445" w:right="720" w:hanging="850"/>
    </w:pPr>
    <w:rPr>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1">
    <w:name w:val="toc 1"/>
    <w:basedOn w:val="Normal"/>
    <w:next w:val="Normal"/>
    <w:uiPriority w:val="39"/>
    <w:pPr>
      <w:tabs>
        <w:tab w:val="left" w:pos="595"/>
        <w:tab w:val="right" w:leader="dot" w:pos="8640"/>
      </w:tabs>
      <w:spacing w:before="240" w:after="60" w:line="240" w:lineRule="auto"/>
      <w:ind w:left="595" w:right="720" w:hanging="595"/>
    </w:pPr>
    <w:rPr>
      <w:b/>
      <w:sz w:val="20"/>
    </w:rPr>
  </w:style>
  <w:style w:type="paragraph" w:styleId="TOCHeading">
    <w:name w:val="TOC Heading"/>
    <w:basedOn w:val="Normal"/>
    <w:next w:val="Normal"/>
    <w:semiHidden/>
    <w:pPr>
      <w:jc w:val="center"/>
    </w:pPr>
    <w:rPr>
      <w:rFonts w:ascii="Times New Roman Bold" w:hAnsi="Times New Roman Bold"/>
      <w:b/>
      <w:sz w:val="32"/>
    </w:rPr>
  </w:style>
  <w:style w:type="paragraph" w:customStyle="1" w:styleId="SubTitle2">
    <w:name w:val="SubTitle 2"/>
    <w:basedOn w:val="Normal"/>
    <w:uiPriority w:val="1"/>
    <w:qFormat/>
    <w:pPr>
      <w:spacing w:after="280"/>
      <w:jc w:val="center"/>
    </w:pPr>
    <w:rPr>
      <w:b/>
      <w:sz w:val="32"/>
    </w:rPr>
  </w:style>
  <w:style w:type="paragraph" w:customStyle="1" w:styleId="SubTitle1">
    <w:name w:val="SubTitle 1"/>
    <w:basedOn w:val="Normal"/>
    <w:next w:val="Normal"/>
    <w:uiPriority w:val="1"/>
    <w:qFormat/>
    <w:pPr>
      <w:spacing w:before="360" w:after="2000"/>
      <w:jc w:val="center"/>
    </w:pPr>
    <w:rPr>
      <w:b/>
      <w:sz w:val="40"/>
    </w:rPr>
  </w:style>
  <w:style w:type="paragraph" w:styleId="Title">
    <w:name w:val="Title"/>
    <w:basedOn w:val="Normal"/>
    <w:next w:val="SubTitle1"/>
    <w:uiPriority w:val="1"/>
    <w:qFormat/>
    <w:pPr>
      <w:spacing w:before="3200" w:after="480"/>
      <w:jc w:val="center"/>
    </w:pPr>
    <w:rPr>
      <w:b/>
      <w:kern w:val="28"/>
      <w:sz w:val="48"/>
    </w:rPr>
  </w:style>
  <w:style w:type="paragraph" w:customStyle="1" w:styleId="NumPar4">
    <w:name w:val="NumPar 4"/>
    <w:basedOn w:val="Heading4"/>
    <w:uiPriority w:val="1"/>
    <w:qFormat/>
    <w:pPr>
      <w:keepNext w:val="0"/>
      <w:spacing w:before="0"/>
      <w:ind w:left="0" w:firstLine="0"/>
      <w:outlineLvl w:val="9"/>
    </w:pPr>
    <w:rPr>
      <w:b w:val="0"/>
    </w:rPr>
  </w:style>
  <w:style w:type="paragraph" w:customStyle="1" w:styleId="NumPar3">
    <w:name w:val="NumPar 3"/>
    <w:basedOn w:val="Heading3"/>
    <w:uiPriority w:val="1"/>
    <w:qFormat/>
    <w:pPr>
      <w:keepNext w:val="0"/>
      <w:spacing w:before="0"/>
      <w:ind w:left="0" w:firstLine="0"/>
      <w:outlineLvl w:val="9"/>
    </w:pPr>
    <w:rPr>
      <w:b w:val="0"/>
      <w:sz w:val="22"/>
    </w:rPr>
  </w:style>
  <w:style w:type="paragraph" w:customStyle="1" w:styleId="NumPar2">
    <w:name w:val="NumPar 2"/>
    <w:basedOn w:val="Heading2"/>
    <w:uiPriority w:val="1"/>
    <w:qFormat/>
    <w:pPr>
      <w:keepNext w:val="0"/>
      <w:spacing w:before="0"/>
      <w:ind w:left="0" w:firstLine="0"/>
      <w:outlineLvl w:val="9"/>
    </w:pPr>
    <w:rPr>
      <w:b w:val="0"/>
      <w:sz w:val="22"/>
    </w:rPr>
  </w:style>
  <w:style w:type="paragraph" w:customStyle="1" w:styleId="NumPar1">
    <w:name w:val="NumPar 1"/>
    <w:basedOn w:val="Heading1"/>
    <w:uiPriority w:val="1"/>
    <w:qFormat/>
    <w:pPr>
      <w:keepNext w:val="0"/>
      <w:spacing w:before="0"/>
      <w:ind w:left="0" w:firstLine="0"/>
      <w:outlineLvl w:val="9"/>
    </w:pPr>
    <w:rPr>
      <w:b w:val="0"/>
      <w:smallCaps w:val="0"/>
      <w:sz w:val="22"/>
    </w:rPr>
  </w:style>
  <w:style w:type="paragraph" w:styleId="FootnoteText">
    <w:name w:val="footnote text"/>
    <w:basedOn w:val="Normal"/>
    <w:unhideWhenUsed/>
    <w:pPr>
      <w:ind w:left="357" w:hanging="357"/>
    </w:pPr>
    <w:rPr>
      <w:sz w:val="20"/>
    </w:rPr>
  </w:style>
  <w:style w:type="paragraph" w:customStyle="1" w:styleId="FooterLine">
    <w:name w:val="Footer Line"/>
    <w:basedOn w:val="Footer"/>
    <w:next w:val="Footer"/>
    <w:uiPriority w:val="2"/>
    <w:pPr>
      <w:pBdr>
        <w:top w:val="single" w:sz="4" w:space="1" w:color="auto"/>
      </w:pBdr>
      <w:tabs>
        <w:tab w:val="right" w:pos="8646"/>
      </w:tabs>
      <w:spacing w:before="120"/>
      <w:ind w:right="0"/>
    </w:pPr>
  </w:style>
  <w:style w:type="paragraph" w:styleId="EndnoteText">
    <w:name w:val="endnote text"/>
    <w:basedOn w:val="Normal"/>
    <w:semiHidden/>
    <w:unhideWhenUsed/>
    <w:rPr>
      <w:sz w:val="20"/>
    </w:rPr>
  </w:style>
  <w:style w:type="paragraph" w:customStyle="1" w:styleId="References">
    <w:name w:val="References"/>
    <w:uiPriority w:val="2"/>
    <w:pPr>
      <w:tabs>
        <w:tab w:val="num" w:pos="397"/>
        <w:tab w:val="num" w:pos="709"/>
      </w:tabs>
      <w:ind w:left="709" w:hanging="709"/>
    </w:pPr>
  </w:style>
  <w:style w:type="paragraph" w:styleId="Date">
    <w:name w:val="Date"/>
    <w:basedOn w:val="Normal"/>
    <w:next w:val="References"/>
    <w:uiPriority w:val="1"/>
    <w:pPr>
      <w:spacing w:after="0"/>
      <w:ind w:left="5102" w:right="-567"/>
    </w:pPr>
  </w:style>
  <w:style w:type="paragraph" w:customStyle="1" w:styleId="Contact">
    <w:name w:val="Contact"/>
    <w:basedOn w:val="Normal"/>
    <w:uiPriority w:val="2"/>
    <w:pPr>
      <w:spacing w:before="480" w:after="240"/>
      <w:ind w:left="567" w:hanging="567"/>
      <w:jc w:val="left"/>
    </w:pPr>
  </w:style>
  <w:style w:type="paragraph" w:styleId="Caption">
    <w:name w:val="caption"/>
    <w:basedOn w:val="Normal"/>
    <w:next w:val="Normal"/>
    <w:uiPriority w:val="2"/>
    <w:pPr>
      <w:spacing w:before="120"/>
    </w:pPr>
    <w:rPr>
      <w:b/>
      <w:i/>
    </w:rPr>
  </w:style>
  <w:style w:type="paragraph" w:customStyle="1" w:styleId="ZDGName">
    <w:name w:val="Z_DGName"/>
    <w:basedOn w:val="Normal"/>
    <w:uiPriority w:val="2"/>
    <w:pPr>
      <w:widowControl w:val="0"/>
      <w:spacing w:after="0" w:line="240" w:lineRule="auto"/>
      <w:ind w:right="85"/>
      <w:jc w:val="left"/>
    </w:pPr>
    <w:rPr>
      <w:sz w:val="16"/>
    </w:rPr>
  </w:style>
  <w:style w:type="paragraph" w:customStyle="1" w:styleId="ZCom">
    <w:name w:val="Z_Com"/>
    <w:basedOn w:val="Normal"/>
    <w:next w:val="Normal"/>
    <w:uiPriority w:val="2"/>
    <w:pPr>
      <w:widowControl w:val="0"/>
      <w:spacing w:before="90" w:after="0" w:line="240" w:lineRule="auto"/>
      <w:ind w:right="85"/>
    </w:pPr>
    <w:rPr>
      <w:sz w:val="24"/>
    </w:rPr>
  </w:style>
  <w:style w:type="paragraph" w:customStyle="1" w:styleId="ZFlag">
    <w:name w:val="Z_Flag"/>
    <w:basedOn w:val="Normal"/>
    <w:next w:val="Normal"/>
    <w:uiPriority w:val="2"/>
    <w:pPr>
      <w:widowControl w:val="0"/>
      <w:spacing w:after="0"/>
      <w:ind w:right="85"/>
    </w:pPr>
  </w:style>
  <w:style w:type="paragraph" w:customStyle="1" w:styleId="GlossaryHeading">
    <w:name w:val="GlossaryHeading"/>
    <w:basedOn w:val="Normal"/>
    <w:uiPriority w:val="2"/>
    <w:pPr>
      <w:spacing w:after="480"/>
      <w:jc w:val="center"/>
      <w:outlineLvl w:val="0"/>
    </w:pPr>
    <w:rPr>
      <w:rFonts w:ascii="Times New Roman Bold" w:hAnsi="Times New Roman Bold"/>
      <w:b/>
      <w:sz w:val="32"/>
    </w:rPr>
  </w:style>
  <w:style w:type="paragraph" w:customStyle="1" w:styleId="Glossary">
    <w:name w:val="Glossary"/>
    <w:basedOn w:val="Normal"/>
    <w:uiPriority w:val="2"/>
    <w:pPr>
      <w:tabs>
        <w:tab w:val="left" w:pos="2835"/>
      </w:tabs>
      <w:ind w:left="2835" w:hanging="2835"/>
      <w:jc w:val="left"/>
    </w:pPr>
  </w:style>
  <w:style w:type="paragraph" w:customStyle="1" w:styleId="Citation">
    <w:name w:val="Citation"/>
    <w:basedOn w:val="Normal"/>
    <w:link w:val="CitationChar"/>
    <w:uiPriority w:val="1"/>
    <w:qFormat/>
    <w:pPr>
      <w:ind w:left="454" w:right="454"/>
    </w:pPr>
    <w:rPr>
      <w:i/>
    </w:rPr>
  </w:style>
  <w:style w:type="character" w:customStyle="1" w:styleId="CitationChar">
    <w:name w:val="Citation Char"/>
    <w:link w:val="Citation"/>
    <w:uiPriority w:val="1"/>
    <w:qFormat/>
    <w:rPr>
      <w:i/>
    </w:rPr>
  </w:style>
  <w:style w:type="paragraph" w:styleId="MacroText">
    <w:name w:val="macro"/>
    <w:basedOn w:val="Normal"/>
    <w:link w:val="MacroTextChar1"/>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1">
    <w:name w:val="Macro Text Char1"/>
    <w:basedOn w:val="DefaultParagraphFont"/>
    <w:link w:val="MacroText"/>
    <w:uiPriority w:val="1"/>
    <w:qFormat/>
    <w:rPr>
      <w:rFonts w:ascii="Courier New" w:hAnsi="Courier New"/>
      <w:sz w:val="20"/>
    </w:rPr>
  </w:style>
  <w:style w:type="paragraph" w:styleId="Header">
    <w:name w:val="header"/>
    <w:basedOn w:val="Normal"/>
    <w:link w:val="HeaderChar"/>
    <w:uiPriority w:val="2"/>
    <w:pPr>
      <w:tabs>
        <w:tab w:val="center" w:pos="4150"/>
        <w:tab w:val="right" w:pos="8306"/>
      </w:tabs>
    </w:pPr>
  </w:style>
  <w:style w:type="character" w:customStyle="1" w:styleId="HeaderChar">
    <w:name w:val="Header Char"/>
    <w:basedOn w:val="DefaultParagraphFont"/>
    <w:link w:val="Header"/>
    <w:uiPriority w:val="2"/>
    <w:rPr>
      <w:sz w:val="24"/>
    </w:rPr>
  </w:style>
  <w:style w:type="paragraph" w:styleId="Footer">
    <w:name w:val="footer"/>
    <w:basedOn w:val="Normal"/>
    <w:link w:val="FooterChar"/>
    <w:uiPriority w:val="99"/>
    <w:pPr>
      <w:spacing w:after="0" w:line="240" w:lineRule="auto"/>
      <w:ind w:right="-567"/>
    </w:pPr>
    <w:rPr>
      <w:sz w:val="16"/>
    </w:rPr>
  </w:style>
  <w:style w:type="character" w:customStyle="1" w:styleId="FooterChar">
    <w:name w:val="Footer Char"/>
    <w:link w:val="Footer"/>
    <w:uiPriority w:val="99"/>
    <w:rPr>
      <w:sz w:val="16"/>
    </w:rPr>
  </w:style>
  <w:style w:type="table" w:styleId="TableGrid">
    <w:name w:val="Table Grid"/>
    <w:basedOn w:val="TableNormal"/>
    <w:uiPriority w:val="2"/>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
    <w:name w:val="Table History"/>
    <w:basedOn w:val="TableNormal"/>
    <w:semiHidden/>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PropertiesTable">
    <w:name w:val="Properties Table"/>
    <w:basedOn w:val="TableNormal"/>
    <w:semiHidden/>
    <w:pPr>
      <w:spacing w:after="120" w:line="264" w:lineRule="auto"/>
    </w:pPr>
    <w:tblPr>
      <w:tblInd w:w="1984" w:type="dxa"/>
    </w:tblPr>
  </w:style>
  <w:style w:type="character" w:styleId="Emphasis">
    <w:name w:val="Emphasis"/>
    <w:basedOn w:val="DefaultParagraphFont"/>
    <w:uiPriority w:val="20"/>
    <w:qFormat/>
    <w:locked/>
    <w:rsid w:val="00FB397B"/>
    <w:rPr>
      <w:i/>
      <w:iCs/>
    </w:rPr>
  </w:style>
  <w:style w:type="paragraph" w:customStyle="1" w:styleId="Disclaimer">
    <w:name w:val="Disclaimer"/>
    <w:basedOn w:val="Normal"/>
    <w:rsid w:val="004B239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line="240" w:lineRule="auto"/>
    </w:pPr>
    <w:rPr>
      <w:rFonts w:eastAsiaTheme="minorHAnsi"/>
      <w:sz w:val="24"/>
      <w:szCs w:val="22"/>
      <w:lang w:eastAsia="en-US"/>
    </w:rPr>
  </w:style>
  <w:style w:type="paragraph" w:customStyle="1" w:styleId="SecurityMarking">
    <w:name w:val="SecurityMarking"/>
    <w:basedOn w:val="Normal"/>
    <w:rsid w:val="004B239B"/>
    <w:pPr>
      <w:spacing w:after="0" w:line="276" w:lineRule="auto"/>
      <w:ind w:left="5103"/>
      <w:jc w:val="left"/>
    </w:pPr>
    <w:rPr>
      <w:rFonts w:eastAsiaTheme="minorHAnsi"/>
      <w:sz w:val="28"/>
      <w:szCs w:val="22"/>
      <w:lang w:eastAsia="en-US"/>
    </w:rPr>
  </w:style>
  <w:style w:type="paragraph" w:customStyle="1" w:styleId="DateMarking">
    <w:name w:val="DateMarking"/>
    <w:basedOn w:val="Normal"/>
    <w:rsid w:val="004B239B"/>
    <w:pPr>
      <w:spacing w:after="0" w:line="276" w:lineRule="auto"/>
      <w:ind w:left="5103"/>
      <w:jc w:val="left"/>
    </w:pPr>
    <w:rPr>
      <w:rFonts w:eastAsiaTheme="minorHAnsi"/>
      <w:i/>
      <w:sz w:val="28"/>
      <w:szCs w:val="22"/>
      <w:lang w:eastAsia="en-US"/>
    </w:rPr>
  </w:style>
  <w:style w:type="paragraph" w:customStyle="1" w:styleId="ReleasableTo">
    <w:name w:val="ReleasableTo"/>
    <w:basedOn w:val="Normal"/>
    <w:rsid w:val="004B239B"/>
    <w:pPr>
      <w:spacing w:after="0" w:line="276" w:lineRule="auto"/>
      <w:ind w:left="5103"/>
      <w:jc w:val="left"/>
    </w:pPr>
    <w:rPr>
      <w:rFonts w:eastAsiaTheme="minorHAnsi"/>
      <w:i/>
      <w:sz w:val="28"/>
      <w:szCs w:val="22"/>
      <w:lang w:eastAsia="en-US"/>
    </w:rPr>
  </w:style>
  <w:style w:type="paragraph" w:styleId="NormalWeb">
    <w:name w:val="Normal (Web)"/>
    <w:basedOn w:val="Normal"/>
    <w:uiPriority w:val="99"/>
    <w:semiHidden/>
    <w:unhideWhenUsed/>
    <w:locked/>
    <w:rsid w:val="00963C52"/>
    <w:pPr>
      <w:spacing w:before="100" w:beforeAutospacing="1" w:after="100" w:afterAutospacing="1" w:line="240" w:lineRule="auto"/>
      <w:jc w:val="left"/>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388054">
      <w:bodyDiv w:val="1"/>
      <w:marLeft w:val="0"/>
      <w:marRight w:val="0"/>
      <w:marTop w:val="0"/>
      <w:marBottom w:val="0"/>
      <w:divBdr>
        <w:top w:val="none" w:sz="0" w:space="0" w:color="auto"/>
        <w:left w:val="none" w:sz="0" w:space="0" w:color="auto"/>
        <w:bottom w:val="none" w:sz="0" w:space="0" w:color="auto"/>
        <w:right w:val="none" w:sz="0" w:space="0" w:color="auto"/>
      </w:divBdr>
    </w:div>
    <w:div w:id="1202207893">
      <w:bodyDiv w:val="1"/>
      <w:marLeft w:val="0"/>
      <w:marRight w:val="0"/>
      <w:marTop w:val="0"/>
      <w:marBottom w:val="0"/>
      <w:divBdr>
        <w:top w:val="none" w:sz="0" w:space="0" w:color="auto"/>
        <w:left w:val="none" w:sz="0" w:space="0" w:color="auto"/>
        <w:bottom w:val="none" w:sz="0" w:space="0" w:color="auto"/>
        <w:right w:val="none" w:sz="0" w:space="0" w:color="auto"/>
      </w:divBdr>
      <w:divsChild>
        <w:div w:id="1670205929">
          <w:marLeft w:val="0"/>
          <w:marRight w:val="0"/>
          <w:marTop w:val="0"/>
          <w:marBottom w:val="0"/>
          <w:divBdr>
            <w:top w:val="none" w:sz="0" w:space="0" w:color="auto"/>
            <w:left w:val="none" w:sz="0" w:space="0" w:color="auto"/>
            <w:bottom w:val="none" w:sz="0" w:space="0" w:color="auto"/>
            <w:right w:val="none" w:sz="0" w:space="0" w:color="auto"/>
          </w:divBdr>
        </w:div>
        <w:div w:id="1856768483">
          <w:marLeft w:val="0"/>
          <w:marRight w:val="0"/>
          <w:marTop w:val="0"/>
          <w:marBottom w:val="0"/>
          <w:divBdr>
            <w:top w:val="none" w:sz="0" w:space="0" w:color="auto"/>
            <w:left w:val="none" w:sz="0" w:space="0" w:color="auto"/>
            <w:bottom w:val="none" w:sz="0" w:space="0" w:color="auto"/>
            <w:right w:val="none" w:sz="0" w:space="0" w:color="auto"/>
          </w:divBdr>
        </w:div>
      </w:divsChild>
    </w:div>
    <w:div w:id="1230657515">
      <w:bodyDiv w:val="1"/>
      <w:marLeft w:val="0"/>
      <w:marRight w:val="0"/>
      <w:marTop w:val="0"/>
      <w:marBottom w:val="0"/>
      <w:divBdr>
        <w:top w:val="none" w:sz="0" w:space="0" w:color="auto"/>
        <w:left w:val="none" w:sz="0" w:space="0" w:color="auto"/>
        <w:bottom w:val="none" w:sz="0" w:space="0" w:color="auto"/>
        <w:right w:val="none" w:sz="0" w:space="0" w:color="auto"/>
      </w:divBdr>
      <w:divsChild>
        <w:div w:id="360059650">
          <w:marLeft w:val="0"/>
          <w:marRight w:val="0"/>
          <w:marTop w:val="0"/>
          <w:marBottom w:val="0"/>
          <w:divBdr>
            <w:top w:val="none" w:sz="0" w:space="0" w:color="auto"/>
            <w:left w:val="none" w:sz="0" w:space="0" w:color="auto"/>
            <w:bottom w:val="none" w:sz="0" w:space="0" w:color="auto"/>
            <w:right w:val="none" w:sz="0" w:space="0" w:color="auto"/>
          </w:divBdr>
        </w:div>
        <w:div w:id="1290236911">
          <w:marLeft w:val="0"/>
          <w:marRight w:val="0"/>
          <w:marTop w:val="0"/>
          <w:marBottom w:val="0"/>
          <w:divBdr>
            <w:top w:val="none" w:sz="0" w:space="0" w:color="auto"/>
            <w:left w:val="none" w:sz="0" w:space="0" w:color="auto"/>
            <w:bottom w:val="none" w:sz="0" w:space="0" w:color="auto"/>
            <w:right w:val="none" w:sz="0" w:space="0" w:color="auto"/>
          </w:divBdr>
        </w:div>
        <w:div w:id="1061054683">
          <w:marLeft w:val="0"/>
          <w:marRight w:val="0"/>
          <w:marTop w:val="0"/>
          <w:marBottom w:val="0"/>
          <w:divBdr>
            <w:top w:val="none" w:sz="0" w:space="0" w:color="auto"/>
            <w:left w:val="none" w:sz="0" w:space="0" w:color="auto"/>
            <w:bottom w:val="none" w:sz="0" w:space="0" w:color="auto"/>
            <w:right w:val="none" w:sz="0" w:space="0" w:color="auto"/>
          </w:divBdr>
        </w:div>
        <w:div w:id="1161582311">
          <w:marLeft w:val="0"/>
          <w:marRight w:val="0"/>
          <w:marTop w:val="0"/>
          <w:marBottom w:val="0"/>
          <w:divBdr>
            <w:top w:val="none" w:sz="0" w:space="0" w:color="auto"/>
            <w:left w:val="none" w:sz="0" w:space="0" w:color="auto"/>
            <w:bottom w:val="none" w:sz="0" w:space="0" w:color="auto"/>
            <w:right w:val="none" w:sz="0" w:space="0" w:color="auto"/>
          </w:divBdr>
        </w:div>
        <w:div w:id="1124540970">
          <w:marLeft w:val="0"/>
          <w:marRight w:val="0"/>
          <w:marTop w:val="0"/>
          <w:marBottom w:val="0"/>
          <w:divBdr>
            <w:top w:val="none" w:sz="0" w:space="0" w:color="auto"/>
            <w:left w:val="none" w:sz="0" w:space="0" w:color="auto"/>
            <w:bottom w:val="none" w:sz="0" w:space="0" w:color="auto"/>
            <w:right w:val="none" w:sz="0" w:space="0" w:color="auto"/>
          </w:divBdr>
        </w:div>
      </w:divsChild>
    </w:div>
    <w:div w:id="2088719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s>
</file>

<file path=word/_rels/footnotes.xml.rels><?xml version="1.0" encoding="UTF-8" standalone="yes"?>
<Relationships xmlns="http://schemas.openxmlformats.org/package/2006/relationships"><Relationship Id="rId3" Type="http://schemas.openxmlformats.org/officeDocument/2006/relationships/hyperlink" Target="https://www.reiner.de/index.php?UV-ink-with-handheld-inkjet-printer" TargetMode="External"/><Relationship Id="rId2" Type="http://schemas.openxmlformats.org/officeDocument/2006/relationships/hyperlink" Target="https://news.3deo.co/metal-3d-printing-firearms-case-studies" TargetMode="External"/><Relationship Id="rId1" Type="http://schemas.openxmlformats.org/officeDocument/2006/relationships/hyperlink" Target="https://vlaamsvredesinstituut.eu/en/report/triggering-terror-illicit-gun-markets-and-firearms-acquisition-of-terrorist-networks-in-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10.0.40183.0</Version>
    <Date>2020-03-26T10:19:09</Date>
    <Language>EN</Language>
    <Note/>
  </Created>
  <Edited>
    <Version>10.0.42447.0</Version>
    <Date>2021-10-19T12:54:17</Date>
  </Edited>
  <DocumentModel>
    <Id>34954475-997f-4cb0-a95b-7f65298f3d8c</Id>
    <Name>Report (long)</Name>
  </DocumentModel>
  <DocumentDate>2020-03-26T10:19:09</DocumentDate>
  <DocumentVersion>0.1</DocumentVersion>
  <CompatibilityMode>Eurolook10</CompatibilityMode>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2.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TechPropsPublic>Public:</TechPropsPublic>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TechPropsAuthors>Authors:</TechPropsAuthors>
  <FooterOffice>Office:</FooterOffice>
  <SecurityOlafInvestigations>OLAF Investigations</SecurityOlafInvestigations>
  <TechHistory/>
  <TechPropsApproved>Approved by:</TechPropsApproved>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TechPropsVersion>Version:</TechPropsVersion>
  <TechPropsRevised>Revised by:</TechPropsRevised>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TechPropsDate>Date:</TechPropsDate>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TechPropsRefno>Reference Number:</TechPropsRefn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Figure>Figure </Figure>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TechFooterDated>data utworzenia</TechFooterDated>
  <SecurityMedicalSecret>Medical Secret</SecurityMedicalSecret>
  <TechFooterVersion>Wersja dokumentu</TechFooterVersion>
  <Contacts>Contacts:</Contacts>
  <SecurityEmbargo>EMBARGO UNTIL</SecurityEmbargo>
  <DateFormatShort>dd/MM/yyyy</DateFormatShort>
  <DateFormatLong>d MMMM yyyy</DateFormatLong>
</Texts>
</file>

<file path=customXml/item3.xml><?xml version="1.0" encoding="utf-8"?>
<Author Role="Creator" AuthorRoleName="Writer" AuthorRoleId="a4fbaff4-b07c-48b4-a21e-e7b9eedf3796">
  <Id>8b6bb0ee-79be-4960-8e2c-cf5f53d75930</Id>
  <Names>
    <Latin>
      <FirstName>Emmanuel</FirstName>
      <LastName>VALLENS</LastName>
    </Latin>
    <Greek>
      <FirstName/>
      <LastName/>
    </Greek>
    <Cyrillic>
      <FirstName/>
      <LastName/>
    </Cyrillic>
    <DocumentScript>
      <FirstName>Emmanuel</FirstName>
      <LastName>VALLENS</LastName>
      <FullName>Emmanuel VALLENS</FullName>
    </DocumentScript>
  </Names>
  <Initials>EV</Initials>
  <Gender>m</Gender>
  <Email>Emmanu</Email>
  <Service>HOME.D.5</Service>
  <Function ADCode="" ShowInSignature="true" ShowInHeader="false" HeaderText=""/>
  <WebAddress/>
  <InheritedWebAddress>WebAddress</InheritedWebAddress>
  <OrgaEntity1>
    <Id>4f5cd6b8-7bd3-4018-a3f4-3fb44adfff9a</Id>
    <LogicalLevel>1</LogicalLevel>
    <Name>HOME</Name>
    <HeadLine1>DIRECTORATE-GENERAL FOR MIGRATION AND HOME AFFAIRS</HeadLine1>
    <HeadLine2/>
    <PrimaryAddressId>f03b5801-04c9-4931-aa17-c6d6c70bc579</PrimaryAddressId>
    <SecondaryAddressId/>
    <WebAddress>WebAddress</WebAddress>
    <InheritedWebAddress>WebAddress</InheritedWebAddress>
    <ShowInHeader>true</ShowInHeader>
  </OrgaEntity1>
  <OrgaEntity2>
    <Id>da7363ad-03b1-4a06-a0b4-ab3d44a2ae84</Id>
    <LogicalLevel>2</LogicalLevel>
    <Name>HOME.D</Name>
    <HeadLine1>Directorate D: Law Enforcement and Security</HeadLine1>
    <HeadLine2/>
    <PrimaryAddressId>f03b5801-04c9-4931-aa17-c6d6c70bc579</PrimaryAddressId>
    <SecondaryAddressId/>
    <WebAddress/>
    <InheritedWebAddress>WebAddress</InheritedWebAddress>
    <ShowInHeader>true</ShowInHeader>
  </OrgaEntity2>
  <OrgaEntity3>
    <Id>f8fbe6e4-0a6d-44ca-9458-de9f2a8f500d</Id>
    <LogicalLevel>3</LogicalLevel>
    <Name>HOME.D.5</Name>
    <HeadLine1>Unit D.5 : Organised crime and drugs policy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+32 229-92267</Phone>
    <Office>LX46 04/142</Office>
  </MainWorkplace>
  <Workplaces>
    <Workplace IsMain="false">
      <AddressId>1264fb81-f6bb-475e-9f9d-a937d3be6ee2</AddressId>
      <Fax/>
      <Phone/>
      <Office/>
    </Workplace>
    <Workplace IsMain="true">
      <AddressId>f03b5801-04c9-4931-aa17-c6d6c70bc579</AddressId>
      <Fax/>
      <Phone>+32 229-92267</Phone>
      <Office>LX46 04/142</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AA85CD31-48C9-4D0C-B688-0715E29F60AF}">
  <ds:schemaRefs/>
</ds:datastoreItem>
</file>

<file path=customXml/itemProps4.xml><?xml version="1.0" encoding="utf-8"?>
<ds:datastoreItem xmlns:ds="http://schemas.openxmlformats.org/officeDocument/2006/customXml" ds:itemID="{9F55B98A-813F-4F15-A454-75146C25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5060</Words>
  <Characters>33098</Characters>
  <Application>Microsoft Office Word</Application>
  <DocSecurity>0</DocSecurity>
  <PresentationFormat>Microsoft Word 14.0</PresentationFormat>
  <Lines>542</Lines>
  <Paragraphs>137</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2021-10-14T13:34:00Z</dcterms:created>
  <dcterms:modified xsi:type="dcterms:W3CDTF">2021-10-20T08:30:00Z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