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4EB0E" w14:textId="71EDFFE5" w:rsidR="00AC317D" w:rsidRDefault="004A48A3" w:rsidP="004A48A3">
      <w:pPr>
        <w:pStyle w:val="Pagedecouverture"/>
        <w:rPr>
          <w:noProof/>
        </w:rPr>
      </w:pPr>
      <w:bookmarkStart w:id="0" w:name="LW_BM_COVERPAGE"/>
      <w:r>
        <w:rPr>
          <w:noProof/>
        </w:rPr>
        <w:pict w14:anchorId="207BA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A46F411-E9F2-4CCD-88B4-BB136CB760E1" style="width:455.25pt;height:324pt">
            <v:imagedata r:id="rId11" o:title=""/>
          </v:shape>
        </w:pict>
      </w:r>
    </w:p>
    <w:bookmarkEnd w:id="0"/>
    <w:p w14:paraId="448A3BAC" w14:textId="77777777" w:rsidR="00AC317D" w:rsidRDefault="00AC317D" w:rsidP="00AC317D">
      <w:pPr>
        <w:rPr>
          <w:noProof/>
        </w:rPr>
        <w:sectPr w:rsidR="00AC317D" w:rsidSect="004A48A3">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14:paraId="0620092F" w14:textId="77777777" w:rsidR="003B027E" w:rsidRPr="006A7F07" w:rsidRDefault="00AC5BBD" w:rsidP="00DA05C2">
      <w:pPr>
        <w:pStyle w:val="Heading1"/>
        <w:rPr>
          <w:noProof/>
        </w:rPr>
      </w:pPr>
      <w:bookmarkStart w:id="1" w:name="_Toc66179158"/>
      <w:bookmarkStart w:id="2" w:name="_GoBack"/>
      <w:bookmarkEnd w:id="2"/>
      <w:r>
        <w:rPr>
          <w:noProof/>
        </w:rPr>
        <w:lastRenderedPageBreak/>
        <w:t>Introduzione</w:t>
      </w:r>
      <w:bookmarkEnd w:id="1"/>
    </w:p>
    <w:p w14:paraId="160CFF6F" w14:textId="77777777" w:rsidR="00DB2226" w:rsidRPr="00DB2226" w:rsidRDefault="00DB2226" w:rsidP="00DB2226">
      <w:pPr>
        <w:rPr>
          <w:noProof/>
        </w:rPr>
      </w:pPr>
    </w:p>
    <w:p w14:paraId="0BAFF103" w14:textId="1BE2E687" w:rsidR="006A222D" w:rsidRPr="0069310D" w:rsidDel="004A5DE1" w:rsidRDefault="006A222D" w:rsidP="006A222D">
      <w:pPr>
        <w:rPr>
          <w:noProof/>
          <w:sz w:val="24"/>
          <w:szCs w:val="24"/>
        </w:rPr>
      </w:pPr>
      <w:r>
        <w:rPr>
          <w:noProof/>
          <w:sz w:val="24"/>
          <w:szCs w:val="24"/>
        </w:rPr>
        <w:t>Il piano d</w:t>
      </w:r>
      <w:r w:rsidR="003D07FD">
        <w:rPr>
          <w:noProof/>
          <w:sz w:val="24"/>
          <w:szCs w:val="24"/>
        </w:rPr>
        <w:t>'</w:t>
      </w:r>
      <w:r>
        <w:rPr>
          <w:noProof/>
          <w:sz w:val="24"/>
          <w:szCs w:val="24"/>
        </w:rPr>
        <w:t>azione 2020-2025 dell</w:t>
      </w:r>
      <w:r w:rsidR="003D07FD">
        <w:rPr>
          <w:noProof/>
          <w:sz w:val="24"/>
          <w:szCs w:val="24"/>
        </w:rPr>
        <w:t>'</w:t>
      </w:r>
      <w:r>
        <w:rPr>
          <w:noProof/>
          <w:sz w:val="24"/>
          <w:szCs w:val="24"/>
        </w:rPr>
        <w:t>UE sul traffico di armi da fuoco</w:t>
      </w:r>
      <w:r>
        <w:rPr>
          <w:rStyle w:val="FootnoteReference"/>
          <w:noProof/>
          <w:sz w:val="24"/>
          <w:szCs w:val="24"/>
        </w:rPr>
        <w:footnoteReference w:id="2"/>
      </w:r>
      <w:r>
        <w:rPr>
          <w:rStyle w:val="FootnoteReference"/>
          <w:noProof/>
          <w:sz w:val="24"/>
          <w:szCs w:val="24"/>
        </w:rPr>
        <w:t xml:space="preserve"> </w:t>
      </w:r>
      <w:r>
        <w:rPr>
          <w:noProof/>
          <w:sz w:val="24"/>
          <w:szCs w:val="24"/>
        </w:rPr>
        <w:t>adottato nel luglio 2020 considera la piena attuazione della direttiva sulle armi da fuoco una priorità assoluta e il programma di lotta al terrorismo del dicembre 2020</w:t>
      </w:r>
      <w:r>
        <w:rPr>
          <w:rStyle w:val="FootnoteReference"/>
          <w:noProof/>
          <w:sz w:val="24"/>
          <w:szCs w:val="24"/>
        </w:rPr>
        <w:footnoteReference w:id="3"/>
      </w:r>
      <w:r>
        <w:rPr>
          <w:noProof/>
          <w:sz w:val="24"/>
          <w:szCs w:val="24"/>
        </w:rPr>
        <w:t xml:space="preserve"> ha confermato tale posizione. </w:t>
      </w:r>
    </w:p>
    <w:p w14:paraId="3E02A78E" w14:textId="467E1859" w:rsidR="00731B25" w:rsidRDefault="00AA667A" w:rsidP="0069310D">
      <w:pPr>
        <w:rPr>
          <w:noProof/>
          <w:sz w:val="24"/>
          <w:szCs w:val="24"/>
        </w:rPr>
      </w:pPr>
      <w:r>
        <w:rPr>
          <w:noProof/>
          <w:sz w:val="24"/>
          <w:szCs w:val="24"/>
        </w:rPr>
        <w:t>La presente relazione contiene una valutazione dell</w:t>
      </w:r>
      <w:r w:rsidR="003D07FD">
        <w:rPr>
          <w:noProof/>
          <w:sz w:val="24"/>
          <w:szCs w:val="24"/>
        </w:rPr>
        <w:t>'</w:t>
      </w:r>
      <w:r>
        <w:rPr>
          <w:noProof/>
          <w:sz w:val="24"/>
          <w:szCs w:val="24"/>
        </w:rPr>
        <w:t>applicazione della direttiva 91/477/CEE del Consiglio, del 18 giugno 1991, relativa al controllo dell</w:t>
      </w:r>
      <w:r w:rsidR="003D07FD">
        <w:rPr>
          <w:noProof/>
          <w:sz w:val="24"/>
          <w:szCs w:val="24"/>
        </w:rPr>
        <w:t>'</w:t>
      </w:r>
      <w:r>
        <w:rPr>
          <w:noProof/>
          <w:sz w:val="24"/>
          <w:szCs w:val="24"/>
        </w:rPr>
        <w:t xml:space="preserve">acquisizione e della detenzione di armi (di seguito la </w:t>
      </w:r>
      <w:r w:rsidR="003D07FD">
        <w:rPr>
          <w:noProof/>
          <w:sz w:val="24"/>
          <w:szCs w:val="24"/>
        </w:rPr>
        <w:t>"</w:t>
      </w:r>
      <w:r>
        <w:rPr>
          <w:noProof/>
          <w:sz w:val="24"/>
          <w:szCs w:val="24"/>
        </w:rPr>
        <w:t>direttiva sulle armi da fuoco</w:t>
      </w:r>
      <w:r w:rsidR="003D07FD">
        <w:rPr>
          <w:noProof/>
          <w:sz w:val="24"/>
          <w:szCs w:val="24"/>
        </w:rPr>
        <w:t>"</w:t>
      </w:r>
      <w:r>
        <w:rPr>
          <w:noProof/>
          <w:sz w:val="24"/>
          <w:szCs w:val="24"/>
        </w:rPr>
        <w:t>), come previsto dall</w:t>
      </w:r>
      <w:r w:rsidR="003D07FD">
        <w:rPr>
          <w:noProof/>
          <w:sz w:val="24"/>
          <w:szCs w:val="24"/>
        </w:rPr>
        <w:t>'</w:t>
      </w:r>
      <w:r>
        <w:rPr>
          <w:noProof/>
          <w:sz w:val="24"/>
          <w:szCs w:val="24"/>
        </w:rPr>
        <w:t>articolo 17 a seguito dell</w:t>
      </w:r>
      <w:r w:rsidR="003D07FD">
        <w:rPr>
          <w:noProof/>
          <w:sz w:val="24"/>
          <w:szCs w:val="24"/>
        </w:rPr>
        <w:t>'</w:t>
      </w:r>
      <w:r>
        <w:rPr>
          <w:noProof/>
          <w:sz w:val="24"/>
          <w:szCs w:val="24"/>
        </w:rPr>
        <w:t>ultima modifica del 2017</w:t>
      </w:r>
      <w:r>
        <w:rPr>
          <w:rStyle w:val="FootnoteReference"/>
          <w:noProof/>
          <w:sz w:val="24"/>
          <w:szCs w:val="24"/>
          <w:lang w:val="en-US"/>
        </w:rPr>
        <w:footnoteReference w:id="4"/>
      </w:r>
      <w:r>
        <w:rPr>
          <w:noProof/>
        </w:rPr>
        <w:t>.</w:t>
      </w:r>
      <w:r>
        <w:rPr>
          <w:noProof/>
          <w:sz w:val="24"/>
          <w:szCs w:val="24"/>
        </w:rPr>
        <w:t xml:space="preserve"> Nel frattempo, la direttiva sulle armi da fuoco, quale successivamente modificata, è stata sostituita, abrogata e codificata dalla direttiva (UE) 2021/555 del Parlamento europeo e del Consiglio, del 24 marzo 2021</w:t>
      </w:r>
      <w:r>
        <w:rPr>
          <w:rStyle w:val="FootnoteReference"/>
          <w:noProof/>
          <w:sz w:val="24"/>
          <w:szCs w:val="24"/>
          <w:lang w:val="en-US"/>
        </w:rPr>
        <w:footnoteReference w:id="5"/>
      </w:r>
      <w:r>
        <w:rPr>
          <w:noProof/>
        </w:rPr>
        <w:t>.</w:t>
      </w:r>
      <w:r>
        <w:rPr>
          <w:noProof/>
          <w:sz w:val="24"/>
          <w:szCs w:val="24"/>
        </w:rPr>
        <w:t xml:space="preserve"> A fini di chiarezza, salvo diversa indicazione la numerazione degli articoli menzionata nella relazione si riferisce ai numeri della direttiva (UE) 2021/555 attualmente in vigore.</w:t>
      </w:r>
    </w:p>
    <w:p w14:paraId="08776DE6" w14:textId="244F3D5A" w:rsidR="00E822AE" w:rsidRDefault="004E15AD" w:rsidP="00FB7F6A">
      <w:pPr>
        <w:rPr>
          <w:noProof/>
          <w:sz w:val="24"/>
          <w:szCs w:val="24"/>
        </w:rPr>
      </w:pPr>
      <w:r>
        <w:rPr>
          <w:noProof/>
          <w:sz w:val="24"/>
          <w:szCs w:val="24"/>
        </w:rPr>
        <w:t>A norma dell</w:t>
      </w:r>
      <w:r w:rsidR="003D07FD">
        <w:rPr>
          <w:noProof/>
          <w:sz w:val="24"/>
          <w:szCs w:val="24"/>
        </w:rPr>
        <w:t>'</w:t>
      </w:r>
      <w:r>
        <w:rPr>
          <w:noProof/>
          <w:sz w:val="24"/>
          <w:szCs w:val="24"/>
        </w:rPr>
        <w:t>articolo 17 (attuale articolo 24), la relazione deve in particolare esaminare le categorie delle armi da fuoco e le questioni connesse all</w:t>
      </w:r>
      <w:r w:rsidR="003D07FD">
        <w:rPr>
          <w:noProof/>
          <w:sz w:val="24"/>
          <w:szCs w:val="24"/>
        </w:rPr>
        <w:t>'</w:t>
      </w:r>
      <w:r>
        <w:rPr>
          <w:noProof/>
          <w:sz w:val="24"/>
          <w:szCs w:val="24"/>
        </w:rPr>
        <w:t>attuazione del sistema per la carta europea d</w:t>
      </w:r>
      <w:r w:rsidR="003D07FD">
        <w:rPr>
          <w:noProof/>
          <w:sz w:val="24"/>
          <w:szCs w:val="24"/>
        </w:rPr>
        <w:t>'</w:t>
      </w:r>
      <w:r>
        <w:rPr>
          <w:noProof/>
          <w:sz w:val="24"/>
          <w:szCs w:val="24"/>
        </w:rPr>
        <w:t>arma da fuoco, alla marcatura e all</w:t>
      </w:r>
      <w:r w:rsidR="003D07FD">
        <w:rPr>
          <w:noProof/>
          <w:sz w:val="24"/>
          <w:szCs w:val="24"/>
        </w:rPr>
        <w:t>'</w:t>
      </w:r>
      <w:r>
        <w:rPr>
          <w:noProof/>
          <w:sz w:val="24"/>
          <w:szCs w:val="24"/>
        </w:rPr>
        <w:t>impatto di nuove tecnologie come gli effetti della stampa 3D, l</w:t>
      </w:r>
      <w:r w:rsidR="003D07FD">
        <w:rPr>
          <w:noProof/>
          <w:sz w:val="24"/>
          <w:szCs w:val="24"/>
        </w:rPr>
        <w:t>'</w:t>
      </w:r>
      <w:r>
        <w:rPr>
          <w:noProof/>
          <w:sz w:val="24"/>
          <w:szCs w:val="24"/>
        </w:rPr>
        <w:t>uso del codice QR e l</w:t>
      </w:r>
      <w:r w:rsidR="003D07FD">
        <w:rPr>
          <w:noProof/>
          <w:sz w:val="24"/>
          <w:szCs w:val="24"/>
        </w:rPr>
        <w:t>'</w:t>
      </w:r>
      <w:r>
        <w:rPr>
          <w:noProof/>
          <w:sz w:val="24"/>
          <w:szCs w:val="24"/>
        </w:rPr>
        <w:t>uso dell</w:t>
      </w:r>
      <w:r w:rsidR="003D07FD">
        <w:rPr>
          <w:noProof/>
          <w:sz w:val="24"/>
          <w:szCs w:val="24"/>
        </w:rPr>
        <w:t>'</w:t>
      </w:r>
      <w:r>
        <w:rPr>
          <w:noProof/>
          <w:sz w:val="24"/>
          <w:szCs w:val="24"/>
        </w:rPr>
        <w:t>identificazione a radiofrequenza (RFID). Come annunciato dalla strategia dell</w:t>
      </w:r>
      <w:r w:rsidR="003D07FD">
        <w:rPr>
          <w:noProof/>
          <w:sz w:val="24"/>
          <w:szCs w:val="24"/>
        </w:rPr>
        <w:t>'</w:t>
      </w:r>
      <w:r>
        <w:rPr>
          <w:noProof/>
          <w:sz w:val="24"/>
          <w:szCs w:val="24"/>
        </w:rPr>
        <w:t>UE per la lotta alla criminalità organizzata 2021-2025</w:t>
      </w:r>
      <w:r>
        <w:rPr>
          <w:rStyle w:val="FootnoteReference"/>
          <w:noProof/>
          <w:sz w:val="24"/>
          <w:szCs w:val="24"/>
        </w:rPr>
        <w:footnoteReference w:id="6"/>
      </w:r>
      <w:r>
        <w:rPr>
          <w:noProof/>
          <w:sz w:val="24"/>
          <w:szCs w:val="24"/>
        </w:rPr>
        <w:t>, la presente relazione individua anche le prime soluzioni per migliorare il quadro giuridico. Nel preparare la relazione la Commissione si è basata principalmente sulle misure di recepimento notificate dagli Stati membri nonché sulle informazioni disponibili al pubblico.</w:t>
      </w:r>
    </w:p>
    <w:p w14:paraId="622C6F25" w14:textId="5DFC2760" w:rsidR="00FB7F6A" w:rsidRPr="0069310D" w:rsidRDefault="00FB7F6A" w:rsidP="00FB7F6A">
      <w:pPr>
        <w:rPr>
          <w:noProof/>
          <w:sz w:val="24"/>
          <w:szCs w:val="24"/>
        </w:rPr>
      </w:pPr>
      <w:r>
        <w:rPr>
          <w:noProof/>
          <w:sz w:val="24"/>
          <w:szCs w:val="24"/>
        </w:rPr>
        <w:t>Inoltre nel novembre 2019 la Commissione ha distribuito agli Stati membri un questionario dettagliato sulle questioni citate all</w:t>
      </w:r>
      <w:r w:rsidR="003D07FD">
        <w:rPr>
          <w:noProof/>
          <w:sz w:val="24"/>
          <w:szCs w:val="24"/>
        </w:rPr>
        <w:t>'</w:t>
      </w:r>
      <w:r>
        <w:rPr>
          <w:noProof/>
          <w:sz w:val="24"/>
          <w:szCs w:val="24"/>
        </w:rPr>
        <w:t xml:space="preserve">articolo 17 (attuale articolo 24) al quale hanno risposto 19 Stati membri. La Commissione ha presentato una sintesi delle risposte ricevute in occasione della riunione del comitato armi da fuoco del 18 dicembre 2019 e ha svolto discussioni preliminari in seno al comitato su tale base. </w:t>
      </w:r>
    </w:p>
    <w:p w14:paraId="5DB0DB32" w14:textId="2016DDE7" w:rsidR="00FB7F6A" w:rsidRDefault="00FB7F6A" w:rsidP="00FB7F6A">
      <w:pPr>
        <w:rPr>
          <w:noProof/>
          <w:sz w:val="24"/>
          <w:szCs w:val="24"/>
        </w:rPr>
      </w:pPr>
      <w:r>
        <w:rPr>
          <w:noProof/>
          <w:sz w:val="24"/>
          <w:szCs w:val="24"/>
        </w:rPr>
        <w:t xml:space="preserve">La Commissione ha altresì partecipato attivamente alla priorità </w:t>
      </w:r>
      <w:r w:rsidR="003D07FD">
        <w:rPr>
          <w:noProof/>
          <w:sz w:val="24"/>
          <w:szCs w:val="24"/>
        </w:rPr>
        <w:t>"</w:t>
      </w:r>
      <w:r>
        <w:rPr>
          <w:noProof/>
          <w:sz w:val="24"/>
          <w:szCs w:val="24"/>
        </w:rPr>
        <w:t>armi da fuoco</w:t>
      </w:r>
      <w:r w:rsidR="003D07FD">
        <w:rPr>
          <w:noProof/>
          <w:sz w:val="24"/>
          <w:szCs w:val="24"/>
        </w:rPr>
        <w:t>"</w:t>
      </w:r>
      <w:r>
        <w:rPr>
          <w:noProof/>
          <w:sz w:val="24"/>
          <w:szCs w:val="24"/>
        </w:rPr>
        <w:t xml:space="preserve"> della piattaforma multidisciplinare europea di lotta alle minacce della criminalità</w:t>
      </w:r>
      <w:r>
        <w:rPr>
          <w:rStyle w:val="FootnoteReference"/>
          <w:noProof/>
          <w:sz w:val="24"/>
          <w:szCs w:val="24"/>
        </w:rPr>
        <w:footnoteReference w:id="7"/>
      </w:r>
      <w:r>
        <w:rPr>
          <w:noProof/>
          <w:sz w:val="24"/>
          <w:szCs w:val="24"/>
        </w:rPr>
        <w:t xml:space="preserve"> (di seguito la </w:t>
      </w:r>
      <w:r w:rsidR="003D07FD">
        <w:rPr>
          <w:noProof/>
          <w:sz w:val="24"/>
          <w:szCs w:val="24"/>
        </w:rPr>
        <w:t>"</w:t>
      </w:r>
      <w:r>
        <w:rPr>
          <w:noProof/>
          <w:sz w:val="24"/>
          <w:szCs w:val="24"/>
        </w:rPr>
        <w:t>piattaforma sulle armi da fuoco</w:t>
      </w:r>
      <w:r w:rsidR="003D07FD">
        <w:rPr>
          <w:noProof/>
          <w:sz w:val="24"/>
          <w:szCs w:val="24"/>
        </w:rPr>
        <w:t>"</w:t>
      </w:r>
      <w:r>
        <w:rPr>
          <w:noProof/>
          <w:sz w:val="24"/>
          <w:szCs w:val="24"/>
        </w:rPr>
        <w:t>) e al gruppo di esperti europei in materia di armi da fuoco</w:t>
      </w:r>
      <w:r>
        <w:rPr>
          <w:rStyle w:val="FootnoteReference"/>
          <w:noProof/>
          <w:sz w:val="24"/>
          <w:szCs w:val="24"/>
        </w:rPr>
        <w:footnoteReference w:id="8"/>
      </w:r>
      <w:r>
        <w:rPr>
          <w:noProof/>
          <w:sz w:val="24"/>
          <w:szCs w:val="24"/>
        </w:rPr>
        <w:t>, che ha contribuito a individuare le attuali e potenziali minacce poste dalle armi da fuoco e l</w:t>
      </w:r>
      <w:r w:rsidR="003D07FD">
        <w:rPr>
          <w:noProof/>
          <w:sz w:val="24"/>
          <w:szCs w:val="24"/>
        </w:rPr>
        <w:t>'</w:t>
      </w:r>
      <w:r>
        <w:rPr>
          <w:noProof/>
          <w:sz w:val="24"/>
          <w:szCs w:val="24"/>
        </w:rPr>
        <w:t>impatto sull</w:t>
      </w:r>
      <w:r w:rsidR="003D07FD">
        <w:rPr>
          <w:noProof/>
          <w:sz w:val="24"/>
          <w:szCs w:val="24"/>
        </w:rPr>
        <w:t>'</w:t>
      </w:r>
      <w:r>
        <w:rPr>
          <w:noProof/>
          <w:sz w:val="24"/>
          <w:szCs w:val="24"/>
        </w:rPr>
        <w:t xml:space="preserve">attività criminale. </w:t>
      </w:r>
    </w:p>
    <w:p w14:paraId="634241F7" w14:textId="535E226B" w:rsidR="006B4827" w:rsidRDefault="00731B25" w:rsidP="00731B25">
      <w:pPr>
        <w:rPr>
          <w:noProof/>
          <w:sz w:val="24"/>
          <w:szCs w:val="24"/>
        </w:rPr>
      </w:pPr>
      <w:r>
        <w:rPr>
          <w:noProof/>
          <w:sz w:val="24"/>
          <w:szCs w:val="24"/>
        </w:rPr>
        <w:t>A causa di gravi ritardi di recepimento a livello nazionale</w:t>
      </w:r>
      <w:r>
        <w:rPr>
          <w:rStyle w:val="FootnoteReference"/>
          <w:noProof/>
          <w:sz w:val="24"/>
          <w:szCs w:val="24"/>
        </w:rPr>
        <w:footnoteReference w:id="9"/>
      </w:r>
      <w:r>
        <w:rPr>
          <w:noProof/>
          <w:sz w:val="24"/>
          <w:szCs w:val="24"/>
        </w:rPr>
        <w:t>, la Commissione non ha tuttavia potuto svolgere una valutazione completa della conformità delle leggi e delle pratiche nazionali.</w:t>
      </w:r>
    </w:p>
    <w:p w14:paraId="170D126A" w14:textId="774C67E9" w:rsidR="00657478" w:rsidRPr="00DB2226" w:rsidRDefault="00657478" w:rsidP="00DB2226">
      <w:pPr>
        <w:rPr>
          <w:noProof/>
          <w:sz w:val="24"/>
          <w:szCs w:val="24"/>
        </w:rPr>
      </w:pPr>
      <w:r>
        <w:rPr>
          <w:noProof/>
          <w:sz w:val="24"/>
          <w:szCs w:val="24"/>
        </w:rPr>
        <w:t>Nel luglio 2020 l</w:t>
      </w:r>
      <w:r w:rsidR="003D07FD">
        <w:rPr>
          <w:noProof/>
          <w:sz w:val="24"/>
          <w:szCs w:val="24"/>
        </w:rPr>
        <w:t>'</w:t>
      </w:r>
      <w:r>
        <w:rPr>
          <w:noProof/>
          <w:sz w:val="24"/>
          <w:szCs w:val="24"/>
        </w:rPr>
        <w:t xml:space="preserve">Ufficio delle Nazioni Unite contro la droga e il crimine ha pubblicato un documento tematico intitolato </w:t>
      </w:r>
      <w:r w:rsidR="003D07FD">
        <w:rPr>
          <w:noProof/>
          <w:sz w:val="24"/>
          <w:szCs w:val="24"/>
        </w:rPr>
        <w:t>"</w:t>
      </w:r>
      <w:r>
        <w:rPr>
          <w:noProof/>
          <w:sz w:val="24"/>
          <w:szCs w:val="24"/>
        </w:rPr>
        <w:t>Illicit Trafficking in Firearms, their Parts, Components and Ammunition to, from and across the European Union</w:t>
      </w:r>
      <w:r w:rsidR="003D07FD">
        <w:rPr>
          <w:noProof/>
          <w:sz w:val="24"/>
          <w:szCs w:val="24"/>
        </w:rPr>
        <w:t>"</w:t>
      </w:r>
      <w:r>
        <w:rPr>
          <w:noProof/>
          <w:sz w:val="24"/>
          <w:szCs w:val="24"/>
        </w:rPr>
        <w:t>, che contiene raccomandazioni politiche e considerazioni importanti sulle minacce e sulle lacune giuridiche attualmente esistenti nel controllo delle armi da fuoco a livello globale</w:t>
      </w:r>
      <w:r>
        <w:rPr>
          <w:rStyle w:val="FootnoteReference"/>
          <w:noProof/>
        </w:rPr>
        <w:footnoteReference w:id="10"/>
      </w:r>
      <w:r>
        <w:rPr>
          <w:noProof/>
        </w:rPr>
        <w:t>.</w:t>
      </w:r>
    </w:p>
    <w:p w14:paraId="60EC5075" w14:textId="5DDDC4D7" w:rsidR="00FA3E53" w:rsidRPr="006A7F07" w:rsidRDefault="00AC5BBD" w:rsidP="00DA05C2">
      <w:pPr>
        <w:pStyle w:val="Heading1"/>
        <w:rPr>
          <w:noProof/>
        </w:rPr>
      </w:pPr>
      <w:bookmarkStart w:id="3" w:name="_Toc66179159"/>
      <w:r>
        <w:rPr>
          <w:noProof/>
        </w:rPr>
        <w:t xml:space="preserve">Attuazione della </w:t>
      </w:r>
      <w:bookmarkEnd w:id="3"/>
      <w:r>
        <w:rPr>
          <w:noProof/>
        </w:rPr>
        <w:t>direttiva sulle armi da fuoco</w:t>
      </w:r>
    </w:p>
    <w:p w14:paraId="3678DC2E" w14:textId="393DB66F" w:rsidR="00897B8C" w:rsidRDefault="00FA3E53" w:rsidP="008978B0">
      <w:pPr>
        <w:keepNext/>
        <w:rPr>
          <w:rStyle w:val="italic"/>
          <w:noProof/>
          <w:sz w:val="24"/>
          <w:szCs w:val="24"/>
        </w:rPr>
      </w:pPr>
      <w:r>
        <w:rPr>
          <w:noProof/>
          <w:sz w:val="24"/>
          <w:szCs w:val="24"/>
        </w:rPr>
        <w:t>La direttiva sulle armi da fuoco disciplina l</w:t>
      </w:r>
      <w:r w:rsidR="003D07FD">
        <w:rPr>
          <w:noProof/>
          <w:sz w:val="24"/>
          <w:szCs w:val="24"/>
        </w:rPr>
        <w:t>'</w:t>
      </w:r>
      <w:r>
        <w:rPr>
          <w:noProof/>
          <w:sz w:val="24"/>
          <w:szCs w:val="24"/>
        </w:rPr>
        <w:t>acquisizione, la detenzione e lo scambio commerciale all</w:t>
      </w:r>
      <w:r w:rsidR="003D07FD">
        <w:rPr>
          <w:noProof/>
          <w:sz w:val="24"/>
          <w:szCs w:val="24"/>
        </w:rPr>
        <w:t>'</w:t>
      </w:r>
      <w:r>
        <w:rPr>
          <w:noProof/>
          <w:sz w:val="24"/>
          <w:szCs w:val="24"/>
        </w:rPr>
        <w:t>interno dell</w:t>
      </w:r>
      <w:r w:rsidR="003D07FD">
        <w:rPr>
          <w:noProof/>
          <w:sz w:val="24"/>
          <w:szCs w:val="24"/>
        </w:rPr>
        <w:t>'</w:t>
      </w:r>
      <w:r>
        <w:rPr>
          <w:noProof/>
          <w:sz w:val="24"/>
          <w:szCs w:val="24"/>
        </w:rPr>
        <w:t>UE di armi da fuoco per uso civile (ad es. armi da fuoco utilizzate per il tiro sportivo e la caccia). Essa stabilisce norme minime comuni che tutti gli Stati membri devono recepire nelle rispettive legislazioni nazionali in materia di armi e intende raggiungere un equilibrio tra gli obiettivi del mercato interno (ossia la circolazione transfrontaliera delle armi da fuoco) e gli obiettivi di sicurezza (ossia un livello elevato di sicurezza e protezione dagli atti criminali e dal traffico illecito) all</w:t>
      </w:r>
      <w:r w:rsidR="003D07FD">
        <w:rPr>
          <w:noProof/>
          <w:sz w:val="24"/>
          <w:szCs w:val="24"/>
        </w:rPr>
        <w:t>'</w:t>
      </w:r>
      <w:r>
        <w:rPr>
          <w:noProof/>
          <w:sz w:val="24"/>
          <w:szCs w:val="24"/>
        </w:rPr>
        <w:t>interno dell</w:t>
      </w:r>
      <w:r w:rsidR="003D07FD">
        <w:rPr>
          <w:noProof/>
          <w:sz w:val="24"/>
          <w:szCs w:val="24"/>
        </w:rPr>
        <w:t>'</w:t>
      </w:r>
      <w:r>
        <w:rPr>
          <w:noProof/>
          <w:sz w:val="24"/>
          <w:szCs w:val="24"/>
        </w:rPr>
        <w:t>UE. Questa direttiva costituisce uno sviluppo dell</w:t>
      </w:r>
      <w:r w:rsidR="003D07FD">
        <w:rPr>
          <w:noProof/>
          <w:sz w:val="24"/>
          <w:szCs w:val="24"/>
        </w:rPr>
        <w:t>'</w:t>
      </w:r>
      <w:r>
        <w:rPr>
          <w:rStyle w:val="italic"/>
          <w:i/>
          <w:noProof/>
          <w:sz w:val="24"/>
          <w:szCs w:val="24"/>
        </w:rPr>
        <w:t>acquis</w:t>
      </w:r>
      <w:r>
        <w:rPr>
          <w:rStyle w:val="italic"/>
          <w:noProof/>
          <w:sz w:val="24"/>
          <w:szCs w:val="24"/>
        </w:rPr>
        <w:t xml:space="preserve"> di Schengen poiché fa parte dell</w:t>
      </w:r>
      <w:r w:rsidR="003D07FD">
        <w:rPr>
          <w:rStyle w:val="italic"/>
          <w:noProof/>
          <w:sz w:val="24"/>
          <w:szCs w:val="24"/>
        </w:rPr>
        <w:t>'</w:t>
      </w:r>
      <w:r>
        <w:rPr>
          <w:rStyle w:val="italic"/>
          <w:noProof/>
          <w:sz w:val="24"/>
          <w:szCs w:val="24"/>
        </w:rPr>
        <w:t>insieme comune di norme dell</w:t>
      </w:r>
      <w:r w:rsidR="003D07FD">
        <w:rPr>
          <w:rStyle w:val="italic"/>
          <w:noProof/>
          <w:sz w:val="24"/>
          <w:szCs w:val="24"/>
        </w:rPr>
        <w:t>'</w:t>
      </w:r>
      <w:r>
        <w:rPr>
          <w:rStyle w:val="italic"/>
          <w:noProof/>
          <w:sz w:val="24"/>
          <w:szCs w:val="24"/>
        </w:rPr>
        <w:t xml:space="preserve">UE che permettono la libera circolazione delle persone. </w:t>
      </w:r>
    </w:p>
    <w:p w14:paraId="31698768" w14:textId="1E0C0590" w:rsidR="00A35DAB" w:rsidRDefault="00154FB1" w:rsidP="008978B0">
      <w:pPr>
        <w:keepNext/>
        <w:rPr>
          <w:noProof/>
          <w:sz w:val="24"/>
          <w:szCs w:val="24"/>
        </w:rPr>
      </w:pPr>
      <w:r>
        <w:rPr>
          <w:rStyle w:val="italic"/>
          <w:noProof/>
          <w:sz w:val="24"/>
          <w:szCs w:val="24"/>
        </w:rPr>
        <w:t xml:space="preserve">La direttiva è stata rivista dopo </w:t>
      </w:r>
      <w:r>
        <w:rPr>
          <w:noProof/>
          <w:sz w:val="24"/>
          <w:szCs w:val="24"/>
        </w:rPr>
        <w:t>l</w:t>
      </w:r>
      <w:r w:rsidR="003D07FD">
        <w:rPr>
          <w:noProof/>
          <w:sz w:val="24"/>
          <w:szCs w:val="24"/>
        </w:rPr>
        <w:t>'</w:t>
      </w:r>
      <w:r>
        <w:rPr>
          <w:noProof/>
          <w:sz w:val="24"/>
          <w:szCs w:val="24"/>
        </w:rPr>
        <w:t xml:space="preserve">entrata in vigore del protocollo delle Nazioni Unite contro la fabbricazione e il traffico illeciti di armi da fuoco (il </w:t>
      </w:r>
      <w:r w:rsidR="003D07FD">
        <w:rPr>
          <w:noProof/>
          <w:sz w:val="24"/>
          <w:szCs w:val="24"/>
        </w:rPr>
        <w:t>"</w:t>
      </w:r>
      <w:r>
        <w:rPr>
          <w:noProof/>
          <w:sz w:val="24"/>
          <w:szCs w:val="24"/>
        </w:rPr>
        <w:t>protocollo sulle armi da fuoco</w:t>
      </w:r>
      <w:r w:rsidR="003D07FD">
        <w:rPr>
          <w:noProof/>
          <w:sz w:val="24"/>
          <w:szCs w:val="24"/>
        </w:rPr>
        <w:t>"</w:t>
      </w:r>
      <w:r>
        <w:rPr>
          <w:noProof/>
          <w:sz w:val="24"/>
          <w:szCs w:val="24"/>
        </w:rPr>
        <w:t>) nel 2005</w:t>
      </w:r>
      <w:r>
        <w:rPr>
          <w:rStyle w:val="FootnoteReference"/>
          <w:noProof/>
          <w:sz w:val="24"/>
          <w:szCs w:val="24"/>
        </w:rPr>
        <w:footnoteReference w:id="11"/>
      </w:r>
      <w:r>
        <w:rPr>
          <w:noProof/>
          <w:sz w:val="24"/>
          <w:szCs w:val="24"/>
        </w:rPr>
        <w:t xml:space="preserve"> e poi nel 2017, a seguito degli attentati terroristici del 2015.</w:t>
      </w:r>
    </w:p>
    <w:p w14:paraId="5FB267E5" w14:textId="77777777" w:rsidR="00A35DAB" w:rsidRDefault="00A35DAB" w:rsidP="008978B0">
      <w:pPr>
        <w:keepNext/>
        <w:rPr>
          <w:noProof/>
          <w:sz w:val="24"/>
          <w:szCs w:val="24"/>
        </w:rPr>
        <w:sectPr w:rsidR="00A35DAB" w:rsidSect="00AC317D">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docGrid w:linePitch="326"/>
        </w:sectPr>
      </w:pPr>
    </w:p>
    <w:p w14:paraId="45576169" w14:textId="77777777" w:rsidR="00963C52" w:rsidRDefault="00963C52" w:rsidP="001860DF">
      <w:pPr>
        <w:rPr>
          <w:noProof/>
        </w:rPr>
      </w:pPr>
      <w:r>
        <w:rPr>
          <w:noProof/>
          <w:sz w:val="24"/>
          <w:szCs w:val="24"/>
          <w:lang w:val="en-GB"/>
        </w:rPr>
        <mc:AlternateContent>
          <mc:Choice Requires="wpg">
            <w:drawing>
              <wp:inline distT="0" distB="0" distL="0" distR="0" wp14:anchorId="3873D7CD" wp14:editId="0605A525">
                <wp:extent cx="8923662" cy="4951730"/>
                <wp:effectExtent l="0" t="0" r="10795" b="20320"/>
                <wp:docPr id="1" name="130 Grupo"/>
                <wp:cNvGraphicFramePr/>
                <a:graphic xmlns:a="http://schemas.openxmlformats.org/drawingml/2006/main">
                  <a:graphicData uri="http://schemas.microsoft.com/office/word/2010/wordprocessingGroup">
                    <wpg:wgp>
                      <wpg:cNvGrpSpPr/>
                      <wpg:grpSpPr>
                        <a:xfrm>
                          <a:off x="0" y="0"/>
                          <a:ext cx="8923662" cy="4951730"/>
                          <a:chOff x="0" y="0"/>
                          <a:chExt cx="11940125" cy="7000466"/>
                        </a:xfrm>
                      </wpg:grpSpPr>
                      <wps:wsp>
                        <wps:cNvPr id="3" name="4 CuadroTexto"/>
                        <wps:cNvSpPr txBox="1"/>
                        <wps:spPr>
                          <a:xfrm>
                            <a:off x="380805" y="36063"/>
                            <a:ext cx="1774189" cy="763595"/>
                          </a:xfrm>
                          <a:prstGeom prst="rect">
                            <a:avLst/>
                          </a:prstGeom>
                          <a:noFill/>
                        </wps:spPr>
                        <wps:txbx>
                          <w:txbxContent>
                            <w:p w14:paraId="39BB964B" w14:textId="77777777" w:rsidR="00963C52" w:rsidRDefault="00963C52" w:rsidP="00963C52">
                              <w:pPr>
                                <w:pStyle w:val="NormalWeb"/>
                                <w:spacing w:before="0" w:beforeAutospacing="0" w:after="0" w:afterAutospacing="0"/>
                              </w:pPr>
                              <w:r>
                                <w:rPr>
                                  <w:rFonts w:ascii="DejaVu Serif" w:hAnsi="DejaVu Serif"/>
                                  <w:b/>
                                  <w:bCs/>
                                  <w:color w:val="1F4E79" w:themeColor="accent1" w:themeShade="80"/>
                                </w:rPr>
                                <w:t>OBIETTIVO STRATEGICO</w:t>
                              </w:r>
                            </w:p>
                          </w:txbxContent>
                        </wps:txbx>
                        <wps:bodyPr wrap="square" rtlCol="0">
                          <a:noAutofit/>
                        </wps:bodyPr>
                      </wps:wsp>
                      <wps:wsp>
                        <wps:cNvPr id="4" name="5 CuadroTexto"/>
                        <wps:cNvSpPr txBox="1"/>
                        <wps:spPr>
                          <a:xfrm>
                            <a:off x="404764" y="1045312"/>
                            <a:ext cx="1774824" cy="863205"/>
                          </a:xfrm>
                          <a:prstGeom prst="rect">
                            <a:avLst/>
                          </a:prstGeom>
                          <a:noFill/>
                        </wps:spPr>
                        <wps:txbx>
                          <w:txbxContent>
                            <w:p w14:paraId="41B18521" w14:textId="77777777" w:rsidR="00963C52" w:rsidRDefault="00963C52" w:rsidP="00963C52">
                              <w:pPr>
                                <w:pStyle w:val="NormalWeb"/>
                                <w:spacing w:before="0" w:beforeAutospacing="0" w:after="0" w:afterAutospacing="0"/>
                              </w:pPr>
                              <w:r>
                                <w:rPr>
                                  <w:rFonts w:ascii="DejaVu Serif" w:hAnsi="DejaVu Serif"/>
                                  <w:b/>
                                  <w:bCs/>
                                  <w:color w:val="2E74B5" w:themeColor="accent1" w:themeShade="BF"/>
                                </w:rPr>
                                <w:t>OBIETTIVI SPECIFICI</w:t>
                              </w:r>
                            </w:p>
                          </w:txbxContent>
                        </wps:txbx>
                        <wps:bodyPr wrap="square" rtlCol="0">
                          <a:noAutofit/>
                        </wps:bodyPr>
                      </wps:wsp>
                      <wps:wsp>
                        <wps:cNvPr id="5" name="6 CuadroTexto"/>
                        <wps:cNvSpPr txBox="1"/>
                        <wps:spPr>
                          <a:xfrm>
                            <a:off x="345149" y="2441657"/>
                            <a:ext cx="2066291" cy="863596"/>
                          </a:xfrm>
                          <a:prstGeom prst="rect">
                            <a:avLst/>
                          </a:prstGeom>
                          <a:noFill/>
                        </wps:spPr>
                        <wps:txbx>
                          <w:txbxContent>
                            <w:p w14:paraId="7568AAE3" w14:textId="77777777" w:rsidR="00963C52" w:rsidRDefault="00963C52" w:rsidP="00963C52">
                              <w:pPr>
                                <w:pStyle w:val="NormalWeb"/>
                                <w:spacing w:before="0" w:beforeAutospacing="0" w:after="0" w:afterAutospacing="0"/>
                              </w:pPr>
                              <w:r>
                                <w:rPr>
                                  <w:rFonts w:ascii="DejaVu Serif" w:hAnsi="DejaVu Serif"/>
                                  <w:b/>
                                  <w:bCs/>
                                  <w:color w:val="00B0F0"/>
                                </w:rPr>
                                <w:t>OBIETTIVI OPERATIVI</w:t>
                              </w:r>
                            </w:p>
                          </w:txbxContent>
                        </wps:txbx>
                        <wps:bodyPr wrap="square" rtlCol="0">
                          <a:noAutofit/>
                        </wps:bodyPr>
                      </wps:wsp>
                      <wps:wsp>
                        <wps:cNvPr id="6" name="7 CuadroTexto"/>
                        <wps:cNvSpPr txBox="1"/>
                        <wps:spPr>
                          <a:xfrm>
                            <a:off x="484244" y="3260109"/>
                            <a:ext cx="1774189" cy="810720"/>
                          </a:xfrm>
                          <a:prstGeom prst="rect">
                            <a:avLst/>
                          </a:prstGeom>
                          <a:noFill/>
                        </wps:spPr>
                        <wps:txbx>
                          <w:txbxContent>
                            <w:p w14:paraId="41CA1120" w14:textId="77777777" w:rsidR="00963C52" w:rsidRDefault="00963C52" w:rsidP="00963C52">
                              <w:pPr>
                                <w:pStyle w:val="NormalWeb"/>
                                <w:spacing w:before="0" w:beforeAutospacing="0" w:after="0" w:afterAutospacing="0"/>
                              </w:pPr>
                              <w:r>
                                <w:rPr>
                                  <w:rFonts w:ascii="DejaVu Serif" w:hAnsi="DejaVu Serif"/>
                                  <w:b/>
                                  <w:bCs/>
                                  <w:i/>
                                  <w:iCs/>
                                  <w:color w:val="000000" w:themeColor="text1"/>
                                  <w:sz w:val="32"/>
                                  <w:szCs w:val="32"/>
                                </w:rPr>
                                <w:t>Disposizioni della direttiva</w:t>
                              </w:r>
                            </w:p>
                          </w:txbxContent>
                        </wps:txbx>
                        <wps:bodyPr wrap="square" rtlCol="0">
                          <a:noAutofit/>
                        </wps:bodyPr>
                      </wps:wsp>
                      <wps:wsp>
                        <wps:cNvPr id="7" name="8 Rectángulo redondeado"/>
                        <wps:cNvSpPr/>
                        <wps:spPr>
                          <a:xfrm>
                            <a:off x="2411491" y="0"/>
                            <a:ext cx="9528634" cy="427617"/>
                          </a:xfrm>
                          <a:prstGeom prst="round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C9D5F3" w14:textId="77777777" w:rsidR="00963C52" w:rsidRDefault="00963C52" w:rsidP="00963C52">
                              <w:pPr>
                                <w:pStyle w:val="NormalWeb"/>
                                <w:spacing w:before="0" w:beforeAutospacing="0" w:after="0" w:afterAutospacing="0"/>
                                <w:jc w:val="center"/>
                              </w:pPr>
                              <w:r>
                                <w:rPr>
                                  <w:rFonts w:ascii="DejaVu Serif" w:hAnsi="DejaVu Serif"/>
                                  <w:color w:val="FFFFFF" w:themeColor="light1"/>
                                </w:rPr>
                                <w:t>Buon funzionamento del mercato interno</w:t>
                              </w:r>
                            </w:p>
                          </w:txbxContent>
                        </wps:txbx>
                        <wps:bodyPr rtlCol="0" anchor="ctr"/>
                      </wps:wsp>
                      <wps:wsp>
                        <wps:cNvPr id="8" name="9 Rectángulo redondeado"/>
                        <wps:cNvSpPr/>
                        <wps:spPr>
                          <a:xfrm>
                            <a:off x="2481966" y="981520"/>
                            <a:ext cx="4482380" cy="468526"/>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10F7E3" w14:textId="77777777" w:rsidR="00963C52" w:rsidRPr="00C941AC" w:rsidRDefault="00963C52" w:rsidP="00963C52">
                              <w:pPr>
                                <w:pStyle w:val="NormalWeb"/>
                                <w:spacing w:before="0" w:beforeAutospacing="0" w:after="0" w:afterAutospacing="0"/>
                                <w:jc w:val="center"/>
                                <w:rPr>
                                  <w:sz w:val="18"/>
                                  <w:szCs w:val="18"/>
                                </w:rPr>
                              </w:pPr>
                              <w:r w:rsidRPr="00C941AC">
                                <w:rPr>
                                  <w:rFonts w:ascii="DejaVu Serif" w:hAnsi="DejaVu Serif"/>
                                  <w:color w:val="FFFFFF" w:themeColor="light1"/>
                                  <w:sz w:val="18"/>
                                  <w:szCs w:val="18"/>
                                </w:rPr>
                                <w:t>Consentire la circolazione transfrontaliera delle armi da fuoco</w:t>
                              </w:r>
                            </w:p>
                          </w:txbxContent>
                        </wps:txbx>
                        <wps:bodyPr rtlCol="0" anchor="ctr"/>
                      </wps:wsp>
                      <wps:wsp>
                        <wps:cNvPr id="9" name="10 Rectángulo redondeado"/>
                        <wps:cNvSpPr/>
                        <wps:spPr>
                          <a:xfrm>
                            <a:off x="7402813" y="1016035"/>
                            <a:ext cx="4122196" cy="615266"/>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5B5005" w14:textId="77777777" w:rsidR="00963C52" w:rsidRPr="00C941AC" w:rsidRDefault="00963C52" w:rsidP="00963C52">
                              <w:pPr>
                                <w:pStyle w:val="NormalWeb"/>
                                <w:spacing w:before="0" w:beforeAutospacing="0" w:after="0" w:afterAutospacing="0"/>
                                <w:jc w:val="center"/>
                                <w:rPr>
                                  <w:sz w:val="18"/>
                                  <w:szCs w:val="18"/>
                                </w:rPr>
                              </w:pPr>
                              <w:r w:rsidRPr="00C941AC">
                                <w:rPr>
                                  <w:rFonts w:ascii="DejaVu Serif" w:hAnsi="DejaVu Serif"/>
                                  <w:color w:val="FFFFFF" w:themeColor="light1"/>
                                  <w:sz w:val="18"/>
                                  <w:szCs w:val="18"/>
                                </w:rPr>
                                <w:t>Mantenere un livello elevato di sicurezza e protezione dagli atti criminali e dal traffico illecito</w:t>
                              </w:r>
                            </w:p>
                          </w:txbxContent>
                        </wps:txbx>
                        <wps:bodyPr rtlCol="0" anchor="ctr"/>
                      </wps:wsp>
                      <wps:wsp>
                        <wps:cNvPr id="10" name="12 Forma"/>
                        <wps:cNvCnPr>
                          <a:stCxn id="4294967295" idx="2"/>
                          <a:endCxn id="4294967295" idx="0"/>
                        </wps:cNvCnPr>
                        <wps:spPr>
                          <a:xfrm rot="5400000">
                            <a:off x="5650388" y="-543057"/>
                            <a:ext cx="554746" cy="2496095"/>
                          </a:xfrm>
                          <a:prstGeom prst="bentConnector3">
                            <a:avLst>
                              <a:gd name="adj1" fmla="val 50000"/>
                            </a:avLst>
                          </a:prstGeom>
                          <a:ln w="28575">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1" name="12 Forma"/>
                        <wps:cNvCnPr>
                          <a:stCxn id="4294967295" idx="2"/>
                          <a:endCxn id="4294967295" idx="0"/>
                        </wps:cNvCnPr>
                        <wps:spPr>
                          <a:xfrm rot="16200000" flipH="1">
                            <a:off x="8004705" y="-401281"/>
                            <a:ext cx="589418" cy="2247213"/>
                          </a:xfrm>
                          <a:prstGeom prst="bentConnector3">
                            <a:avLst>
                              <a:gd name="adj1" fmla="val 50000"/>
                            </a:avLst>
                          </a:prstGeom>
                          <a:ln w="28575">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2" name="20 Rectángulo redondeado"/>
                        <wps:cNvSpPr/>
                        <wps:spPr>
                          <a:xfrm>
                            <a:off x="2502015" y="1972432"/>
                            <a:ext cx="2150812" cy="1287793"/>
                          </a:xfrm>
                          <a:prstGeom prst="roundRect">
                            <a:avLst/>
                          </a:prstGeom>
                          <a:solidFill>
                            <a:schemeClr val="bg1"/>
                          </a:solidFill>
                          <a:ln w="28575">
                            <a:solidFill>
                              <a:srgbClr val="00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621525" w14:textId="77777777" w:rsidR="00963C52" w:rsidRPr="00411557" w:rsidRDefault="00963C52" w:rsidP="00963C52">
                              <w:pPr>
                                <w:pStyle w:val="NormalWeb"/>
                                <w:spacing w:before="0" w:beforeAutospacing="0" w:after="0" w:afterAutospacing="0"/>
                                <w:jc w:val="center"/>
                                <w:rPr>
                                  <w:sz w:val="18"/>
                                  <w:szCs w:val="16"/>
                                </w:rPr>
                              </w:pPr>
                              <w:r w:rsidRPr="00411557">
                                <w:rPr>
                                  <w:rFonts w:ascii="DejaVu Serif" w:hAnsi="DejaVu Serif"/>
                                  <w:color w:val="000000" w:themeColor="text1"/>
                                  <w:sz w:val="18"/>
                                  <w:szCs w:val="16"/>
                                </w:rPr>
                                <w:t>Armonizzare la legislazione/le procedure degli Stati membri per le armi da fuoco</w:t>
                              </w:r>
                            </w:p>
                          </w:txbxContent>
                        </wps:txbx>
                        <wps:bodyPr rtlCol="0" anchor="ctr"/>
                      </wps:wsp>
                      <wps:wsp>
                        <wps:cNvPr id="13" name="22 Rectángulo redondeado"/>
                        <wps:cNvSpPr/>
                        <wps:spPr>
                          <a:xfrm>
                            <a:off x="4814138" y="1991694"/>
                            <a:ext cx="2150812" cy="1277675"/>
                          </a:xfrm>
                          <a:prstGeom prst="roundRect">
                            <a:avLst/>
                          </a:prstGeom>
                          <a:solidFill>
                            <a:schemeClr val="bg1"/>
                          </a:solidFill>
                          <a:ln w="28575">
                            <a:solidFill>
                              <a:srgbClr val="00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389100" w14:textId="716DB318" w:rsidR="00963C52" w:rsidRPr="00C941AC" w:rsidRDefault="00963C52" w:rsidP="00963C52">
                              <w:pPr>
                                <w:pStyle w:val="NormalWeb"/>
                                <w:spacing w:before="0" w:beforeAutospacing="0" w:after="0" w:afterAutospacing="0"/>
                                <w:jc w:val="center"/>
                                <w:rPr>
                                  <w:sz w:val="16"/>
                                  <w:szCs w:val="16"/>
                                </w:rPr>
                              </w:pPr>
                              <w:r w:rsidRPr="00C941AC">
                                <w:rPr>
                                  <w:rFonts w:ascii="DejaVu Serif" w:hAnsi="DejaVu Serif"/>
                                  <w:color w:val="000000" w:themeColor="text1"/>
                                  <w:sz w:val="16"/>
                                  <w:szCs w:val="16"/>
                                </w:rPr>
                                <w:t>Semplificare maggiormente le procedure per l</w:t>
                              </w:r>
                              <w:r w:rsidR="003D07FD">
                                <w:rPr>
                                  <w:rFonts w:ascii="DejaVu Serif" w:hAnsi="DejaVu Serif"/>
                                  <w:color w:val="000000" w:themeColor="text1"/>
                                  <w:sz w:val="16"/>
                                  <w:szCs w:val="16"/>
                                </w:rPr>
                                <w:t>'</w:t>
                              </w:r>
                              <w:r w:rsidRPr="00C941AC">
                                <w:rPr>
                                  <w:rFonts w:ascii="DejaVu Serif" w:hAnsi="DejaVu Serif"/>
                                  <w:color w:val="000000" w:themeColor="text1"/>
                                  <w:sz w:val="16"/>
                                  <w:szCs w:val="16"/>
                                </w:rPr>
                                <w:t>acquisizione, la detenzione e il trasferimento di armi da fuoco (in particolare per la caccia e il tiro sportivo)</w:t>
                              </w:r>
                            </w:p>
                          </w:txbxContent>
                        </wps:txbx>
                        <wps:bodyPr rtlCol="0" anchor="ctr"/>
                      </wps:wsp>
                      <wps:wsp>
                        <wps:cNvPr id="14" name="23 Rectángulo redondeado"/>
                        <wps:cNvSpPr/>
                        <wps:spPr>
                          <a:xfrm>
                            <a:off x="7268368" y="1980136"/>
                            <a:ext cx="2150812" cy="1280089"/>
                          </a:xfrm>
                          <a:prstGeom prst="roundRect">
                            <a:avLst/>
                          </a:prstGeom>
                          <a:solidFill>
                            <a:schemeClr val="bg1"/>
                          </a:solidFill>
                          <a:ln w="28575">
                            <a:solidFill>
                              <a:srgbClr val="00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F7DE1D" w14:textId="77777777" w:rsidR="00963C52" w:rsidRPr="00411557" w:rsidRDefault="00963C52" w:rsidP="00963C52">
                              <w:pPr>
                                <w:pStyle w:val="NormalWeb"/>
                                <w:spacing w:before="0" w:beforeAutospacing="0" w:after="0" w:afterAutospacing="0"/>
                                <w:jc w:val="center"/>
                                <w:rPr>
                                  <w:sz w:val="18"/>
                                  <w:szCs w:val="16"/>
                                </w:rPr>
                              </w:pPr>
                              <w:r w:rsidRPr="00411557">
                                <w:rPr>
                                  <w:rFonts w:ascii="DejaVu Serif" w:hAnsi="DejaVu Serif"/>
                                  <w:color w:val="000000" w:themeColor="text1"/>
                                  <w:sz w:val="18"/>
                                  <w:szCs w:val="16"/>
                                </w:rPr>
                                <w:t>Prevenire la fabbricazione e il traffico illeciti di armi da fuoco</w:t>
                              </w:r>
                            </w:p>
                          </w:txbxContent>
                        </wps:txbx>
                        <wps:bodyPr rtlCol="0" anchor="ctr"/>
                      </wps:wsp>
                      <wps:wsp>
                        <wps:cNvPr id="15" name="27 Rectángulo redondeado"/>
                        <wps:cNvSpPr/>
                        <wps:spPr>
                          <a:xfrm>
                            <a:off x="9592012" y="1964728"/>
                            <a:ext cx="2150812" cy="1277210"/>
                          </a:xfrm>
                          <a:prstGeom prst="roundRect">
                            <a:avLst/>
                          </a:prstGeom>
                          <a:solidFill>
                            <a:schemeClr val="bg1"/>
                          </a:solidFill>
                          <a:ln w="28575">
                            <a:solidFill>
                              <a:srgbClr val="00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BC7BDC" w14:textId="77777777" w:rsidR="00963C52" w:rsidRPr="00411557" w:rsidRDefault="00963C52" w:rsidP="00963C52">
                              <w:pPr>
                                <w:pStyle w:val="NormalWeb"/>
                                <w:spacing w:before="0" w:beforeAutospacing="0" w:after="0" w:afterAutospacing="0"/>
                                <w:jc w:val="center"/>
                                <w:rPr>
                                  <w:sz w:val="18"/>
                                  <w:szCs w:val="16"/>
                                </w:rPr>
                              </w:pPr>
                              <w:r w:rsidRPr="00411557">
                                <w:rPr>
                                  <w:rFonts w:ascii="DejaVu Serif" w:hAnsi="DejaVu Serif"/>
                                  <w:color w:val="000000" w:themeColor="text1"/>
                                  <w:sz w:val="18"/>
                                  <w:szCs w:val="16"/>
                                </w:rPr>
                                <w:t>Migliorare la tracciabilità delle armi da fuoco</w:t>
                              </w:r>
                            </w:p>
                          </w:txbxContent>
                        </wps:txbx>
                        <wps:bodyPr rtlCol="0" anchor="ctr"/>
                      </wps:wsp>
                      <wps:wsp>
                        <wps:cNvPr id="16" name="12 Forma"/>
                        <wps:cNvCnPr>
                          <a:stCxn id="4294967295" idx="2"/>
                          <a:endCxn id="4294967295" idx="0"/>
                        </wps:cNvCnPr>
                        <wps:spPr>
                          <a:xfrm rot="5400000">
                            <a:off x="3880924" y="1173643"/>
                            <a:ext cx="495286" cy="1102292"/>
                          </a:xfrm>
                          <a:prstGeom prst="bentConnector3">
                            <a:avLst>
                              <a:gd name="adj1" fmla="val 50000"/>
                            </a:avLst>
                          </a:prstGeom>
                          <a:ln w="28575">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12 Forma"/>
                        <wps:cNvCnPr>
                          <a:stCxn id="4294967295" idx="2"/>
                          <a:endCxn id="4294967295" idx="0"/>
                        </wps:cNvCnPr>
                        <wps:spPr>
                          <a:xfrm rot="5400000">
                            <a:off x="8636475" y="1193590"/>
                            <a:ext cx="493846" cy="1079247"/>
                          </a:xfrm>
                          <a:prstGeom prst="bentConnector3">
                            <a:avLst>
                              <a:gd name="adj1" fmla="val 50000"/>
                            </a:avLst>
                          </a:prstGeom>
                          <a:ln w="28575">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12 Forma"/>
                        <wps:cNvCnPr>
                          <a:stCxn id="4294967295" idx="2"/>
                          <a:endCxn id="4294967295" idx="0"/>
                        </wps:cNvCnPr>
                        <wps:spPr>
                          <a:xfrm rot="16200000" flipH="1">
                            <a:off x="5027354" y="1129504"/>
                            <a:ext cx="514548" cy="1209831"/>
                          </a:xfrm>
                          <a:prstGeom prst="bentConnector3">
                            <a:avLst>
                              <a:gd name="adj1" fmla="val 50000"/>
                            </a:avLst>
                          </a:prstGeom>
                          <a:ln w="28575">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9" name="12 Forma"/>
                        <wps:cNvCnPr>
                          <a:stCxn id="4294967295" idx="2"/>
                          <a:endCxn id="4294967295" idx="0"/>
                        </wps:cNvCnPr>
                        <wps:spPr>
                          <a:xfrm rot="16200000" flipH="1">
                            <a:off x="9806000" y="1103310"/>
                            <a:ext cx="478438" cy="1244397"/>
                          </a:xfrm>
                          <a:prstGeom prst="bentConnector3">
                            <a:avLst>
                              <a:gd name="adj1" fmla="val 50000"/>
                            </a:avLst>
                          </a:prstGeom>
                          <a:ln w="28575">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42 Rectángulo redondeado"/>
                        <wps:cNvSpPr/>
                        <wps:spPr>
                          <a:xfrm>
                            <a:off x="2411489" y="3411339"/>
                            <a:ext cx="9528634" cy="3361923"/>
                          </a:xfrm>
                          <a:prstGeom prst="roundRect">
                            <a:avLst/>
                          </a:prstGeom>
                          <a:solidFill>
                            <a:srgbClr val="CCCC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43 Rectángulo"/>
                        <wps:cNvSpPr/>
                        <wps:spPr>
                          <a:xfrm>
                            <a:off x="2655392" y="4569424"/>
                            <a:ext cx="2024319" cy="4102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20EB2D" w14:textId="77777777" w:rsidR="00963C52" w:rsidRPr="00411557" w:rsidRDefault="00963C52" w:rsidP="00963C52">
                              <w:pPr>
                                <w:pStyle w:val="NormalWeb"/>
                                <w:spacing w:before="0" w:beforeAutospacing="0" w:after="0" w:afterAutospacing="0"/>
                                <w:jc w:val="center"/>
                                <w:rPr>
                                  <w:sz w:val="18"/>
                                  <w:szCs w:val="16"/>
                                </w:rPr>
                              </w:pPr>
                              <w:r w:rsidRPr="00411557">
                                <w:rPr>
                                  <w:rFonts w:ascii="DejaVu Serif" w:hAnsi="DejaVu Serif"/>
                                  <w:color w:val="000000" w:themeColor="text1"/>
                                  <w:sz w:val="18"/>
                                  <w:szCs w:val="16"/>
                                </w:rPr>
                                <w:t>Categorie di armi da fuoco</w:t>
                              </w:r>
                            </w:p>
                          </w:txbxContent>
                        </wps:txbx>
                        <wps:bodyPr rtlCol="0" anchor="ctr"/>
                      </wps:wsp>
                      <wps:wsp>
                        <wps:cNvPr id="22" name="47 Rectángulo"/>
                        <wps:cNvSpPr/>
                        <wps:spPr>
                          <a:xfrm>
                            <a:off x="4868393" y="3584143"/>
                            <a:ext cx="2066315" cy="69800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010FD7" w14:textId="77777777" w:rsidR="00963C52" w:rsidRPr="00411557" w:rsidRDefault="00963C52" w:rsidP="00963C52">
                              <w:pPr>
                                <w:pStyle w:val="NormalWeb"/>
                                <w:spacing w:before="0" w:beforeAutospacing="0" w:after="0" w:afterAutospacing="0"/>
                                <w:rPr>
                                  <w:sz w:val="18"/>
                                  <w:szCs w:val="16"/>
                                </w:rPr>
                              </w:pPr>
                              <w:r w:rsidRPr="00411557">
                                <w:rPr>
                                  <w:rFonts w:ascii="DejaVu Serif" w:hAnsi="DejaVu Serif"/>
                                  <w:color w:val="000000" w:themeColor="text1"/>
                                  <w:sz w:val="18"/>
                                  <w:szCs w:val="16"/>
                                </w:rPr>
                                <w:t>Concedere licenze agli armaioli, agli intermediari e ai proprietari privati</w:t>
                              </w:r>
                            </w:p>
                          </w:txbxContent>
                        </wps:txbx>
                        <wps:bodyPr rtlCol="0" anchor="ctr"/>
                      </wps:wsp>
                      <wps:wsp>
                        <wps:cNvPr id="23" name="49 Rectángulo"/>
                        <wps:cNvSpPr/>
                        <wps:spPr>
                          <a:xfrm>
                            <a:off x="7352864" y="3556238"/>
                            <a:ext cx="2184328" cy="3257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0B8F78" w14:textId="77777777" w:rsidR="00963C52" w:rsidRPr="00C941AC" w:rsidRDefault="00963C52" w:rsidP="00963C52">
                              <w:pPr>
                                <w:pStyle w:val="NormalWeb"/>
                                <w:spacing w:before="0" w:beforeAutospacing="0" w:after="0" w:afterAutospacing="0"/>
                                <w:rPr>
                                  <w:sz w:val="16"/>
                                  <w:szCs w:val="16"/>
                                </w:rPr>
                              </w:pPr>
                              <w:r w:rsidRPr="00C941AC">
                                <w:rPr>
                                  <w:rFonts w:ascii="DejaVu Serif" w:hAnsi="DejaVu Serif"/>
                                  <w:color w:val="000000" w:themeColor="text1"/>
                                  <w:sz w:val="16"/>
                                  <w:szCs w:val="16"/>
                                </w:rPr>
                                <w:t>Disattivazione</w:t>
                              </w:r>
                            </w:p>
                          </w:txbxContent>
                        </wps:txbx>
                        <wps:bodyPr rtlCol="0" anchor="ctr"/>
                      </wps:wsp>
                      <wps:wsp>
                        <wps:cNvPr id="24" name="50 Rectángulo"/>
                        <wps:cNvSpPr/>
                        <wps:spPr>
                          <a:xfrm>
                            <a:off x="7358535" y="4786824"/>
                            <a:ext cx="2187801" cy="35442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DB4976" w14:textId="77777777" w:rsidR="00963C52" w:rsidRPr="00C941AC" w:rsidRDefault="00963C52" w:rsidP="00963C52">
                              <w:pPr>
                                <w:pStyle w:val="NormalWeb"/>
                                <w:spacing w:before="0" w:beforeAutospacing="0" w:after="0" w:afterAutospacing="0"/>
                                <w:rPr>
                                  <w:sz w:val="16"/>
                                  <w:szCs w:val="16"/>
                                </w:rPr>
                              </w:pPr>
                              <w:r w:rsidRPr="00C941AC">
                                <w:rPr>
                                  <w:rFonts w:ascii="DejaVu Serif" w:hAnsi="DejaVu Serif"/>
                                  <w:color w:val="000000" w:themeColor="text1"/>
                                  <w:sz w:val="16"/>
                                  <w:szCs w:val="16"/>
                                </w:rPr>
                                <w:t>Armi da saluto e acustiche</w:t>
                              </w:r>
                            </w:p>
                          </w:txbxContent>
                        </wps:txbx>
                        <wps:bodyPr rtlCol="0" anchor="ctr"/>
                      </wps:wsp>
                      <wps:wsp>
                        <wps:cNvPr id="25" name="51 Rectángulo"/>
                        <wps:cNvSpPr/>
                        <wps:spPr>
                          <a:xfrm>
                            <a:off x="9806069" y="3570302"/>
                            <a:ext cx="1963803" cy="55923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6C3476" w14:textId="77777777" w:rsidR="00963C52" w:rsidRPr="00411557" w:rsidRDefault="00963C52" w:rsidP="00963C52">
                              <w:pPr>
                                <w:pStyle w:val="NormalWeb"/>
                                <w:spacing w:before="0" w:beforeAutospacing="0" w:after="0" w:afterAutospacing="0"/>
                                <w:rPr>
                                  <w:sz w:val="18"/>
                                  <w:szCs w:val="16"/>
                                </w:rPr>
                              </w:pPr>
                              <w:r w:rsidRPr="00411557">
                                <w:rPr>
                                  <w:rFonts w:ascii="DejaVu Serif" w:hAnsi="DejaVu Serif"/>
                                  <w:color w:val="000000" w:themeColor="text1"/>
                                  <w:sz w:val="18"/>
                                  <w:szCs w:val="16"/>
                                </w:rPr>
                                <w:t>Marcatura e tracciabilità delle armi da fuoco</w:t>
                              </w:r>
                            </w:p>
                          </w:txbxContent>
                        </wps:txbx>
                        <wps:bodyPr rtlCol="0" anchor="ctr"/>
                      </wps:wsp>
                      <wps:wsp>
                        <wps:cNvPr id="26" name="51 Rectángulo"/>
                        <wps:cNvSpPr/>
                        <wps:spPr>
                          <a:xfrm>
                            <a:off x="7477963" y="3991746"/>
                            <a:ext cx="2059224" cy="7045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AE4E98" w14:textId="77777777" w:rsidR="00963C52" w:rsidRPr="008A0D01" w:rsidRDefault="00963C52" w:rsidP="00963C52">
                              <w:pPr>
                                <w:pStyle w:val="NormalWeb"/>
                                <w:spacing w:before="0" w:beforeAutospacing="0" w:after="0" w:afterAutospacing="0"/>
                                <w:rPr>
                                  <w:sz w:val="14"/>
                                  <w:szCs w:val="14"/>
                                </w:rPr>
                              </w:pPr>
                              <w:r w:rsidRPr="008A0D01">
                                <w:rPr>
                                  <w:rFonts w:ascii="DejaVu Serif" w:hAnsi="DejaVu Serif"/>
                                  <w:i/>
                                  <w:iCs/>
                                  <w:color w:val="000000" w:themeColor="text1"/>
                                  <w:sz w:val="14"/>
                                  <w:szCs w:val="14"/>
                                </w:rPr>
                                <w:t>Regolamento di esecuzione (UE) 2018/337 — orientamenti comuni sulle norme e sulle tecniche di disattivazione</w:t>
                              </w:r>
                            </w:p>
                          </w:txbxContent>
                        </wps:txbx>
                        <wps:bodyPr rtlCol="0" anchor="ctr"/>
                      </wps:wsp>
                      <wps:wsp>
                        <wps:cNvPr id="27" name="51 Rectángulo"/>
                        <wps:cNvSpPr/>
                        <wps:spPr>
                          <a:xfrm>
                            <a:off x="9825045" y="4258045"/>
                            <a:ext cx="2065826" cy="1205561"/>
                          </a:xfrm>
                          <a:prstGeom prst="rect">
                            <a:avLst/>
                          </a:prstGeom>
                          <a:solidFill>
                            <a:schemeClr val="bg1"/>
                          </a:solidFill>
                          <a:ln>
                            <a:solidFill>
                              <a:srgbClr val="CC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55F14F" w14:textId="3CD39D32" w:rsidR="00963C52" w:rsidRPr="00411557" w:rsidRDefault="00963C52" w:rsidP="00963C52">
                              <w:pPr>
                                <w:pStyle w:val="NormalWeb"/>
                                <w:spacing w:before="0" w:beforeAutospacing="0" w:after="0" w:afterAutospacing="0"/>
                                <w:rPr>
                                  <w:sz w:val="18"/>
                                  <w:szCs w:val="14"/>
                                </w:rPr>
                              </w:pPr>
                              <w:r w:rsidRPr="00411557">
                                <w:rPr>
                                  <w:rFonts w:ascii="DejaVu Serif" w:hAnsi="DejaVu Serif"/>
                                  <w:i/>
                                  <w:iCs/>
                                  <w:color w:val="000000" w:themeColor="text1"/>
                                  <w:sz w:val="18"/>
                                  <w:szCs w:val="14"/>
                                </w:rPr>
                                <w:t>Direttiva di esecuzione (UE) 2019/68 — specifiche tecniche per la marcatura delle armi da fuoco e dei loro componenti essenziali</w:t>
                              </w:r>
                            </w:p>
                          </w:txbxContent>
                        </wps:txbx>
                        <wps:bodyPr rtlCol="0" anchor="ctr"/>
                      </wps:wsp>
                      <wps:wsp>
                        <wps:cNvPr id="28" name="47 Rectángulo"/>
                        <wps:cNvSpPr/>
                        <wps:spPr>
                          <a:xfrm>
                            <a:off x="2645439" y="3569939"/>
                            <a:ext cx="2021309" cy="8199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442A6A" w14:textId="77777777" w:rsidR="00963C52" w:rsidRPr="00411557" w:rsidRDefault="00963C52" w:rsidP="00963C52">
                              <w:pPr>
                                <w:pStyle w:val="NormalWeb"/>
                                <w:spacing w:before="0" w:beforeAutospacing="0" w:after="0" w:afterAutospacing="0"/>
                                <w:rPr>
                                  <w:sz w:val="18"/>
                                  <w:szCs w:val="16"/>
                                </w:rPr>
                              </w:pPr>
                              <w:r w:rsidRPr="00411557">
                                <w:rPr>
                                  <w:rFonts w:ascii="DejaVu Serif" w:hAnsi="DejaVu Serif"/>
                                  <w:color w:val="000000" w:themeColor="text1"/>
                                  <w:sz w:val="18"/>
                                  <w:szCs w:val="16"/>
                                </w:rPr>
                                <w:t>Concedere licenze agli armaioli, agli intermediari e ai proprietari privati</w:t>
                              </w:r>
                            </w:p>
                          </w:txbxContent>
                        </wps:txbx>
                        <wps:bodyPr rtlCol="0" anchor="ctr"/>
                      </wps:wsp>
                      <wps:wsp>
                        <wps:cNvPr id="29" name="48 Rectángulo"/>
                        <wps:cNvSpPr/>
                        <wps:spPr>
                          <a:xfrm>
                            <a:off x="2645452" y="5197833"/>
                            <a:ext cx="2050044" cy="688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0DEF2" w14:textId="77777777" w:rsidR="00963C52" w:rsidRPr="00411557" w:rsidRDefault="00963C52" w:rsidP="00963C52">
                              <w:pPr>
                                <w:pStyle w:val="NormalWeb"/>
                                <w:spacing w:before="0" w:beforeAutospacing="0" w:after="0" w:afterAutospacing="0"/>
                                <w:rPr>
                                  <w:sz w:val="18"/>
                                  <w:szCs w:val="16"/>
                                </w:rPr>
                              </w:pPr>
                              <w:r w:rsidRPr="00411557">
                                <w:rPr>
                                  <w:rFonts w:ascii="DejaVu Serif" w:hAnsi="DejaVu Serif"/>
                                  <w:color w:val="000000" w:themeColor="text1"/>
                                  <w:sz w:val="18"/>
                                  <w:szCs w:val="16"/>
                                </w:rPr>
                                <w:t>Archivio computerizzato e scambio di informazioni</w:t>
                              </w:r>
                            </w:p>
                          </w:txbxContent>
                        </wps:txbx>
                        <wps:bodyPr rtlCol="0" anchor="ctr"/>
                      </wps:wsp>
                      <wps:wsp>
                        <wps:cNvPr id="30" name="51 Rectángulo"/>
                        <wps:cNvSpPr/>
                        <wps:spPr>
                          <a:xfrm>
                            <a:off x="0" y="4070558"/>
                            <a:ext cx="2243889" cy="1339724"/>
                          </a:xfrm>
                          <a:prstGeom prst="rect">
                            <a:avLst/>
                          </a:prstGeom>
                          <a:solidFill>
                            <a:schemeClr val="bg1"/>
                          </a:solidFill>
                          <a:ln>
                            <a:solidFill>
                              <a:srgbClr val="CC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BCB0C6" w14:textId="7D38B346" w:rsidR="00963C52" w:rsidRPr="00C941AC" w:rsidRDefault="00963C52" w:rsidP="00963C52">
                              <w:pPr>
                                <w:pStyle w:val="NormalWeb"/>
                                <w:spacing w:before="0" w:beforeAutospacing="0" w:after="0" w:afterAutospacing="0"/>
                                <w:rPr>
                                  <w:sz w:val="18"/>
                                  <w:szCs w:val="18"/>
                                </w:rPr>
                              </w:pPr>
                              <w:r w:rsidRPr="00C941AC">
                                <w:rPr>
                                  <w:rFonts w:ascii="DejaVu Serif" w:hAnsi="DejaVu Serif"/>
                                  <w:i/>
                                  <w:iCs/>
                                  <w:color w:val="000000" w:themeColor="text1"/>
                                  <w:sz w:val="18"/>
                                  <w:szCs w:val="18"/>
                                </w:rPr>
                                <w:t>Regolamento delegato (UE) 2019/686 — scambio sistematico con mezzi elettronici di informazioni relative al trasferimento di armi da fuoco nell</w:t>
                              </w:r>
                              <w:r w:rsidR="003D07FD">
                                <w:rPr>
                                  <w:rFonts w:ascii="DejaVu Serif" w:hAnsi="DejaVu Serif"/>
                                  <w:i/>
                                  <w:iCs/>
                                  <w:color w:val="000000" w:themeColor="text1"/>
                                  <w:sz w:val="18"/>
                                  <w:szCs w:val="18"/>
                                </w:rPr>
                                <w:t>'</w:t>
                              </w:r>
                              <w:r w:rsidRPr="00C941AC">
                                <w:rPr>
                                  <w:rFonts w:ascii="DejaVu Serif" w:hAnsi="DejaVu Serif"/>
                                  <w:i/>
                                  <w:iCs/>
                                  <w:color w:val="000000" w:themeColor="text1"/>
                                  <w:sz w:val="18"/>
                                  <w:szCs w:val="18"/>
                                </w:rPr>
                                <w:t>Unione</w:t>
                              </w:r>
                            </w:p>
                          </w:txbxContent>
                        </wps:txbx>
                        <wps:bodyPr rtlCol="0" anchor="ctr"/>
                      </wps:wsp>
                      <wps:wsp>
                        <wps:cNvPr id="31" name="51 Rectángulo"/>
                        <wps:cNvSpPr/>
                        <wps:spPr>
                          <a:xfrm>
                            <a:off x="9144" y="5463049"/>
                            <a:ext cx="2221992" cy="1537417"/>
                          </a:xfrm>
                          <a:prstGeom prst="rect">
                            <a:avLst/>
                          </a:prstGeom>
                          <a:solidFill>
                            <a:schemeClr val="bg1"/>
                          </a:solidFill>
                          <a:ln>
                            <a:solidFill>
                              <a:srgbClr val="CC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398CA9" w14:textId="27324BD8" w:rsidR="00963C52" w:rsidRPr="00C941AC" w:rsidRDefault="00963C52" w:rsidP="00963C52">
                              <w:pPr>
                                <w:pStyle w:val="NormalWeb"/>
                                <w:spacing w:before="0" w:beforeAutospacing="0" w:after="0" w:afterAutospacing="0"/>
                                <w:jc w:val="both"/>
                                <w:rPr>
                                  <w:sz w:val="18"/>
                                  <w:szCs w:val="18"/>
                                </w:rPr>
                              </w:pPr>
                              <w:r w:rsidRPr="00C941AC">
                                <w:rPr>
                                  <w:rFonts w:ascii="DejaVu Serif" w:hAnsi="DejaVu Serif"/>
                                  <w:i/>
                                  <w:iCs/>
                                  <w:color w:val="000000" w:themeColor="text1"/>
                                  <w:sz w:val="18"/>
                                  <w:szCs w:val="18"/>
                                </w:rPr>
                                <w:t>Regolamento delegato (UE) 2021/1423 — scambio sistematico con mezzi elettronici di informazioni relative al rifiuto di concedere l</w:t>
                              </w:r>
                              <w:r w:rsidR="003D07FD">
                                <w:rPr>
                                  <w:rFonts w:ascii="DejaVu Serif" w:hAnsi="DejaVu Serif"/>
                                  <w:i/>
                                  <w:iCs/>
                                  <w:color w:val="000000" w:themeColor="text1"/>
                                  <w:sz w:val="18"/>
                                  <w:szCs w:val="18"/>
                                </w:rPr>
                                <w:t>'</w:t>
                              </w:r>
                              <w:r w:rsidRPr="00C941AC">
                                <w:rPr>
                                  <w:rFonts w:ascii="DejaVu Serif" w:hAnsi="DejaVu Serif"/>
                                  <w:i/>
                                  <w:iCs/>
                                  <w:color w:val="000000" w:themeColor="text1"/>
                                  <w:sz w:val="18"/>
                                  <w:szCs w:val="18"/>
                                </w:rPr>
                                <w:t>autorizzazione ad acquisire o detenere talune armi da fuoco</w:t>
                              </w:r>
                            </w:p>
                          </w:txbxContent>
                        </wps:txbx>
                        <wps:bodyPr rtlCol="0" anchor="ctr"/>
                      </wps:wsp>
                      <wps:wsp>
                        <wps:cNvPr id="32" name="50 Rectángulo"/>
                        <wps:cNvSpPr/>
                        <wps:spPr>
                          <a:xfrm>
                            <a:off x="7358535" y="5234210"/>
                            <a:ext cx="2187801" cy="35442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3404C8" w14:textId="0953CCAF" w:rsidR="00963C52" w:rsidRPr="00C941AC" w:rsidRDefault="001071D6" w:rsidP="00963C52">
                              <w:pPr>
                                <w:pStyle w:val="NormalWeb"/>
                                <w:spacing w:before="0" w:beforeAutospacing="0" w:after="0" w:afterAutospacing="0"/>
                                <w:rPr>
                                  <w:sz w:val="16"/>
                                  <w:szCs w:val="16"/>
                                </w:rPr>
                              </w:pPr>
                              <w:r w:rsidRPr="00C941AC">
                                <w:rPr>
                                  <w:rFonts w:ascii="DejaVu Serif" w:hAnsi="DejaVu Serif"/>
                                  <w:color w:val="000000" w:themeColor="text1"/>
                                  <w:sz w:val="16"/>
                                  <w:szCs w:val="16"/>
                                </w:rPr>
                                <w:t>Armi d</w:t>
                              </w:r>
                              <w:r w:rsidR="003D07FD">
                                <w:rPr>
                                  <w:rFonts w:ascii="DejaVu Serif" w:hAnsi="DejaVu Serif"/>
                                  <w:color w:val="000000" w:themeColor="text1"/>
                                  <w:sz w:val="16"/>
                                  <w:szCs w:val="16"/>
                                </w:rPr>
                                <w:t>'</w:t>
                              </w:r>
                              <w:r w:rsidRPr="00C941AC">
                                <w:rPr>
                                  <w:rFonts w:ascii="DejaVu Serif" w:hAnsi="DejaVu Serif"/>
                                  <w:color w:val="000000" w:themeColor="text1"/>
                                  <w:sz w:val="16"/>
                                  <w:szCs w:val="16"/>
                                </w:rPr>
                                <w:t>allarme o da segnalazione</w:t>
                              </w:r>
                            </w:p>
                          </w:txbxContent>
                        </wps:txbx>
                        <wps:bodyPr rtlCol="0" anchor="ctr"/>
                      </wps:wsp>
                      <wps:wsp>
                        <wps:cNvPr id="33" name="51 Rectángulo"/>
                        <wps:cNvSpPr/>
                        <wps:spPr>
                          <a:xfrm>
                            <a:off x="7358501" y="5679916"/>
                            <a:ext cx="2233498" cy="92304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0FA307" w14:textId="26E165B4" w:rsidR="00963C52" w:rsidRPr="00411557" w:rsidRDefault="00FC0B72" w:rsidP="00963C52">
                              <w:pPr>
                                <w:pStyle w:val="NormalWeb"/>
                                <w:spacing w:before="0" w:beforeAutospacing="0" w:after="0" w:afterAutospacing="0"/>
                                <w:rPr>
                                  <w:sz w:val="18"/>
                                  <w:szCs w:val="14"/>
                                </w:rPr>
                              </w:pPr>
                              <w:r w:rsidRPr="00411557">
                                <w:rPr>
                                  <w:rFonts w:ascii="DejaVu Serif" w:hAnsi="DejaVu Serif"/>
                                  <w:i/>
                                  <w:iCs/>
                                  <w:color w:val="000000" w:themeColor="text1"/>
                                  <w:sz w:val="18"/>
                                  <w:szCs w:val="14"/>
                                </w:rPr>
                                <w:t>Direttiva di esecuzione (UE) 2019/69 — specifiche tecniche relative alle armi d</w:t>
                              </w:r>
                              <w:r w:rsidR="003D07FD">
                                <w:rPr>
                                  <w:rFonts w:ascii="DejaVu Serif" w:hAnsi="DejaVu Serif"/>
                                  <w:i/>
                                  <w:iCs/>
                                  <w:color w:val="000000" w:themeColor="text1"/>
                                  <w:sz w:val="18"/>
                                  <w:szCs w:val="14"/>
                                </w:rPr>
                                <w:t>'</w:t>
                              </w:r>
                              <w:r w:rsidRPr="00411557">
                                <w:rPr>
                                  <w:rFonts w:ascii="DejaVu Serif" w:hAnsi="DejaVu Serif"/>
                                  <w:i/>
                                  <w:iCs/>
                                  <w:color w:val="000000" w:themeColor="text1"/>
                                  <w:sz w:val="18"/>
                                  <w:szCs w:val="14"/>
                                </w:rPr>
                                <w:t>allarme o da segnalazione</w:t>
                              </w:r>
                            </w:p>
                          </w:txbxContent>
                        </wps:txbx>
                        <wps:bodyPr rtlCol="0" anchor="ctr"/>
                      </wps:wsp>
                      <wps:wsp>
                        <wps:cNvPr id="34" name="48 Rectángulo"/>
                        <wps:cNvSpPr/>
                        <wps:spPr>
                          <a:xfrm>
                            <a:off x="4852723" y="5171567"/>
                            <a:ext cx="2066317" cy="55512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3E6B95" w14:textId="77777777" w:rsidR="00963C52" w:rsidRPr="00411557" w:rsidRDefault="00963C52" w:rsidP="00963C52">
                              <w:pPr>
                                <w:pStyle w:val="NormalWeb"/>
                                <w:spacing w:before="0" w:beforeAutospacing="0" w:after="0" w:afterAutospacing="0"/>
                                <w:rPr>
                                  <w:sz w:val="18"/>
                                  <w:szCs w:val="16"/>
                                </w:rPr>
                              </w:pPr>
                              <w:r w:rsidRPr="00411557">
                                <w:rPr>
                                  <w:rFonts w:ascii="DejaVu Serif" w:hAnsi="DejaVu Serif"/>
                                  <w:color w:val="000000" w:themeColor="text1"/>
                                  <w:sz w:val="18"/>
                                  <w:szCs w:val="16"/>
                                </w:rPr>
                                <w:t>Archivio computerizzato e scambio di informazioni</w:t>
                              </w:r>
                            </w:p>
                          </w:txbxContent>
                        </wps:txbx>
                        <wps:bodyPr rtlCol="0" anchor="ctr"/>
                      </wps:wsp>
                      <wps:wsp>
                        <wps:cNvPr id="35" name="43 Rectángulo"/>
                        <wps:cNvSpPr/>
                        <wps:spPr>
                          <a:xfrm>
                            <a:off x="4850130" y="4496410"/>
                            <a:ext cx="2068908" cy="36156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04281E" w14:textId="77777777" w:rsidR="00963C52" w:rsidRPr="00411557" w:rsidRDefault="00963C52" w:rsidP="00963C52">
                              <w:pPr>
                                <w:pStyle w:val="NormalWeb"/>
                                <w:spacing w:before="0" w:beforeAutospacing="0" w:after="0" w:afterAutospacing="0"/>
                                <w:jc w:val="center"/>
                                <w:rPr>
                                  <w:sz w:val="18"/>
                                  <w:szCs w:val="16"/>
                                </w:rPr>
                              </w:pPr>
                              <w:r w:rsidRPr="00411557">
                                <w:rPr>
                                  <w:rFonts w:ascii="DejaVu Serif" w:hAnsi="DejaVu Serif"/>
                                  <w:color w:val="000000" w:themeColor="text1"/>
                                  <w:sz w:val="18"/>
                                  <w:szCs w:val="16"/>
                                </w:rPr>
                                <w:t>Categorie di armi da fuoco</w:t>
                              </w:r>
                            </w:p>
                          </w:txbxContent>
                        </wps:txbx>
                        <wps:bodyPr rtlCol="0" anchor="ctr"/>
                      </wps:wsp>
                      <wps:wsp>
                        <wps:cNvPr id="36" name="44 Rectángulo"/>
                        <wps:cNvSpPr/>
                        <wps:spPr>
                          <a:xfrm>
                            <a:off x="4868381" y="5987831"/>
                            <a:ext cx="2043270" cy="61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4324FA" w14:textId="27A2C890" w:rsidR="00963C52" w:rsidRPr="00411557" w:rsidRDefault="00FC0B72" w:rsidP="00963C52">
                              <w:pPr>
                                <w:pStyle w:val="NormalWeb"/>
                                <w:spacing w:before="0" w:beforeAutospacing="0" w:after="0" w:afterAutospacing="0"/>
                                <w:rPr>
                                  <w:sz w:val="18"/>
                                  <w:szCs w:val="16"/>
                                </w:rPr>
                              </w:pPr>
                              <w:r w:rsidRPr="00411557">
                                <w:rPr>
                                  <w:rFonts w:ascii="DejaVu Serif" w:hAnsi="DejaVu Serif"/>
                                  <w:color w:val="000000" w:themeColor="text1"/>
                                  <w:sz w:val="18"/>
                                  <w:szCs w:val="16"/>
                                </w:rPr>
                                <w:t>Carta europea d</w:t>
                              </w:r>
                              <w:r w:rsidR="003D07FD">
                                <w:rPr>
                                  <w:rFonts w:ascii="DejaVu Serif" w:hAnsi="DejaVu Serif"/>
                                  <w:color w:val="000000" w:themeColor="text1"/>
                                  <w:sz w:val="18"/>
                                  <w:szCs w:val="16"/>
                                </w:rPr>
                                <w:t>'</w:t>
                              </w:r>
                              <w:r w:rsidRPr="00411557">
                                <w:rPr>
                                  <w:rFonts w:ascii="DejaVu Serif" w:hAnsi="DejaVu Serif"/>
                                  <w:color w:val="000000" w:themeColor="text1"/>
                                  <w:sz w:val="18"/>
                                  <w:szCs w:val="16"/>
                                </w:rPr>
                                <w:t>arma da fuoco</w:t>
                              </w:r>
                            </w:p>
                          </w:txbxContent>
                        </wps:txbx>
                        <wps:bodyPr rtlCol="0" anchor="ctr"/>
                      </wps:wsp>
                      <wps:wsp>
                        <wps:cNvPr id="37" name="48 Rectángulo"/>
                        <wps:cNvSpPr/>
                        <wps:spPr>
                          <a:xfrm>
                            <a:off x="9850258" y="5835218"/>
                            <a:ext cx="1962043" cy="64878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9DB646" w14:textId="77777777" w:rsidR="00963C52" w:rsidRPr="00411557" w:rsidRDefault="00963C52" w:rsidP="00963C52">
                              <w:pPr>
                                <w:pStyle w:val="NormalWeb"/>
                                <w:spacing w:before="0" w:beforeAutospacing="0" w:after="0" w:afterAutospacing="0"/>
                                <w:rPr>
                                  <w:sz w:val="18"/>
                                  <w:szCs w:val="16"/>
                                </w:rPr>
                              </w:pPr>
                              <w:r w:rsidRPr="00411557">
                                <w:rPr>
                                  <w:rFonts w:ascii="DejaVu Serif" w:hAnsi="DejaVu Serif"/>
                                  <w:color w:val="000000" w:themeColor="text1"/>
                                  <w:sz w:val="18"/>
                                  <w:szCs w:val="16"/>
                                </w:rPr>
                                <w:t>Archivio computerizzato e scambio di informazioni</w:t>
                              </w:r>
                            </w:p>
                          </w:txbxContent>
                        </wps:txbx>
                        <wps:bodyPr rtlCol="0" anchor="ctr"/>
                      </wps:wsp>
                      <wps:wsp>
                        <wps:cNvPr id="38" name="Elbow Connector 38"/>
                        <wps:cNvCnPr>
                          <a:stCxn id="4294967295" idx="1"/>
                          <a:endCxn id="4294967295" idx="3"/>
                        </wps:cNvCnPr>
                        <wps:spPr>
                          <a:xfrm rot="10800000">
                            <a:off x="2243890" y="5185039"/>
                            <a:ext cx="372831" cy="278565"/>
                          </a:xfrm>
                          <a:prstGeom prst="bentConnector3">
                            <a:avLst>
                              <a:gd name="adj1" fmla="val 50000"/>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9" name="Elbow Connector 39"/>
                        <wps:cNvCnPr>
                          <a:stCxn id="4294967295" idx="1"/>
                          <a:endCxn id="4294967295" idx="3"/>
                        </wps:cNvCnPr>
                        <wps:spPr>
                          <a:xfrm rot="10800000" flipV="1">
                            <a:off x="2231136" y="5463603"/>
                            <a:ext cx="385584" cy="567256"/>
                          </a:xfrm>
                          <a:prstGeom prst="bentConnector3">
                            <a:avLst>
                              <a:gd name="adj1" fmla="val 50000"/>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0" name="Elbow Connector 40"/>
                        <wps:cNvCnPr>
                          <a:stCxn id="4294967295" idx="1"/>
                          <a:endCxn id="4294967295" idx="1"/>
                        </wps:cNvCnPr>
                        <wps:spPr>
                          <a:xfrm rot="10800000" flipH="1" flipV="1">
                            <a:off x="7352864" y="3719127"/>
                            <a:ext cx="125104" cy="624895"/>
                          </a:xfrm>
                          <a:prstGeom prst="bentConnector3">
                            <a:avLst>
                              <a:gd name="adj1" fmla="val -182728"/>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1" name="Elbow Connector 41"/>
                        <wps:cNvCnPr>
                          <a:endCxn id="33" idx="1"/>
                        </wps:cNvCnPr>
                        <wps:spPr>
                          <a:xfrm rot="5400000">
                            <a:off x="6993542" y="5775825"/>
                            <a:ext cx="729944" cy="33"/>
                          </a:xfrm>
                          <a:prstGeom prst="bentConnector4">
                            <a:avLst>
                              <a:gd name="adj1" fmla="val 2482"/>
                              <a:gd name="adj2" fmla="val 914500000"/>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873D7CD" id="130 Grupo" o:spid="_x0000_s1026" style="width:702.65pt;height:389.9pt;mso-position-horizontal-relative:char;mso-position-vertical-relative:line" coordsize="119401,70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">
                <v:shapetype id="_x0000_t202" coordsize="21600,21600" o:spt="202" path="m,l,21600r21600,l21600,xe">
                  <v:stroke joinstyle="miter"/>
                  <v:path gradientshapeok="t" o:connecttype="rect"/>
                </v:shapetype>
                <v:shape id="4 CuadroTexto" o:spid="_x0000_s1027" type="#_x0000_t202" style="position:absolute;left:3808;top:360;width:17741;height:7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9BB964B" w14:textId="77777777" w:rsidR="00963C52" w:rsidRDefault="00963C52" w:rsidP="00963C52">
                        <w:pPr>
                          <w:pStyle w:val="NormalWeb"/>
                          <w:spacing w:before="0" w:beforeAutospacing="0" w:after="0" w:afterAutospacing="0"/>
                        </w:pPr>
                        <w:r>
                          <w:rPr>
                            <w:rFonts w:ascii="DejaVu Serif" w:hAnsi="DejaVu Serif"/>
                            <w:b/>
                            <w:bCs/>
                            <w:color w:val="1F4E79" w:themeColor="accent1" w:themeShade="80"/>
                          </w:rPr>
                          <w:t>OBIETTIVO STRATEGICO</w:t>
                        </w:r>
                      </w:p>
                    </w:txbxContent>
                  </v:textbox>
                </v:shape>
                <v:shape id="5 CuadroTexto" o:spid="_x0000_s1028" type="#_x0000_t202" style="position:absolute;left:4047;top:10453;width:17748;height:8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1B18521" w14:textId="77777777" w:rsidR="00963C52" w:rsidRDefault="00963C52" w:rsidP="00963C52">
                        <w:pPr>
                          <w:pStyle w:val="NormalWeb"/>
                          <w:spacing w:before="0" w:beforeAutospacing="0" w:after="0" w:afterAutospacing="0"/>
                        </w:pPr>
                        <w:r>
                          <w:rPr>
                            <w:rFonts w:ascii="DejaVu Serif" w:hAnsi="DejaVu Serif"/>
                            <w:b/>
                            <w:bCs/>
                            <w:color w:val="2E74B5" w:themeColor="accent1" w:themeShade="BF"/>
                          </w:rPr>
                          <w:t>OBIETTIVI SPECIFICI</w:t>
                        </w:r>
                      </w:p>
                    </w:txbxContent>
                  </v:textbox>
                </v:shape>
                <v:shape id="6 CuadroTexto" o:spid="_x0000_s1029" type="#_x0000_t202" style="position:absolute;left:3451;top:24416;width:20663;height:8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568AAE3" w14:textId="77777777" w:rsidR="00963C52" w:rsidRDefault="00963C52" w:rsidP="00963C52">
                        <w:pPr>
                          <w:pStyle w:val="NormalWeb"/>
                          <w:spacing w:before="0" w:beforeAutospacing="0" w:after="0" w:afterAutospacing="0"/>
                        </w:pPr>
                        <w:r>
                          <w:rPr>
                            <w:rFonts w:ascii="DejaVu Serif" w:hAnsi="DejaVu Serif"/>
                            <w:b/>
                            <w:bCs/>
                            <w:color w:val="00B0F0"/>
                          </w:rPr>
                          <w:t>OBIETTIVI OPERATIVI</w:t>
                        </w:r>
                      </w:p>
                    </w:txbxContent>
                  </v:textbox>
                </v:shape>
                <v:shape id="7 CuadroTexto" o:spid="_x0000_s1030" type="#_x0000_t202" style="position:absolute;left:4842;top:32601;width:17742;height:8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1CA1120" w14:textId="77777777" w:rsidR="00963C52" w:rsidRDefault="00963C52" w:rsidP="00963C52">
                        <w:pPr>
                          <w:pStyle w:val="NormalWeb"/>
                          <w:spacing w:before="0" w:beforeAutospacing="0" w:after="0" w:afterAutospacing="0"/>
                        </w:pPr>
                        <w:r>
                          <w:rPr>
                            <w:rFonts w:ascii="DejaVu Serif" w:hAnsi="DejaVu Serif"/>
                            <w:b/>
                            <w:bCs/>
                            <w:i/>
                            <w:iCs/>
                            <w:color w:val="000000" w:themeColor="text1"/>
                            <w:sz w:val="32"/>
                            <w:szCs w:val="32"/>
                          </w:rPr>
                          <w:t>Disposizioni della direttiva</w:t>
                        </w:r>
                      </w:p>
                    </w:txbxContent>
                  </v:textbox>
                </v:shape>
                <v:roundrect id="8 Rectángulo redondeado" o:spid="_x0000_s1031" style="position:absolute;left:24114;width:95287;height:42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" fillcolor="#1f3763 [1608]" strokecolor="#1f4d78 [1604]" strokeweight="1pt">
                  <v:stroke joinstyle="miter"/>
                  <v:textbox>
                    <w:txbxContent>
                      <w:p w14:paraId="13C9D5F3" w14:textId="77777777" w:rsidR="00963C52" w:rsidRDefault="00963C52" w:rsidP="00963C52">
                        <w:pPr>
                          <w:pStyle w:val="NormalWeb"/>
                          <w:spacing w:before="0" w:beforeAutospacing="0" w:after="0" w:afterAutospacing="0"/>
                          <w:jc w:val="center"/>
                        </w:pPr>
                        <w:r>
                          <w:rPr>
                            <w:rFonts w:ascii="DejaVu Serif" w:hAnsi="DejaVu Serif"/>
                            <w:color w:val="FFFFFF" w:themeColor="light1"/>
                          </w:rPr>
                          <w:t>Buon funzionamento del mercato interno</w:t>
                        </w:r>
                      </w:p>
                    </w:txbxContent>
                  </v:textbox>
                </v:roundrect>
                <v:roundrect id="9 Rectángulo redondeado" o:spid="_x0000_s1032" style="position:absolute;left:24819;top:9815;width:44824;height:46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" fillcolor="#2e74b5 [2404]" strokecolor="#1f4d78 [1604]" strokeweight="1pt">
                  <v:stroke joinstyle="miter"/>
                  <v:textbox>
                    <w:txbxContent>
                      <w:p w14:paraId="3E10F7E3" w14:textId="77777777" w:rsidR="00963C52" w:rsidRPr="00C941AC" w:rsidRDefault="00963C52" w:rsidP="00963C52">
                        <w:pPr>
                          <w:pStyle w:val="NormalWeb"/>
                          <w:spacing w:before="0" w:beforeAutospacing="0" w:after="0" w:afterAutospacing="0"/>
                          <w:jc w:val="center"/>
                          <w:rPr>
                            <w:sz w:val="18"/>
                            <w:szCs w:val="18"/>
                          </w:rPr>
                        </w:pPr>
                        <w:r w:rsidRPr="00C941AC">
                          <w:rPr>
                            <w:rFonts w:ascii="DejaVu Serif" w:hAnsi="DejaVu Serif"/>
                            <w:color w:val="FFFFFF" w:themeColor="light1"/>
                            <w:sz w:val="18"/>
                            <w:szCs w:val="18"/>
                          </w:rPr>
                          <w:t>Consentire la circolazione transfrontaliera delle armi da fuoco</w:t>
                        </w:r>
                      </w:p>
                    </w:txbxContent>
                  </v:textbox>
                </v:roundrect>
                <v:roundrect id="10 Rectángulo redondeado" o:spid="_x0000_s1033" style="position:absolute;left:74028;top:10160;width:41222;height:61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" fillcolor="#2e74b5 [2404]" strokecolor="#1f4d78 [1604]" strokeweight="1pt">
                  <v:stroke joinstyle="miter"/>
                  <v:textbox>
                    <w:txbxContent>
                      <w:p w14:paraId="7B5B5005" w14:textId="77777777" w:rsidR="00963C52" w:rsidRPr="00C941AC" w:rsidRDefault="00963C52" w:rsidP="00963C52">
                        <w:pPr>
                          <w:pStyle w:val="NormalWeb"/>
                          <w:spacing w:before="0" w:beforeAutospacing="0" w:after="0" w:afterAutospacing="0"/>
                          <w:jc w:val="center"/>
                          <w:rPr>
                            <w:sz w:val="18"/>
                            <w:szCs w:val="18"/>
                          </w:rPr>
                        </w:pPr>
                        <w:r w:rsidRPr="00C941AC">
                          <w:rPr>
                            <w:rFonts w:ascii="DejaVu Serif" w:hAnsi="DejaVu Serif"/>
                            <w:color w:val="FFFFFF" w:themeColor="light1"/>
                            <w:sz w:val="18"/>
                            <w:szCs w:val="18"/>
                          </w:rPr>
                          <w:t>Mantenere un livello elevato di sicurezza e protezione dagli atti criminali e dal traffico illecito</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2 Forma" o:spid="_x0000_s1034" type="#_x0000_t34" style="position:absolute;left:56504;top:-5431;width:5547;height:2496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" strokecolor="#a5a5a5 [2092]" strokeweight="2.25pt">
                  <v:stroke endarrow="open"/>
                </v:shape>
                <v:shape id="12 Forma" o:spid="_x0000_s1035" type="#_x0000_t34" style="position:absolute;left:80047;top:-4013;width:5894;height:2247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" strokecolor="#a5a5a5 [2092]" strokeweight="2.25pt">
                  <v:stroke endarrow="open"/>
                </v:shape>
                <v:roundrect id="20 Rectángulo redondeado" o:spid="_x0000_s1036" style="position:absolute;left:25020;top:19724;width:21508;height:128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" fillcolor="white [3212]" strokecolor="#0cf" strokeweight="2.25pt">
                  <v:stroke joinstyle="miter"/>
                  <v:textbox>
                    <w:txbxContent>
                      <w:p w14:paraId="6F621525" w14:textId="77777777" w:rsidR="00963C52" w:rsidRPr="00411557" w:rsidRDefault="00963C52" w:rsidP="00963C52">
                        <w:pPr>
                          <w:pStyle w:val="NormalWeb"/>
                          <w:spacing w:before="0" w:beforeAutospacing="0" w:after="0" w:afterAutospacing="0"/>
                          <w:jc w:val="center"/>
                          <w:rPr>
                            <w:sz w:val="18"/>
                            <w:szCs w:val="16"/>
                          </w:rPr>
                        </w:pPr>
                        <w:r w:rsidRPr="00411557">
                          <w:rPr>
                            <w:rFonts w:ascii="DejaVu Serif" w:hAnsi="DejaVu Serif"/>
                            <w:color w:val="000000" w:themeColor="text1"/>
                            <w:sz w:val="18"/>
                            <w:szCs w:val="16"/>
                          </w:rPr>
                          <w:t>Armonizzare la legislazione/le procedure degli Stati membri per le armi da fuoco</w:t>
                        </w:r>
                      </w:p>
                    </w:txbxContent>
                  </v:textbox>
                </v:roundrect>
                <v:roundrect id="22 Rectángulo redondeado" o:spid="_x0000_s1037" style="position:absolute;left:48141;top:19916;width:21508;height:127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" fillcolor="white [3212]" strokecolor="#0cf" strokeweight="2.25pt">
                  <v:stroke joinstyle="miter"/>
                  <v:textbox>
                    <w:txbxContent>
                      <w:p w14:paraId="39389100" w14:textId="716DB318" w:rsidR="00963C52" w:rsidRPr="00C941AC" w:rsidRDefault="00963C52" w:rsidP="00963C52">
                        <w:pPr>
                          <w:pStyle w:val="NormalWeb"/>
                          <w:spacing w:before="0" w:beforeAutospacing="0" w:after="0" w:afterAutospacing="0"/>
                          <w:jc w:val="center"/>
                          <w:rPr>
                            <w:sz w:val="16"/>
                            <w:szCs w:val="16"/>
                          </w:rPr>
                        </w:pPr>
                        <w:r w:rsidRPr="00C941AC">
                          <w:rPr>
                            <w:rFonts w:ascii="DejaVu Serif" w:hAnsi="DejaVu Serif"/>
                            <w:color w:val="000000" w:themeColor="text1"/>
                            <w:sz w:val="16"/>
                            <w:szCs w:val="16"/>
                          </w:rPr>
                          <w:t>Semplificare maggiormente le procedure per l</w:t>
                        </w:r>
                        <w:r w:rsidR="003D07FD">
                          <w:rPr>
                            <w:rFonts w:ascii="DejaVu Serif" w:hAnsi="DejaVu Serif"/>
                            <w:color w:val="000000" w:themeColor="text1"/>
                            <w:sz w:val="16"/>
                            <w:szCs w:val="16"/>
                          </w:rPr>
                          <w:t>'</w:t>
                        </w:r>
                        <w:r w:rsidRPr="00C941AC">
                          <w:rPr>
                            <w:rFonts w:ascii="DejaVu Serif" w:hAnsi="DejaVu Serif"/>
                            <w:color w:val="000000" w:themeColor="text1"/>
                            <w:sz w:val="16"/>
                            <w:szCs w:val="16"/>
                          </w:rPr>
                          <w:t>acquisizione, la detenzione e il trasferimento di armi da fuoco (in particolare per la caccia e il tiro sportivo)</w:t>
                        </w:r>
                      </w:p>
                    </w:txbxContent>
                  </v:textbox>
                </v:roundrect>
                <v:roundrect id="23 Rectángulo redondeado" o:spid="_x0000_s1038" style="position:absolute;left:72683;top:19801;width:21508;height:12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" fillcolor="white [3212]" strokecolor="#0cf" strokeweight="2.25pt">
                  <v:stroke joinstyle="miter"/>
                  <v:textbox>
                    <w:txbxContent>
                      <w:p w14:paraId="35F7DE1D" w14:textId="77777777" w:rsidR="00963C52" w:rsidRPr="00411557" w:rsidRDefault="00963C52" w:rsidP="00963C52">
                        <w:pPr>
                          <w:pStyle w:val="NormalWeb"/>
                          <w:spacing w:before="0" w:beforeAutospacing="0" w:after="0" w:afterAutospacing="0"/>
                          <w:jc w:val="center"/>
                          <w:rPr>
                            <w:sz w:val="18"/>
                            <w:szCs w:val="16"/>
                          </w:rPr>
                        </w:pPr>
                        <w:r w:rsidRPr="00411557">
                          <w:rPr>
                            <w:rFonts w:ascii="DejaVu Serif" w:hAnsi="DejaVu Serif"/>
                            <w:color w:val="000000" w:themeColor="text1"/>
                            <w:sz w:val="18"/>
                            <w:szCs w:val="16"/>
                          </w:rPr>
                          <w:t>Prevenire la fabbricazione e il traffico illeciti di armi da fuoco</w:t>
                        </w:r>
                      </w:p>
                    </w:txbxContent>
                  </v:textbox>
                </v:roundrect>
                <v:roundrect id="27 Rectángulo redondeado" o:spid="_x0000_s1039" style="position:absolute;left:95920;top:19647;width:21508;height:127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" fillcolor="white [3212]" strokecolor="#0cf" strokeweight="2.25pt">
                  <v:stroke joinstyle="miter"/>
                  <v:textbox>
                    <w:txbxContent>
                      <w:p w14:paraId="7FBC7BDC" w14:textId="77777777" w:rsidR="00963C52" w:rsidRPr="00411557" w:rsidRDefault="00963C52" w:rsidP="00963C52">
                        <w:pPr>
                          <w:pStyle w:val="NormalWeb"/>
                          <w:spacing w:before="0" w:beforeAutospacing="0" w:after="0" w:afterAutospacing="0"/>
                          <w:jc w:val="center"/>
                          <w:rPr>
                            <w:sz w:val="18"/>
                            <w:szCs w:val="16"/>
                          </w:rPr>
                        </w:pPr>
                        <w:r w:rsidRPr="00411557">
                          <w:rPr>
                            <w:rFonts w:ascii="DejaVu Serif" w:hAnsi="DejaVu Serif"/>
                            <w:color w:val="000000" w:themeColor="text1"/>
                            <w:sz w:val="18"/>
                            <w:szCs w:val="16"/>
                          </w:rPr>
                          <w:t>Migliorare la tracciabilità delle armi da fuoco</w:t>
                        </w:r>
                      </w:p>
                    </w:txbxContent>
                  </v:textbox>
                </v:roundrect>
                <v:shape id="12 Forma" o:spid="_x0000_s1040" type="#_x0000_t34" style="position:absolute;left:38809;top:11736;width:4953;height:1102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" strokecolor="#a5a5a5 [2092]" strokeweight="2.25pt">
                  <v:stroke endarrow="open"/>
                </v:shape>
                <v:shape id="12 Forma" o:spid="_x0000_s1041" type="#_x0000_t34" style="position:absolute;left:86364;top:11935;width:4939;height:1079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" strokecolor="#a5a5a5 [2092]" strokeweight="2.25pt">
                  <v:stroke endarrow="open"/>
                </v:shape>
                <v:shape id="12 Forma" o:spid="_x0000_s1042" type="#_x0000_t34" style="position:absolute;left:50273;top:11295;width:5145;height:1209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" strokecolor="#a5a5a5 [2092]" strokeweight="2.25pt">
                  <v:stroke endarrow="open"/>
                </v:shape>
                <v:shape id="12 Forma" o:spid="_x0000_s1043" type="#_x0000_t34" style="position:absolute;left:98059;top:11033;width:4785;height:1244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" strokecolor="#a5a5a5 [2092]" strokeweight="2.25pt">
                  <v:stroke endarrow="open"/>
                </v:shape>
                <v:roundrect id="42 Rectángulo redondeado" o:spid="_x0000_s1044" style="position:absolute;left:24114;top:34113;width:95287;height:33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" fillcolor="#ccf" stroked="f" strokeweight="1pt">
                  <v:stroke joinstyle="miter"/>
                </v:roundrect>
                <v:rect id="43 Rectángulo" o:spid="_x0000_s1045" style="position:absolute;left:26553;top:45694;width:20244;height:4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" fillcolor="white [3212]" stroked="f" strokeweight="1pt">
                  <v:textbox>
                    <w:txbxContent>
                      <w:p w14:paraId="0520EB2D" w14:textId="77777777" w:rsidR="00963C52" w:rsidRPr="00411557" w:rsidRDefault="00963C52" w:rsidP="00963C52">
                        <w:pPr>
                          <w:pStyle w:val="NormalWeb"/>
                          <w:spacing w:before="0" w:beforeAutospacing="0" w:after="0" w:afterAutospacing="0"/>
                          <w:jc w:val="center"/>
                          <w:rPr>
                            <w:sz w:val="18"/>
                            <w:szCs w:val="16"/>
                          </w:rPr>
                        </w:pPr>
                        <w:r w:rsidRPr="00411557">
                          <w:rPr>
                            <w:rFonts w:ascii="DejaVu Serif" w:hAnsi="DejaVu Serif"/>
                            <w:color w:val="000000" w:themeColor="text1"/>
                            <w:sz w:val="18"/>
                            <w:szCs w:val="16"/>
                          </w:rPr>
                          <w:t>Categorie di armi da fuoco</w:t>
                        </w:r>
                      </w:p>
                    </w:txbxContent>
                  </v:textbox>
                </v:rect>
                <v:rect id="47 Rectángulo" o:spid="_x0000_s1046" style="position:absolute;left:48683;top:35841;width:20664;height:6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" fillcolor="white [3212]" stroked="f" strokeweight="1pt">
                  <v:textbox>
                    <w:txbxContent>
                      <w:p w14:paraId="7C010FD7" w14:textId="77777777" w:rsidR="00963C52" w:rsidRPr="00411557" w:rsidRDefault="00963C52" w:rsidP="00963C52">
                        <w:pPr>
                          <w:pStyle w:val="NormalWeb"/>
                          <w:spacing w:before="0" w:beforeAutospacing="0" w:after="0" w:afterAutospacing="0"/>
                          <w:rPr>
                            <w:sz w:val="18"/>
                            <w:szCs w:val="16"/>
                          </w:rPr>
                        </w:pPr>
                        <w:r w:rsidRPr="00411557">
                          <w:rPr>
                            <w:rFonts w:ascii="DejaVu Serif" w:hAnsi="DejaVu Serif"/>
                            <w:color w:val="000000" w:themeColor="text1"/>
                            <w:sz w:val="18"/>
                            <w:szCs w:val="16"/>
                          </w:rPr>
                          <w:t>Concedere licenze agli armaioli, agli intermediari e ai proprietari privati</w:t>
                        </w:r>
                      </w:p>
                    </w:txbxContent>
                  </v:textbox>
                </v:rect>
                <v:rect id="49 Rectángulo" o:spid="_x0000_s1047" style="position:absolute;left:73528;top:35562;width:21843;height:3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" fillcolor="white [3212]" stroked="f" strokeweight="1pt">
                  <v:textbox>
                    <w:txbxContent>
                      <w:p w14:paraId="060B8F78" w14:textId="77777777" w:rsidR="00963C52" w:rsidRPr="00C941AC" w:rsidRDefault="00963C52" w:rsidP="00963C52">
                        <w:pPr>
                          <w:pStyle w:val="NormalWeb"/>
                          <w:spacing w:before="0" w:beforeAutospacing="0" w:after="0" w:afterAutospacing="0"/>
                          <w:rPr>
                            <w:sz w:val="16"/>
                            <w:szCs w:val="16"/>
                          </w:rPr>
                        </w:pPr>
                        <w:r w:rsidRPr="00C941AC">
                          <w:rPr>
                            <w:rFonts w:ascii="DejaVu Serif" w:hAnsi="DejaVu Serif"/>
                            <w:color w:val="000000" w:themeColor="text1"/>
                            <w:sz w:val="16"/>
                            <w:szCs w:val="16"/>
                          </w:rPr>
                          <w:t>Disattivazione</w:t>
                        </w:r>
                      </w:p>
                    </w:txbxContent>
                  </v:textbox>
                </v:rect>
                <v:rect id="50 Rectángulo" o:spid="_x0000_s1048" style="position:absolute;left:73585;top:47868;width:21878;height:3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" fillcolor="white [3212]" stroked="f" strokeweight="1pt">
                  <v:textbox>
                    <w:txbxContent>
                      <w:p w14:paraId="7ADB4976" w14:textId="77777777" w:rsidR="00963C52" w:rsidRPr="00C941AC" w:rsidRDefault="00963C52" w:rsidP="00963C52">
                        <w:pPr>
                          <w:pStyle w:val="NormalWeb"/>
                          <w:spacing w:before="0" w:beforeAutospacing="0" w:after="0" w:afterAutospacing="0"/>
                          <w:rPr>
                            <w:sz w:val="16"/>
                            <w:szCs w:val="16"/>
                          </w:rPr>
                        </w:pPr>
                        <w:r w:rsidRPr="00C941AC">
                          <w:rPr>
                            <w:rFonts w:ascii="DejaVu Serif" w:hAnsi="DejaVu Serif"/>
                            <w:color w:val="000000" w:themeColor="text1"/>
                            <w:sz w:val="16"/>
                            <w:szCs w:val="16"/>
                          </w:rPr>
                          <w:t>Armi da saluto e acustiche</w:t>
                        </w:r>
                      </w:p>
                    </w:txbxContent>
                  </v:textbox>
                </v:rect>
                <v:rect id="51 Rectángulo" o:spid="_x0000_s1049" style="position:absolute;left:98060;top:35703;width:19638;height:5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" fillcolor="white [3212]" stroked="f" strokeweight="1pt">
                  <v:textbox>
                    <w:txbxContent>
                      <w:p w14:paraId="516C3476" w14:textId="77777777" w:rsidR="00963C52" w:rsidRPr="00411557" w:rsidRDefault="00963C52" w:rsidP="00963C52">
                        <w:pPr>
                          <w:pStyle w:val="NormalWeb"/>
                          <w:spacing w:before="0" w:beforeAutospacing="0" w:after="0" w:afterAutospacing="0"/>
                          <w:rPr>
                            <w:sz w:val="18"/>
                            <w:szCs w:val="16"/>
                          </w:rPr>
                        </w:pPr>
                        <w:r w:rsidRPr="00411557">
                          <w:rPr>
                            <w:rFonts w:ascii="DejaVu Serif" w:hAnsi="DejaVu Serif"/>
                            <w:color w:val="000000" w:themeColor="text1"/>
                            <w:sz w:val="18"/>
                            <w:szCs w:val="16"/>
                          </w:rPr>
                          <w:t>Marcatura e tracciabilità delle armi da fuoco</w:t>
                        </w:r>
                      </w:p>
                    </w:txbxContent>
                  </v:textbox>
                </v:rect>
                <v:rect id="51 Rectángulo" o:spid="_x0000_s1050" style="position:absolute;left:74779;top:39917;width:20592;height:7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" fillcolor="white [3212]" stroked="f" strokeweight="1pt">
                  <v:textbox>
                    <w:txbxContent>
                      <w:p w14:paraId="19AE4E98" w14:textId="77777777" w:rsidR="00963C52" w:rsidRPr="008A0D01" w:rsidRDefault="00963C52" w:rsidP="00963C52">
                        <w:pPr>
                          <w:pStyle w:val="NormalWeb"/>
                          <w:spacing w:before="0" w:beforeAutospacing="0" w:after="0" w:afterAutospacing="0"/>
                          <w:rPr>
                            <w:sz w:val="14"/>
                            <w:szCs w:val="14"/>
                          </w:rPr>
                        </w:pPr>
                        <w:r w:rsidRPr="008A0D01">
                          <w:rPr>
                            <w:rFonts w:ascii="DejaVu Serif" w:hAnsi="DejaVu Serif"/>
                            <w:i/>
                            <w:iCs/>
                            <w:color w:val="000000" w:themeColor="text1"/>
                            <w:sz w:val="14"/>
                            <w:szCs w:val="14"/>
                          </w:rPr>
                          <w:t>Regolamento di esecuzione (UE) 2018/337 — orientamenti comuni sulle norme e sulle tecniche di disattivazione</w:t>
                        </w:r>
                      </w:p>
                    </w:txbxContent>
                  </v:textbox>
                </v:rect>
                <v:rect id="51 Rectángulo" o:spid="_x0000_s1051" style="position:absolute;left:98250;top:42580;width:20658;height:12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" fillcolor="white [3212]" strokecolor="#ccf" strokeweight="1pt">
                  <v:textbox>
                    <w:txbxContent>
                      <w:p w14:paraId="4655F14F" w14:textId="3CD39D32" w:rsidR="00963C52" w:rsidRPr="00411557" w:rsidRDefault="00963C52" w:rsidP="00963C52">
                        <w:pPr>
                          <w:pStyle w:val="NormalWeb"/>
                          <w:spacing w:before="0" w:beforeAutospacing="0" w:after="0" w:afterAutospacing="0"/>
                          <w:rPr>
                            <w:sz w:val="18"/>
                            <w:szCs w:val="14"/>
                          </w:rPr>
                        </w:pPr>
                        <w:r w:rsidRPr="00411557">
                          <w:rPr>
                            <w:rFonts w:ascii="DejaVu Serif" w:hAnsi="DejaVu Serif"/>
                            <w:i/>
                            <w:iCs/>
                            <w:color w:val="000000" w:themeColor="text1"/>
                            <w:sz w:val="18"/>
                            <w:szCs w:val="14"/>
                          </w:rPr>
                          <w:t>Direttiva di esecuzione (UE) 2019/68 — specifiche tecniche per la marcatura delle armi da fuoco e dei loro componenti essenziali</w:t>
                        </w:r>
                      </w:p>
                    </w:txbxContent>
                  </v:textbox>
                </v:rect>
                <v:rect id="47 Rectángulo" o:spid="_x0000_s1052" style="position:absolute;left:26454;top:35699;width:20213;height:8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" fillcolor="white [3212]" stroked="f" strokeweight="1pt">
                  <v:textbox>
                    <w:txbxContent>
                      <w:p w14:paraId="1B442A6A" w14:textId="77777777" w:rsidR="00963C52" w:rsidRPr="00411557" w:rsidRDefault="00963C52" w:rsidP="00963C52">
                        <w:pPr>
                          <w:pStyle w:val="NormalWeb"/>
                          <w:spacing w:before="0" w:beforeAutospacing="0" w:after="0" w:afterAutospacing="0"/>
                          <w:rPr>
                            <w:sz w:val="18"/>
                            <w:szCs w:val="16"/>
                          </w:rPr>
                        </w:pPr>
                        <w:r w:rsidRPr="00411557">
                          <w:rPr>
                            <w:rFonts w:ascii="DejaVu Serif" w:hAnsi="DejaVu Serif"/>
                            <w:color w:val="000000" w:themeColor="text1"/>
                            <w:sz w:val="18"/>
                            <w:szCs w:val="16"/>
                          </w:rPr>
                          <w:t>Concedere licenze agli armaioli, agli intermediari e ai proprietari privati</w:t>
                        </w:r>
                      </w:p>
                    </w:txbxContent>
                  </v:textbox>
                </v:rect>
                <v:rect id="48 Rectángulo" o:spid="_x0000_s1053" style="position:absolute;left:26454;top:51978;width:20500;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" fillcolor="white [3212]" stroked="f" strokeweight="1pt">
                  <v:textbox>
                    <w:txbxContent>
                      <w:p w14:paraId="4880DEF2" w14:textId="77777777" w:rsidR="00963C52" w:rsidRPr="00411557" w:rsidRDefault="00963C52" w:rsidP="00963C52">
                        <w:pPr>
                          <w:pStyle w:val="NormalWeb"/>
                          <w:spacing w:before="0" w:beforeAutospacing="0" w:after="0" w:afterAutospacing="0"/>
                          <w:rPr>
                            <w:sz w:val="18"/>
                            <w:szCs w:val="16"/>
                          </w:rPr>
                        </w:pPr>
                        <w:r w:rsidRPr="00411557">
                          <w:rPr>
                            <w:rFonts w:ascii="DejaVu Serif" w:hAnsi="DejaVu Serif"/>
                            <w:color w:val="000000" w:themeColor="text1"/>
                            <w:sz w:val="18"/>
                            <w:szCs w:val="16"/>
                          </w:rPr>
                          <w:t>Archivio computerizzato e scambio di informazioni</w:t>
                        </w:r>
                      </w:p>
                    </w:txbxContent>
                  </v:textbox>
                </v:rect>
                <v:rect id="51 Rectángulo" o:spid="_x0000_s1054" style="position:absolute;top:40705;width:22438;height:13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" fillcolor="white [3212]" strokecolor="#ccf" strokeweight="1pt">
                  <v:textbox>
                    <w:txbxContent>
                      <w:p w14:paraId="79BCB0C6" w14:textId="7D38B346" w:rsidR="00963C52" w:rsidRPr="00C941AC" w:rsidRDefault="00963C52" w:rsidP="00963C52">
                        <w:pPr>
                          <w:pStyle w:val="NormalWeb"/>
                          <w:spacing w:before="0" w:beforeAutospacing="0" w:after="0" w:afterAutospacing="0"/>
                          <w:rPr>
                            <w:sz w:val="18"/>
                            <w:szCs w:val="18"/>
                          </w:rPr>
                        </w:pPr>
                        <w:r w:rsidRPr="00C941AC">
                          <w:rPr>
                            <w:rFonts w:ascii="DejaVu Serif" w:hAnsi="DejaVu Serif"/>
                            <w:i/>
                            <w:iCs/>
                            <w:color w:val="000000" w:themeColor="text1"/>
                            <w:sz w:val="18"/>
                            <w:szCs w:val="18"/>
                          </w:rPr>
                          <w:t>Regolamento delegato (UE) 2019/686 — scambio sistematico con mezzi elettronici di informazioni relative al trasferimento di armi da fuoco nell</w:t>
                        </w:r>
                        <w:r w:rsidR="003D07FD">
                          <w:rPr>
                            <w:rFonts w:ascii="DejaVu Serif" w:hAnsi="DejaVu Serif"/>
                            <w:i/>
                            <w:iCs/>
                            <w:color w:val="000000" w:themeColor="text1"/>
                            <w:sz w:val="18"/>
                            <w:szCs w:val="18"/>
                          </w:rPr>
                          <w:t>'</w:t>
                        </w:r>
                        <w:r w:rsidRPr="00C941AC">
                          <w:rPr>
                            <w:rFonts w:ascii="DejaVu Serif" w:hAnsi="DejaVu Serif"/>
                            <w:i/>
                            <w:iCs/>
                            <w:color w:val="000000" w:themeColor="text1"/>
                            <w:sz w:val="18"/>
                            <w:szCs w:val="18"/>
                          </w:rPr>
                          <w:t>Unione</w:t>
                        </w:r>
                      </w:p>
                    </w:txbxContent>
                  </v:textbox>
                </v:rect>
                <v:rect id="51 Rectángulo" o:spid="_x0000_s1055" style="position:absolute;left:91;top:54630;width:22220;height:15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" fillcolor="white [3212]" strokecolor="#ccf" strokeweight="1pt">
                  <v:textbox>
                    <w:txbxContent>
                      <w:p w14:paraId="00398CA9" w14:textId="27324BD8" w:rsidR="00963C52" w:rsidRPr="00C941AC" w:rsidRDefault="00963C52" w:rsidP="00963C52">
                        <w:pPr>
                          <w:pStyle w:val="NormalWeb"/>
                          <w:spacing w:before="0" w:beforeAutospacing="0" w:after="0" w:afterAutospacing="0"/>
                          <w:jc w:val="both"/>
                          <w:rPr>
                            <w:sz w:val="18"/>
                            <w:szCs w:val="18"/>
                          </w:rPr>
                        </w:pPr>
                        <w:r w:rsidRPr="00C941AC">
                          <w:rPr>
                            <w:rFonts w:ascii="DejaVu Serif" w:hAnsi="DejaVu Serif"/>
                            <w:i/>
                            <w:iCs/>
                            <w:color w:val="000000" w:themeColor="text1"/>
                            <w:sz w:val="18"/>
                            <w:szCs w:val="18"/>
                          </w:rPr>
                          <w:t>Regolamento delegato (UE) 2021/1423 — scambio sistematico con mezzi elettronici di informazioni relative al rifiuto di concedere l</w:t>
                        </w:r>
                        <w:r w:rsidR="003D07FD">
                          <w:rPr>
                            <w:rFonts w:ascii="DejaVu Serif" w:hAnsi="DejaVu Serif"/>
                            <w:i/>
                            <w:iCs/>
                            <w:color w:val="000000" w:themeColor="text1"/>
                            <w:sz w:val="18"/>
                            <w:szCs w:val="18"/>
                          </w:rPr>
                          <w:t>'</w:t>
                        </w:r>
                        <w:r w:rsidRPr="00C941AC">
                          <w:rPr>
                            <w:rFonts w:ascii="DejaVu Serif" w:hAnsi="DejaVu Serif"/>
                            <w:i/>
                            <w:iCs/>
                            <w:color w:val="000000" w:themeColor="text1"/>
                            <w:sz w:val="18"/>
                            <w:szCs w:val="18"/>
                          </w:rPr>
                          <w:t>autorizzazione ad acquisire o detenere talune armi da fuoco</w:t>
                        </w:r>
                      </w:p>
                    </w:txbxContent>
                  </v:textbox>
                </v:rect>
                <v:rect id="50 Rectángulo" o:spid="_x0000_s1056" style="position:absolute;left:73585;top:52342;width:21878;height:3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" fillcolor="white [3212]" stroked="f" strokeweight="1pt">
                  <v:textbox>
                    <w:txbxContent>
                      <w:p w14:paraId="393404C8" w14:textId="0953CCAF" w:rsidR="00963C52" w:rsidRPr="00C941AC" w:rsidRDefault="001071D6" w:rsidP="00963C52">
                        <w:pPr>
                          <w:pStyle w:val="NormalWeb"/>
                          <w:spacing w:before="0" w:beforeAutospacing="0" w:after="0" w:afterAutospacing="0"/>
                          <w:rPr>
                            <w:sz w:val="16"/>
                            <w:szCs w:val="16"/>
                          </w:rPr>
                        </w:pPr>
                        <w:r w:rsidRPr="00C941AC">
                          <w:rPr>
                            <w:rFonts w:ascii="DejaVu Serif" w:hAnsi="DejaVu Serif"/>
                            <w:color w:val="000000" w:themeColor="text1"/>
                            <w:sz w:val="16"/>
                            <w:szCs w:val="16"/>
                          </w:rPr>
                          <w:t>Armi d</w:t>
                        </w:r>
                        <w:r w:rsidR="003D07FD">
                          <w:rPr>
                            <w:rFonts w:ascii="DejaVu Serif" w:hAnsi="DejaVu Serif"/>
                            <w:color w:val="000000" w:themeColor="text1"/>
                            <w:sz w:val="16"/>
                            <w:szCs w:val="16"/>
                          </w:rPr>
                          <w:t>'</w:t>
                        </w:r>
                        <w:r w:rsidRPr="00C941AC">
                          <w:rPr>
                            <w:rFonts w:ascii="DejaVu Serif" w:hAnsi="DejaVu Serif"/>
                            <w:color w:val="000000" w:themeColor="text1"/>
                            <w:sz w:val="16"/>
                            <w:szCs w:val="16"/>
                          </w:rPr>
                          <w:t>allarme o da segnalazione</w:t>
                        </w:r>
                      </w:p>
                    </w:txbxContent>
                  </v:textbox>
                </v:rect>
                <v:rect id="51 Rectángulo" o:spid="_x0000_s1057" style="position:absolute;left:73585;top:56799;width:22334;height:9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" fillcolor="white [3212]" stroked="f" strokeweight="1pt">
                  <v:textbox>
                    <w:txbxContent>
                      <w:p w14:paraId="220FA307" w14:textId="26E165B4" w:rsidR="00963C52" w:rsidRPr="00411557" w:rsidRDefault="00FC0B72" w:rsidP="00963C52">
                        <w:pPr>
                          <w:pStyle w:val="NormalWeb"/>
                          <w:spacing w:before="0" w:beforeAutospacing="0" w:after="0" w:afterAutospacing="0"/>
                          <w:rPr>
                            <w:sz w:val="18"/>
                            <w:szCs w:val="14"/>
                          </w:rPr>
                        </w:pPr>
                        <w:r w:rsidRPr="00411557">
                          <w:rPr>
                            <w:rFonts w:ascii="DejaVu Serif" w:hAnsi="DejaVu Serif"/>
                            <w:i/>
                            <w:iCs/>
                            <w:color w:val="000000" w:themeColor="text1"/>
                            <w:sz w:val="18"/>
                            <w:szCs w:val="14"/>
                          </w:rPr>
                          <w:t>Direttiva di esecuzione (UE) 2019/69 — specifiche tecniche relative alle armi d</w:t>
                        </w:r>
                        <w:r w:rsidR="003D07FD">
                          <w:rPr>
                            <w:rFonts w:ascii="DejaVu Serif" w:hAnsi="DejaVu Serif"/>
                            <w:i/>
                            <w:iCs/>
                            <w:color w:val="000000" w:themeColor="text1"/>
                            <w:sz w:val="18"/>
                            <w:szCs w:val="14"/>
                          </w:rPr>
                          <w:t>'</w:t>
                        </w:r>
                        <w:r w:rsidRPr="00411557">
                          <w:rPr>
                            <w:rFonts w:ascii="DejaVu Serif" w:hAnsi="DejaVu Serif"/>
                            <w:i/>
                            <w:iCs/>
                            <w:color w:val="000000" w:themeColor="text1"/>
                            <w:sz w:val="18"/>
                            <w:szCs w:val="14"/>
                          </w:rPr>
                          <w:t>allarme o da segnalazione</w:t>
                        </w:r>
                      </w:p>
                    </w:txbxContent>
                  </v:textbox>
                </v:rect>
                <v:rect id="48 Rectángulo" o:spid="_x0000_s1058" style="position:absolute;left:48527;top:51715;width:20663;height:5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" fillcolor="white [3212]" stroked="f" strokeweight="1pt">
                  <v:textbox>
                    <w:txbxContent>
                      <w:p w14:paraId="603E6B95" w14:textId="77777777" w:rsidR="00963C52" w:rsidRPr="00411557" w:rsidRDefault="00963C52" w:rsidP="00963C52">
                        <w:pPr>
                          <w:pStyle w:val="NormalWeb"/>
                          <w:spacing w:before="0" w:beforeAutospacing="0" w:after="0" w:afterAutospacing="0"/>
                          <w:rPr>
                            <w:sz w:val="18"/>
                            <w:szCs w:val="16"/>
                          </w:rPr>
                        </w:pPr>
                        <w:r w:rsidRPr="00411557">
                          <w:rPr>
                            <w:rFonts w:ascii="DejaVu Serif" w:hAnsi="DejaVu Serif"/>
                            <w:color w:val="000000" w:themeColor="text1"/>
                            <w:sz w:val="18"/>
                            <w:szCs w:val="16"/>
                          </w:rPr>
                          <w:t>Archivio computerizzato e scambio di informazioni</w:t>
                        </w:r>
                      </w:p>
                    </w:txbxContent>
                  </v:textbox>
                </v:rect>
                <v:rect id="43 Rectángulo" o:spid="_x0000_s1059" style="position:absolute;left:48501;top:44964;width:20689;height:3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" fillcolor="white [3212]" stroked="f" strokeweight="1pt">
                  <v:textbox>
                    <w:txbxContent>
                      <w:p w14:paraId="2C04281E" w14:textId="77777777" w:rsidR="00963C52" w:rsidRPr="00411557" w:rsidRDefault="00963C52" w:rsidP="00963C52">
                        <w:pPr>
                          <w:pStyle w:val="NormalWeb"/>
                          <w:spacing w:before="0" w:beforeAutospacing="0" w:after="0" w:afterAutospacing="0"/>
                          <w:jc w:val="center"/>
                          <w:rPr>
                            <w:sz w:val="18"/>
                            <w:szCs w:val="16"/>
                          </w:rPr>
                        </w:pPr>
                        <w:r w:rsidRPr="00411557">
                          <w:rPr>
                            <w:rFonts w:ascii="DejaVu Serif" w:hAnsi="DejaVu Serif"/>
                            <w:color w:val="000000" w:themeColor="text1"/>
                            <w:sz w:val="18"/>
                            <w:szCs w:val="16"/>
                          </w:rPr>
                          <w:t>Categorie di armi da fuoco</w:t>
                        </w:r>
                      </w:p>
                    </w:txbxContent>
                  </v:textbox>
                </v:rect>
                <v:rect id="44 Rectángulo" o:spid="_x0000_s1060" style="position:absolute;left:48683;top:59878;width:20433;height:6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" fillcolor="white [3212]" stroked="f" strokeweight="1pt">
                  <v:textbox>
                    <w:txbxContent>
                      <w:p w14:paraId="7C4324FA" w14:textId="27A2C890" w:rsidR="00963C52" w:rsidRPr="00411557" w:rsidRDefault="00FC0B72" w:rsidP="00963C52">
                        <w:pPr>
                          <w:pStyle w:val="NormalWeb"/>
                          <w:spacing w:before="0" w:beforeAutospacing="0" w:after="0" w:afterAutospacing="0"/>
                          <w:rPr>
                            <w:sz w:val="18"/>
                            <w:szCs w:val="16"/>
                          </w:rPr>
                        </w:pPr>
                        <w:r w:rsidRPr="00411557">
                          <w:rPr>
                            <w:rFonts w:ascii="DejaVu Serif" w:hAnsi="DejaVu Serif"/>
                            <w:color w:val="000000" w:themeColor="text1"/>
                            <w:sz w:val="18"/>
                            <w:szCs w:val="16"/>
                          </w:rPr>
                          <w:t>Carta europea d</w:t>
                        </w:r>
                        <w:r w:rsidR="003D07FD">
                          <w:rPr>
                            <w:rFonts w:ascii="DejaVu Serif" w:hAnsi="DejaVu Serif"/>
                            <w:color w:val="000000" w:themeColor="text1"/>
                            <w:sz w:val="18"/>
                            <w:szCs w:val="16"/>
                          </w:rPr>
                          <w:t>'</w:t>
                        </w:r>
                        <w:r w:rsidRPr="00411557">
                          <w:rPr>
                            <w:rFonts w:ascii="DejaVu Serif" w:hAnsi="DejaVu Serif"/>
                            <w:color w:val="000000" w:themeColor="text1"/>
                            <w:sz w:val="18"/>
                            <w:szCs w:val="16"/>
                          </w:rPr>
                          <w:t>arma da fuoco</w:t>
                        </w:r>
                      </w:p>
                    </w:txbxContent>
                  </v:textbox>
                </v:rect>
                <v:rect id="48 Rectángulo" o:spid="_x0000_s1061" style="position:absolute;left:98502;top:58352;width:19621;height:6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" fillcolor="white [3212]" stroked="f" strokeweight="1pt">
                  <v:textbox>
                    <w:txbxContent>
                      <w:p w14:paraId="759DB646" w14:textId="77777777" w:rsidR="00963C52" w:rsidRPr="00411557" w:rsidRDefault="00963C52" w:rsidP="00963C52">
                        <w:pPr>
                          <w:pStyle w:val="NormalWeb"/>
                          <w:spacing w:before="0" w:beforeAutospacing="0" w:after="0" w:afterAutospacing="0"/>
                          <w:rPr>
                            <w:sz w:val="18"/>
                            <w:szCs w:val="16"/>
                          </w:rPr>
                        </w:pPr>
                        <w:r w:rsidRPr="00411557">
                          <w:rPr>
                            <w:rFonts w:ascii="DejaVu Serif" w:hAnsi="DejaVu Serif"/>
                            <w:color w:val="000000" w:themeColor="text1"/>
                            <w:sz w:val="18"/>
                            <w:szCs w:val="16"/>
                          </w:rPr>
                          <w:t>Archivio computerizzato e scambio di informazioni</w:t>
                        </w:r>
                      </w:p>
                    </w:txbxContent>
                  </v:textbox>
                </v:rect>
                <v:shape id="Elbow Connector 38" o:spid="_x0000_s1062" type="#_x0000_t34" style="position:absolute;left:22438;top:51850;width:3729;height:2786;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" strokecolor="#5b9bd5 [3204]" strokeweight="2.25pt">
                  <v:stroke startarrow="block" endarrow="block"/>
                </v:shape>
                <v:shape id="Elbow Connector 39" o:spid="_x0000_s1063" type="#_x0000_t34" style="position:absolute;left:22311;top:54636;width:3856;height:567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" strokecolor="#5b9bd5 [3204]" strokeweight="2.25pt">
                  <v:stroke startarrow="block" endarrow="block"/>
                </v:shape>
                <v:shape id="Elbow Connector 40" o:spid="_x0000_s1064" type="#_x0000_t34" style="position:absolute;left:73528;top:37191;width:1251;height:6249;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" adj="-39469" strokecolor="#5b9bd5 [3204]" strokeweight="2.25pt">
                  <v:stroke startarrow="block"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Elbow Connector 41" o:spid="_x0000_s1065" type="#_x0000_t35" style="position:absolute;left:69935;top:57757;width:7300;height: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" adj="536,197532000" strokecolor="#5b9bd5 [3204]" strokeweight="2.25pt">
                  <v:stroke startarrow="block" endarrow="block"/>
                </v:shape>
                <w10:anchorlock/>
              </v:group>
            </w:pict>
          </mc:Fallback>
        </mc:AlternateContent>
      </w:r>
    </w:p>
    <w:p w14:paraId="1100F152" w14:textId="4BF65CEA" w:rsidR="00A35DAB" w:rsidRDefault="004E15AD" w:rsidP="00963C52">
      <w:pPr>
        <w:jc w:val="center"/>
        <w:rPr>
          <w:noProof/>
        </w:rPr>
      </w:pPr>
      <w:r>
        <w:rPr>
          <w:noProof/>
        </w:rPr>
        <w:t>Rappresentazione visiva della direttiva sulle armi da fuoco</w:t>
      </w:r>
    </w:p>
    <w:p w14:paraId="698C6C92" w14:textId="77777777" w:rsidR="00A35DAB" w:rsidRDefault="00A35DAB" w:rsidP="00C1104C">
      <w:pPr>
        <w:jc w:val="center"/>
        <w:rPr>
          <w:noProof/>
        </w:rPr>
        <w:sectPr w:rsidR="00A35DAB" w:rsidSect="000B6EEE">
          <w:headerReference w:type="even" r:id="rId24"/>
          <w:headerReference w:type="default" r:id="rId25"/>
          <w:footerReference w:type="even" r:id="rId26"/>
          <w:footerReference w:type="default" r:id="rId27"/>
          <w:headerReference w:type="first" r:id="rId28"/>
          <w:footerReference w:type="first" r:id="rId29"/>
          <w:pgSz w:w="16838" w:h="11906" w:orient="landscape"/>
          <w:pgMar w:top="1587" w:right="1020" w:bottom="1701" w:left="1020" w:header="601" w:footer="1077" w:gutter="0"/>
          <w:cols w:space="720"/>
          <w:titlePg/>
          <w:docGrid w:linePitch="326"/>
        </w:sectPr>
      </w:pPr>
    </w:p>
    <w:p w14:paraId="1A259FDD" w14:textId="0E157DEC" w:rsidR="0004239C" w:rsidRDefault="0004239C" w:rsidP="00C1104C">
      <w:pPr>
        <w:jc w:val="center"/>
        <w:rPr>
          <w:noProof/>
        </w:rPr>
      </w:pPr>
    </w:p>
    <w:p w14:paraId="30729E47" w14:textId="2CFC2D76" w:rsidR="00AC5BBD" w:rsidRPr="006A7F07" w:rsidRDefault="00DD21AB" w:rsidP="00BC25EE">
      <w:pPr>
        <w:pStyle w:val="Heading2"/>
        <w:rPr>
          <w:noProof/>
        </w:rPr>
      </w:pPr>
      <w:bookmarkStart w:id="4" w:name="_Toc66179160"/>
      <w:r>
        <w:rPr>
          <w:noProof/>
        </w:rPr>
        <w:t>Compiti della Commissione</w:t>
      </w:r>
      <w:bookmarkEnd w:id="4"/>
    </w:p>
    <w:p w14:paraId="382EDE17" w14:textId="261BE40A" w:rsidR="00F355F2" w:rsidRDefault="00F355F2" w:rsidP="00DB2226">
      <w:pPr>
        <w:rPr>
          <w:noProof/>
          <w:sz w:val="24"/>
          <w:szCs w:val="24"/>
        </w:rPr>
      </w:pPr>
      <w:r>
        <w:rPr>
          <w:noProof/>
          <w:sz w:val="24"/>
          <w:szCs w:val="24"/>
        </w:rPr>
        <w:t>La direttiva sulle armi da fuoco prevede che la Commissione adotti atti di esecuzione e delegati. Pertanto dalla sua entrata in vigore la Commissione ha adottato:</w:t>
      </w:r>
    </w:p>
    <w:p w14:paraId="506D48C8" w14:textId="6A775F08" w:rsidR="005D1672" w:rsidRPr="008B2421" w:rsidRDefault="005D1672" w:rsidP="005D1672">
      <w:pPr>
        <w:pStyle w:val="ListParagraph"/>
        <w:numPr>
          <w:ilvl w:val="0"/>
          <w:numId w:val="21"/>
        </w:numPr>
        <w:rPr>
          <w:noProof/>
          <w:sz w:val="24"/>
          <w:szCs w:val="24"/>
        </w:rPr>
      </w:pPr>
      <w:r>
        <w:rPr>
          <w:noProof/>
          <w:sz w:val="24"/>
          <w:szCs w:val="24"/>
        </w:rPr>
        <w:t>il 5 marzo 2018 (a norma dell</w:t>
      </w:r>
      <w:r w:rsidR="003D07FD">
        <w:rPr>
          <w:noProof/>
          <w:sz w:val="24"/>
          <w:szCs w:val="24"/>
        </w:rPr>
        <w:t>'</w:t>
      </w:r>
      <w:r>
        <w:rPr>
          <w:noProof/>
          <w:sz w:val="24"/>
          <w:szCs w:val="24"/>
        </w:rPr>
        <w:t xml:space="preserve">articolo 15, paragrafo 2), il regolamento di esecuzione (UE) 2018/337, che modifica il regolamento di esecuzione (UE) 2015/2403 della Commissione che definisce </w:t>
      </w:r>
      <w:r>
        <w:rPr>
          <w:b/>
          <w:noProof/>
          <w:sz w:val="24"/>
          <w:szCs w:val="24"/>
        </w:rPr>
        <w:t>orientamenti comuni sulle norme e sulle tecniche di disattivazione</w:t>
      </w:r>
      <w:r>
        <w:rPr>
          <w:noProof/>
          <w:sz w:val="24"/>
          <w:szCs w:val="24"/>
        </w:rPr>
        <w:t xml:space="preserve"> per garantire che le armi da fuoco disattivate siano rese irreversibilmente inutilizzabili; </w:t>
      </w:r>
    </w:p>
    <w:p w14:paraId="0B8DF388" w14:textId="3DA71EE7" w:rsidR="005D1672" w:rsidRPr="008B2421" w:rsidRDefault="005D1672" w:rsidP="005D1672">
      <w:pPr>
        <w:pStyle w:val="ListParagraph"/>
        <w:numPr>
          <w:ilvl w:val="0"/>
          <w:numId w:val="21"/>
        </w:numPr>
        <w:rPr>
          <w:noProof/>
          <w:sz w:val="24"/>
          <w:szCs w:val="24"/>
        </w:rPr>
      </w:pPr>
      <w:r>
        <w:rPr>
          <w:noProof/>
          <w:sz w:val="24"/>
          <w:szCs w:val="24"/>
        </w:rPr>
        <w:t>il 16 gennaio 2019 (a norma dell</w:t>
      </w:r>
      <w:r w:rsidR="003D07FD">
        <w:rPr>
          <w:noProof/>
          <w:sz w:val="24"/>
          <w:szCs w:val="24"/>
        </w:rPr>
        <w:t>'</w:t>
      </w:r>
      <w:r>
        <w:rPr>
          <w:noProof/>
          <w:sz w:val="24"/>
          <w:szCs w:val="24"/>
        </w:rPr>
        <w:t xml:space="preserve">articolo 4, paragrafo 3), la direttiva di esecuzione (UE) 2019/68, che stabilisce le specifiche tecniche per la </w:t>
      </w:r>
      <w:r>
        <w:rPr>
          <w:b/>
          <w:noProof/>
          <w:sz w:val="24"/>
          <w:szCs w:val="24"/>
        </w:rPr>
        <w:t>marcatura delle armi da fuoco</w:t>
      </w:r>
      <w:r>
        <w:rPr>
          <w:noProof/>
          <w:sz w:val="24"/>
          <w:szCs w:val="24"/>
        </w:rPr>
        <w:t xml:space="preserve"> e dei loro componenti essenziali a norma della direttiva 91/477/CEE del Consiglio relativa al controllo dell</w:t>
      </w:r>
      <w:r w:rsidR="003D07FD">
        <w:rPr>
          <w:noProof/>
          <w:sz w:val="24"/>
          <w:szCs w:val="24"/>
        </w:rPr>
        <w:t>'</w:t>
      </w:r>
      <w:r>
        <w:rPr>
          <w:noProof/>
          <w:sz w:val="24"/>
          <w:szCs w:val="24"/>
        </w:rPr>
        <w:t>acquisizione e della detenzione di armi (cfr. sezione 5.4.2);</w:t>
      </w:r>
    </w:p>
    <w:p w14:paraId="5FC457D6" w14:textId="762CDB61" w:rsidR="005D1672" w:rsidRPr="008B2421" w:rsidRDefault="008A1C4F" w:rsidP="005D1672">
      <w:pPr>
        <w:pStyle w:val="ListParagraph"/>
        <w:numPr>
          <w:ilvl w:val="0"/>
          <w:numId w:val="21"/>
        </w:numPr>
        <w:rPr>
          <w:noProof/>
          <w:sz w:val="24"/>
          <w:szCs w:val="24"/>
        </w:rPr>
      </w:pPr>
      <w:r>
        <w:rPr>
          <w:noProof/>
          <w:sz w:val="24"/>
          <w:szCs w:val="24"/>
        </w:rPr>
        <w:t>il 16 gennaio 2019 (a norma dell</w:t>
      </w:r>
      <w:r w:rsidR="003D07FD">
        <w:rPr>
          <w:noProof/>
          <w:sz w:val="24"/>
          <w:szCs w:val="24"/>
        </w:rPr>
        <w:t>'</w:t>
      </w:r>
      <w:r>
        <w:rPr>
          <w:noProof/>
          <w:sz w:val="24"/>
          <w:szCs w:val="24"/>
        </w:rPr>
        <w:t xml:space="preserve">articolo 14, paragrafo 3), la direttiva di esecuzione (UE) 2019/69, che stabilisce le specifiche tecniche relative alle </w:t>
      </w:r>
      <w:r>
        <w:rPr>
          <w:b/>
          <w:noProof/>
          <w:sz w:val="24"/>
          <w:szCs w:val="24"/>
        </w:rPr>
        <w:t>armi d</w:t>
      </w:r>
      <w:r w:rsidR="003D07FD">
        <w:rPr>
          <w:b/>
          <w:noProof/>
          <w:sz w:val="24"/>
          <w:szCs w:val="24"/>
        </w:rPr>
        <w:t>'</w:t>
      </w:r>
      <w:r>
        <w:rPr>
          <w:b/>
          <w:noProof/>
          <w:sz w:val="24"/>
          <w:szCs w:val="24"/>
        </w:rPr>
        <w:t>allarme o da segnalazione</w:t>
      </w:r>
      <w:r>
        <w:rPr>
          <w:noProof/>
          <w:sz w:val="24"/>
          <w:szCs w:val="24"/>
        </w:rPr>
        <w:t xml:space="preserve"> a norma della direttiva 91/477/CEE del Consiglio relativa al controllo dell</w:t>
      </w:r>
      <w:r w:rsidR="003D07FD">
        <w:rPr>
          <w:noProof/>
          <w:sz w:val="24"/>
          <w:szCs w:val="24"/>
        </w:rPr>
        <w:t>'</w:t>
      </w:r>
      <w:r>
        <w:rPr>
          <w:noProof/>
          <w:sz w:val="24"/>
          <w:szCs w:val="24"/>
        </w:rPr>
        <w:t xml:space="preserve">acquisizione e della detenzione di armi; </w:t>
      </w:r>
    </w:p>
    <w:p w14:paraId="0A6A85C3" w14:textId="2BE95B1D" w:rsidR="005D1672" w:rsidRPr="00AD2869" w:rsidRDefault="008A1C4F" w:rsidP="0004239C">
      <w:pPr>
        <w:pStyle w:val="ListParagraph"/>
        <w:numPr>
          <w:ilvl w:val="0"/>
          <w:numId w:val="21"/>
        </w:numPr>
        <w:rPr>
          <w:noProof/>
        </w:rPr>
      </w:pPr>
      <w:r>
        <w:rPr>
          <w:noProof/>
          <w:sz w:val="24"/>
          <w:szCs w:val="24"/>
        </w:rPr>
        <w:t>il 16 gennaio 2019 (a norma dell</w:t>
      </w:r>
      <w:r w:rsidR="003D07FD">
        <w:rPr>
          <w:noProof/>
          <w:sz w:val="24"/>
          <w:szCs w:val="24"/>
        </w:rPr>
        <w:t>'</w:t>
      </w:r>
      <w:r>
        <w:rPr>
          <w:noProof/>
          <w:sz w:val="24"/>
          <w:szCs w:val="24"/>
        </w:rPr>
        <w:t>articolo 18, paragrafo 4, e dell</w:t>
      </w:r>
      <w:r w:rsidR="003D07FD">
        <w:rPr>
          <w:noProof/>
          <w:sz w:val="24"/>
          <w:szCs w:val="24"/>
        </w:rPr>
        <w:t>'</w:t>
      </w:r>
      <w:r>
        <w:rPr>
          <w:noProof/>
          <w:sz w:val="24"/>
          <w:szCs w:val="24"/>
        </w:rPr>
        <w:t xml:space="preserve">articolo 21, paragrafo 5), il regolamento delegato (UE) 2019/686 della Commissione, che stabilisce le modalità dettagliate, a norma della direttiva 91/477/CEE del Consiglio, per lo </w:t>
      </w:r>
      <w:r>
        <w:rPr>
          <w:b/>
          <w:noProof/>
          <w:sz w:val="24"/>
          <w:szCs w:val="24"/>
        </w:rPr>
        <w:t>scambio sistematico con mezzi elettronici di informazioni relative al trasferimento di armi da fuoco</w:t>
      </w:r>
      <w:r>
        <w:rPr>
          <w:noProof/>
          <w:sz w:val="24"/>
          <w:szCs w:val="24"/>
        </w:rPr>
        <w:t xml:space="preserve"> nell</w:t>
      </w:r>
      <w:r w:rsidR="003D07FD">
        <w:rPr>
          <w:noProof/>
          <w:sz w:val="24"/>
          <w:szCs w:val="24"/>
        </w:rPr>
        <w:t>'</w:t>
      </w:r>
      <w:r>
        <w:rPr>
          <w:noProof/>
          <w:sz w:val="24"/>
          <w:szCs w:val="24"/>
        </w:rPr>
        <w:t xml:space="preserve">Unione (cfr. sezione 5.4.1); </w:t>
      </w:r>
    </w:p>
    <w:p w14:paraId="3DF8AC11" w14:textId="731F65EF" w:rsidR="005D1672" w:rsidRDefault="008A1C4F" w:rsidP="0004239C">
      <w:pPr>
        <w:pStyle w:val="ListParagraph"/>
        <w:numPr>
          <w:ilvl w:val="0"/>
          <w:numId w:val="21"/>
        </w:numPr>
        <w:rPr>
          <w:noProof/>
          <w:sz w:val="24"/>
          <w:szCs w:val="24"/>
        </w:rPr>
      </w:pPr>
      <w:r>
        <w:rPr>
          <w:noProof/>
          <w:sz w:val="24"/>
          <w:szCs w:val="24"/>
        </w:rPr>
        <w:t>il 21 maggio 2021, il regolamento delegato (UE) 2021/1423 della Commissione</w:t>
      </w:r>
      <w:r>
        <w:rPr>
          <w:noProof/>
        </w:rPr>
        <w:t xml:space="preserve"> </w:t>
      </w:r>
      <w:r>
        <w:rPr>
          <w:noProof/>
          <w:sz w:val="24"/>
          <w:szCs w:val="24"/>
        </w:rPr>
        <w:t xml:space="preserve">relativo alle </w:t>
      </w:r>
      <w:r>
        <w:rPr>
          <w:b/>
          <w:noProof/>
          <w:sz w:val="24"/>
          <w:szCs w:val="24"/>
        </w:rPr>
        <w:t>autorizzazioni rifiutate di acquisizione o detenzione di talune armi da fuoco</w:t>
      </w:r>
      <w:r>
        <w:rPr>
          <w:noProof/>
          <w:sz w:val="24"/>
          <w:szCs w:val="24"/>
        </w:rPr>
        <w:t xml:space="preserve">. </w:t>
      </w:r>
    </w:p>
    <w:p w14:paraId="5276732C" w14:textId="23FD1F42" w:rsidR="001254DD" w:rsidRDefault="005D54E5" w:rsidP="0004239C">
      <w:pPr>
        <w:pStyle w:val="ListParagraph"/>
        <w:numPr>
          <w:ilvl w:val="0"/>
          <w:numId w:val="21"/>
        </w:numPr>
        <w:spacing w:after="0" w:line="240" w:lineRule="auto"/>
        <w:rPr>
          <w:noProof/>
        </w:rPr>
      </w:pPr>
      <w:r>
        <w:rPr>
          <w:noProof/>
          <w:sz w:val="24"/>
          <w:szCs w:val="24"/>
        </w:rPr>
        <w:t>due progetti pilota per attuare la cooperazione amministrativa in relazione ai due regolamenti delegati della Commissione di cui sopra (a norma dell</w:t>
      </w:r>
      <w:r w:rsidR="003D07FD">
        <w:rPr>
          <w:noProof/>
          <w:sz w:val="24"/>
          <w:szCs w:val="24"/>
        </w:rPr>
        <w:t>'</w:t>
      </w:r>
      <w:r>
        <w:rPr>
          <w:noProof/>
          <w:sz w:val="24"/>
          <w:szCs w:val="24"/>
        </w:rPr>
        <w:t>articolo 4 del regolamento (UE) n. 1024/2012 che disciplina il sistema di informazione del mercato interno).</w:t>
      </w:r>
      <w:bookmarkStart w:id="5" w:name="_Toc65663048"/>
      <w:bookmarkStart w:id="6" w:name="_Toc65663472"/>
      <w:bookmarkStart w:id="7" w:name="_Toc65663502"/>
      <w:bookmarkEnd w:id="5"/>
      <w:bookmarkEnd w:id="6"/>
      <w:bookmarkEnd w:id="7"/>
    </w:p>
    <w:p w14:paraId="252D4FC1" w14:textId="1607ABD9" w:rsidR="00DC2766" w:rsidRPr="006A7F07" w:rsidRDefault="00DC2766" w:rsidP="00BC25EE">
      <w:pPr>
        <w:pStyle w:val="Heading2"/>
        <w:rPr>
          <w:noProof/>
        </w:rPr>
      </w:pPr>
      <w:bookmarkStart w:id="8" w:name="_Toc66179161"/>
      <w:r>
        <w:rPr>
          <w:noProof/>
        </w:rPr>
        <w:t>Recepimento della direttiva e del diritto derivato da parte degli Stati membri</w:t>
      </w:r>
      <w:bookmarkEnd w:id="8"/>
    </w:p>
    <w:p w14:paraId="3C206A35" w14:textId="01F19070" w:rsidR="00550BB3" w:rsidRDefault="002236A2" w:rsidP="00A337CB">
      <w:pPr>
        <w:rPr>
          <w:noProof/>
          <w:sz w:val="24"/>
          <w:szCs w:val="24"/>
        </w:rPr>
      </w:pPr>
      <w:r>
        <w:rPr>
          <w:noProof/>
          <w:sz w:val="24"/>
          <w:szCs w:val="24"/>
        </w:rPr>
        <w:t>La direttiva sulle armi da fuoco come modificata nel 2017 doveva essere recepita entro il 14 settembre 2018, ad eccezione dell</w:t>
      </w:r>
      <w:r w:rsidR="003D07FD">
        <w:rPr>
          <w:noProof/>
          <w:sz w:val="24"/>
          <w:szCs w:val="24"/>
        </w:rPr>
        <w:t>'</w:t>
      </w:r>
      <w:r>
        <w:rPr>
          <w:noProof/>
          <w:sz w:val="24"/>
          <w:szCs w:val="24"/>
        </w:rPr>
        <w:t>articolo 4, paragrafo 4, riguardante la regolamentazione delle attività di armaioli e intermediari, e dell</w:t>
      </w:r>
      <w:r w:rsidR="003D07FD">
        <w:rPr>
          <w:noProof/>
          <w:sz w:val="24"/>
          <w:szCs w:val="24"/>
        </w:rPr>
        <w:t>'</w:t>
      </w:r>
      <w:r>
        <w:rPr>
          <w:noProof/>
          <w:sz w:val="24"/>
          <w:szCs w:val="24"/>
        </w:rPr>
        <w:t>articolo 4, paragrafo 5, relativo all</w:t>
      </w:r>
      <w:r w:rsidR="003D07FD">
        <w:rPr>
          <w:noProof/>
          <w:sz w:val="24"/>
          <w:szCs w:val="24"/>
        </w:rPr>
        <w:t>'</w:t>
      </w:r>
      <w:r>
        <w:rPr>
          <w:noProof/>
          <w:sz w:val="24"/>
          <w:szCs w:val="24"/>
        </w:rPr>
        <w:t xml:space="preserve">istituzione di un archivio, che dovevano essere recepiti entro il 14 dicembre 2019. </w:t>
      </w:r>
    </w:p>
    <w:p w14:paraId="0E61C043" w14:textId="210629AC" w:rsidR="00F61A6A" w:rsidRDefault="00A337CB" w:rsidP="00E011F0">
      <w:pPr>
        <w:rPr>
          <w:noProof/>
          <w:sz w:val="24"/>
          <w:szCs w:val="24"/>
        </w:rPr>
      </w:pPr>
      <w:r>
        <w:rPr>
          <w:noProof/>
          <w:sz w:val="24"/>
          <w:szCs w:val="24"/>
        </w:rPr>
        <w:t>Per quanto riguarda la prima scadenza</w:t>
      </w:r>
      <w:r>
        <w:rPr>
          <w:rStyle w:val="FootnoteReference"/>
          <w:noProof/>
          <w:sz w:val="24"/>
          <w:szCs w:val="24"/>
        </w:rPr>
        <w:footnoteReference w:id="12"/>
      </w:r>
      <w:r>
        <w:rPr>
          <w:noProof/>
          <w:sz w:val="24"/>
          <w:szCs w:val="24"/>
        </w:rPr>
        <w:t>, la Commissione ha inviato un parere motivato a 20 Stati membri nel luglio 2019; per quanto riguarda la seconda scadenza, il 24 gennaio 2020 ha inviato lettere di costituzione in mora a 17 Stati membri</w:t>
      </w:r>
      <w:r>
        <w:rPr>
          <w:rStyle w:val="FootnoteReference"/>
          <w:noProof/>
          <w:sz w:val="24"/>
          <w:szCs w:val="24"/>
        </w:rPr>
        <w:footnoteReference w:id="13"/>
      </w:r>
      <w:r>
        <w:rPr>
          <w:noProof/>
          <w:sz w:val="24"/>
          <w:szCs w:val="24"/>
        </w:rPr>
        <w:t xml:space="preserve"> per la mancata notifica delle misure nazionali di recepimento. </w:t>
      </w:r>
      <w:bookmarkStart w:id="9" w:name="_Toc65663052"/>
      <w:bookmarkStart w:id="10" w:name="_Toc65663476"/>
      <w:bookmarkStart w:id="11" w:name="_Toc65663506"/>
      <w:bookmarkEnd w:id="9"/>
      <w:bookmarkEnd w:id="10"/>
      <w:bookmarkEnd w:id="11"/>
    </w:p>
    <w:p w14:paraId="3DE18416" w14:textId="1699B2E5" w:rsidR="00E60200" w:rsidRPr="00E011F0" w:rsidRDefault="00E60200" w:rsidP="00E011F0">
      <w:pPr>
        <w:rPr>
          <w:noProof/>
          <w:sz w:val="24"/>
          <w:szCs w:val="24"/>
        </w:rPr>
      </w:pPr>
      <w:r>
        <w:rPr>
          <w:noProof/>
          <w:sz w:val="24"/>
          <w:szCs w:val="24"/>
        </w:rPr>
        <w:t>Il termine per il recepimento delle due direttive di esecuzione della Commissione sulla marcatura e sulle armi d</w:t>
      </w:r>
      <w:r w:rsidR="003D07FD">
        <w:rPr>
          <w:noProof/>
          <w:sz w:val="24"/>
          <w:szCs w:val="24"/>
        </w:rPr>
        <w:t>'</w:t>
      </w:r>
      <w:r>
        <w:rPr>
          <w:noProof/>
          <w:sz w:val="24"/>
          <w:szCs w:val="24"/>
        </w:rPr>
        <w:t>allarme o da segnalazione era il 17 gennaio 2020. Il 28 maggio 2020 la Commissione ha avviato procedure di infrazione nei confronti di 19 Stati membri (marcatura)</w:t>
      </w:r>
      <w:r>
        <w:rPr>
          <w:rStyle w:val="FootnoteReference"/>
          <w:noProof/>
          <w:sz w:val="24"/>
          <w:szCs w:val="24"/>
        </w:rPr>
        <w:footnoteReference w:id="14"/>
      </w:r>
      <w:r>
        <w:rPr>
          <w:noProof/>
          <w:sz w:val="24"/>
          <w:szCs w:val="24"/>
        </w:rPr>
        <w:t xml:space="preserve"> e di 17 Stati membri (armi d</w:t>
      </w:r>
      <w:r w:rsidR="003D07FD">
        <w:rPr>
          <w:noProof/>
          <w:sz w:val="24"/>
          <w:szCs w:val="24"/>
        </w:rPr>
        <w:t>'</w:t>
      </w:r>
      <w:r>
        <w:rPr>
          <w:noProof/>
          <w:sz w:val="24"/>
          <w:szCs w:val="24"/>
        </w:rPr>
        <w:t>allarme o da segnalazione)</w:t>
      </w:r>
      <w:r>
        <w:rPr>
          <w:rStyle w:val="FootnoteReference"/>
          <w:noProof/>
          <w:sz w:val="24"/>
          <w:szCs w:val="24"/>
        </w:rPr>
        <w:footnoteReference w:id="15"/>
      </w:r>
      <w:r>
        <w:rPr>
          <w:noProof/>
          <w:sz w:val="24"/>
          <w:szCs w:val="24"/>
        </w:rPr>
        <w:t xml:space="preserve">. </w:t>
      </w:r>
    </w:p>
    <w:p w14:paraId="0F950DC5" w14:textId="11377A54" w:rsidR="009A7A34" w:rsidRDefault="001A1789" w:rsidP="00AD6223">
      <w:pPr>
        <w:rPr>
          <w:noProof/>
          <w:sz w:val="24"/>
          <w:szCs w:val="24"/>
        </w:rPr>
      </w:pPr>
      <w:r>
        <w:rPr>
          <w:noProof/>
          <w:sz w:val="24"/>
          <w:szCs w:val="24"/>
        </w:rPr>
        <w:t>Al 15 agosto 2021 le procedure di infrazione aperte relative alla direttiva sulle armi da fuoco e al diritto derivato erano 80. Tutte riguardavano la mancata notifica delle misure di recepimento. Nel frattempo alcuni Stati membri hanno notificato il pieno recepimento alla Commissione. Si prevede pertanto che nei prossimi mesi saranno chiuse varie procedure.</w:t>
      </w:r>
    </w:p>
    <w:p w14:paraId="7A0A99D7" w14:textId="7D39CD26" w:rsidR="00FB7F6A" w:rsidRDefault="00FB7F6A" w:rsidP="00FB7F6A">
      <w:pPr>
        <w:rPr>
          <w:noProof/>
          <w:sz w:val="24"/>
          <w:szCs w:val="24"/>
        </w:rPr>
      </w:pPr>
      <w:r>
        <w:rPr>
          <w:noProof/>
          <w:sz w:val="24"/>
          <w:szCs w:val="24"/>
        </w:rPr>
        <w:t>La Commissione ha effettuato il controllo del recepimento e ha verificato se gli Stati membri, anche quelli che hanno notificato le misure nazionali di recepimento in tempo, avessero recepito completamente il diritto dell</w:t>
      </w:r>
      <w:r w:rsidR="003D07FD">
        <w:rPr>
          <w:noProof/>
          <w:sz w:val="24"/>
          <w:szCs w:val="24"/>
        </w:rPr>
        <w:t>'</w:t>
      </w:r>
      <w:r>
        <w:rPr>
          <w:noProof/>
          <w:sz w:val="24"/>
          <w:szCs w:val="24"/>
        </w:rPr>
        <w:t>Unione nei loro sistemi giuridici. Per valutare la completezza del recepimento la Commissione ha esaminato anche le misure non notificate.</w:t>
      </w:r>
    </w:p>
    <w:p w14:paraId="3A9A7DB7" w14:textId="459FF0DB" w:rsidR="005B4200" w:rsidRDefault="005E2C14" w:rsidP="00AD6223">
      <w:pPr>
        <w:rPr>
          <w:noProof/>
          <w:sz w:val="24"/>
          <w:szCs w:val="24"/>
        </w:rPr>
      </w:pPr>
      <w:r>
        <w:rPr>
          <w:noProof/>
          <w:sz w:val="24"/>
          <w:szCs w:val="24"/>
        </w:rPr>
        <w:t>La valutazione iniziale descritta di seguito si concentra sulle principali modifiche della direttiva introdotte nel 2017 e sulle due direttive di esecuzione del 2019.</w:t>
      </w:r>
    </w:p>
    <w:p w14:paraId="53D5B41D" w14:textId="0E5DE839" w:rsidR="002077F4" w:rsidRPr="00686FE8" w:rsidRDefault="003E5DCD" w:rsidP="00706EAC">
      <w:pPr>
        <w:rPr>
          <w:noProof/>
          <w:sz w:val="24"/>
          <w:szCs w:val="24"/>
        </w:rPr>
      </w:pPr>
      <w:r>
        <w:rPr>
          <w:noProof/>
          <w:sz w:val="24"/>
          <w:szCs w:val="24"/>
        </w:rPr>
        <w:t>L</w:t>
      </w:r>
      <w:r w:rsidR="003D07FD">
        <w:rPr>
          <w:noProof/>
          <w:sz w:val="24"/>
          <w:szCs w:val="24"/>
        </w:rPr>
        <w:t>'</w:t>
      </w:r>
      <w:r>
        <w:rPr>
          <w:noProof/>
          <w:sz w:val="24"/>
          <w:szCs w:val="24"/>
        </w:rPr>
        <w:t xml:space="preserve">articolo 1 della direttiva </w:t>
      </w:r>
      <w:bookmarkStart w:id="12" w:name="_Toc66179162"/>
      <w:r>
        <w:rPr>
          <w:noProof/>
          <w:sz w:val="24"/>
          <w:szCs w:val="24"/>
        </w:rPr>
        <w:t xml:space="preserve">contiene </w:t>
      </w:r>
      <w:bookmarkEnd w:id="12"/>
      <w:r>
        <w:rPr>
          <w:noProof/>
          <w:sz w:val="24"/>
          <w:szCs w:val="24"/>
        </w:rPr>
        <w:t xml:space="preserve">15 </w:t>
      </w:r>
      <w:r>
        <w:rPr>
          <w:b/>
          <w:noProof/>
          <w:sz w:val="24"/>
          <w:szCs w:val="24"/>
        </w:rPr>
        <w:t>definizioni</w:t>
      </w:r>
      <w:r>
        <w:rPr>
          <w:noProof/>
          <w:sz w:val="24"/>
          <w:szCs w:val="24"/>
        </w:rPr>
        <w:t>: cinque sono completamente nuove e altre sono state aggiornate. In particolare esse garantiscono che l</w:t>
      </w:r>
      <w:r w:rsidR="003D07FD">
        <w:rPr>
          <w:noProof/>
          <w:sz w:val="24"/>
          <w:szCs w:val="24"/>
        </w:rPr>
        <w:t>'</w:t>
      </w:r>
      <w:r>
        <w:rPr>
          <w:noProof/>
          <w:sz w:val="24"/>
          <w:szCs w:val="24"/>
        </w:rPr>
        <w:t>ambito di applicazione materiale (ad es. le armi d</w:t>
      </w:r>
      <w:r w:rsidR="003D07FD">
        <w:rPr>
          <w:noProof/>
          <w:sz w:val="24"/>
          <w:szCs w:val="24"/>
        </w:rPr>
        <w:t>'</w:t>
      </w:r>
      <w:r>
        <w:rPr>
          <w:noProof/>
          <w:sz w:val="24"/>
          <w:szCs w:val="24"/>
        </w:rPr>
        <w:t>allarme o da segnalazione, le armi da saluto e acustiche) e l</w:t>
      </w:r>
      <w:r w:rsidR="003D07FD">
        <w:rPr>
          <w:noProof/>
          <w:sz w:val="24"/>
          <w:szCs w:val="24"/>
        </w:rPr>
        <w:t>'</w:t>
      </w:r>
      <w:r>
        <w:rPr>
          <w:noProof/>
          <w:sz w:val="24"/>
          <w:szCs w:val="24"/>
        </w:rPr>
        <w:t>ambito di applicazione personale (ad es. collezionisti, musei, intermediari) della direttiva siano applicati in maniera coerente in tutta l</w:t>
      </w:r>
      <w:r w:rsidR="003D07FD">
        <w:rPr>
          <w:noProof/>
          <w:sz w:val="24"/>
          <w:szCs w:val="24"/>
        </w:rPr>
        <w:t>'</w:t>
      </w:r>
      <w:r>
        <w:rPr>
          <w:noProof/>
          <w:sz w:val="24"/>
          <w:szCs w:val="24"/>
        </w:rPr>
        <w:t xml:space="preserve">UE. </w:t>
      </w:r>
    </w:p>
    <w:p w14:paraId="42511469" w14:textId="2DF91C2D" w:rsidR="00FB7F6A" w:rsidRPr="00686FE8" w:rsidRDefault="001A1789" w:rsidP="00FB7F6A">
      <w:pPr>
        <w:rPr>
          <w:noProof/>
          <w:sz w:val="24"/>
          <w:szCs w:val="24"/>
        </w:rPr>
      </w:pPr>
      <w:r>
        <w:rPr>
          <w:noProof/>
          <w:sz w:val="24"/>
          <w:szCs w:val="24"/>
        </w:rPr>
        <w:t>22 Stati membri hanno recepito tutte le definizioni (Belgio, Bulgaria, Cechia, Danimarca, Germania, Estonia, Irlanda, Grecia, Spagna, Francia, Croazia, Italia, Cipro, Lettonia, Lituania, Ungheria, Malta, Austria, Polonia, Portogallo, Romania e Finlandia), tre Stati membri hanno recepito solo parte delle definizioni (Paesi Bassi, Slovacchia e Svezia) e due Stati membri non hanno notificato alcuna misura di recepimento (Lussemburgo e Slovenia).</w:t>
      </w:r>
    </w:p>
    <w:p w14:paraId="64D33742" w14:textId="41AF03D7" w:rsidR="0044117E" w:rsidRPr="00686FE8" w:rsidRDefault="00ED00CD" w:rsidP="00706EAC">
      <w:pPr>
        <w:rPr>
          <w:noProof/>
          <w:sz w:val="24"/>
          <w:szCs w:val="24"/>
        </w:rPr>
      </w:pPr>
      <w:r>
        <w:rPr>
          <w:noProof/>
          <w:sz w:val="24"/>
          <w:szCs w:val="24"/>
        </w:rPr>
        <w:t xml:space="preserve">La direttiva sulle armi da fuoco ha introdotto nuove disposizioni sulle attività degli </w:t>
      </w:r>
      <w:r>
        <w:rPr>
          <w:b/>
          <w:noProof/>
          <w:sz w:val="24"/>
          <w:szCs w:val="24"/>
        </w:rPr>
        <w:t>armaioli e degli intermediari</w:t>
      </w:r>
      <w:r>
        <w:rPr>
          <w:noProof/>
          <w:sz w:val="24"/>
          <w:szCs w:val="24"/>
        </w:rPr>
        <w:t xml:space="preserve"> (articolo 1, paragrafo 1, articolo 4, paragrafi 4 e 5, e articolo 13, paragrafo 2). Tutti gli Stati membri eccetto tre (Danimarca, Lussemburgo e Slovenia) hanno recepito tutte le disposizioni.</w:t>
      </w:r>
    </w:p>
    <w:p w14:paraId="2812DF00" w14:textId="4FC88ACD" w:rsidR="00EC4238" w:rsidRPr="00686FE8" w:rsidRDefault="000648CB" w:rsidP="00EC4238">
      <w:pPr>
        <w:rPr>
          <w:noProof/>
          <w:sz w:val="24"/>
          <w:szCs w:val="24"/>
        </w:rPr>
      </w:pPr>
      <w:r>
        <w:rPr>
          <w:noProof/>
          <w:sz w:val="24"/>
          <w:szCs w:val="24"/>
        </w:rPr>
        <w:t>L</w:t>
      </w:r>
      <w:r w:rsidR="003D07FD">
        <w:rPr>
          <w:noProof/>
          <w:sz w:val="24"/>
          <w:szCs w:val="24"/>
        </w:rPr>
        <w:t>'</w:t>
      </w:r>
      <w:r>
        <w:rPr>
          <w:noProof/>
          <w:sz w:val="24"/>
          <w:szCs w:val="24"/>
        </w:rPr>
        <w:t xml:space="preserve">articolo 4, paragrafi 1 e 2, ha modificato sostanzialmente le norme in materia di </w:t>
      </w:r>
      <w:r>
        <w:rPr>
          <w:b/>
          <w:noProof/>
          <w:sz w:val="24"/>
          <w:szCs w:val="24"/>
        </w:rPr>
        <w:t>marcatura</w:t>
      </w:r>
      <w:r>
        <w:rPr>
          <w:noProof/>
          <w:sz w:val="24"/>
          <w:szCs w:val="24"/>
        </w:rPr>
        <w:t>. Tutti gli Stati membri eccetto due (Lussemburgo e Slovenia) hanno recepito tutte le disposizioni.</w:t>
      </w:r>
    </w:p>
    <w:p w14:paraId="5184CDF2" w14:textId="3090C258" w:rsidR="007338CC" w:rsidRDefault="00033EC7" w:rsidP="00682ABD">
      <w:pPr>
        <w:rPr>
          <w:noProof/>
          <w:sz w:val="24"/>
          <w:szCs w:val="24"/>
        </w:rPr>
      </w:pPr>
      <w:r>
        <w:rPr>
          <w:noProof/>
          <w:sz w:val="24"/>
          <w:szCs w:val="24"/>
        </w:rPr>
        <w:t>Inoltre 18 Stati membri hanno recepito le disposizioni della direttiva di esecuzione (UE) 2019/68 in materia di marcatura (Belgio, Cechia, Danimarca, Germania, Estonia, Grecia, Spagna, Francia, Croazia, Cipro, Lettonia, Lituania, Ungheria, Malta, Paesi Bassi, Austria, Portogallo e Slovacchia), mentre 9 Stati membri non hanno notificato alcuna misura oppure non hanno completato il recepimento (Bulgaria, Irlanda, Italia, Lussemburgo, Polonia, Romania, Slovenia, Finlandia e Svezia).</w:t>
      </w:r>
    </w:p>
    <w:p w14:paraId="2CEDD14A" w14:textId="52F94068" w:rsidR="00111A2D" w:rsidRPr="00686FE8" w:rsidRDefault="003456D1" w:rsidP="00111A2D">
      <w:pPr>
        <w:rPr>
          <w:noProof/>
          <w:sz w:val="24"/>
          <w:szCs w:val="24"/>
        </w:rPr>
      </w:pPr>
      <w:r>
        <w:rPr>
          <w:noProof/>
          <w:sz w:val="24"/>
          <w:szCs w:val="24"/>
        </w:rPr>
        <w:t>L</w:t>
      </w:r>
      <w:r w:rsidR="003D07FD">
        <w:rPr>
          <w:noProof/>
          <w:sz w:val="24"/>
          <w:szCs w:val="24"/>
        </w:rPr>
        <w:t>'</w:t>
      </w:r>
      <w:r>
        <w:rPr>
          <w:noProof/>
          <w:sz w:val="24"/>
          <w:szCs w:val="24"/>
        </w:rPr>
        <w:t>articolo 4, paragrafo 5, e l</w:t>
      </w:r>
      <w:r w:rsidR="003D07FD">
        <w:rPr>
          <w:noProof/>
          <w:sz w:val="24"/>
          <w:szCs w:val="24"/>
        </w:rPr>
        <w:t>'</w:t>
      </w:r>
      <w:r>
        <w:rPr>
          <w:noProof/>
          <w:sz w:val="24"/>
          <w:szCs w:val="24"/>
        </w:rPr>
        <w:t xml:space="preserve">articolo 18, paragrafo 4, della direttiva sulle armi da fuoco riveduta nel 2017 migliorano la quantità e la qualità dei dati registrati negli </w:t>
      </w:r>
      <w:r>
        <w:rPr>
          <w:b/>
          <w:noProof/>
          <w:sz w:val="24"/>
          <w:szCs w:val="24"/>
        </w:rPr>
        <w:t>archivi nonché lo scambio di informazioni</w:t>
      </w:r>
      <w:r>
        <w:rPr>
          <w:noProof/>
          <w:sz w:val="24"/>
          <w:szCs w:val="24"/>
        </w:rPr>
        <w:t xml:space="preserve"> con e tra le autorità nazionali competenti. Tali disposizioni sono state recepite appieno da 23 Stati membri (Belgio, Bulgaria, Cechia, Germania, Estonia, Grecia, Spagna, Francia, Croazia, Italia, Cipro, Lettonia, Lituania, Ungheria, Malta, Paesi Bassi, Austria, Polonia, Portogallo, Romania, Slovacchia, Finlandia e Svezia), mentre quattro Stati membri non hanno notificato alcuna misura oppure non hanno completato il recepimento (Danimarca, Irlanda, Lussemburgo e Slovenia).</w:t>
      </w:r>
    </w:p>
    <w:p w14:paraId="48A65DB5" w14:textId="4E02DA61" w:rsidR="00DC72DD" w:rsidRPr="00686FE8" w:rsidRDefault="00C572E2" w:rsidP="00DC72DD">
      <w:pPr>
        <w:rPr>
          <w:noProof/>
          <w:sz w:val="24"/>
          <w:szCs w:val="24"/>
        </w:rPr>
      </w:pPr>
      <w:r>
        <w:rPr>
          <w:noProof/>
          <w:sz w:val="24"/>
          <w:szCs w:val="24"/>
        </w:rPr>
        <w:t>L</w:t>
      </w:r>
      <w:r w:rsidR="003D07FD">
        <w:rPr>
          <w:noProof/>
          <w:sz w:val="24"/>
          <w:szCs w:val="24"/>
        </w:rPr>
        <w:t>'</w:t>
      </w:r>
      <w:r>
        <w:rPr>
          <w:noProof/>
          <w:sz w:val="24"/>
          <w:szCs w:val="24"/>
        </w:rPr>
        <w:t xml:space="preserve">articolo 9, paragrafo 1, della direttiva sulle armi da fuoco stabilisce norme più severe per le armi da fuoco più pericolose facendole rientrare nella </w:t>
      </w:r>
      <w:r>
        <w:rPr>
          <w:b/>
          <w:noProof/>
          <w:sz w:val="24"/>
          <w:szCs w:val="24"/>
        </w:rPr>
        <w:t>categoria A</w:t>
      </w:r>
      <w:r>
        <w:rPr>
          <w:noProof/>
          <w:sz w:val="24"/>
          <w:szCs w:val="24"/>
        </w:rPr>
        <w:t>, che, fatte salve alcune deroghe limitate e debitamente motivate, vieta l</w:t>
      </w:r>
      <w:r w:rsidR="003D07FD">
        <w:rPr>
          <w:noProof/>
          <w:sz w:val="24"/>
          <w:szCs w:val="24"/>
        </w:rPr>
        <w:t>'</w:t>
      </w:r>
      <w:r>
        <w:rPr>
          <w:noProof/>
          <w:sz w:val="24"/>
          <w:szCs w:val="24"/>
        </w:rPr>
        <w:t>acquisizione, la detenzione e gli scambi di tali armi. Tutti gli Stati membri eccetto due (Lussemburgo e Slovenia) hanno recepito l</w:t>
      </w:r>
      <w:r w:rsidR="003D07FD">
        <w:rPr>
          <w:noProof/>
          <w:sz w:val="24"/>
          <w:szCs w:val="24"/>
        </w:rPr>
        <w:t>'</w:t>
      </w:r>
      <w:r>
        <w:rPr>
          <w:noProof/>
          <w:sz w:val="24"/>
          <w:szCs w:val="24"/>
        </w:rPr>
        <w:t>articolo 9, paragrafo 1.</w:t>
      </w:r>
    </w:p>
    <w:p w14:paraId="4CE1FE17" w14:textId="002578B8" w:rsidR="005541D0" w:rsidRPr="00686FE8" w:rsidRDefault="00C70046" w:rsidP="005541D0">
      <w:pPr>
        <w:rPr>
          <w:noProof/>
          <w:sz w:val="24"/>
          <w:szCs w:val="24"/>
        </w:rPr>
      </w:pPr>
      <w:r>
        <w:rPr>
          <w:noProof/>
          <w:sz w:val="24"/>
          <w:szCs w:val="24"/>
        </w:rPr>
        <w:t xml:space="preserve">La direttiva sulle armi da fuoco ha aggiornato alcuni articoli correlati alla </w:t>
      </w:r>
      <w:r>
        <w:rPr>
          <w:b/>
          <w:noProof/>
          <w:sz w:val="24"/>
          <w:szCs w:val="24"/>
        </w:rPr>
        <w:t>carta europea d</w:t>
      </w:r>
      <w:r w:rsidR="003D07FD">
        <w:rPr>
          <w:b/>
          <w:noProof/>
          <w:sz w:val="24"/>
          <w:szCs w:val="24"/>
        </w:rPr>
        <w:t>'</w:t>
      </w:r>
      <w:r>
        <w:rPr>
          <w:b/>
          <w:noProof/>
          <w:sz w:val="24"/>
          <w:szCs w:val="24"/>
        </w:rPr>
        <w:t>arma da fuoco</w:t>
      </w:r>
      <w:r>
        <w:rPr>
          <w:noProof/>
          <w:sz w:val="24"/>
          <w:szCs w:val="24"/>
        </w:rPr>
        <w:t>, tra cui la definizione, l</w:t>
      </w:r>
      <w:r w:rsidR="003D07FD">
        <w:rPr>
          <w:noProof/>
          <w:sz w:val="24"/>
          <w:szCs w:val="24"/>
        </w:rPr>
        <w:t>'</w:t>
      </w:r>
      <w:r>
        <w:rPr>
          <w:noProof/>
          <w:sz w:val="24"/>
          <w:szCs w:val="24"/>
        </w:rPr>
        <w:t>obbligo di includere una menzione sulla carta europea d</w:t>
      </w:r>
      <w:r w:rsidR="003D07FD">
        <w:rPr>
          <w:noProof/>
          <w:sz w:val="24"/>
          <w:szCs w:val="24"/>
        </w:rPr>
        <w:t>'</w:t>
      </w:r>
      <w:r>
        <w:rPr>
          <w:noProof/>
          <w:sz w:val="24"/>
          <w:szCs w:val="24"/>
        </w:rPr>
        <w:t>arma da fuoco e di informare gli altri Stati membri quando un</w:t>
      </w:r>
      <w:r w:rsidR="003D07FD">
        <w:rPr>
          <w:noProof/>
          <w:sz w:val="24"/>
          <w:szCs w:val="24"/>
        </w:rPr>
        <w:t>'</w:t>
      </w:r>
      <w:r>
        <w:rPr>
          <w:noProof/>
          <w:sz w:val="24"/>
          <w:szCs w:val="24"/>
        </w:rPr>
        <w:t>arma rientrante nelle categorie B o C è soggetta ad autorizzazione o vietata. Tutti gli Stati membri eccetto due (Lussemburgo e Slovenia) hanno recepito tutte le disposizioni.</w:t>
      </w:r>
    </w:p>
    <w:p w14:paraId="5E7501BB" w14:textId="3FE2DB54" w:rsidR="005541D0" w:rsidRPr="00686FE8" w:rsidRDefault="00033EC7" w:rsidP="005541D0">
      <w:pPr>
        <w:rPr>
          <w:noProof/>
          <w:sz w:val="24"/>
          <w:szCs w:val="24"/>
        </w:rPr>
      </w:pPr>
      <w:r>
        <w:rPr>
          <w:noProof/>
          <w:sz w:val="24"/>
          <w:szCs w:val="24"/>
        </w:rPr>
        <w:t xml:space="preserve">Alcune </w:t>
      </w:r>
      <w:r>
        <w:rPr>
          <w:b/>
          <w:noProof/>
          <w:sz w:val="24"/>
          <w:szCs w:val="24"/>
        </w:rPr>
        <w:t>armi d</w:t>
      </w:r>
      <w:r w:rsidR="003D07FD">
        <w:rPr>
          <w:b/>
          <w:noProof/>
          <w:sz w:val="24"/>
          <w:szCs w:val="24"/>
        </w:rPr>
        <w:t>'</w:t>
      </w:r>
      <w:r>
        <w:rPr>
          <w:b/>
          <w:noProof/>
          <w:sz w:val="24"/>
          <w:szCs w:val="24"/>
        </w:rPr>
        <w:t>allarme o da segnalazione</w:t>
      </w:r>
      <w:r>
        <w:rPr>
          <w:noProof/>
          <w:sz w:val="24"/>
          <w:szCs w:val="24"/>
        </w:rPr>
        <w:t xml:space="preserve"> potrebbero inoltre essere trasformate facilmente in armi da fuoco letali con semplici attrezzi e un minimo di conoscenze. Poiché le autorità competenti degli Stati membri e la Commissione</w:t>
      </w:r>
      <w:r>
        <w:rPr>
          <w:rStyle w:val="FootnoteReference"/>
          <w:noProof/>
          <w:sz w:val="24"/>
          <w:szCs w:val="24"/>
        </w:rPr>
        <w:footnoteReference w:id="16"/>
      </w:r>
      <w:r>
        <w:rPr>
          <w:noProof/>
          <w:sz w:val="24"/>
          <w:szCs w:val="24"/>
        </w:rPr>
        <w:t xml:space="preserve"> hanno ritenuto che questo modus operandi rappresenti una minaccia specifica, sono state introdotte nuove disposizioni nella direttiva sulle armi da fuoco (articolo 1, paragrafo 1, articolo 14 e allegato I). Tutti gli Stati membri eccetto quattro (Lussemburgo, Slovenia, Slovacchia e Svezia) hanno recepito tutte le disposizioni.</w:t>
      </w:r>
    </w:p>
    <w:p w14:paraId="4063FF58" w14:textId="42E4E1D1" w:rsidR="001C0B82" w:rsidRPr="00945D5D" w:rsidRDefault="001A1789" w:rsidP="001C0B82">
      <w:pPr>
        <w:rPr>
          <w:noProof/>
          <w:sz w:val="24"/>
          <w:szCs w:val="24"/>
        </w:rPr>
      </w:pPr>
      <w:r>
        <w:rPr>
          <w:noProof/>
          <w:sz w:val="24"/>
          <w:szCs w:val="24"/>
        </w:rPr>
        <w:t>13 Stati membri hanno recepito la direttiva di esecuzione (UE) 2019/69 che stabilisce le specifiche tecniche relative alle armi d</w:t>
      </w:r>
      <w:r w:rsidR="003D07FD">
        <w:rPr>
          <w:noProof/>
          <w:sz w:val="24"/>
          <w:szCs w:val="24"/>
        </w:rPr>
        <w:t>'</w:t>
      </w:r>
      <w:r>
        <w:rPr>
          <w:noProof/>
          <w:sz w:val="24"/>
          <w:szCs w:val="24"/>
        </w:rPr>
        <w:t xml:space="preserve">allarme o da segnalazione (Danimarca, Germania, Estonia, Spagna, Francia, Cipro, Lettonia, Lituania, Ungheria, Austria, Portogallo, Slovacchia e Finlandia), mentre 14 Stati membri non hanno notificato alcuna misura di recepimento oppure non hanno completato il recepimento (Belgio, Bulgaria, Cechia, Irlanda, Grecia, Croazia, Italia, Lussemburgo, Malta, Paesi Bassi, Polonia, Romania, Slovenia e Svezia). </w:t>
      </w:r>
    </w:p>
    <w:p w14:paraId="6850FC4E" w14:textId="6F4BCC05" w:rsidR="00F536EA" w:rsidRPr="00686FE8" w:rsidRDefault="00033EC7" w:rsidP="00F536EA">
      <w:pPr>
        <w:rPr>
          <w:noProof/>
          <w:sz w:val="24"/>
          <w:szCs w:val="24"/>
        </w:rPr>
      </w:pPr>
      <w:r>
        <w:rPr>
          <w:noProof/>
          <w:sz w:val="24"/>
          <w:szCs w:val="24"/>
        </w:rPr>
        <w:t xml:space="preserve">Le </w:t>
      </w:r>
      <w:r>
        <w:rPr>
          <w:b/>
          <w:noProof/>
          <w:sz w:val="24"/>
          <w:szCs w:val="24"/>
        </w:rPr>
        <w:t>armi da saluto e acustiche</w:t>
      </w:r>
      <w:r>
        <w:rPr>
          <w:noProof/>
          <w:sz w:val="24"/>
          <w:szCs w:val="24"/>
        </w:rPr>
        <w:t xml:space="preserve"> sono armi da fuoco originariamente letali che sono state modificate in modo tale che non possano scaricare un proiettile, ma solo munizioni a salve. Poiché di norma le modifiche sono apportate solo alla camera e alla canna, qualunque persona con un minimo di conoscenze e attrezzi comuni potrebbe ritrasformarle illegalmente in armi da fuoco letali. La direttiva sulle armi da fuoco riveduta nel 2017 ha affrontato anche questa minaccia garantendo che esse rimangano nella loro categoria di origine (articolo 1, paragrafo 1, e allegato I). Tutti gli Stati membri eccetto cinque (Lussemburgo, Paesi Bassi, Slovenia, Slovacchia e Svezia) hanno recepito tutte le disposizioni.</w:t>
      </w:r>
    </w:p>
    <w:p w14:paraId="05EC26E3" w14:textId="6234CD8C" w:rsidR="0018566D" w:rsidRPr="00686FE8" w:rsidRDefault="00BB7818" w:rsidP="0018566D">
      <w:pPr>
        <w:rPr>
          <w:noProof/>
          <w:sz w:val="24"/>
          <w:szCs w:val="24"/>
        </w:rPr>
      </w:pPr>
      <w:r>
        <w:rPr>
          <w:noProof/>
          <w:sz w:val="24"/>
          <w:szCs w:val="24"/>
        </w:rPr>
        <w:t>L</w:t>
      </w:r>
      <w:r w:rsidR="003D07FD">
        <w:rPr>
          <w:noProof/>
          <w:sz w:val="24"/>
          <w:szCs w:val="24"/>
        </w:rPr>
        <w:t>'</w:t>
      </w:r>
      <w:r>
        <w:rPr>
          <w:noProof/>
          <w:sz w:val="24"/>
          <w:szCs w:val="24"/>
        </w:rPr>
        <w:t>articolo 1, paragrafo 1, e l</w:t>
      </w:r>
      <w:r w:rsidR="003D07FD">
        <w:rPr>
          <w:noProof/>
          <w:sz w:val="24"/>
          <w:szCs w:val="24"/>
        </w:rPr>
        <w:t>'</w:t>
      </w:r>
      <w:r>
        <w:rPr>
          <w:noProof/>
          <w:sz w:val="24"/>
          <w:szCs w:val="24"/>
        </w:rPr>
        <w:t>articolo 15 della direttiva sull</w:t>
      </w:r>
      <w:r w:rsidR="002437F4">
        <w:rPr>
          <w:noProof/>
          <w:sz w:val="24"/>
          <w:szCs w:val="24"/>
        </w:rPr>
        <w:t>e armi da fuoco introducono dal </w:t>
      </w:r>
      <w:r>
        <w:rPr>
          <w:noProof/>
          <w:sz w:val="24"/>
          <w:szCs w:val="24"/>
        </w:rPr>
        <w:t xml:space="preserve">2017 nuove norme sulle </w:t>
      </w:r>
      <w:r>
        <w:rPr>
          <w:b/>
          <w:noProof/>
          <w:sz w:val="24"/>
          <w:szCs w:val="24"/>
        </w:rPr>
        <w:t>armi da fuoco disattivate</w:t>
      </w:r>
      <w:r>
        <w:rPr>
          <w:noProof/>
          <w:sz w:val="24"/>
          <w:szCs w:val="24"/>
        </w:rPr>
        <w:t>, in particolare subordinandole a una dichiarazione, e norme specifiche in materia di verifica, marcatura e trasferimenti.</w:t>
      </w:r>
    </w:p>
    <w:p w14:paraId="3CF8378C" w14:textId="3882F210" w:rsidR="008F1DC5" w:rsidRDefault="005541D0" w:rsidP="007F0A0C">
      <w:pPr>
        <w:rPr>
          <w:noProof/>
          <w:sz w:val="24"/>
          <w:szCs w:val="24"/>
        </w:rPr>
      </w:pPr>
      <w:r>
        <w:rPr>
          <w:noProof/>
          <w:sz w:val="24"/>
          <w:szCs w:val="24"/>
        </w:rPr>
        <w:t xml:space="preserve">Tutti gli Stati membri eccetto tre (Lussemburgo, Slovenia e Svezia) hanno recepito tutte le disposizioni. </w:t>
      </w:r>
    </w:p>
    <w:p w14:paraId="5E89429E" w14:textId="4BBA74FE" w:rsidR="005541D0" w:rsidRDefault="007F0A0C" w:rsidP="007F0A0C">
      <w:pPr>
        <w:rPr>
          <w:noProof/>
          <w:sz w:val="24"/>
          <w:szCs w:val="24"/>
        </w:rPr>
      </w:pPr>
      <w:r>
        <w:rPr>
          <w:noProof/>
          <w:sz w:val="24"/>
          <w:szCs w:val="24"/>
        </w:rPr>
        <w:t>Al 15 agosto 2021 la Commissione può pertanto concludere che solo 10 Stati membri hanno completato il recepimento delle disposizioni analizzate nella presente relazione e che rappresentano le principali modifiche introdotte dalla direttiva sulle armi da fuoco nel 2017 e dalle due direttive di esecuzione (Germania, Estonia, Spagna, Francia, Cipro, Lettonia, Lituania, Ungheria, Austria e Portogallo), 15 Stati membri non hanno recepito alcune delle disposizioni (Belgio, Bulgaria, Cechia, Danimarca, Irlanda, Grecia, Croazia, Italia, Malta, Paesi Bassi, Polonia, Romania, Slovacchia, Finlandia e Svezia) e due Stati membri non hanno notificato alcuna misura (Lussemburgo e Slovenia).</w:t>
      </w:r>
    </w:p>
    <w:p w14:paraId="7A8B5861" w14:textId="26D583DF" w:rsidR="00FB7F6A" w:rsidRDefault="00FB7F6A" w:rsidP="00FB7F6A">
      <w:pPr>
        <w:rPr>
          <w:noProof/>
          <w:sz w:val="24"/>
          <w:szCs w:val="24"/>
        </w:rPr>
      </w:pPr>
      <w:r>
        <w:rPr>
          <w:noProof/>
          <w:sz w:val="24"/>
          <w:szCs w:val="24"/>
        </w:rPr>
        <w:t>La valutazione iniziale di cui sopra non pregiudica la posizione della Commissione nelle procedure di infrazione in corso o future né equivale a un giudizio sulla valutazione della conformità delle leggi nazionali di recepimento, che la Commissione deve ancora completare. Nella fase iniziale della valutazione la Commissione aveva già individuato casi di recepimento scorretto in alcuni Stati membri.</w:t>
      </w:r>
    </w:p>
    <w:p w14:paraId="5D9B8EB6" w14:textId="07DF84DF" w:rsidR="00BF24F7" w:rsidRPr="00686FE8" w:rsidRDefault="00BF24F7" w:rsidP="00BF24F7">
      <w:pPr>
        <w:rPr>
          <w:noProof/>
          <w:sz w:val="24"/>
          <w:szCs w:val="24"/>
        </w:rPr>
      </w:pPr>
      <w:r>
        <w:rPr>
          <w:noProof/>
          <w:sz w:val="24"/>
          <w:szCs w:val="24"/>
        </w:rPr>
        <w:t>La Commissione intensificherà pertanto il monitoraggio dell</w:t>
      </w:r>
      <w:r w:rsidR="003D07FD">
        <w:rPr>
          <w:noProof/>
          <w:sz w:val="24"/>
          <w:szCs w:val="24"/>
        </w:rPr>
        <w:t>'</w:t>
      </w:r>
      <w:r>
        <w:rPr>
          <w:noProof/>
          <w:sz w:val="24"/>
          <w:szCs w:val="24"/>
        </w:rPr>
        <w:t>attuazione negli Stati membri e utilizzerà appieno i poteri conferitile dal trattato ogniqualvolta necessario.</w:t>
      </w:r>
    </w:p>
    <w:p w14:paraId="27ADAFB3" w14:textId="77777777" w:rsidR="00ED00CD" w:rsidRPr="00E3236D" w:rsidRDefault="00ED00CD" w:rsidP="00DA05C2">
      <w:pPr>
        <w:pStyle w:val="Heading1"/>
        <w:rPr>
          <w:noProof/>
        </w:rPr>
      </w:pPr>
      <w:r>
        <w:rPr>
          <w:noProof/>
        </w:rPr>
        <w:t>Attenzione a questioni specifiche</w:t>
      </w:r>
    </w:p>
    <w:p w14:paraId="4D3A1FB9" w14:textId="77777777" w:rsidR="001644E0" w:rsidRPr="006A7F07" w:rsidRDefault="001644E0" w:rsidP="0014591F">
      <w:pPr>
        <w:pStyle w:val="Heading2"/>
        <w:rPr>
          <w:noProof/>
        </w:rPr>
      </w:pPr>
      <w:bookmarkStart w:id="13" w:name="_Toc66179163"/>
      <w:r>
        <w:rPr>
          <w:noProof/>
        </w:rPr>
        <w:t>Categorie di armi</w:t>
      </w:r>
      <w:bookmarkEnd w:id="13"/>
    </w:p>
    <w:p w14:paraId="49DFD0CD" w14:textId="137CF423" w:rsidR="006958D1" w:rsidRPr="006A7F07" w:rsidRDefault="005E2C14" w:rsidP="004E3E94">
      <w:pPr>
        <w:pStyle w:val="Heading3"/>
        <w:rPr>
          <w:noProof/>
        </w:rPr>
      </w:pPr>
      <w:bookmarkStart w:id="14" w:name="_Toc66179164"/>
      <w:r>
        <w:rPr>
          <w:noProof/>
        </w:rPr>
        <w:t>Questioni di categorizzazione generali</w:t>
      </w:r>
      <w:bookmarkEnd w:id="14"/>
    </w:p>
    <w:p w14:paraId="2A5A2516" w14:textId="23F585C2" w:rsidR="005C3C89" w:rsidRPr="00590A0F" w:rsidRDefault="00FE37C2" w:rsidP="00370D6C">
      <w:pPr>
        <w:rPr>
          <w:noProof/>
          <w:sz w:val="24"/>
          <w:szCs w:val="24"/>
        </w:rPr>
      </w:pPr>
      <w:r>
        <w:rPr>
          <w:noProof/>
          <w:sz w:val="24"/>
          <w:szCs w:val="24"/>
        </w:rPr>
        <w:t>L</w:t>
      </w:r>
      <w:r w:rsidR="003D07FD">
        <w:rPr>
          <w:noProof/>
          <w:sz w:val="24"/>
          <w:szCs w:val="24"/>
        </w:rPr>
        <w:t>'</w:t>
      </w:r>
      <w:r>
        <w:rPr>
          <w:noProof/>
          <w:sz w:val="24"/>
          <w:szCs w:val="24"/>
        </w:rPr>
        <w:t>analisi del recepimento delle disposizioni che rappresentano le principali modifiche della direttiva introdotte nel 2017 evidenzia la complessità delle sfide poste dal recepimento di alcune definizioni, dalle categorie di armi da fuoco di cui all</w:t>
      </w:r>
      <w:r w:rsidR="003D07FD">
        <w:rPr>
          <w:noProof/>
          <w:sz w:val="24"/>
          <w:szCs w:val="24"/>
        </w:rPr>
        <w:t>'</w:t>
      </w:r>
      <w:r>
        <w:rPr>
          <w:noProof/>
          <w:sz w:val="24"/>
          <w:szCs w:val="24"/>
        </w:rPr>
        <w:t xml:space="preserve">allegato I e dalle molteplici eccezioni riflesse in alcuni articoli della direttiva sulle armi da fuoco. </w:t>
      </w:r>
    </w:p>
    <w:p w14:paraId="5F4D83F3" w14:textId="69C87B53" w:rsidR="00BF0BE2" w:rsidRPr="00370D6C" w:rsidRDefault="00BF0BE2" w:rsidP="00370D6C">
      <w:pPr>
        <w:rPr>
          <w:noProof/>
          <w:sz w:val="24"/>
          <w:szCs w:val="24"/>
        </w:rPr>
      </w:pPr>
      <w:r>
        <w:rPr>
          <w:noProof/>
          <w:sz w:val="24"/>
          <w:szCs w:val="24"/>
        </w:rPr>
        <w:t>La direttiva sulle armi da fuoco ha aggiunto nuove armi da fuoco all</w:t>
      </w:r>
      <w:r w:rsidR="003D07FD">
        <w:rPr>
          <w:noProof/>
          <w:sz w:val="24"/>
          <w:szCs w:val="24"/>
        </w:rPr>
        <w:t>'</w:t>
      </w:r>
      <w:r>
        <w:rPr>
          <w:noProof/>
          <w:sz w:val="24"/>
          <w:szCs w:val="24"/>
        </w:rPr>
        <w:t xml:space="preserve">elenco di armi proibite (categoria A). Al tempo stesso ha introdotto un lungo elenco di deroghe a tale divieto e ha subordinato le suddette armi da fuoco ad autorizzazione in circostanze ben definite. </w:t>
      </w:r>
    </w:p>
    <w:p w14:paraId="16B5FEAB" w14:textId="2A882424" w:rsidR="000C6B67" w:rsidRPr="00370D6C" w:rsidRDefault="007F0A0C" w:rsidP="00034EED">
      <w:pPr>
        <w:rPr>
          <w:noProof/>
          <w:sz w:val="24"/>
          <w:szCs w:val="24"/>
        </w:rPr>
      </w:pPr>
      <w:r>
        <w:rPr>
          <w:noProof/>
          <w:sz w:val="24"/>
          <w:szCs w:val="24"/>
        </w:rPr>
        <w:t>Inoltre le armi d</w:t>
      </w:r>
      <w:r w:rsidR="003D07FD">
        <w:rPr>
          <w:noProof/>
          <w:sz w:val="24"/>
          <w:szCs w:val="24"/>
        </w:rPr>
        <w:t>'</w:t>
      </w:r>
      <w:r>
        <w:rPr>
          <w:noProof/>
          <w:sz w:val="24"/>
          <w:szCs w:val="24"/>
        </w:rPr>
        <w:t xml:space="preserve">allarme o da segnalazione non sono considerate armi da fuoco poiché si ritiene che </w:t>
      </w:r>
      <w:r w:rsidR="003D07FD">
        <w:rPr>
          <w:noProof/>
          <w:sz w:val="24"/>
          <w:szCs w:val="24"/>
        </w:rPr>
        <w:t>"</w:t>
      </w:r>
      <w:r>
        <w:rPr>
          <w:noProof/>
          <w:sz w:val="24"/>
          <w:szCs w:val="24"/>
        </w:rPr>
        <w:t>non possano essere trasformate</w:t>
      </w:r>
      <w:r w:rsidR="003D07FD">
        <w:rPr>
          <w:noProof/>
          <w:sz w:val="24"/>
          <w:szCs w:val="24"/>
        </w:rPr>
        <w:t>"</w:t>
      </w:r>
      <w:r>
        <w:rPr>
          <w:noProof/>
          <w:sz w:val="24"/>
          <w:szCs w:val="24"/>
        </w:rPr>
        <w:t>, mentre le armi da fuoco disattivate rimangono soggette a dichiarazione. In più le armi da fuoco che sono trasformate in armi da saluto e acustiche affinché diventino definitivamente inadatte a sparare un proiettile continuano a essere classificate nella loro categoria originale, anche se potrebbero essere altrettanto sicure delle armi d</w:t>
      </w:r>
      <w:r w:rsidR="003D07FD">
        <w:rPr>
          <w:noProof/>
          <w:sz w:val="24"/>
          <w:szCs w:val="24"/>
        </w:rPr>
        <w:t>'</w:t>
      </w:r>
      <w:r>
        <w:rPr>
          <w:noProof/>
          <w:sz w:val="24"/>
          <w:szCs w:val="24"/>
        </w:rPr>
        <w:t xml:space="preserve">allarme o da segnalazione vere e proprie. </w:t>
      </w:r>
    </w:p>
    <w:p w14:paraId="5A39AFBD" w14:textId="6C90595A" w:rsidR="00C65B33" w:rsidRDefault="005D7EB9" w:rsidP="00B239C6">
      <w:pPr>
        <w:pStyle w:val="HistoryTable"/>
        <w:rPr>
          <w:noProof/>
          <w:sz w:val="24"/>
          <w:szCs w:val="24"/>
        </w:rPr>
      </w:pPr>
      <w:r>
        <w:rPr>
          <w:noProof/>
          <w:sz w:val="24"/>
          <w:szCs w:val="24"/>
        </w:rPr>
        <w:t>Infine le autorità di contrasto hanno osservato un</w:t>
      </w:r>
      <w:r w:rsidR="003D07FD">
        <w:rPr>
          <w:noProof/>
          <w:sz w:val="24"/>
          <w:szCs w:val="24"/>
        </w:rPr>
        <w:t>'</w:t>
      </w:r>
      <w:r>
        <w:rPr>
          <w:noProof/>
          <w:sz w:val="24"/>
          <w:szCs w:val="24"/>
        </w:rPr>
        <w:t xml:space="preserve">impennata nel sequestro di armi </w:t>
      </w:r>
      <w:r w:rsidR="003D07FD">
        <w:rPr>
          <w:noProof/>
          <w:sz w:val="24"/>
          <w:szCs w:val="24"/>
        </w:rPr>
        <w:t>"</w:t>
      </w:r>
      <w:r>
        <w:rPr>
          <w:noProof/>
          <w:sz w:val="24"/>
          <w:szCs w:val="24"/>
        </w:rPr>
        <w:t>softair</w:t>
      </w:r>
      <w:r w:rsidR="003D07FD">
        <w:rPr>
          <w:noProof/>
          <w:sz w:val="24"/>
          <w:szCs w:val="24"/>
        </w:rPr>
        <w:t>"</w:t>
      </w:r>
      <w:r>
        <w:rPr>
          <w:noProof/>
          <w:sz w:val="24"/>
          <w:szCs w:val="24"/>
        </w:rPr>
        <w:t xml:space="preserve"> (che sparano biglie di plastica mediante gas compresso) trasformate in modo da sparare munizioni. Benché in alcuni Stati membri dell</w:t>
      </w:r>
      <w:r w:rsidR="003D07FD">
        <w:rPr>
          <w:noProof/>
          <w:sz w:val="24"/>
          <w:szCs w:val="24"/>
        </w:rPr>
        <w:t>'</w:t>
      </w:r>
      <w:r>
        <w:rPr>
          <w:noProof/>
          <w:sz w:val="24"/>
          <w:szCs w:val="24"/>
        </w:rPr>
        <w:t>UE siano disciplinate come armi da fuoco, tali armi sono attualmente escluse dall</w:t>
      </w:r>
      <w:r w:rsidR="003D07FD">
        <w:rPr>
          <w:noProof/>
          <w:sz w:val="24"/>
          <w:szCs w:val="24"/>
        </w:rPr>
        <w:t>'</w:t>
      </w:r>
      <w:r>
        <w:rPr>
          <w:noProof/>
          <w:sz w:val="24"/>
          <w:szCs w:val="24"/>
        </w:rPr>
        <w:t xml:space="preserve">ambito di applicazione della direttiva. </w:t>
      </w:r>
    </w:p>
    <w:p w14:paraId="5EF7A2A9" w14:textId="17ABBD07" w:rsidR="00B239C6" w:rsidRPr="00E45535" w:rsidRDefault="00B239C6" w:rsidP="00B239C6">
      <w:pPr>
        <w:pStyle w:val="HistoryTable"/>
        <w:rPr>
          <w:noProof/>
          <w:sz w:val="24"/>
          <w:szCs w:val="24"/>
        </w:rPr>
      </w:pPr>
      <w:r>
        <w:rPr>
          <w:noProof/>
          <w:sz w:val="24"/>
          <w:szCs w:val="24"/>
        </w:rPr>
        <w:t>La Commissione valuterà pertanto l</w:t>
      </w:r>
      <w:r w:rsidR="003D07FD">
        <w:rPr>
          <w:noProof/>
          <w:sz w:val="24"/>
          <w:szCs w:val="24"/>
        </w:rPr>
        <w:t>'</w:t>
      </w:r>
      <w:r>
        <w:rPr>
          <w:noProof/>
          <w:sz w:val="24"/>
          <w:szCs w:val="24"/>
        </w:rPr>
        <w:t xml:space="preserve">impatto del chiarimento della </w:t>
      </w:r>
      <w:r>
        <w:rPr>
          <w:b/>
          <w:noProof/>
          <w:sz w:val="24"/>
          <w:szCs w:val="24"/>
        </w:rPr>
        <w:t>distinzione tra armi da fuoco proibite e armi da fuoco soggette ad autorizzazione</w:t>
      </w:r>
      <w:r>
        <w:rPr>
          <w:noProof/>
          <w:sz w:val="24"/>
          <w:szCs w:val="24"/>
        </w:rPr>
        <w:t xml:space="preserve"> al fine di garantire che le armi da fuoco proibite possano essere detenute solo in casi del tutto eccezionali. Una potenziale valutazione potrebbe altresì garantire che </w:t>
      </w:r>
      <w:r>
        <w:rPr>
          <w:b/>
          <w:noProof/>
          <w:sz w:val="24"/>
          <w:szCs w:val="24"/>
        </w:rPr>
        <w:t>tutte le armi che sono inadatte a sparare un proiettile</w:t>
      </w:r>
      <w:r>
        <w:rPr>
          <w:noProof/>
          <w:sz w:val="24"/>
          <w:szCs w:val="24"/>
        </w:rPr>
        <w:t xml:space="preserve"> (dopo la disattivazione oppure fin dalla loro fabbricazione) ma che potrebbero essere trasformate in modo da sparare un proiettile grazie a conoscenze e attrezzi specializzati siano almeno soggette a dichiarazione.</w:t>
      </w:r>
    </w:p>
    <w:p w14:paraId="5D28249B" w14:textId="1E1AAB81" w:rsidR="00B30E8D" w:rsidRPr="006A7F07" w:rsidRDefault="00B30E8D" w:rsidP="004E3E94">
      <w:pPr>
        <w:pStyle w:val="Heading3"/>
        <w:rPr>
          <w:noProof/>
        </w:rPr>
      </w:pPr>
      <w:bookmarkStart w:id="15" w:name="_Toc66179165"/>
      <w:r>
        <w:rPr>
          <w:noProof/>
        </w:rPr>
        <w:t xml:space="preserve">Armi da fuoco a munizioni </w:t>
      </w:r>
      <w:r w:rsidR="003D07FD">
        <w:rPr>
          <w:noProof/>
        </w:rPr>
        <w:t>"</w:t>
      </w:r>
      <w:r>
        <w:rPr>
          <w:noProof/>
        </w:rPr>
        <w:t>Flobert</w:t>
      </w:r>
      <w:r w:rsidR="003D07FD">
        <w:rPr>
          <w:noProof/>
        </w:rPr>
        <w:t>"</w:t>
      </w:r>
      <w:r>
        <w:rPr>
          <w:noProof/>
        </w:rPr>
        <w:t xml:space="preserve"> di piccolo calibro</w:t>
      </w:r>
      <w:bookmarkEnd w:id="15"/>
      <w:r>
        <w:rPr>
          <w:noProof/>
        </w:rPr>
        <w:t xml:space="preserve"> </w:t>
      </w:r>
    </w:p>
    <w:p w14:paraId="681127C5" w14:textId="318998BF" w:rsidR="00B30E44" w:rsidRPr="008E41A4" w:rsidRDefault="00B30E44" w:rsidP="008E41A4">
      <w:pPr>
        <w:rPr>
          <w:noProof/>
          <w:sz w:val="24"/>
          <w:szCs w:val="24"/>
        </w:rPr>
      </w:pPr>
      <w:r>
        <w:rPr>
          <w:noProof/>
          <w:sz w:val="24"/>
          <w:szCs w:val="24"/>
        </w:rPr>
        <w:t xml:space="preserve">Le munizioni Flobert e le armi correlate sono state sviluppate nel 19° secolo per il tiro al chiuso. Sparano capsule a percussione contenenti un piccolo proiettile e una piccola quantità di polvere. Le munizioni Flobert sono caratterizzate da una pressione e da una velocità alla bocca relativamente basse e oggigiorno sono pubblicizzate come armi da fuoco per la pratica del tiro sportivo. </w:t>
      </w:r>
    </w:p>
    <w:p w14:paraId="752FAC1F" w14:textId="6148044F" w:rsidR="00104F7D" w:rsidRPr="001001C9" w:rsidRDefault="00B30E44" w:rsidP="001001C9">
      <w:pPr>
        <w:rPr>
          <w:noProof/>
          <w:sz w:val="24"/>
          <w:szCs w:val="24"/>
        </w:rPr>
      </w:pPr>
      <w:r>
        <w:rPr>
          <w:noProof/>
          <w:sz w:val="24"/>
          <w:szCs w:val="24"/>
        </w:rPr>
        <w:t>In qualche Stato membro dell</w:t>
      </w:r>
      <w:r w:rsidR="003D07FD">
        <w:rPr>
          <w:noProof/>
          <w:sz w:val="24"/>
          <w:szCs w:val="24"/>
        </w:rPr>
        <w:t>'</w:t>
      </w:r>
      <w:r>
        <w:rPr>
          <w:noProof/>
          <w:sz w:val="24"/>
          <w:szCs w:val="24"/>
        </w:rPr>
        <w:t>UE</w:t>
      </w:r>
      <w:r>
        <w:rPr>
          <w:rStyle w:val="FootnoteReference"/>
          <w:noProof/>
          <w:sz w:val="24"/>
          <w:szCs w:val="24"/>
        </w:rPr>
        <w:footnoteReference w:id="17"/>
      </w:r>
      <w:r>
        <w:rPr>
          <w:noProof/>
          <w:sz w:val="24"/>
          <w:szCs w:val="24"/>
        </w:rPr>
        <w:t xml:space="preserve"> alcuni produttori di armi da fuoco hanno iniziato a produrre determinati modelli di armi da fuoco in calibro Flobert. Stando alle informazioni e alle relazioni fornite dalle autorità nazionali di contrasto e da Europol, i tipi di arma da fuoco che possono sparare munizioni Flobert sono essenzialmente due. Nella loro </w:t>
      </w:r>
      <w:r w:rsidR="003D07FD">
        <w:rPr>
          <w:noProof/>
          <w:sz w:val="24"/>
          <w:szCs w:val="24"/>
        </w:rPr>
        <w:t>"</w:t>
      </w:r>
      <w:r>
        <w:rPr>
          <w:noProof/>
          <w:sz w:val="24"/>
          <w:szCs w:val="24"/>
        </w:rPr>
        <w:t>concezione classica</w:t>
      </w:r>
      <w:r w:rsidR="003D07FD">
        <w:rPr>
          <w:noProof/>
          <w:sz w:val="24"/>
          <w:szCs w:val="24"/>
        </w:rPr>
        <w:t>"</w:t>
      </w:r>
      <w:r>
        <w:rPr>
          <w:noProof/>
          <w:sz w:val="24"/>
          <w:szCs w:val="24"/>
        </w:rPr>
        <w:t>, in base ai requisiti delle versioni originali delle armi da fuoco Flobert, la struttura e il meccanismo interni della canna non possono essere modificati in modo da sparare un tipo di calibro differente, più letale.</w:t>
      </w:r>
    </w:p>
    <w:p w14:paraId="14CA8FB1" w14:textId="0FD34256" w:rsidR="005E2A85" w:rsidRPr="00942927" w:rsidRDefault="001001C9" w:rsidP="009F1BF1">
      <w:pPr>
        <w:pStyle w:val="ListBullet"/>
        <w:numPr>
          <w:ilvl w:val="0"/>
          <w:numId w:val="0"/>
        </w:numPr>
        <w:rPr>
          <w:noProof/>
          <w:sz w:val="24"/>
          <w:szCs w:val="24"/>
        </w:rPr>
      </w:pPr>
      <w:r>
        <w:rPr>
          <w:noProof/>
          <w:sz w:val="24"/>
          <w:szCs w:val="24"/>
        </w:rPr>
        <w:t xml:space="preserve">Nella loro </w:t>
      </w:r>
      <w:r w:rsidR="003D07FD">
        <w:rPr>
          <w:noProof/>
          <w:sz w:val="24"/>
          <w:szCs w:val="24"/>
        </w:rPr>
        <w:t>"</w:t>
      </w:r>
      <w:r>
        <w:rPr>
          <w:noProof/>
          <w:sz w:val="24"/>
          <w:szCs w:val="24"/>
        </w:rPr>
        <w:t>concezione moderna</w:t>
      </w:r>
      <w:r w:rsidR="003D07FD">
        <w:rPr>
          <w:noProof/>
          <w:sz w:val="24"/>
          <w:szCs w:val="24"/>
        </w:rPr>
        <w:t>"</w:t>
      </w:r>
      <w:r>
        <w:rPr>
          <w:noProof/>
          <w:sz w:val="24"/>
          <w:szCs w:val="24"/>
        </w:rPr>
        <w:t>, si tratta principalmente di fucili, carabine, pistole mitragliatrici e armi da fuoco corte il cui meccanismo interno è comunque in grado di sparare munizioni di calibro di 9 mm o simile. In tal caso è modificata solo la canna tramite l</w:t>
      </w:r>
      <w:r w:rsidR="003D07FD">
        <w:rPr>
          <w:noProof/>
          <w:sz w:val="24"/>
          <w:szCs w:val="24"/>
        </w:rPr>
        <w:t>'</w:t>
      </w:r>
      <w:r>
        <w:rPr>
          <w:noProof/>
          <w:sz w:val="24"/>
          <w:szCs w:val="24"/>
        </w:rPr>
        <w:t>installazione di una canna all</w:t>
      </w:r>
      <w:r w:rsidR="003D07FD">
        <w:rPr>
          <w:noProof/>
          <w:sz w:val="24"/>
          <w:szCs w:val="24"/>
        </w:rPr>
        <w:t>'</w:t>
      </w:r>
      <w:r>
        <w:rPr>
          <w:noProof/>
          <w:sz w:val="24"/>
          <w:szCs w:val="24"/>
        </w:rPr>
        <w:t xml:space="preserve">interno di quella originale, ridotta per contenere munizioni Flobert di 4 o 6 mm di calibro, e saldata alla canna originale alla bocca. </w:t>
      </w:r>
    </w:p>
    <w:p w14:paraId="5B6763BA" w14:textId="4F57460C" w:rsidR="00692323" w:rsidRPr="00942927" w:rsidRDefault="00692323" w:rsidP="00084537">
      <w:pPr>
        <w:rPr>
          <w:noProof/>
          <w:sz w:val="24"/>
          <w:szCs w:val="24"/>
        </w:rPr>
      </w:pPr>
      <w:r>
        <w:rPr>
          <w:noProof/>
          <w:sz w:val="24"/>
          <w:szCs w:val="24"/>
        </w:rPr>
        <w:t>Approfittando del recepimento tardivo o scorretto della direttiva sulle armi da fuoco, le armi da fuoco di calibro letale rientranti nelle categorie B o C sono talvolta trasformate in armi di calibro Flobert negli Stati membri in cui questi tipi di armi da fuoco sono ancora soggetti a dichiarazione o a misure ancor meno restrittive.</w:t>
      </w:r>
    </w:p>
    <w:p w14:paraId="2869B1D6" w14:textId="39C87C94" w:rsidR="007B3401" w:rsidRDefault="00F02A17" w:rsidP="007B3401">
      <w:pPr>
        <w:rPr>
          <w:noProof/>
          <w:sz w:val="24"/>
          <w:szCs w:val="24"/>
        </w:rPr>
      </w:pPr>
      <w:r>
        <w:rPr>
          <w:noProof/>
          <w:sz w:val="24"/>
          <w:szCs w:val="24"/>
        </w:rPr>
        <w:t>Sia la valutazione della minaccia rappresentata dalla criminalità organizzata e dalle forme gravi di criminalità nell</w:t>
      </w:r>
      <w:r w:rsidR="003D07FD">
        <w:rPr>
          <w:noProof/>
          <w:sz w:val="24"/>
          <w:szCs w:val="24"/>
        </w:rPr>
        <w:t>'</w:t>
      </w:r>
      <w:r>
        <w:rPr>
          <w:noProof/>
          <w:sz w:val="24"/>
          <w:szCs w:val="24"/>
        </w:rPr>
        <w:t>Unione europea 2021</w:t>
      </w:r>
      <w:r>
        <w:rPr>
          <w:noProof/>
          <w:vertAlign w:val="superscript"/>
        </w:rPr>
        <w:footnoteReference w:id="18"/>
      </w:r>
      <w:r>
        <w:rPr>
          <w:noProof/>
          <w:sz w:val="24"/>
          <w:szCs w:val="24"/>
        </w:rPr>
        <w:t xml:space="preserve"> che alcune relazioni di Europol hanno evidenziato la minaccia posta dalla trasformazione illegale delle armi da fuoco Flobert </w:t>
      </w:r>
      <w:r w:rsidR="003D07FD">
        <w:rPr>
          <w:noProof/>
          <w:sz w:val="24"/>
          <w:szCs w:val="24"/>
        </w:rPr>
        <w:t>"</w:t>
      </w:r>
      <w:r>
        <w:rPr>
          <w:noProof/>
          <w:sz w:val="24"/>
          <w:szCs w:val="24"/>
        </w:rPr>
        <w:t>di concezione moderna</w:t>
      </w:r>
      <w:r w:rsidR="003D07FD">
        <w:rPr>
          <w:noProof/>
          <w:sz w:val="24"/>
          <w:szCs w:val="24"/>
        </w:rPr>
        <w:t>"</w:t>
      </w:r>
      <w:r>
        <w:rPr>
          <w:noProof/>
          <w:sz w:val="24"/>
          <w:szCs w:val="24"/>
        </w:rPr>
        <w:t>, che ha portato a migliaia di sequestri in tutta l</w:t>
      </w:r>
      <w:r w:rsidR="003D07FD">
        <w:rPr>
          <w:noProof/>
          <w:sz w:val="24"/>
          <w:szCs w:val="24"/>
        </w:rPr>
        <w:t>'</w:t>
      </w:r>
      <w:r>
        <w:rPr>
          <w:noProof/>
          <w:sz w:val="24"/>
          <w:szCs w:val="24"/>
        </w:rPr>
        <w:t>Unione europea.</w:t>
      </w:r>
    </w:p>
    <w:p w14:paraId="48A7DA62" w14:textId="0AF8F5E6" w:rsidR="00D0122D" w:rsidRDefault="00F0423B" w:rsidP="00F0423B">
      <w:pPr>
        <w:rPr>
          <w:noProof/>
          <w:sz w:val="24"/>
          <w:szCs w:val="24"/>
        </w:rPr>
      </w:pPr>
      <w:r>
        <w:rPr>
          <w:noProof/>
          <w:sz w:val="24"/>
          <w:szCs w:val="24"/>
        </w:rPr>
        <w:t>A norma della direttiva sulle armi da fuoco, tali armi sono armi da fuoco, poiché le capsule a percussione sono un tipo di combustibile propellente. Né la definizione di arma da fuoco né le differenti categorie fanno riferimento alle dimensioni del calibro o all</w:t>
      </w:r>
      <w:r w:rsidR="003D07FD">
        <w:rPr>
          <w:noProof/>
          <w:sz w:val="24"/>
          <w:szCs w:val="24"/>
        </w:rPr>
        <w:t>'</w:t>
      </w:r>
      <w:r>
        <w:rPr>
          <w:noProof/>
          <w:sz w:val="24"/>
          <w:szCs w:val="24"/>
        </w:rPr>
        <w:t>energia alla bocca, che pertanto sono considerazioni irrilevanti per stabilire se un</w:t>
      </w:r>
      <w:r w:rsidR="003D07FD">
        <w:rPr>
          <w:noProof/>
          <w:sz w:val="24"/>
          <w:szCs w:val="24"/>
        </w:rPr>
        <w:t>'</w:t>
      </w:r>
      <w:r>
        <w:rPr>
          <w:noProof/>
          <w:sz w:val="24"/>
          <w:szCs w:val="24"/>
        </w:rPr>
        <w:t>arma Flobert sia un</w:t>
      </w:r>
      <w:r w:rsidR="003D07FD">
        <w:rPr>
          <w:noProof/>
          <w:sz w:val="24"/>
          <w:szCs w:val="24"/>
        </w:rPr>
        <w:t>'</w:t>
      </w:r>
      <w:r>
        <w:rPr>
          <w:noProof/>
          <w:sz w:val="24"/>
          <w:szCs w:val="24"/>
        </w:rPr>
        <w:t xml:space="preserve">arma da fuoco o a quale categoria appartenga. </w:t>
      </w:r>
    </w:p>
    <w:p w14:paraId="79D81B5B" w14:textId="34055CE3" w:rsidR="00FC2177" w:rsidRPr="00347AD0" w:rsidRDefault="00D0122D" w:rsidP="00F0423B">
      <w:pPr>
        <w:rPr>
          <w:b/>
          <w:noProof/>
          <w:sz w:val="24"/>
          <w:szCs w:val="24"/>
        </w:rPr>
      </w:pPr>
      <w:r>
        <w:rPr>
          <w:noProof/>
          <w:sz w:val="24"/>
          <w:szCs w:val="24"/>
        </w:rPr>
        <w:t xml:space="preserve">La Commissione invita tutti gli Stati membri a recepire correttamente la direttiva sulle armi da fuoco in proposito, </w:t>
      </w:r>
      <w:r>
        <w:rPr>
          <w:b/>
          <w:noProof/>
          <w:sz w:val="24"/>
          <w:szCs w:val="24"/>
        </w:rPr>
        <w:t>classificando opportunamente come armi da fuoco le armi che possono espellere munizioni Flobert ai sensi dell</w:t>
      </w:r>
      <w:r w:rsidR="003D07FD">
        <w:rPr>
          <w:b/>
          <w:noProof/>
          <w:sz w:val="24"/>
          <w:szCs w:val="24"/>
        </w:rPr>
        <w:t>'</w:t>
      </w:r>
      <w:r>
        <w:rPr>
          <w:b/>
          <w:noProof/>
          <w:sz w:val="24"/>
          <w:szCs w:val="24"/>
        </w:rPr>
        <w:t>allegato I della direttiva sulle armi da fuoco</w:t>
      </w:r>
      <w:r>
        <w:rPr>
          <w:noProof/>
          <w:sz w:val="24"/>
          <w:szCs w:val="24"/>
        </w:rPr>
        <w:t>.</w:t>
      </w:r>
    </w:p>
    <w:p w14:paraId="729E703C" w14:textId="77777777" w:rsidR="00B30E8D" w:rsidRPr="006A7F07" w:rsidRDefault="00B30E8D" w:rsidP="004E3E94">
      <w:pPr>
        <w:pStyle w:val="Heading3"/>
        <w:rPr>
          <w:noProof/>
        </w:rPr>
      </w:pPr>
      <w:bookmarkStart w:id="16" w:name="_Toc66179166"/>
      <w:r>
        <w:rPr>
          <w:noProof/>
        </w:rPr>
        <w:t>Armi da fuoco antiche</w:t>
      </w:r>
      <w:bookmarkEnd w:id="16"/>
    </w:p>
    <w:p w14:paraId="4344A981" w14:textId="7E46B0D6" w:rsidR="004A432F" w:rsidRPr="003348AC" w:rsidRDefault="0057690B" w:rsidP="00B90B8C">
      <w:pPr>
        <w:rPr>
          <w:noProof/>
          <w:sz w:val="24"/>
          <w:szCs w:val="24"/>
        </w:rPr>
      </w:pPr>
      <w:r>
        <w:rPr>
          <w:noProof/>
          <w:sz w:val="24"/>
          <w:szCs w:val="24"/>
        </w:rPr>
        <w:t xml:space="preserve">A volte nelle attività criminali si utilizzano armi da fuoco potenzialmente in grado di essere classificate come </w:t>
      </w:r>
      <w:r w:rsidR="003D07FD">
        <w:rPr>
          <w:noProof/>
          <w:sz w:val="24"/>
          <w:szCs w:val="24"/>
        </w:rPr>
        <w:t>"</w:t>
      </w:r>
      <w:r>
        <w:rPr>
          <w:noProof/>
          <w:sz w:val="24"/>
          <w:szCs w:val="24"/>
        </w:rPr>
        <w:t>armi antiche</w:t>
      </w:r>
      <w:r w:rsidR="003D07FD">
        <w:rPr>
          <w:noProof/>
          <w:sz w:val="24"/>
          <w:szCs w:val="24"/>
        </w:rPr>
        <w:t>"</w:t>
      </w:r>
      <w:r>
        <w:rPr>
          <w:noProof/>
          <w:sz w:val="24"/>
          <w:szCs w:val="24"/>
        </w:rPr>
        <w:t>, come ha dimostrato per esempio l</w:t>
      </w:r>
      <w:r w:rsidR="003D07FD">
        <w:rPr>
          <w:noProof/>
          <w:sz w:val="24"/>
          <w:szCs w:val="24"/>
        </w:rPr>
        <w:t>'</w:t>
      </w:r>
      <w:r>
        <w:rPr>
          <w:noProof/>
          <w:sz w:val="24"/>
          <w:szCs w:val="24"/>
        </w:rPr>
        <w:t>attentato terroristico compiuto a Strasburgo nel 2018, in cui hanno perso la vita nove persone e 11 sono rimaste ferite. L</w:t>
      </w:r>
      <w:r w:rsidR="003D07FD">
        <w:rPr>
          <w:noProof/>
          <w:sz w:val="24"/>
          <w:szCs w:val="24"/>
        </w:rPr>
        <w:t>'</w:t>
      </w:r>
      <w:r>
        <w:rPr>
          <w:noProof/>
          <w:sz w:val="24"/>
          <w:szCs w:val="24"/>
        </w:rPr>
        <w:t xml:space="preserve">allegato I, parte III, della direttiva sulle armi da fuoco stabilisce tuttavia che gli oggetti che sono considerati </w:t>
      </w:r>
      <w:r w:rsidR="003D07FD">
        <w:rPr>
          <w:noProof/>
          <w:sz w:val="24"/>
          <w:szCs w:val="24"/>
        </w:rPr>
        <w:t>"</w:t>
      </w:r>
      <w:r>
        <w:rPr>
          <w:noProof/>
          <w:sz w:val="24"/>
          <w:szCs w:val="24"/>
        </w:rPr>
        <w:t>armi antiche</w:t>
      </w:r>
      <w:r w:rsidR="003D07FD">
        <w:rPr>
          <w:noProof/>
          <w:sz w:val="24"/>
          <w:szCs w:val="24"/>
        </w:rPr>
        <w:t>"</w:t>
      </w:r>
      <w:r>
        <w:rPr>
          <w:noProof/>
          <w:sz w:val="24"/>
          <w:szCs w:val="24"/>
        </w:rPr>
        <w:t xml:space="preserve"> non sono inclusi nella definizione di </w:t>
      </w:r>
      <w:r w:rsidR="003D07FD">
        <w:rPr>
          <w:noProof/>
          <w:sz w:val="24"/>
          <w:szCs w:val="24"/>
        </w:rPr>
        <w:t>"</w:t>
      </w:r>
      <w:r>
        <w:rPr>
          <w:noProof/>
          <w:sz w:val="24"/>
          <w:szCs w:val="24"/>
        </w:rPr>
        <w:t>arma da fuoco</w:t>
      </w:r>
      <w:r w:rsidR="003D07FD">
        <w:rPr>
          <w:noProof/>
          <w:sz w:val="24"/>
          <w:szCs w:val="24"/>
        </w:rPr>
        <w:t>"</w:t>
      </w:r>
      <w:r>
        <w:rPr>
          <w:noProof/>
          <w:sz w:val="24"/>
          <w:szCs w:val="24"/>
        </w:rPr>
        <w:t xml:space="preserve"> e pertanto esulano dall</w:t>
      </w:r>
      <w:r w:rsidR="003D07FD">
        <w:rPr>
          <w:noProof/>
          <w:sz w:val="24"/>
          <w:szCs w:val="24"/>
        </w:rPr>
        <w:t>'</w:t>
      </w:r>
      <w:r>
        <w:rPr>
          <w:noProof/>
          <w:sz w:val="24"/>
          <w:szCs w:val="24"/>
        </w:rPr>
        <w:t xml:space="preserve">ambito di applicazione della direttiva, a condizione che tali armi non siano comprese nelle categorie della direttiva e che siano soggette alle legislazioni nazionali. </w:t>
      </w:r>
    </w:p>
    <w:p w14:paraId="3C278F82" w14:textId="10753DD6" w:rsidR="0005482E" w:rsidRDefault="0057690B" w:rsidP="00B90B8C">
      <w:pPr>
        <w:rPr>
          <w:noProof/>
          <w:sz w:val="24"/>
          <w:szCs w:val="24"/>
        </w:rPr>
      </w:pPr>
      <w:r>
        <w:rPr>
          <w:noProof/>
          <w:sz w:val="24"/>
          <w:szCs w:val="24"/>
        </w:rPr>
        <w:t>Durante la riunione del comitato armi da fuoco del 18 dicembre 2019 una maggioranza di Stati membri aveva fatto presente di essere favorevole all</w:t>
      </w:r>
      <w:r w:rsidR="003D07FD">
        <w:rPr>
          <w:noProof/>
          <w:sz w:val="24"/>
          <w:szCs w:val="24"/>
        </w:rPr>
        <w:t>'</w:t>
      </w:r>
      <w:r>
        <w:rPr>
          <w:noProof/>
          <w:sz w:val="24"/>
          <w:szCs w:val="24"/>
        </w:rPr>
        <w:t>armonizzazione delle norme sulle armi antiche a livello dell</w:t>
      </w:r>
      <w:r w:rsidR="003D07FD">
        <w:rPr>
          <w:noProof/>
          <w:sz w:val="24"/>
          <w:szCs w:val="24"/>
        </w:rPr>
        <w:t>'</w:t>
      </w:r>
      <w:r>
        <w:rPr>
          <w:noProof/>
          <w:sz w:val="24"/>
          <w:szCs w:val="24"/>
        </w:rPr>
        <w:t>UE. Alcuni di essi avevano messo in discussione la pertinenza stessa di esonerare le armi da fuoco antiche dai requisiti della direttiva sulle armi da fuoco sulla base del loro anno di fabbricazione anziché della loro capacità di nuocere.</w:t>
      </w:r>
    </w:p>
    <w:p w14:paraId="4FFE9544" w14:textId="21598C98" w:rsidR="00F3559F" w:rsidRPr="00E45535" w:rsidRDefault="00F3559F" w:rsidP="00F3559F">
      <w:pPr>
        <w:rPr>
          <w:noProof/>
          <w:sz w:val="24"/>
          <w:szCs w:val="24"/>
        </w:rPr>
      </w:pPr>
      <w:r>
        <w:rPr>
          <w:noProof/>
          <w:sz w:val="24"/>
          <w:szCs w:val="24"/>
        </w:rPr>
        <w:t>La Commissione valuterà l</w:t>
      </w:r>
      <w:r w:rsidR="003D07FD">
        <w:rPr>
          <w:noProof/>
          <w:sz w:val="24"/>
          <w:szCs w:val="24"/>
        </w:rPr>
        <w:t>'</w:t>
      </w:r>
      <w:r>
        <w:rPr>
          <w:noProof/>
          <w:sz w:val="24"/>
          <w:szCs w:val="24"/>
        </w:rPr>
        <w:t>impatto dell</w:t>
      </w:r>
      <w:r w:rsidR="003D07FD">
        <w:rPr>
          <w:noProof/>
          <w:sz w:val="24"/>
          <w:szCs w:val="24"/>
        </w:rPr>
        <w:t>'</w:t>
      </w:r>
      <w:r>
        <w:rPr>
          <w:b/>
          <w:noProof/>
          <w:sz w:val="24"/>
          <w:szCs w:val="24"/>
        </w:rPr>
        <w:t>inclusione delle armi antiche nell</w:t>
      </w:r>
      <w:r w:rsidR="003D07FD">
        <w:rPr>
          <w:b/>
          <w:noProof/>
          <w:sz w:val="24"/>
          <w:szCs w:val="24"/>
        </w:rPr>
        <w:t>'</w:t>
      </w:r>
      <w:r>
        <w:rPr>
          <w:b/>
          <w:noProof/>
          <w:sz w:val="24"/>
          <w:szCs w:val="24"/>
        </w:rPr>
        <w:t>ambito di applicazione della direttiva</w:t>
      </w:r>
      <w:r>
        <w:rPr>
          <w:noProof/>
          <w:sz w:val="24"/>
          <w:szCs w:val="24"/>
        </w:rPr>
        <w:t xml:space="preserve"> al fine di armonizzare le norme in tutti gli Stati membri.</w:t>
      </w:r>
    </w:p>
    <w:p w14:paraId="73ACAC2C" w14:textId="77777777" w:rsidR="001644E0" w:rsidRPr="006A7F07" w:rsidRDefault="001644E0" w:rsidP="0014591F">
      <w:pPr>
        <w:pStyle w:val="Heading2"/>
        <w:rPr>
          <w:noProof/>
        </w:rPr>
      </w:pPr>
      <w:bookmarkStart w:id="17" w:name="_Toc65663059"/>
      <w:bookmarkStart w:id="18" w:name="_Toc65663483"/>
      <w:bookmarkStart w:id="19" w:name="_Toc65663513"/>
      <w:bookmarkStart w:id="20" w:name="_Toc66179168"/>
      <w:bookmarkEnd w:id="17"/>
      <w:bookmarkEnd w:id="18"/>
      <w:bookmarkEnd w:id="19"/>
      <w:r>
        <w:rPr>
          <w:noProof/>
        </w:rPr>
        <w:t>Fabbricazione illecita – Stampa 3D e componenti semilavorati</w:t>
      </w:r>
      <w:bookmarkEnd w:id="20"/>
    </w:p>
    <w:p w14:paraId="4256037A" w14:textId="54B19300" w:rsidR="000C3ABF" w:rsidRPr="00F3679A" w:rsidRDefault="000C3ABF" w:rsidP="00F3679A">
      <w:pPr>
        <w:rPr>
          <w:noProof/>
          <w:sz w:val="24"/>
          <w:szCs w:val="24"/>
        </w:rPr>
      </w:pPr>
      <w:r>
        <w:rPr>
          <w:noProof/>
          <w:sz w:val="24"/>
          <w:szCs w:val="24"/>
        </w:rPr>
        <w:t xml:space="preserve">La stampa 3D, nota anche come produzione additiva, </w:t>
      </w:r>
      <w:r w:rsidR="003D07FD">
        <w:rPr>
          <w:noProof/>
          <w:sz w:val="24"/>
          <w:szCs w:val="24"/>
        </w:rPr>
        <w:t>"</w:t>
      </w:r>
      <w:r>
        <w:rPr>
          <w:noProof/>
          <w:sz w:val="24"/>
          <w:szCs w:val="24"/>
        </w:rPr>
        <w:t>si riferisce ai vari processi utilizzati nella fabbricazione di prodotti mediante il deposito o la fusione di materiali strato per strato</w:t>
      </w:r>
      <w:r w:rsidR="003D07FD">
        <w:rPr>
          <w:noProof/>
          <w:sz w:val="24"/>
          <w:szCs w:val="24"/>
        </w:rPr>
        <w:t>"</w:t>
      </w:r>
      <w:r>
        <w:rPr>
          <w:rStyle w:val="FootnoteReference"/>
          <w:noProof/>
          <w:sz w:val="24"/>
          <w:szCs w:val="24"/>
        </w:rPr>
        <w:footnoteReference w:id="19"/>
      </w:r>
      <w:r>
        <w:rPr>
          <w:noProof/>
        </w:rPr>
        <w:t>.</w:t>
      </w:r>
    </w:p>
    <w:p w14:paraId="78D043F2" w14:textId="71C41D98" w:rsidR="00F76405" w:rsidRDefault="00DF24A1" w:rsidP="00143F1A">
      <w:pPr>
        <w:rPr>
          <w:noProof/>
          <w:sz w:val="24"/>
          <w:szCs w:val="24"/>
        </w:rPr>
      </w:pPr>
      <w:r>
        <w:rPr>
          <w:noProof/>
          <w:sz w:val="24"/>
          <w:szCs w:val="24"/>
        </w:rPr>
        <w:t>L</w:t>
      </w:r>
      <w:r w:rsidR="003D07FD">
        <w:rPr>
          <w:noProof/>
          <w:sz w:val="24"/>
          <w:szCs w:val="24"/>
        </w:rPr>
        <w:t>'</w:t>
      </w:r>
      <w:r>
        <w:rPr>
          <w:noProof/>
          <w:sz w:val="24"/>
          <w:szCs w:val="24"/>
        </w:rPr>
        <w:t>avvento delle armi da fuoco stampabili in 3D e la possibilità di utilizzarle a fini criminali ha stimolato un dibatto sulla normativa in materia di controllo delle armi in tutto il mondo, compresa l</w:t>
      </w:r>
      <w:r w:rsidR="003D07FD">
        <w:rPr>
          <w:noProof/>
          <w:sz w:val="24"/>
          <w:szCs w:val="24"/>
        </w:rPr>
        <w:t>'</w:t>
      </w:r>
      <w:r>
        <w:rPr>
          <w:noProof/>
          <w:sz w:val="24"/>
          <w:szCs w:val="24"/>
        </w:rPr>
        <w:t xml:space="preserve">Unione europea. </w:t>
      </w:r>
    </w:p>
    <w:p w14:paraId="68CB98F1" w14:textId="0DCF503B" w:rsidR="001D4C6C" w:rsidRDefault="002F16FA" w:rsidP="001D4C6C">
      <w:pPr>
        <w:rPr>
          <w:noProof/>
          <w:sz w:val="24"/>
          <w:szCs w:val="24"/>
        </w:rPr>
      </w:pPr>
      <w:r>
        <w:rPr>
          <w:noProof/>
          <w:sz w:val="24"/>
          <w:szCs w:val="24"/>
        </w:rPr>
        <w:t>Europol aveva avvertito</w:t>
      </w:r>
      <w:r>
        <w:rPr>
          <w:rStyle w:val="FootnoteReference"/>
          <w:noProof/>
          <w:sz w:val="24"/>
          <w:szCs w:val="24"/>
        </w:rPr>
        <w:footnoteReference w:id="20"/>
      </w:r>
      <w:r>
        <w:rPr>
          <w:noProof/>
          <w:sz w:val="24"/>
          <w:szCs w:val="24"/>
        </w:rPr>
        <w:t xml:space="preserve"> che in futuro il progresso tecnologico avrebbe reso ampiamente disponibile la stampa 3D e che questo avrebbe anche offerto opportunità per la produzione e il commercio illeciti di armi da fuoco. Il 9 ottobre 2019 due persone sono state uccise a colpi di arma da fuoco a Halle (Germania) da una persona che utilizzava un</w:t>
      </w:r>
      <w:r w:rsidR="003D07FD">
        <w:rPr>
          <w:noProof/>
          <w:sz w:val="24"/>
          <w:szCs w:val="24"/>
        </w:rPr>
        <w:t>'</w:t>
      </w:r>
      <w:r>
        <w:rPr>
          <w:noProof/>
          <w:sz w:val="24"/>
          <w:szCs w:val="24"/>
        </w:rPr>
        <w:t>arma fatta in casa dopo aver scaricato un modello da Internet per fabbricare in parte l</w:t>
      </w:r>
      <w:r w:rsidR="003D07FD">
        <w:rPr>
          <w:noProof/>
          <w:sz w:val="24"/>
          <w:szCs w:val="24"/>
        </w:rPr>
        <w:t>'</w:t>
      </w:r>
      <w:r>
        <w:rPr>
          <w:noProof/>
          <w:sz w:val="24"/>
          <w:szCs w:val="24"/>
        </w:rPr>
        <w:t>arma con una stampante 3D</w:t>
      </w:r>
      <w:r>
        <w:rPr>
          <w:rStyle w:val="FootnoteReference"/>
          <w:noProof/>
          <w:sz w:val="24"/>
          <w:szCs w:val="24"/>
        </w:rPr>
        <w:footnoteReference w:id="21"/>
      </w:r>
      <w:r>
        <w:rPr>
          <w:noProof/>
        </w:rPr>
        <w:t>.</w:t>
      </w:r>
      <w:r>
        <w:rPr>
          <w:noProof/>
          <w:sz w:val="24"/>
          <w:szCs w:val="24"/>
        </w:rPr>
        <w:t xml:space="preserve"> Si registra un lento ma costante aumento del numero di sequestri di questo tipo di armi da fuoco, compresa la fabbricazione illegale di componenti essenziali</w:t>
      </w:r>
      <w:r>
        <w:rPr>
          <w:rStyle w:val="FootnoteReference"/>
          <w:noProof/>
          <w:sz w:val="24"/>
          <w:szCs w:val="24"/>
        </w:rPr>
        <w:footnoteReference w:id="22"/>
      </w:r>
      <w:r>
        <w:rPr>
          <w:noProof/>
        </w:rPr>
        <w:t>.</w:t>
      </w:r>
    </w:p>
    <w:p w14:paraId="65B74378" w14:textId="30570E67" w:rsidR="00F1234F" w:rsidRDefault="00143F1A" w:rsidP="001D4C6C">
      <w:pPr>
        <w:rPr>
          <w:noProof/>
          <w:sz w:val="24"/>
          <w:szCs w:val="24"/>
        </w:rPr>
      </w:pPr>
      <w:r>
        <w:rPr>
          <w:noProof/>
          <w:sz w:val="24"/>
          <w:szCs w:val="24"/>
        </w:rPr>
        <w:t>La minaccia della fabbricazione illegale di armi da fuoco o di componenti essenziali con stampanti 3D deriva dalla relativa accessibilità della tecnologia e dalla disponibilità dei modelli su Internet, compresa la stampa 3D metallica che sta diventando meno costosa</w:t>
      </w:r>
      <w:r>
        <w:rPr>
          <w:rStyle w:val="FootnoteReference"/>
          <w:noProof/>
          <w:sz w:val="24"/>
          <w:szCs w:val="24"/>
          <w:lang w:val="en-US"/>
        </w:rPr>
        <w:footnoteReference w:id="23"/>
      </w:r>
      <w:r>
        <w:rPr>
          <w:noProof/>
          <w:sz w:val="24"/>
          <w:szCs w:val="24"/>
        </w:rPr>
        <w:t>, in particolare con tecniche quali la fusione laser diretta dei metalli</w:t>
      </w:r>
      <w:r>
        <w:rPr>
          <w:rStyle w:val="FootnoteReference"/>
          <w:noProof/>
          <w:sz w:val="24"/>
          <w:szCs w:val="24"/>
          <w:lang w:val="en-US"/>
        </w:rPr>
        <w:footnoteReference w:id="24"/>
      </w:r>
      <w:r>
        <w:rPr>
          <w:noProof/>
        </w:rPr>
        <w:t>.</w:t>
      </w:r>
      <w:r>
        <w:rPr>
          <w:noProof/>
          <w:sz w:val="24"/>
          <w:szCs w:val="24"/>
        </w:rPr>
        <w:t xml:space="preserve"> </w:t>
      </w:r>
    </w:p>
    <w:p w14:paraId="42A43E57" w14:textId="3D850997" w:rsidR="007C4E7F" w:rsidRPr="00F3679A" w:rsidRDefault="00F1234F" w:rsidP="001D4C6C">
      <w:pPr>
        <w:rPr>
          <w:noProof/>
          <w:sz w:val="24"/>
          <w:szCs w:val="24"/>
        </w:rPr>
      </w:pPr>
      <w:r>
        <w:rPr>
          <w:noProof/>
          <w:sz w:val="24"/>
          <w:szCs w:val="24"/>
        </w:rPr>
        <w:t>Attualmente la minaccia più pericolosa è rappresentata dalla fabbricazione delle cosiddette armi ibride in stampa 3D, che si basano sia su parti stampate in 3D che su componenti facilmente reperibili che non sono regolamentati a livello mondiale, come tubi d</w:t>
      </w:r>
      <w:r w:rsidR="003D07FD">
        <w:rPr>
          <w:noProof/>
          <w:sz w:val="24"/>
          <w:szCs w:val="24"/>
        </w:rPr>
        <w:t>'</w:t>
      </w:r>
      <w:r>
        <w:rPr>
          <w:noProof/>
          <w:sz w:val="24"/>
          <w:szCs w:val="24"/>
        </w:rPr>
        <w:t>acciaio, molle e calci in metallo</w:t>
      </w:r>
      <w:r>
        <w:rPr>
          <w:rStyle w:val="FootnoteReference"/>
          <w:noProof/>
          <w:sz w:val="24"/>
          <w:szCs w:val="24"/>
        </w:rPr>
        <w:footnoteReference w:id="25"/>
      </w:r>
      <w:r>
        <w:rPr>
          <w:noProof/>
        </w:rPr>
        <w:t>.</w:t>
      </w:r>
    </w:p>
    <w:p w14:paraId="31F87117" w14:textId="015FB438" w:rsidR="00143F1A" w:rsidRDefault="00143F1A" w:rsidP="00143F1A">
      <w:pPr>
        <w:rPr>
          <w:noProof/>
          <w:sz w:val="24"/>
          <w:szCs w:val="24"/>
        </w:rPr>
      </w:pPr>
      <w:r>
        <w:rPr>
          <w:noProof/>
          <w:sz w:val="24"/>
          <w:szCs w:val="24"/>
        </w:rPr>
        <w:t>La stampa privata di armi da fuoco 3D è già disciplinata dal quadro giuridico vigente poiché la direttiva sulle armi da fuoco si applica indifferentemente a tutte le armi da fuoco, stampate in 3D o meno: esse possono essere fabbricate solo da armaioli autorizzati e sono soggette a restrizioni quali l</w:t>
      </w:r>
      <w:r w:rsidR="003D07FD">
        <w:rPr>
          <w:noProof/>
          <w:sz w:val="24"/>
          <w:szCs w:val="24"/>
        </w:rPr>
        <w:t>'</w:t>
      </w:r>
      <w:r>
        <w:rPr>
          <w:noProof/>
          <w:sz w:val="24"/>
          <w:szCs w:val="24"/>
        </w:rPr>
        <w:t>autorizzazione prima dell</w:t>
      </w:r>
      <w:r w:rsidR="003D07FD">
        <w:rPr>
          <w:noProof/>
          <w:sz w:val="24"/>
          <w:szCs w:val="24"/>
        </w:rPr>
        <w:t>'</w:t>
      </w:r>
      <w:r>
        <w:rPr>
          <w:noProof/>
          <w:sz w:val="24"/>
          <w:szCs w:val="24"/>
        </w:rPr>
        <w:t>acquisizione privata.</w:t>
      </w:r>
    </w:p>
    <w:p w14:paraId="45865B8D" w14:textId="1C83BE32" w:rsidR="007A25AE" w:rsidRDefault="007A25AE" w:rsidP="00143F1A">
      <w:pPr>
        <w:rPr>
          <w:noProof/>
          <w:sz w:val="24"/>
          <w:szCs w:val="24"/>
        </w:rPr>
      </w:pPr>
      <w:r>
        <w:rPr>
          <w:noProof/>
          <w:sz w:val="24"/>
          <w:szCs w:val="24"/>
        </w:rPr>
        <w:t xml:space="preserve">La Commissione valuterà la necessità di norme specifiche che disciplinino la </w:t>
      </w:r>
      <w:r>
        <w:rPr>
          <w:b/>
          <w:noProof/>
          <w:sz w:val="24"/>
          <w:szCs w:val="24"/>
        </w:rPr>
        <w:t>detenzione e il traffico di modelli per la stampa 3D</w:t>
      </w:r>
      <w:r>
        <w:rPr>
          <w:noProof/>
          <w:sz w:val="24"/>
          <w:szCs w:val="24"/>
        </w:rPr>
        <w:t>, tra cui il divieto per gli armaioli non autorizzati di detenere, pubblicizzare e distribuire i modelli digitali e le loro copie cartacee che si sono rivelati in grado di consentire la fabbricazione di componenti essenziali delle armi da fuoco.</w:t>
      </w:r>
    </w:p>
    <w:p w14:paraId="23173EE6" w14:textId="78DAD761" w:rsidR="00CD39AF" w:rsidRDefault="00143F1A" w:rsidP="00CD39AF">
      <w:pPr>
        <w:rPr>
          <w:noProof/>
          <w:sz w:val="24"/>
          <w:szCs w:val="24"/>
        </w:rPr>
      </w:pPr>
      <w:r>
        <w:rPr>
          <w:noProof/>
          <w:sz w:val="24"/>
          <w:szCs w:val="24"/>
        </w:rPr>
        <w:t>Inoltre sia la valutazione della direttiva sulle armi da fuoco del 2014</w:t>
      </w:r>
      <w:r>
        <w:rPr>
          <w:rStyle w:val="FootnoteReference"/>
          <w:noProof/>
          <w:sz w:val="24"/>
          <w:szCs w:val="24"/>
          <w:lang w:val="en-US"/>
        </w:rPr>
        <w:footnoteReference w:id="26"/>
      </w:r>
      <w:r>
        <w:rPr>
          <w:noProof/>
          <w:sz w:val="24"/>
          <w:szCs w:val="24"/>
        </w:rPr>
        <w:t xml:space="preserve"> che i recenti contributi degli Stati membri a Europol e alla piattaforma sulle armi da fuoco</w:t>
      </w:r>
      <w:r>
        <w:rPr>
          <w:rStyle w:val="FootnoteReference"/>
          <w:noProof/>
          <w:sz w:val="24"/>
          <w:szCs w:val="24"/>
          <w:lang w:val="en-US"/>
        </w:rPr>
        <w:footnoteReference w:id="27"/>
      </w:r>
      <w:r>
        <w:rPr>
          <w:noProof/>
          <w:sz w:val="24"/>
          <w:szCs w:val="24"/>
        </w:rPr>
        <w:t xml:space="preserve"> hanno evidenziato casi di importazione da alcuni paesi terzi di componenti essenziali semilavorati (in genere telai in polimero di armi corte finiti all</w:t>
      </w:r>
      <w:r w:rsidR="003D07FD">
        <w:rPr>
          <w:noProof/>
          <w:sz w:val="24"/>
          <w:szCs w:val="24"/>
        </w:rPr>
        <w:t>'</w:t>
      </w:r>
      <w:r>
        <w:rPr>
          <w:noProof/>
          <w:sz w:val="24"/>
          <w:szCs w:val="24"/>
        </w:rPr>
        <w:t>80 % o canne in metallo di armi da fuoco lunghe finite all</w:t>
      </w:r>
      <w:r w:rsidR="003D07FD">
        <w:rPr>
          <w:noProof/>
          <w:sz w:val="24"/>
          <w:szCs w:val="24"/>
        </w:rPr>
        <w:t>'</w:t>
      </w:r>
      <w:r>
        <w:rPr>
          <w:noProof/>
          <w:sz w:val="24"/>
          <w:szCs w:val="24"/>
        </w:rPr>
        <w:t>80 %). Non sono dichiarati come componenti essenziali delle armi da fuoco e in genere entrano nell</w:t>
      </w:r>
      <w:r w:rsidR="003D07FD">
        <w:rPr>
          <w:noProof/>
          <w:sz w:val="24"/>
          <w:szCs w:val="24"/>
        </w:rPr>
        <w:t>'</w:t>
      </w:r>
      <w:r>
        <w:rPr>
          <w:noProof/>
          <w:sz w:val="24"/>
          <w:szCs w:val="24"/>
        </w:rPr>
        <w:t xml:space="preserve">Unione europea tramite servizi di corriere espresso e di trasporto. Sono accompagnati da istruzioni su come completare la loro trasformazione con attrezzi comuni. </w:t>
      </w:r>
    </w:p>
    <w:p w14:paraId="73C64F82" w14:textId="68C2EC35" w:rsidR="004817C1" w:rsidRDefault="00CD2E92" w:rsidP="00347AD0">
      <w:pPr>
        <w:pStyle w:val="HistoryTable"/>
        <w:rPr>
          <w:noProof/>
          <w:sz w:val="24"/>
          <w:szCs w:val="24"/>
        </w:rPr>
      </w:pPr>
      <w:r>
        <w:rPr>
          <w:noProof/>
          <w:sz w:val="24"/>
          <w:szCs w:val="24"/>
        </w:rPr>
        <w:t xml:space="preserve">La Commissione discuterà con gli Stati membri della </w:t>
      </w:r>
      <w:r>
        <w:rPr>
          <w:b/>
          <w:noProof/>
          <w:sz w:val="24"/>
          <w:szCs w:val="24"/>
        </w:rPr>
        <w:t>questione delle armi da fuoco e dei componenti essenziali semilavorati</w:t>
      </w:r>
      <w:r>
        <w:rPr>
          <w:noProof/>
          <w:sz w:val="24"/>
          <w:szCs w:val="24"/>
        </w:rPr>
        <w:t xml:space="preserve"> nel contesto del comitato armi da fuoco. Valuterà inoltre soluzioni normative nella futura modernizzazione del </w:t>
      </w:r>
      <w:r>
        <w:rPr>
          <w:b/>
          <w:noProof/>
          <w:sz w:val="24"/>
          <w:szCs w:val="24"/>
        </w:rPr>
        <w:t>regolamento (UE) n. 258/2012 che dispone autorizzazioni all</w:t>
      </w:r>
      <w:r w:rsidR="003D07FD">
        <w:rPr>
          <w:b/>
          <w:noProof/>
          <w:sz w:val="24"/>
          <w:szCs w:val="24"/>
        </w:rPr>
        <w:t>'</w:t>
      </w:r>
      <w:r>
        <w:rPr>
          <w:b/>
          <w:noProof/>
          <w:sz w:val="24"/>
          <w:szCs w:val="24"/>
        </w:rPr>
        <w:t>esportazione e misure di importazione e transito per le armi da fuoco</w:t>
      </w:r>
      <w:r>
        <w:rPr>
          <w:rStyle w:val="FootnoteReference"/>
          <w:noProof/>
          <w:sz w:val="24"/>
          <w:szCs w:val="24"/>
        </w:rPr>
        <w:footnoteReference w:id="28"/>
      </w:r>
      <w:r>
        <w:rPr>
          <w:noProof/>
        </w:rPr>
        <w:t>.</w:t>
      </w:r>
    </w:p>
    <w:p w14:paraId="19E51269" w14:textId="45ED6B0B" w:rsidR="00B30E8D" w:rsidRPr="006A7F07" w:rsidRDefault="00B30E8D" w:rsidP="0014591F">
      <w:pPr>
        <w:pStyle w:val="Heading2"/>
        <w:rPr>
          <w:noProof/>
        </w:rPr>
      </w:pPr>
      <w:bookmarkStart w:id="21" w:name="_Toc66179169"/>
      <w:r>
        <w:rPr>
          <w:noProof/>
        </w:rPr>
        <w:t>Carta europea d</w:t>
      </w:r>
      <w:r w:rsidR="003D07FD">
        <w:rPr>
          <w:noProof/>
        </w:rPr>
        <w:t>'</w:t>
      </w:r>
      <w:r>
        <w:rPr>
          <w:noProof/>
        </w:rPr>
        <w:t>arma da fuoco</w:t>
      </w:r>
      <w:bookmarkEnd w:id="21"/>
    </w:p>
    <w:p w14:paraId="03FFF414" w14:textId="04F2EAAB" w:rsidR="004A432F" w:rsidRPr="00F3679A" w:rsidRDefault="00AE2154" w:rsidP="00F3679A">
      <w:pPr>
        <w:rPr>
          <w:noProof/>
          <w:sz w:val="24"/>
          <w:szCs w:val="24"/>
        </w:rPr>
      </w:pPr>
      <w:r>
        <w:rPr>
          <w:noProof/>
          <w:sz w:val="24"/>
          <w:szCs w:val="24"/>
        </w:rPr>
        <w:t>La carta europea d</w:t>
      </w:r>
      <w:r w:rsidR="003D07FD">
        <w:rPr>
          <w:noProof/>
          <w:sz w:val="24"/>
          <w:szCs w:val="24"/>
        </w:rPr>
        <w:t>'</w:t>
      </w:r>
      <w:r>
        <w:rPr>
          <w:noProof/>
          <w:sz w:val="24"/>
          <w:szCs w:val="24"/>
        </w:rPr>
        <w:t>arma da fuoco, rilasciata dagli Stati membri, su richiesta, ai legittimi proprietari di un</w:t>
      </w:r>
      <w:r w:rsidR="003D07FD">
        <w:rPr>
          <w:noProof/>
          <w:sz w:val="24"/>
          <w:szCs w:val="24"/>
        </w:rPr>
        <w:t>'</w:t>
      </w:r>
      <w:r>
        <w:rPr>
          <w:noProof/>
          <w:sz w:val="24"/>
          <w:szCs w:val="24"/>
        </w:rPr>
        <w:t>arma da fuoco, permette sia ai cacciatori e ai partecipanti a rievocazioni di eventi storici (per le armi da fuoco della categoria C) che ai tiratori sportivi (per le armi da fuoco delle categorie A, B o C) di effettuare un viaggio attraverso due o più Stati membri con la loro arma senza autorizzazione preventiva. Qualora uno Stato membro abbia informato gli altri Stati membri che la detenzione di talune armi da fuoco è vietata o soggetta ad autorizzazione, devono essere aggiunte menzioni in tal senso alla carta europea d</w:t>
      </w:r>
      <w:r w:rsidR="003D07FD">
        <w:rPr>
          <w:noProof/>
          <w:sz w:val="24"/>
          <w:szCs w:val="24"/>
        </w:rPr>
        <w:t>'</w:t>
      </w:r>
      <w:r>
        <w:rPr>
          <w:noProof/>
          <w:sz w:val="24"/>
          <w:szCs w:val="24"/>
        </w:rPr>
        <w:t>arma da fuoco.</w:t>
      </w:r>
    </w:p>
    <w:p w14:paraId="0D436402" w14:textId="62DF0123" w:rsidR="00D5730E" w:rsidRPr="00F3679A" w:rsidRDefault="000B15B5" w:rsidP="00F3679A">
      <w:pPr>
        <w:rPr>
          <w:noProof/>
          <w:sz w:val="24"/>
          <w:szCs w:val="24"/>
        </w:rPr>
      </w:pPr>
      <w:r>
        <w:rPr>
          <w:noProof/>
          <w:sz w:val="24"/>
          <w:szCs w:val="24"/>
        </w:rPr>
        <w:t>Durante la valutazione della direttiva sulle armi da fuoco del 2014</w:t>
      </w:r>
      <w:r>
        <w:rPr>
          <w:rStyle w:val="FootnoteReference"/>
          <w:noProof/>
          <w:sz w:val="24"/>
          <w:szCs w:val="24"/>
        </w:rPr>
        <w:footnoteReference w:id="29"/>
      </w:r>
      <w:r>
        <w:rPr>
          <w:noProof/>
          <w:sz w:val="24"/>
          <w:szCs w:val="24"/>
        </w:rPr>
        <w:t>, Stati membri e associazioni hanno giudicato positiva l</w:t>
      </w:r>
      <w:r w:rsidR="003D07FD">
        <w:rPr>
          <w:noProof/>
          <w:sz w:val="24"/>
          <w:szCs w:val="24"/>
        </w:rPr>
        <w:t>'</w:t>
      </w:r>
      <w:r>
        <w:rPr>
          <w:noProof/>
          <w:sz w:val="24"/>
          <w:szCs w:val="24"/>
        </w:rPr>
        <w:t>attuazione della carta europea d</w:t>
      </w:r>
      <w:r w:rsidR="003D07FD">
        <w:rPr>
          <w:noProof/>
          <w:sz w:val="24"/>
          <w:szCs w:val="24"/>
        </w:rPr>
        <w:t>'</w:t>
      </w:r>
      <w:r>
        <w:rPr>
          <w:noProof/>
          <w:sz w:val="24"/>
          <w:szCs w:val="24"/>
        </w:rPr>
        <w:t>arma da fuoco poiché riduce l</w:t>
      </w:r>
      <w:r w:rsidR="003D07FD">
        <w:rPr>
          <w:noProof/>
          <w:sz w:val="24"/>
          <w:szCs w:val="24"/>
        </w:rPr>
        <w:t>'</w:t>
      </w:r>
      <w:r>
        <w:rPr>
          <w:noProof/>
          <w:sz w:val="24"/>
          <w:szCs w:val="24"/>
        </w:rPr>
        <w:t>onere burocratico ed economico per gli utilizzatori, in particolare per cacciatori, tiratori sportivi e partecipanti a rievocazioni storiche.</w:t>
      </w:r>
    </w:p>
    <w:p w14:paraId="6D6051CD" w14:textId="569C072C" w:rsidR="00A10E3F" w:rsidRPr="00F3679A" w:rsidRDefault="00F557D2" w:rsidP="00401A87">
      <w:pPr>
        <w:keepNext/>
        <w:rPr>
          <w:noProof/>
          <w:sz w:val="24"/>
          <w:szCs w:val="24"/>
        </w:rPr>
      </w:pPr>
      <w:r>
        <w:rPr>
          <w:noProof/>
          <w:sz w:val="24"/>
          <w:szCs w:val="24"/>
        </w:rPr>
        <w:t>Dopo la revisione della direttiva nel 2017, durante le consultazioni svolte nel quadro del comitato armi da fuoco e nei reclami ricevuti dalla Commissione, i portatori di interessi hanno sollevato alcune questioni:</w:t>
      </w:r>
    </w:p>
    <w:p w14:paraId="232F24B4" w14:textId="28BCC4D9" w:rsidR="00A10E3F" w:rsidRDefault="00152B11" w:rsidP="00AE2154">
      <w:pPr>
        <w:pStyle w:val="ListBullet"/>
        <w:rPr>
          <w:noProof/>
          <w:sz w:val="24"/>
          <w:szCs w:val="24"/>
        </w:rPr>
      </w:pPr>
      <w:r>
        <w:rPr>
          <w:noProof/>
          <w:sz w:val="24"/>
          <w:szCs w:val="24"/>
        </w:rPr>
        <w:t>la carta europea d</w:t>
      </w:r>
      <w:r w:rsidR="003D07FD">
        <w:rPr>
          <w:noProof/>
          <w:sz w:val="24"/>
          <w:szCs w:val="24"/>
        </w:rPr>
        <w:t>'</w:t>
      </w:r>
      <w:r>
        <w:rPr>
          <w:noProof/>
          <w:sz w:val="24"/>
          <w:szCs w:val="24"/>
        </w:rPr>
        <w:t>arma da fuoco non sembra essere pienamente riconosciuta in tutti gli Stati membri, che talvolta richiedono ulteriori autorizzazioni preventive per consentire la circolazione delle armi da fuoco;</w:t>
      </w:r>
    </w:p>
    <w:p w14:paraId="596B3C4F" w14:textId="4954DB1E" w:rsidR="00725832" w:rsidRDefault="000F18E1" w:rsidP="00AE2154">
      <w:pPr>
        <w:pStyle w:val="ListBullet"/>
        <w:rPr>
          <w:noProof/>
          <w:sz w:val="24"/>
          <w:szCs w:val="24"/>
        </w:rPr>
      </w:pPr>
      <w:r>
        <w:rPr>
          <w:noProof/>
          <w:sz w:val="24"/>
          <w:szCs w:val="24"/>
        </w:rPr>
        <w:t>il controllo della circolazione con la carta può risultare più difficile che per i trasferimenti permanenti: esiste pertanto il rischio di abusi da parte di persone che utilizzano illecitamente la carta europea d</w:t>
      </w:r>
      <w:r w:rsidR="003D07FD">
        <w:rPr>
          <w:noProof/>
          <w:sz w:val="24"/>
          <w:szCs w:val="24"/>
        </w:rPr>
        <w:t>'</w:t>
      </w:r>
      <w:r>
        <w:rPr>
          <w:noProof/>
          <w:sz w:val="24"/>
          <w:szCs w:val="24"/>
        </w:rPr>
        <w:t>arma da fuoco quando si trasferiscono definitivamente in un altro paese;</w:t>
      </w:r>
    </w:p>
    <w:p w14:paraId="1B955AA5" w14:textId="78ADED7F" w:rsidR="00CD2E92" w:rsidRDefault="00873162" w:rsidP="0004239C">
      <w:pPr>
        <w:pStyle w:val="ListBullet"/>
        <w:rPr>
          <w:noProof/>
        </w:rPr>
      </w:pPr>
      <w:r>
        <w:rPr>
          <w:noProof/>
          <w:sz w:val="24"/>
          <w:szCs w:val="24"/>
        </w:rPr>
        <w:t>è necessario armonizzare l</w:t>
      </w:r>
      <w:r w:rsidR="003D07FD">
        <w:rPr>
          <w:noProof/>
          <w:sz w:val="24"/>
          <w:szCs w:val="24"/>
        </w:rPr>
        <w:t>'</w:t>
      </w:r>
      <w:r>
        <w:rPr>
          <w:noProof/>
          <w:sz w:val="24"/>
          <w:szCs w:val="24"/>
        </w:rPr>
        <w:t>elenco degli oggetti che devono essere indicati nella carta europea d</w:t>
      </w:r>
      <w:r w:rsidR="003D07FD">
        <w:rPr>
          <w:noProof/>
          <w:sz w:val="24"/>
          <w:szCs w:val="24"/>
        </w:rPr>
        <w:t>'</w:t>
      </w:r>
      <w:r>
        <w:rPr>
          <w:noProof/>
          <w:sz w:val="24"/>
          <w:szCs w:val="24"/>
        </w:rPr>
        <w:t xml:space="preserve">arma da fuoco a causa delle differenze di classificazione delle armi da fuoco o dei loro componenti esistenti tra i vari Stati membri. </w:t>
      </w:r>
    </w:p>
    <w:p w14:paraId="63A9C793" w14:textId="77777777" w:rsidR="00A4251A" w:rsidRDefault="00A4251A" w:rsidP="00347AD0">
      <w:pPr>
        <w:pStyle w:val="ListBullet"/>
        <w:numPr>
          <w:ilvl w:val="0"/>
          <w:numId w:val="0"/>
        </w:numPr>
        <w:rPr>
          <w:noProof/>
          <w:sz w:val="24"/>
          <w:szCs w:val="24"/>
        </w:rPr>
      </w:pPr>
    </w:p>
    <w:p w14:paraId="0FE5DAE4" w14:textId="0C838300" w:rsidR="00CD2E92" w:rsidRPr="00347AD0" w:rsidRDefault="00CD2E92" w:rsidP="00347AD0">
      <w:pPr>
        <w:pStyle w:val="ListBullet"/>
        <w:numPr>
          <w:ilvl w:val="0"/>
          <w:numId w:val="0"/>
        </w:numPr>
        <w:rPr>
          <w:noProof/>
          <w:sz w:val="24"/>
          <w:szCs w:val="24"/>
        </w:rPr>
      </w:pPr>
      <w:r>
        <w:rPr>
          <w:noProof/>
          <w:sz w:val="24"/>
          <w:szCs w:val="24"/>
        </w:rPr>
        <w:t>Tali aspetti spesso determinano l</w:t>
      </w:r>
      <w:r w:rsidR="003D07FD">
        <w:rPr>
          <w:noProof/>
          <w:sz w:val="24"/>
          <w:szCs w:val="24"/>
        </w:rPr>
        <w:t>'</w:t>
      </w:r>
      <w:r>
        <w:rPr>
          <w:noProof/>
          <w:sz w:val="24"/>
          <w:szCs w:val="24"/>
        </w:rPr>
        <w:t>assenza o l</w:t>
      </w:r>
      <w:r w:rsidR="003D07FD">
        <w:rPr>
          <w:noProof/>
          <w:sz w:val="24"/>
          <w:szCs w:val="24"/>
        </w:rPr>
        <w:t>'</w:t>
      </w:r>
      <w:r>
        <w:rPr>
          <w:noProof/>
          <w:sz w:val="24"/>
          <w:szCs w:val="24"/>
        </w:rPr>
        <w:t xml:space="preserve">incompletezza delle menzioni previste sulla carta. Lo sviluppo da parte della Commissione di una </w:t>
      </w:r>
      <w:r>
        <w:rPr>
          <w:b/>
          <w:noProof/>
          <w:sz w:val="24"/>
          <w:szCs w:val="24"/>
        </w:rPr>
        <w:t>tabella di riferimento per le armi da fuoco a livello dell</w:t>
      </w:r>
      <w:r w:rsidR="003D07FD">
        <w:rPr>
          <w:b/>
          <w:noProof/>
          <w:sz w:val="24"/>
          <w:szCs w:val="24"/>
        </w:rPr>
        <w:t>'</w:t>
      </w:r>
      <w:r>
        <w:rPr>
          <w:b/>
          <w:noProof/>
          <w:sz w:val="24"/>
          <w:szCs w:val="24"/>
        </w:rPr>
        <w:t>UE</w:t>
      </w:r>
      <w:r>
        <w:rPr>
          <w:noProof/>
          <w:sz w:val="24"/>
          <w:szCs w:val="24"/>
        </w:rPr>
        <w:t>, quale annunciata dal piano d</w:t>
      </w:r>
      <w:r w:rsidR="003D07FD">
        <w:rPr>
          <w:noProof/>
          <w:sz w:val="24"/>
          <w:szCs w:val="24"/>
        </w:rPr>
        <w:t>'</w:t>
      </w:r>
      <w:r>
        <w:rPr>
          <w:noProof/>
          <w:sz w:val="24"/>
          <w:szCs w:val="24"/>
        </w:rPr>
        <w:t>azione 2020-2025 dell</w:t>
      </w:r>
      <w:r w:rsidR="003D07FD">
        <w:rPr>
          <w:noProof/>
          <w:sz w:val="24"/>
          <w:szCs w:val="24"/>
        </w:rPr>
        <w:t>'</w:t>
      </w:r>
      <w:r>
        <w:rPr>
          <w:noProof/>
          <w:sz w:val="24"/>
          <w:szCs w:val="24"/>
        </w:rPr>
        <w:t>UE sul traffico di armi da fuoco, contribuirà a chiarire meglio la questione. Andrà inoltre valutata la necessità di una carta europea d</w:t>
      </w:r>
      <w:r w:rsidR="003D07FD">
        <w:rPr>
          <w:noProof/>
          <w:sz w:val="24"/>
          <w:szCs w:val="24"/>
        </w:rPr>
        <w:t>'</w:t>
      </w:r>
      <w:r>
        <w:rPr>
          <w:noProof/>
          <w:sz w:val="24"/>
          <w:szCs w:val="24"/>
        </w:rPr>
        <w:t>arma da fuoco completamente digitalizzata per garantire migliori scambi di informazioni tra le autorità nazionali.</w:t>
      </w:r>
    </w:p>
    <w:p w14:paraId="29AA09F2" w14:textId="77777777" w:rsidR="00B30E8D" w:rsidRDefault="00B30E8D" w:rsidP="0014591F">
      <w:pPr>
        <w:pStyle w:val="Heading2"/>
        <w:rPr>
          <w:noProof/>
        </w:rPr>
      </w:pPr>
      <w:bookmarkStart w:id="22" w:name="_Toc66179170"/>
      <w:r>
        <w:rPr>
          <w:noProof/>
        </w:rPr>
        <w:t>Tracciabilità delle armi da fuoco</w:t>
      </w:r>
      <w:bookmarkEnd w:id="22"/>
    </w:p>
    <w:p w14:paraId="7B4C600D" w14:textId="64CB0B07" w:rsidR="00A809E7" w:rsidRPr="006A7F07" w:rsidRDefault="00154FB1" w:rsidP="004E3E94">
      <w:pPr>
        <w:pStyle w:val="Heading3"/>
        <w:rPr>
          <w:noProof/>
        </w:rPr>
      </w:pPr>
      <w:bookmarkStart w:id="23" w:name="_Toc66179171"/>
      <w:r>
        <w:rPr>
          <w:noProof/>
        </w:rPr>
        <w:t>Scambio elettronico di informazioni sul trasferimento di armi da fuoco</w:t>
      </w:r>
      <w:bookmarkEnd w:id="23"/>
    </w:p>
    <w:p w14:paraId="3C0DDC71" w14:textId="78472780" w:rsidR="00A809E7" w:rsidRPr="00AD2869" w:rsidRDefault="00AE2154" w:rsidP="00A809E7">
      <w:pPr>
        <w:rPr>
          <w:noProof/>
          <w:sz w:val="24"/>
          <w:szCs w:val="24"/>
        </w:rPr>
      </w:pPr>
      <w:r>
        <w:rPr>
          <w:noProof/>
          <w:sz w:val="24"/>
          <w:szCs w:val="24"/>
        </w:rPr>
        <w:t>Parallelamente al regolamento delegato (UE) 2019/686 sullo scambio di informazioni relative al trasferimento di armi da fuoco (cfr. il punto 3 della presente relazione), la Commissione ha adottato la decisione di esecuzione (UE) 2019/689 relativa a un progetto pilota per attuare alcune disposizioni in materia di cooperazione amministrativa di cui alla direttiva 91/477/CEE del Consiglio attraverso il sistema di informazione del mercato interno</w:t>
      </w:r>
      <w:r>
        <w:rPr>
          <w:rStyle w:val="FootnoteReference"/>
          <w:noProof/>
          <w:sz w:val="24"/>
          <w:szCs w:val="24"/>
        </w:rPr>
        <w:footnoteReference w:id="30"/>
      </w:r>
      <w:r>
        <w:rPr>
          <w:noProof/>
          <w:sz w:val="24"/>
          <w:szCs w:val="24"/>
        </w:rPr>
        <w:t>, creando così una base giuridica temporanea per l</w:t>
      </w:r>
      <w:r w:rsidR="003D07FD">
        <w:rPr>
          <w:noProof/>
          <w:sz w:val="24"/>
          <w:szCs w:val="24"/>
        </w:rPr>
        <w:t>'</w:t>
      </w:r>
      <w:r>
        <w:rPr>
          <w:noProof/>
          <w:sz w:val="24"/>
          <w:szCs w:val="24"/>
        </w:rPr>
        <w:t xml:space="preserve">utilizzo di tale sistema. </w:t>
      </w:r>
    </w:p>
    <w:p w14:paraId="7ACEAF7E" w14:textId="29923D47" w:rsidR="00A809E7" w:rsidRPr="00DE4C03" w:rsidRDefault="00DE4C03" w:rsidP="00A809E7">
      <w:pPr>
        <w:rPr>
          <w:noProof/>
          <w:sz w:val="24"/>
          <w:szCs w:val="24"/>
        </w:rPr>
      </w:pPr>
      <w:r>
        <w:rPr>
          <w:noProof/>
          <w:sz w:val="24"/>
          <w:szCs w:val="24"/>
        </w:rPr>
        <w:t>La Commissione osserva che la portata dei suoi poteri delegati era concentrata solo sugli scambi di informazioni riguardanti le autorizzazioni di trasferimento. La Commissione non poteva pertanto imporre agli Stati membri di residenza dell</w:t>
      </w:r>
      <w:r w:rsidR="003D07FD">
        <w:rPr>
          <w:noProof/>
          <w:sz w:val="24"/>
          <w:szCs w:val="24"/>
        </w:rPr>
        <w:t>'</w:t>
      </w:r>
      <w:r>
        <w:rPr>
          <w:noProof/>
          <w:sz w:val="24"/>
          <w:szCs w:val="24"/>
        </w:rPr>
        <w:t>acquirente di inserire nel sistema le autorizzazioni per l</w:t>
      </w:r>
      <w:r w:rsidR="003D07FD">
        <w:rPr>
          <w:noProof/>
          <w:sz w:val="24"/>
          <w:szCs w:val="24"/>
        </w:rPr>
        <w:t>'</w:t>
      </w:r>
      <w:r>
        <w:rPr>
          <w:noProof/>
          <w:sz w:val="24"/>
          <w:szCs w:val="24"/>
        </w:rPr>
        <w:t xml:space="preserve">acquisizione di armi da fuoco. Analogamente non poteva obbligare tutte le autorità che rilasciano autorizzazioni di trasferimento a essere direttamente collegate al sistema. Entrambe le questioni hanno ostacolato lo scambio efficace di informazioni. </w:t>
      </w:r>
    </w:p>
    <w:p w14:paraId="249F6926" w14:textId="31800BF0" w:rsidR="00CD2E92" w:rsidRPr="00DE4C03" w:rsidRDefault="003359FC" w:rsidP="00CD2E92">
      <w:pPr>
        <w:rPr>
          <w:noProof/>
          <w:sz w:val="24"/>
          <w:szCs w:val="24"/>
        </w:rPr>
      </w:pPr>
      <w:r>
        <w:rPr>
          <w:noProof/>
          <w:sz w:val="24"/>
          <w:szCs w:val="24"/>
        </w:rPr>
        <w:t>Potrebbe quindi sussistere la necessità di valutare l</w:t>
      </w:r>
      <w:r w:rsidR="003D07FD">
        <w:rPr>
          <w:noProof/>
          <w:sz w:val="24"/>
          <w:szCs w:val="24"/>
        </w:rPr>
        <w:t>'</w:t>
      </w:r>
      <w:r>
        <w:rPr>
          <w:noProof/>
          <w:sz w:val="24"/>
          <w:szCs w:val="24"/>
        </w:rPr>
        <w:t>impatto della creazione di una base giuridica esplicita per l</w:t>
      </w:r>
      <w:r w:rsidR="003D07FD">
        <w:rPr>
          <w:noProof/>
          <w:sz w:val="24"/>
          <w:szCs w:val="24"/>
        </w:rPr>
        <w:t>'</w:t>
      </w:r>
      <w:r>
        <w:rPr>
          <w:noProof/>
          <w:sz w:val="24"/>
          <w:szCs w:val="24"/>
        </w:rPr>
        <w:t>uso del sistema di informazione del mercato interno nella stessa direttiva sulle armi da fuoco e di chiarire ulteriormente le responsabilità delle autorità nazionali.</w:t>
      </w:r>
    </w:p>
    <w:p w14:paraId="43FB1FE9" w14:textId="77777777" w:rsidR="00B30E8D" w:rsidRPr="006A7F07" w:rsidRDefault="00B30E8D" w:rsidP="00347AD0">
      <w:pPr>
        <w:pStyle w:val="Heading3"/>
        <w:rPr>
          <w:noProof/>
        </w:rPr>
      </w:pPr>
      <w:bookmarkStart w:id="24" w:name="_Toc66179172"/>
      <w:r>
        <w:rPr>
          <w:noProof/>
        </w:rPr>
        <w:t>Marcatura</w:t>
      </w:r>
      <w:bookmarkEnd w:id="24"/>
    </w:p>
    <w:p w14:paraId="14041533" w14:textId="512D5F9E" w:rsidR="00A809E7" w:rsidRPr="00DB7AA1" w:rsidRDefault="00A3207C" w:rsidP="00F02A17">
      <w:pPr>
        <w:rPr>
          <w:noProof/>
          <w:sz w:val="24"/>
          <w:szCs w:val="24"/>
        </w:rPr>
      </w:pPr>
      <w:r>
        <w:rPr>
          <w:noProof/>
          <w:sz w:val="24"/>
          <w:szCs w:val="24"/>
        </w:rPr>
        <w:t>L</w:t>
      </w:r>
      <w:r w:rsidR="003D07FD">
        <w:rPr>
          <w:noProof/>
          <w:sz w:val="24"/>
          <w:szCs w:val="24"/>
        </w:rPr>
        <w:t>'</w:t>
      </w:r>
      <w:r>
        <w:rPr>
          <w:noProof/>
          <w:sz w:val="24"/>
          <w:szCs w:val="24"/>
        </w:rPr>
        <w:t>opportuna marcatura delle armi da fuoco migliora la loro tracciabilità e quella dei loro componenti essenziali. A tal fine la direttiva di esecuzione (UE) 2019/68 sulla marcatura stabilisce la dimensione minima dei caratteri, un metodo di marcatura comune sui materiali non metallici e definisce i tipi di alfabeto e il sistema di numerazione utilizzato per la marcatura.</w:t>
      </w:r>
    </w:p>
    <w:p w14:paraId="7BADFA0C" w14:textId="0AE942A3" w:rsidR="004A432F" w:rsidRPr="00A84AA3" w:rsidRDefault="009C00C3" w:rsidP="00A84AA3">
      <w:pPr>
        <w:autoSpaceDE w:val="0"/>
        <w:autoSpaceDN w:val="0"/>
        <w:adjustRightInd w:val="0"/>
        <w:spacing w:after="240" w:line="240" w:lineRule="auto"/>
        <w:rPr>
          <w:noProof/>
          <w:sz w:val="24"/>
          <w:szCs w:val="24"/>
        </w:rPr>
      </w:pPr>
      <w:r>
        <w:rPr>
          <w:noProof/>
          <w:sz w:val="24"/>
          <w:szCs w:val="24"/>
        </w:rPr>
        <w:t>Prima di adottare la direttiva di esecuzione la Commissione aveva indicato che la questione della profondità della marcatura sarebbe stata valutata entro un anno dal termine del suo recepimento al fine di introdurre, se del caso, un requisito su tale aspetto nella direttiva di esecuzione.</w:t>
      </w:r>
    </w:p>
    <w:p w14:paraId="5781B0D1" w14:textId="004A1649" w:rsidR="00DE79DC" w:rsidRDefault="0033646D" w:rsidP="000B6EEE">
      <w:pPr>
        <w:autoSpaceDE w:val="0"/>
        <w:autoSpaceDN w:val="0"/>
        <w:adjustRightInd w:val="0"/>
        <w:rPr>
          <w:noProof/>
          <w:sz w:val="24"/>
          <w:szCs w:val="24"/>
        </w:rPr>
      </w:pPr>
      <w:r>
        <w:rPr>
          <w:noProof/>
          <w:sz w:val="24"/>
          <w:szCs w:val="24"/>
        </w:rPr>
        <w:t>Gli Stati membri non hanno raggiunto un consenso sulle profondità minime, che vanno da 0,02 mm a 0,08 mm, principalmente per motivi commerciali. Né la direttiva sulle armi da fuoco né la direttiva di esecuzione sulla marcatura stabiliscono l</w:t>
      </w:r>
      <w:r w:rsidR="003D07FD">
        <w:rPr>
          <w:noProof/>
          <w:sz w:val="24"/>
          <w:szCs w:val="24"/>
        </w:rPr>
        <w:t>'</w:t>
      </w:r>
      <w:r>
        <w:rPr>
          <w:noProof/>
          <w:sz w:val="24"/>
          <w:szCs w:val="24"/>
        </w:rPr>
        <w:t xml:space="preserve">uso di una specifica tecnologia di marcatura. Di conseguenza tutte le tecnologie che garantiscono che la marcatura sia </w:t>
      </w:r>
      <w:r w:rsidR="003D07FD">
        <w:rPr>
          <w:noProof/>
          <w:sz w:val="24"/>
          <w:szCs w:val="24"/>
        </w:rPr>
        <w:t>"</w:t>
      </w:r>
      <w:r>
        <w:rPr>
          <w:noProof/>
          <w:sz w:val="24"/>
          <w:szCs w:val="24"/>
        </w:rPr>
        <w:t>chiara, permanente e unica</w:t>
      </w:r>
      <w:r w:rsidR="003D07FD">
        <w:rPr>
          <w:noProof/>
          <w:sz w:val="24"/>
          <w:szCs w:val="24"/>
        </w:rPr>
        <w:t>"</w:t>
      </w:r>
      <w:r>
        <w:rPr>
          <w:noProof/>
          <w:sz w:val="24"/>
          <w:szCs w:val="24"/>
        </w:rPr>
        <w:t xml:space="preserve"> (ad es. incisione meccanica, incisione laser o stampaggio) possono essere compatibili con la direttiva. </w:t>
      </w:r>
    </w:p>
    <w:p w14:paraId="211B4376" w14:textId="31686735" w:rsidR="00F10D30" w:rsidRDefault="00DE79DC" w:rsidP="000B6EEE">
      <w:pPr>
        <w:autoSpaceDE w:val="0"/>
        <w:autoSpaceDN w:val="0"/>
        <w:adjustRightInd w:val="0"/>
        <w:rPr>
          <w:noProof/>
          <w:sz w:val="24"/>
          <w:szCs w:val="24"/>
        </w:rPr>
      </w:pPr>
      <w:r>
        <w:rPr>
          <w:noProof/>
          <w:sz w:val="24"/>
          <w:szCs w:val="24"/>
        </w:rPr>
        <w:t>Un approccio comune a livello dell</w:t>
      </w:r>
      <w:r w:rsidR="003D07FD">
        <w:rPr>
          <w:noProof/>
          <w:sz w:val="24"/>
          <w:szCs w:val="24"/>
        </w:rPr>
        <w:t>'</w:t>
      </w:r>
      <w:r>
        <w:rPr>
          <w:noProof/>
          <w:sz w:val="24"/>
          <w:szCs w:val="24"/>
        </w:rPr>
        <w:t>UE garantirebbe che sia possibile ripristinare le marcature cancellate e che non siano posti ostacoli tecnici ingiustificati al commercio legale delle armi da fuoco tra gli Stati membri. La Commissione si baserà pertanto sulle relazioni tecniche dei dipartimenti balistici e dei banchi di prova nazionali e valuterà i pro e i contro delle varie opzioni. Le discussioni proseguiranno all</w:t>
      </w:r>
      <w:r w:rsidR="003D07FD">
        <w:rPr>
          <w:noProof/>
          <w:sz w:val="24"/>
          <w:szCs w:val="24"/>
        </w:rPr>
        <w:t>'</w:t>
      </w:r>
      <w:r>
        <w:rPr>
          <w:noProof/>
          <w:sz w:val="24"/>
          <w:szCs w:val="24"/>
        </w:rPr>
        <w:t>interno del comitato armi da fuoco per valutare l</w:t>
      </w:r>
      <w:r w:rsidR="003D07FD">
        <w:rPr>
          <w:noProof/>
          <w:sz w:val="24"/>
          <w:szCs w:val="24"/>
        </w:rPr>
        <w:t>'</w:t>
      </w:r>
      <w:r>
        <w:rPr>
          <w:noProof/>
          <w:sz w:val="24"/>
          <w:szCs w:val="24"/>
        </w:rPr>
        <w:t>impatto dell</w:t>
      </w:r>
      <w:r w:rsidR="003D07FD">
        <w:rPr>
          <w:noProof/>
          <w:sz w:val="24"/>
          <w:szCs w:val="24"/>
        </w:rPr>
        <w:t>'</w:t>
      </w:r>
      <w:r>
        <w:rPr>
          <w:noProof/>
          <w:sz w:val="24"/>
          <w:szCs w:val="24"/>
        </w:rPr>
        <w:t>aggiornamento della direttiva di esecuzione (UE) 2019/68.</w:t>
      </w:r>
    </w:p>
    <w:p w14:paraId="2DF7C6AE" w14:textId="3D7C82A5" w:rsidR="00A84AA3" w:rsidRPr="006A7F07" w:rsidRDefault="00A84AA3" w:rsidP="004E3E94">
      <w:pPr>
        <w:pStyle w:val="Heading3"/>
        <w:rPr>
          <w:noProof/>
        </w:rPr>
      </w:pPr>
      <w:bookmarkStart w:id="25" w:name="_Toc66179173"/>
      <w:r>
        <w:rPr>
          <w:noProof/>
        </w:rPr>
        <w:t>Tecnologia per migliorare la tracciabilità e la sicurezza dell</w:t>
      </w:r>
      <w:r w:rsidR="003D07FD">
        <w:rPr>
          <w:noProof/>
        </w:rPr>
        <w:t>'</w:t>
      </w:r>
      <w:r>
        <w:rPr>
          <w:noProof/>
        </w:rPr>
        <w:t>acquisizione e della detenzione di armi</w:t>
      </w:r>
      <w:bookmarkEnd w:id="25"/>
    </w:p>
    <w:p w14:paraId="7EC8AB81" w14:textId="6B23124A" w:rsidR="00E853FA" w:rsidRPr="00A84AA3" w:rsidRDefault="00E853FA" w:rsidP="00347AD0">
      <w:pPr>
        <w:rPr>
          <w:b/>
          <w:noProof/>
          <w:sz w:val="24"/>
          <w:szCs w:val="24"/>
        </w:rPr>
      </w:pPr>
      <w:r>
        <w:rPr>
          <w:noProof/>
          <w:sz w:val="24"/>
          <w:szCs w:val="24"/>
        </w:rPr>
        <w:t xml:space="preserve">Il </w:t>
      </w:r>
      <w:r>
        <w:rPr>
          <w:b/>
          <w:noProof/>
          <w:sz w:val="24"/>
          <w:szCs w:val="24"/>
        </w:rPr>
        <w:t>codice QR (risposta rapida)</w:t>
      </w:r>
      <w:r>
        <w:rPr>
          <w:noProof/>
          <w:sz w:val="24"/>
          <w:szCs w:val="24"/>
        </w:rPr>
        <w:t xml:space="preserve"> è un tipo di codice a barre bidimensionale in grado di memorizzare informazioni in una marcatura ottica leggibile meccanicamente. I codici QR permettono di raccogliere un numero di dati più ampio rispetto ai codici a barre unidimensionali.</w:t>
      </w:r>
    </w:p>
    <w:p w14:paraId="05FAC760" w14:textId="77777777" w:rsidR="00E853FA" w:rsidRPr="00A84AA3" w:rsidRDefault="005E3CFD" w:rsidP="00A84AA3">
      <w:pPr>
        <w:rPr>
          <w:b/>
          <w:noProof/>
          <w:sz w:val="24"/>
          <w:szCs w:val="24"/>
        </w:rPr>
      </w:pPr>
      <w:r>
        <w:rPr>
          <w:noProof/>
          <w:sz w:val="24"/>
          <w:szCs w:val="24"/>
        </w:rPr>
        <w:t>Il loro costo è relativamente basso. Al momento sono applicati prevalentemente sulle armi da fuoco a scopo di inventario, in particolare su adesivi di tipo QR</w:t>
      </w:r>
      <w:r>
        <w:rPr>
          <w:rStyle w:val="FootnoteReference"/>
          <w:noProof/>
          <w:sz w:val="24"/>
          <w:szCs w:val="24"/>
          <w:lang w:val="en-IE"/>
        </w:rPr>
        <w:footnoteReference w:id="31"/>
      </w:r>
      <w:r>
        <w:rPr>
          <w:noProof/>
        </w:rPr>
        <w:t>.</w:t>
      </w:r>
      <w:r>
        <w:rPr>
          <w:noProof/>
          <w:sz w:val="24"/>
          <w:szCs w:val="24"/>
        </w:rPr>
        <w:t xml:space="preserve"> </w:t>
      </w:r>
    </w:p>
    <w:p w14:paraId="73F6672F" w14:textId="4516D1BC" w:rsidR="00E853FA" w:rsidRPr="00A84AA3" w:rsidRDefault="00E853FA" w:rsidP="00A84AA3">
      <w:pPr>
        <w:rPr>
          <w:noProof/>
          <w:sz w:val="24"/>
          <w:szCs w:val="24"/>
        </w:rPr>
      </w:pPr>
      <w:r>
        <w:rPr>
          <w:noProof/>
          <w:sz w:val="24"/>
          <w:szCs w:val="24"/>
        </w:rPr>
        <w:t xml:space="preserve">I </w:t>
      </w:r>
      <w:r>
        <w:rPr>
          <w:b/>
          <w:noProof/>
          <w:sz w:val="24"/>
          <w:szCs w:val="24"/>
        </w:rPr>
        <w:t>codici a matrice di dati</w:t>
      </w:r>
      <w:r>
        <w:rPr>
          <w:noProof/>
          <w:sz w:val="24"/>
          <w:szCs w:val="24"/>
        </w:rPr>
        <w:t>, come i codici QR, sono composti da moduli bianchi e neri disposti all</w:t>
      </w:r>
      <w:r w:rsidR="003D07FD">
        <w:rPr>
          <w:noProof/>
          <w:sz w:val="24"/>
          <w:szCs w:val="24"/>
        </w:rPr>
        <w:t>'</w:t>
      </w:r>
      <w:r>
        <w:rPr>
          <w:noProof/>
          <w:sz w:val="24"/>
          <w:szCs w:val="24"/>
        </w:rPr>
        <w:t>interno di uno schema di forma quadrata.</w:t>
      </w:r>
    </w:p>
    <w:p w14:paraId="04CD0255" w14:textId="184D7DC8" w:rsidR="00E853FA" w:rsidRPr="00A84AA3" w:rsidRDefault="00E853FA" w:rsidP="00A84AA3">
      <w:pPr>
        <w:rPr>
          <w:noProof/>
          <w:sz w:val="24"/>
          <w:szCs w:val="24"/>
        </w:rPr>
      </w:pPr>
      <w:r>
        <w:rPr>
          <w:noProof/>
          <w:sz w:val="24"/>
          <w:szCs w:val="24"/>
        </w:rPr>
        <w:t>Contengono un numero di serie unico e l</w:t>
      </w:r>
      <w:r w:rsidR="003D07FD">
        <w:rPr>
          <w:noProof/>
          <w:sz w:val="24"/>
          <w:szCs w:val="24"/>
        </w:rPr>
        <w:t>'</w:t>
      </w:r>
      <w:r>
        <w:rPr>
          <w:noProof/>
          <w:sz w:val="24"/>
          <w:szCs w:val="24"/>
        </w:rPr>
        <w:t>identificazione del fabbricante. Quando il codice è danneggiato, i dati dei codici a matrice di dati hanno una maggiore capacità di essere ripristinati rispetto ai dati dei codici QR</w:t>
      </w:r>
      <w:r>
        <w:rPr>
          <w:rStyle w:val="FootnoteReference"/>
          <w:noProof/>
          <w:sz w:val="24"/>
          <w:szCs w:val="24"/>
          <w:lang w:val="en-IE"/>
        </w:rPr>
        <w:footnoteReference w:id="32"/>
      </w:r>
      <w:r>
        <w:rPr>
          <w:noProof/>
        </w:rPr>
        <w:t>.</w:t>
      </w:r>
      <w:r w:rsidR="003D07FD">
        <w:rPr>
          <w:noProof/>
          <w:sz w:val="24"/>
          <w:szCs w:val="24"/>
        </w:rPr>
        <w:t xml:space="preserve"> </w:t>
      </w:r>
      <w:r>
        <w:rPr>
          <w:noProof/>
          <w:sz w:val="24"/>
          <w:szCs w:val="24"/>
        </w:rPr>
        <w:t>Si ritiene che i codici a matrice di dati siano i migliori per memorizzare informazioni in spazi molto piccoli</w:t>
      </w:r>
      <w:r>
        <w:rPr>
          <w:rStyle w:val="FootnoteReference"/>
          <w:noProof/>
          <w:sz w:val="24"/>
          <w:szCs w:val="24"/>
          <w:lang w:val="en-IE"/>
        </w:rPr>
        <w:footnoteReference w:id="33"/>
      </w:r>
      <w:r>
        <w:rPr>
          <w:noProof/>
        </w:rPr>
        <w:t>.</w:t>
      </w:r>
      <w:r>
        <w:rPr>
          <w:noProof/>
          <w:sz w:val="24"/>
          <w:szCs w:val="24"/>
        </w:rPr>
        <w:t xml:space="preserve"> </w:t>
      </w:r>
    </w:p>
    <w:p w14:paraId="47DF2DA7" w14:textId="6F4C36F4" w:rsidR="0027264B" w:rsidRPr="00A84AA3" w:rsidRDefault="0027264B" w:rsidP="00A84AA3">
      <w:pPr>
        <w:rPr>
          <w:noProof/>
          <w:sz w:val="24"/>
          <w:szCs w:val="24"/>
        </w:rPr>
      </w:pPr>
      <w:r>
        <w:rPr>
          <w:noProof/>
          <w:sz w:val="24"/>
          <w:szCs w:val="24"/>
        </w:rPr>
        <w:t xml:space="preserve">Ad oggi la Commissione non è a conoscenza di Stati membri che utilizzino i codici QR e/o i codici a matrice di dati per monitorare e controllare le armi da fuoco. </w:t>
      </w:r>
    </w:p>
    <w:p w14:paraId="57E7310A" w14:textId="0ECA3FA0" w:rsidR="00DB732C" w:rsidRPr="00A84AA3" w:rsidRDefault="00DB732C" w:rsidP="00A84AA3">
      <w:pPr>
        <w:rPr>
          <w:noProof/>
          <w:sz w:val="24"/>
          <w:szCs w:val="24"/>
        </w:rPr>
      </w:pPr>
      <w:r>
        <w:rPr>
          <w:noProof/>
          <w:sz w:val="24"/>
          <w:szCs w:val="24"/>
        </w:rPr>
        <w:t>Le preoccupazioni in materia di sicurezza potrebbero rappresentare un ostacolo all</w:t>
      </w:r>
      <w:r w:rsidR="003D07FD">
        <w:rPr>
          <w:noProof/>
          <w:sz w:val="24"/>
          <w:szCs w:val="24"/>
        </w:rPr>
        <w:t>'</w:t>
      </w:r>
      <w:r>
        <w:rPr>
          <w:noProof/>
          <w:sz w:val="24"/>
          <w:szCs w:val="24"/>
        </w:rPr>
        <w:t>adozione dei codici QR nel mercato delle armi da fuoco poiché essi possono essere oggetto di attacchi informatici e permettere l</w:t>
      </w:r>
      <w:r w:rsidR="003D07FD">
        <w:rPr>
          <w:noProof/>
          <w:sz w:val="24"/>
          <w:szCs w:val="24"/>
        </w:rPr>
        <w:t>'</w:t>
      </w:r>
      <w:r>
        <w:rPr>
          <w:noProof/>
          <w:sz w:val="24"/>
          <w:szCs w:val="24"/>
        </w:rPr>
        <w:t>infezione delle reti e dei dispositivi di lettura. Di conseguenza tali sistemi non sempre ispirano fiducia dal punto di vista delle aziende e dei consumatori.</w:t>
      </w:r>
    </w:p>
    <w:p w14:paraId="5B513083" w14:textId="77777777" w:rsidR="00DB732C" w:rsidRPr="00A84AA3" w:rsidRDefault="005E3CFD" w:rsidP="00A84AA3">
      <w:pPr>
        <w:rPr>
          <w:noProof/>
          <w:sz w:val="24"/>
          <w:szCs w:val="24"/>
        </w:rPr>
      </w:pPr>
      <w:r>
        <w:rPr>
          <w:noProof/>
          <w:sz w:val="24"/>
          <w:szCs w:val="24"/>
        </w:rPr>
        <w:t xml:space="preserve">Inoltre, poiché un codice QR non è leggibile direttamente e le informazioni non possono essere estratte senza un dispositivo di lettura, potrebbero sorgere dubbi in merito alla praticabilità di questa tecnologia per le autorità di contrasto preposte al sequestro delle armi da fuoco (polizia, dogane, guardie di frontiera, ecc.). </w:t>
      </w:r>
    </w:p>
    <w:p w14:paraId="54BEF04C" w14:textId="38A31F13" w:rsidR="00E853FA" w:rsidRPr="00A84AA3" w:rsidRDefault="00E853FA" w:rsidP="00A84AA3">
      <w:pPr>
        <w:rPr>
          <w:noProof/>
          <w:sz w:val="24"/>
          <w:szCs w:val="24"/>
        </w:rPr>
      </w:pPr>
      <w:r>
        <w:rPr>
          <w:noProof/>
          <w:sz w:val="24"/>
          <w:szCs w:val="24"/>
        </w:rPr>
        <w:t>L</w:t>
      </w:r>
      <w:r w:rsidR="003D07FD">
        <w:rPr>
          <w:noProof/>
          <w:sz w:val="24"/>
          <w:szCs w:val="24"/>
        </w:rPr>
        <w:t>'</w:t>
      </w:r>
      <w:r>
        <w:rPr>
          <w:b/>
          <w:noProof/>
          <w:sz w:val="24"/>
          <w:szCs w:val="24"/>
        </w:rPr>
        <w:t>identificazione a radiofrequenza (RFID)</w:t>
      </w:r>
      <w:r>
        <w:rPr>
          <w:noProof/>
          <w:sz w:val="24"/>
          <w:szCs w:val="24"/>
        </w:rPr>
        <w:t xml:space="preserve"> si configura come un</w:t>
      </w:r>
      <w:r w:rsidR="003D07FD">
        <w:rPr>
          <w:noProof/>
          <w:sz w:val="24"/>
          <w:szCs w:val="24"/>
        </w:rPr>
        <w:t>'</w:t>
      </w:r>
      <w:r>
        <w:rPr>
          <w:noProof/>
          <w:sz w:val="24"/>
          <w:szCs w:val="24"/>
        </w:rPr>
        <w:t>alternativa alla tracciabilità delle armi da fuoco o un rinforzo alla marcatura classica. La tecnologia RFID consente il trasferimento dei dati per identificare e controllare automaticamente le etichette apposte sugli oggetti e stabilirebbe una relazione tra un</w:t>
      </w:r>
      <w:r w:rsidR="003D07FD">
        <w:rPr>
          <w:noProof/>
          <w:sz w:val="24"/>
          <w:szCs w:val="24"/>
        </w:rPr>
        <w:t>'</w:t>
      </w:r>
      <w:r>
        <w:rPr>
          <w:noProof/>
          <w:sz w:val="24"/>
          <w:szCs w:val="24"/>
        </w:rPr>
        <w:t xml:space="preserve">arma da fuoco e un oggetto che la attiva quando è vicino ad essa. </w:t>
      </w:r>
    </w:p>
    <w:p w14:paraId="3C15843A" w14:textId="45DFC2DB" w:rsidR="00E853FA" w:rsidRPr="00A84AA3" w:rsidRDefault="00103365" w:rsidP="00A84AA3">
      <w:pPr>
        <w:rPr>
          <w:noProof/>
          <w:sz w:val="24"/>
          <w:szCs w:val="24"/>
        </w:rPr>
      </w:pPr>
      <w:r>
        <w:rPr>
          <w:noProof/>
          <w:sz w:val="24"/>
          <w:szCs w:val="24"/>
        </w:rPr>
        <w:t>Alcuni test sembravano dimostrare che l</w:t>
      </w:r>
      <w:r w:rsidR="003D07FD">
        <w:rPr>
          <w:noProof/>
          <w:sz w:val="24"/>
          <w:szCs w:val="24"/>
        </w:rPr>
        <w:t>'</w:t>
      </w:r>
      <w:r>
        <w:rPr>
          <w:noProof/>
          <w:sz w:val="24"/>
          <w:szCs w:val="24"/>
        </w:rPr>
        <w:t>utilizzo di etichette RFID in miniatura a basso costo su superfici in metallo è funzionale anche ai fini del controllo delle armi da fuoco</w:t>
      </w:r>
      <w:r>
        <w:rPr>
          <w:rStyle w:val="FootnoteReference"/>
          <w:noProof/>
          <w:sz w:val="24"/>
          <w:szCs w:val="24"/>
          <w:lang w:val="en-IE"/>
        </w:rPr>
        <w:footnoteReference w:id="34"/>
      </w:r>
      <w:r>
        <w:rPr>
          <w:noProof/>
          <w:sz w:val="24"/>
          <w:szCs w:val="24"/>
        </w:rPr>
        <w:t>. Inoltre la tecnologia RFID associata a un software specifico è in grado di controllare la posizione delle armi da fuoco, i dati relativi alla manutenzione delle armi da fuoco e di monitorare i cambiamenti nella custodia dell</w:t>
      </w:r>
      <w:r w:rsidR="003D07FD">
        <w:rPr>
          <w:noProof/>
          <w:sz w:val="24"/>
          <w:szCs w:val="24"/>
        </w:rPr>
        <w:t>'</w:t>
      </w:r>
      <w:r>
        <w:rPr>
          <w:noProof/>
          <w:sz w:val="24"/>
          <w:szCs w:val="24"/>
        </w:rPr>
        <w:t>arma da fuoco</w:t>
      </w:r>
      <w:r>
        <w:rPr>
          <w:rStyle w:val="FootnoteReference"/>
          <w:noProof/>
          <w:sz w:val="24"/>
          <w:szCs w:val="24"/>
          <w:lang w:val="en-IE"/>
        </w:rPr>
        <w:footnoteReference w:id="35"/>
      </w:r>
      <w:r>
        <w:rPr>
          <w:noProof/>
        </w:rPr>
        <w:t>.</w:t>
      </w:r>
      <w:r>
        <w:rPr>
          <w:noProof/>
          <w:sz w:val="24"/>
          <w:szCs w:val="24"/>
        </w:rPr>
        <w:t xml:space="preserve"> </w:t>
      </w:r>
    </w:p>
    <w:p w14:paraId="207E7F23" w14:textId="0E2F950B" w:rsidR="00D34FAE" w:rsidRPr="00A84AA3" w:rsidRDefault="005D2B72" w:rsidP="00A84AA3">
      <w:pPr>
        <w:rPr>
          <w:noProof/>
          <w:sz w:val="24"/>
          <w:szCs w:val="24"/>
        </w:rPr>
      </w:pPr>
      <w:r>
        <w:rPr>
          <w:noProof/>
          <w:sz w:val="24"/>
          <w:szCs w:val="24"/>
        </w:rPr>
        <w:t>Esistono preoccupazioni in merito all</w:t>
      </w:r>
      <w:r w:rsidR="003D07FD">
        <w:rPr>
          <w:noProof/>
          <w:sz w:val="24"/>
          <w:szCs w:val="24"/>
        </w:rPr>
        <w:t>'</w:t>
      </w:r>
      <w:r>
        <w:rPr>
          <w:noProof/>
          <w:sz w:val="24"/>
          <w:szCs w:val="24"/>
        </w:rPr>
        <w:t>utilizzo di questa tecnologia poiché potrebbe essere utilizzata per raccogliere informazioni che sono direttamente o indirettamente collegate a una persona identificabile o identificata</w:t>
      </w:r>
      <w:r>
        <w:rPr>
          <w:rStyle w:val="FootnoteReference"/>
          <w:noProof/>
          <w:sz w:val="24"/>
          <w:szCs w:val="24"/>
          <w:lang w:val="en-IE"/>
        </w:rPr>
        <w:footnoteReference w:id="36"/>
      </w:r>
      <w:r>
        <w:rPr>
          <w:noProof/>
        </w:rPr>
        <w:t>.</w:t>
      </w:r>
      <w:r>
        <w:rPr>
          <w:noProof/>
          <w:sz w:val="24"/>
          <w:szCs w:val="24"/>
        </w:rPr>
        <w:t xml:space="preserve"> Un altro rischio è che il sistema è ritenuto attaccabile dalla pirateria informatica. </w:t>
      </w:r>
    </w:p>
    <w:p w14:paraId="2FE021EE" w14:textId="7E5017FD" w:rsidR="00DB732C" w:rsidRPr="00A84AA3" w:rsidRDefault="009600B6" w:rsidP="00A84AA3">
      <w:pPr>
        <w:rPr>
          <w:noProof/>
          <w:sz w:val="24"/>
          <w:szCs w:val="24"/>
        </w:rPr>
      </w:pPr>
      <w:r>
        <w:rPr>
          <w:noProof/>
          <w:sz w:val="24"/>
          <w:szCs w:val="24"/>
        </w:rPr>
        <w:t>Ad oggi, questa tecnologia non è ritenuta sufficientemente sicura per essere attuata a livello dell</w:t>
      </w:r>
      <w:r w:rsidR="003D07FD">
        <w:rPr>
          <w:noProof/>
          <w:sz w:val="24"/>
          <w:szCs w:val="24"/>
        </w:rPr>
        <w:t>'</w:t>
      </w:r>
      <w:r>
        <w:rPr>
          <w:noProof/>
          <w:sz w:val="24"/>
          <w:szCs w:val="24"/>
        </w:rPr>
        <w:t xml:space="preserve">UE. </w:t>
      </w:r>
    </w:p>
    <w:p w14:paraId="4482747D" w14:textId="36DA8033" w:rsidR="0003091D" w:rsidRPr="002B109B" w:rsidRDefault="00103365" w:rsidP="002B109B">
      <w:pPr>
        <w:rPr>
          <w:noProof/>
          <w:sz w:val="24"/>
          <w:szCs w:val="24"/>
        </w:rPr>
      </w:pPr>
      <w:r>
        <w:rPr>
          <w:noProof/>
          <w:sz w:val="24"/>
          <w:szCs w:val="24"/>
        </w:rPr>
        <w:t xml:space="preserve">Attualmente esistono </w:t>
      </w:r>
      <w:r>
        <w:rPr>
          <w:b/>
          <w:noProof/>
          <w:sz w:val="24"/>
          <w:szCs w:val="24"/>
        </w:rPr>
        <w:t>altre possibilità</w:t>
      </w:r>
      <w:r>
        <w:rPr>
          <w:noProof/>
          <w:sz w:val="24"/>
          <w:szCs w:val="24"/>
        </w:rPr>
        <w:t xml:space="preserve"> per migliorare la tracciabilità delle armi, ad esempio l</w:t>
      </w:r>
      <w:r w:rsidR="003D07FD">
        <w:rPr>
          <w:noProof/>
          <w:sz w:val="24"/>
          <w:szCs w:val="24"/>
        </w:rPr>
        <w:t>'</w:t>
      </w:r>
      <w:r>
        <w:rPr>
          <w:noProof/>
          <w:sz w:val="24"/>
          <w:szCs w:val="24"/>
        </w:rPr>
        <w:t>utilizzo di marcature discrete o invisibili con inchiostri speciali. L</w:t>
      </w:r>
      <w:r w:rsidR="003D07FD">
        <w:rPr>
          <w:noProof/>
          <w:sz w:val="24"/>
          <w:szCs w:val="24"/>
        </w:rPr>
        <w:t>'</w:t>
      </w:r>
      <w:r>
        <w:rPr>
          <w:noProof/>
          <w:sz w:val="24"/>
          <w:szCs w:val="24"/>
        </w:rPr>
        <w:t>utilizzo di inchiostri di sicurezza è stato collaudato per la tracciabilità delle banconote</w:t>
      </w:r>
      <w:r>
        <w:rPr>
          <w:noProof/>
          <w:vertAlign w:val="superscript"/>
          <w:lang w:val="en-IE"/>
        </w:rPr>
        <w:footnoteReference w:id="37"/>
      </w:r>
      <w:r>
        <w:rPr>
          <w:noProof/>
          <w:sz w:val="24"/>
          <w:szCs w:val="24"/>
        </w:rPr>
        <w:t xml:space="preserve"> e questa tecnologia è usata su articoli in metallo (come prodotti di consumo imballati)</w:t>
      </w:r>
      <w:r>
        <w:rPr>
          <w:noProof/>
          <w:vertAlign w:val="superscript"/>
          <w:lang w:val="en-IE"/>
        </w:rPr>
        <w:footnoteReference w:id="38"/>
      </w:r>
      <w:r>
        <w:rPr>
          <w:noProof/>
          <w:sz w:val="24"/>
          <w:szCs w:val="24"/>
        </w:rPr>
        <w:t xml:space="preserve"> e su materiali non metallici dalle aziende farmaceutiche.</w:t>
      </w:r>
      <w:r>
        <w:rPr>
          <w:noProof/>
          <w:vertAlign w:val="superscript"/>
          <w:lang w:val="en-IE"/>
        </w:rPr>
        <w:footnoteReference w:id="39"/>
      </w:r>
      <w:r>
        <w:rPr>
          <w:noProof/>
          <w:sz w:val="24"/>
          <w:szCs w:val="24"/>
        </w:rPr>
        <w:t xml:space="preserve"> Questa tecnica potrebbe rivelarsi efficace anche nei componenti metallici e non metallici delle armi da fuoco. La Commissione continuerà a monitorare tali tecniche in seno al comitato armi da fuoco. </w:t>
      </w:r>
    </w:p>
    <w:p w14:paraId="5BBBAEC2" w14:textId="702FC3C0" w:rsidR="00333038" w:rsidRPr="006A7F07" w:rsidRDefault="00A84AA3" w:rsidP="00DA05C2">
      <w:pPr>
        <w:pStyle w:val="Heading1"/>
        <w:rPr>
          <w:noProof/>
        </w:rPr>
      </w:pPr>
      <w:bookmarkStart w:id="26" w:name="_Toc66179174"/>
      <w:r>
        <w:rPr>
          <w:noProof/>
        </w:rPr>
        <w:t>CONCLUSIONI</w:t>
      </w:r>
      <w:bookmarkEnd w:id="26"/>
      <w:r>
        <w:rPr>
          <w:noProof/>
        </w:rPr>
        <w:t xml:space="preserve"> E PROSPETTIVE</w:t>
      </w:r>
    </w:p>
    <w:p w14:paraId="1C3B576F" w14:textId="06E37F7F" w:rsidR="00704D37" w:rsidRDefault="002B109B" w:rsidP="006119BF">
      <w:pPr>
        <w:rPr>
          <w:noProof/>
          <w:sz w:val="24"/>
          <w:szCs w:val="24"/>
        </w:rPr>
      </w:pPr>
      <w:r>
        <w:rPr>
          <w:noProof/>
          <w:sz w:val="24"/>
          <w:szCs w:val="24"/>
        </w:rPr>
        <w:t>Tutti i portatori di interessi convengono che la direttiva sulle armi da fuoco è stata fondamentale per affrontare le minacce principali individuate nelle relazioni degli Stati membri (principalmente nel quadro della piattaforma sulle armi da fuoco)</w:t>
      </w:r>
      <w:r>
        <w:rPr>
          <w:rStyle w:val="FootnoteReference"/>
          <w:noProof/>
          <w:sz w:val="24"/>
          <w:szCs w:val="24"/>
        </w:rPr>
        <w:footnoteReference w:id="40"/>
      </w:r>
      <w:r>
        <w:rPr>
          <w:noProof/>
          <w:sz w:val="24"/>
          <w:szCs w:val="24"/>
        </w:rPr>
        <w:t>, nel progetto di analisi su armi ed esplosivi di Europol e nella valutazione della minaccia rappresentata dalla criminalità organizzata e dalle forme gravi di criminalità nell</w:t>
      </w:r>
      <w:r w:rsidR="003D07FD">
        <w:rPr>
          <w:noProof/>
          <w:sz w:val="24"/>
          <w:szCs w:val="24"/>
        </w:rPr>
        <w:t>'</w:t>
      </w:r>
      <w:r>
        <w:rPr>
          <w:noProof/>
          <w:sz w:val="24"/>
          <w:szCs w:val="24"/>
        </w:rPr>
        <w:t>Unione europea presentata da Europol nel 2017 e nel 2021, tra cui l</w:t>
      </w:r>
      <w:r w:rsidR="003D07FD">
        <w:rPr>
          <w:noProof/>
          <w:sz w:val="24"/>
          <w:szCs w:val="24"/>
        </w:rPr>
        <w:t>'</w:t>
      </w:r>
      <w:r>
        <w:rPr>
          <w:noProof/>
          <w:sz w:val="24"/>
          <w:szCs w:val="24"/>
        </w:rPr>
        <w:t>uso di armi automatiche, la riattivazione di armi da fuoco disattivate, la trasformazione delle armi da saluto e acustiche e delle armi d</w:t>
      </w:r>
      <w:r w:rsidR="003D07FD">
        <w:rPr>
          <w:noProof/>
          <w:sz w:val="24"/>
          <w:szCs w:val="24"/>
        </w:rPr>
        <w:t>'</w:t>
      </w:r>
      <w:r>
        <w:rPr>
          <w:noProof/>
          <w:sz w:val="24"/>
          <w:szCs w:val="24"/>
        </w:rPr>
        <w:t>allarme o da segnalazione.</w:t>
      </w:r>
    </w:p>
    <w:p w14:paraId="1197DDEB" w14:textId="60DD6047" w:rsidR="00EE29FF" w:rsidDel="00973FED" w:rsidRDefault="00262F0F" w:rsidP="00EE29FF">
      <w:pPr>
        <w:rPr>
          <w:noProof/>
          <w:sz w:val="24"/>
          <w:szCs w:val="24"/>
        </w:rPr>
      </w:pPr>
      <w:r>
        <w:rPr>
          <w:noProof/>
          <w:sz w:val="24"/>
          <w:szCs w:val="24"/>
        </w:rPr>
        <w:t>La Commissione osserva che la direttiva sulle armi da fuoco ha migliorato le categorie di armi da fuoco, la loro tracciabilità, gli scambi di informazioni e le procedure amministrative. In questa fase solo 10 Stati membri hanno pienamente recepito le disposizioni analizzate nella presente relazione e che rappresentano le principali modifiche introdotte dalla direttiva sulle armi da fuoco nel 2017 e dalle due direttive di esecuzione. Oltre alla notifica del recepimento la Commissione sta valutando anche la conformità delle leggi nazionali alla direttiva e ha già individuato casi di recepimento scorretto in alcuni Stati membri. Questo implica che è impossibile sfruttare appieno i vantaggi della direttiva. La Commissione continuerà a sostenere gli Stati membri nell</w:t>
      </w:r>
      <w:r w:rsidR="003D07FD">
        <w:rPr>
          <w:noProof/>
          <w:sz w:val="24"/>
          <w:szCs w:val="24"/>
        </w:rPr>
        <w:t>'</w:t>
      </w:r>
      <w:r>
        <w:rPr>
          <w:noProof/>
          <w:sz w:val="24"/>
          <w:szCs w:val="24"/>
        </w:rPr>
        <w:t>attuazione della direttiva sulle armi da fuoco, rispondendo a richieste di chiarimenti e organizzando seminari sul recepimento all</w:t>
      </w:r>
      <w:r w:rsidR="003D07FD">
        <w:rPr>
          <w:noProof/>
          <w:sz w:val="24"/>
          <w:szCs w:val="24"/>
        </w:rPr>
        <w:t>'</w:t>
      </w:r>
      <w:r>
        <w:rPr>
          <w:noProof/>
          <w:sz w:val="24"/>
          <w:szCs w:val="24"/>
        </w:rPr>
        <w:t>interno del comitato armi da fuoco, comprese riunioni tecniche con specifici Stati membri, se necessario.</w:t>
      </w:r>
    </w:p>
    <w:p w14:paraId="043984CF" w14:textId="0F296CC8" w:rsidR="002806C8" w:rsidRDefault="00EE29FF" w:rsidP="00FC2177">
      <w:pPr>
        <w:rPr>
          <w:noProof/>
          <w:sz w:val="24"/>
          <w:szCs w:val="24"/>
        </w:rPr>
      </w:pPr>
      <w:r>
        <w:rPr>
          <w:noProof/>
          <w:sz w:val="24"/>
          <w:szCs w:val="24"/>
        </w:rPr>
        <w:t>La Commissione intensificherà inoltre il monitoraggio dell</w:t>
      </w:r>
      <w:r w:rsidR="003D07FD">
        <w:rPr>
          <w:noProof/>
          <w:sz w:val="24"/>
          <w:szCs w:val="24"/>
        </w:rPr>
        <w:t>'</w:t>
      </w:r>
      <w:r>
        <w:rPr>
          <w:noProof/>
          <w:sz w:val="24"/>
          <w:szCs w:val="24"/>
        </w:rPr>
        <w:t xml:space="preserve">attuazione negli Stati membri e utilizzerà appieno i poteri conferitile dal trattato ogniqualvolta necessario. Nella fattispecie presterà particolare attenzione alla questione delle armi da fuoco a munizioni </w:t>
      </w:r>
      <w:r w:rsidR="003D07FD">
        <w:rPr>
          <w:noProof/>
          <w:sz w:val="24"/>
          <w:szCs w:val="24"/>
        </w:rPr>
        <w:t>"</w:t>
      </w:r>
      <w:r>
        <w:rPr>
          <w:noProof/>
          <w:sz w:val="24"/>
          <w:szCs w:val="24"/>
        </w:rPr>
        <w:t>Flobert</w:t>
      </w:r>
      <w:r w:rsidR="003D07FD">
        <w:rPr>
          <w:noProof/>
          <w:sz w:val="24"/>
          <w:szCs w:val="24"/>
        </w:rPr>
        <w:t>"</w:t>
      </w:r>
      <w:r>
        <w:rPr>
          <w:noProof/>
          <w:sz w:val="24"/>
          <w:szCs w:val="24"/>
        </w:rPr>
        <w:t xml:space="preserve"> di piccolo calibro</w:t>
      </w:r>
      <w:r>
        <w:rPr>
          <w:noProof/>
        </w:rPr>
        <w:t xml:space="preserve"> </w:t>
      </w:r>
      <w:r>
        <w:rPr>
          <w:noProof/>
          <w:sz w:val="24"/>
          <w:szCs w:val="24"/>
        </w:rPr>
        <w:t>nonché al riconoscimento e all</w:t>
      </w:r>
      <w:r w:rsidR="003D07FD">
        <w:rPr>
          <w:noProof/>
          <w:sz w:val="24"/>
          <w:szCs w:val="24"/>
        </w:rPr>
        <w:t>'</w:t>
      </w:r>
      <w:r>
        <w:rPr>
          <w:noProof/>
          <w:sz w:val="24"/>
          <w:szCs w:val="24"/>
        </w:rPr>
        <w:t>utilizzo corretti della carta europea d</w:t>
      </w:r>
      <w:r w:rsidR="003D07FD">
        <w:rPr>
          <w:noProof/>
          <w:sz w:val="24"/>
          <w:szCs w:val="24"/>
        </w:rPr>
        <w:t>'</w:t>
      </w:r>
      <w:r>
        <w:rPr>
          <w:noProof/>
          <w:sz w:val="24"/>
          <w:szCs w:val="24"/>
        </w:rPr>
        <w:t xml:space="preserve">arma da fuoco. </w:t>
      </w:r>
    </w:p>
    <w:p w14:paraId="3F020967" w14:textId="267F52AE" w:rsidR="0096435F" w:rsidRPr="00A53243" w:rsidRDefault="0096435F" w:rsidP="00FC2177">
      <w:pPr>
        <w:rPr>
          <w:noProof/>
          <w:sz w:val="24"/>
          <w:szCs w:val="24"/>
        </w:rPr>
      </w:pPr>
      <w:r>
        <w:rPr>
          <w:noProof/>
          <w:sz w:val="24"/>
          <w:szCs w:val="24"/>
        </w:rPr>
        <w:t>Inoltre l</w:t>
      </w:r>
      <w:r w:rsidR="003D07FD">
        <w:rPr>
          <w:noProof/>
          <w:sz w:val="24"/>
          <w:szCs w:val="24"/>
        </w:rPr>
        <w:t>'</w:t>
      </w:r>
      <w:r>
        <w:rPr>
          <w:noProof/>
          <w:sz w:val="24"/>
          <w:szCs w:val="24"/>
        </w:rPr>
        <w:t>analisi svolta nella presente relazione dimostra che è possibile compiere ulteriori progressi nel controllo giuridico dell</w:t>
      </w:r>
      <w:r w:rsidR="003D07FD">
        <w:rPr>
          <w:noProof/>
          <w:sz w:val="24"/>
          <w:szCs w:val="24"/>
        </w:rPr>
        <w:t>'</w:t>
      </w:r>
      <w:r>
        <w:rPr>
          <w:noProof/>
          <w:sz w:val="24"/>
          <w:szCs w:val="24"/>
        </w:rPr>
        <w:t>acquisizione, della detenzione e della circolazione delle armi civili. Le opzioni da esplorare per garantire un migliore controllo giuridico potrebbero includere le seguenti:</w:t>
      </w:r>
    </w:p>
    <w:p w14:paraId="4FD3E965" w14:textId="0D0C1A68" w:rsidR="00262F0F" w:rsidRPr="00A53243" w:rsidRDefault="00004E90" w:rsidP="00AA4920">
      <w:pPr>
        <w:pStyle w:val="ListParagraph"/>
        <w:numPr>
          <w:ilvl w:val="0"/>
          <w:numId w:val="24"/>
        </w:numPr>
        <w:rPr>
          <w:noProof/>
          <w:sz w:val="24"/>
          <w:szCs w:val="24"/>
        </w:rPr>
      </w:pPr>
      <w:r>
        <w:rPr>
          <w:noProof/>
          <w:sz w:val="24"/>
          <w:szCs w:val="24"/>
        </w:rPr>
        <w:t>chiarire la distinzione tra armi da fuoco proibite e armi da fuoco soggette ad autorizzazione;</w:t>
      </w:r>
    </w:p>
    <w:p w14:paraId="4699416A" w14:textId="3D0AABF3" w:rsidR="00AA4920" w:rsidRPr="00A53243" w:rsidRDefault="0096435F" w:rsidP="00AA4920">
      <w:pPr>
        <w:pStyle w:val="ListParagraph"/>
        <w:numPr>
          <w:ilvl w:val="0"/>
          <w:numId w:val="24"/>
        </w:numPr>
        <w:rPr>
          <w:noProof/>
          <w:sz w:val="24"/>
          <w:szCs w:val="24"/>
        </w:rPr>
      </w:pPr>
      <w:r>
        <w:rPr>
          <w:noProof/>
          <w:sz w:val="24"/>
          <w:szCs w:val="24"/>
        </w:rPr>
        <w:t>provvedere a che tutte le armi che potrebbero essere trasformate in modo da sparare un proiettile, anche grazie a conoscenze e attrezzi specializzati, siano almeno soggette a dichiarazione;</w:t>
      </w:r>
    </w:p>
    <w:p w14:paraId="56A1B5FB" w14:textId="26190873" w:rsidR="00B042B9" w:rsidRPr="00A53243" w:rsidRDefault="00C32DA6" w:rsidP="00AA4920">
      <w:pPr>
        <w:pStyle w:val="ListParagraph"/>
        <w:numPr>
          <w:ilvl w:val="0"/>
          <w:numId w:val="24"/>
        </w:numPr>
        <w:rPr>
          <w:noProof/>
          <w:sz w:val="24"/>
          <w:szCs w:val="24"/>
        </w:rPr>
      </w:pPr>
      <w:r>
        <w:rPr>
          <w:noProof/>
          <w:sz w:val="24"/>
          <w:szCs w:val="24"/>
        </w:rPr>
        <w:t>prevedere una carta europea d</w:t>
      </w:r>
      <w:r w:rsidR="003D07FD">
        <w:rPr>
          <w:noProof/>
          <w:sz w:val="24"/>
          <w:szCs w:val="24"/>
        </w:rPr>
        <w:t>'</w:t>
      </w:r>
      <w:r>
        <w:rPr>
          <w:noProof/>
          <w:sz w:val="24"/>
          <w:szCs w:val="24"/>
        </w:rPr>
        <w:t>arma da fuoco completamente digitalizzata;</w:t>
      </w:r>
    </w:p>
    <w:p w14:paraId="7BD2723C" w14:textId="301DEDE9" w:rsidR="00875450" w:rsidRPr="00A53243" w:rsidRDefault="00A4251A" w:rsidP="00AA4920">
      <w:pPr>
        <w:pStyle w:val="ListParagraph"/>
        <w:numPr>
          <w:ilvl w:val="0"/>
          <w:numId w:val="24"/>
        </w:numPr>
        <w:rPr>
          <w:noProof/>
          <w:sz w:val="24"/>
          <w:szCs w:val="24"/>
        </w:rPr>
      </w:pPr>
      <w:r>
        <w:rPr>
          <w:noProof/>
          <w:sz w:val="24"/>
          <w:szCs w:val="24"/>
        </w:rPr>
        <w:t>mantenere nella loro categoria originale tutte le armi da fuoco che sono state trasformate e modificate in modo legale;</w:t>
      </w:r>
    </w:p>
    <w:p w14:paraId="33A860EC" w14:textId="11F733CF" w:rsidR="0096435F" w:rsidRPr="00A53243" w:rsidRDefault="00004E90" w:rsidP="00AA4920">
      <w:pPr>
        <w:pStyle w:val="ListParagraph"/>
        <w:numPr>
          <w:ilvl w:val="0"/>
          <w:numId w:val="24"/>
        </w:numPr>
        <w:rPr>
          <w:noProof/>
          <w:sz w:val="24"/>
          <w:szCs w:val="24"/>
        </w:rPr>
      </w:pPr>
      <w:r>
        <w:rPr>
          <w:noProof/>
          <w:sz w:val="24"/>
          <w:szCs w:val="24"/>
        </w:rPr>
        <w:t>armonizzare le norme sulle armi da fuoco antiche;</w:t>
      </w:r>
    </w:p>
    <w:p w14:paraId="0277EDFE" w14:textId="45EB08A9" w:rsidR="00E2665A" w:rsidRPr="00A53243" w:rsidRDefault="00E2665A" w:rsidP="0004239C">
      <w:pPr>
        <w:pStyle w:val="ListParagraph"/>
        <w:numPr>
          <w:ilvl w:val="0"/>
          <w:numId w:val="24"/>
        </w:numPr>
        <w:rPr>
          <w:noProof/>
          <w:sz w:val="24"/>
          <w:szCs w:val="24"/>
        </w:rPr>
      </w:pPr>
      <w:r>
        <w:rPr>
          <w:noProof/>
          <w:sz w:val="24"/>
          <w:szCs w:val="24"/>
        </w:rPr>
        <w:t>vietare l</w:t>
      </w:r>
      <w:r w:rsidR="003D07FD">
        <w:rPr>
          <w:noProof/>
          <w:sz w:val="24"/>
          <w:szCs w:val="24"/>
        </w:rPr>
        <w:t>'</w:t>
      </w:r>
      <w:r>
        <w:rPr>
          <w:noProof/>
          <w:sz w:val="24"/>
          <w:szCs w:val="24"/>
        </w:rPr>
        <w:t xml:space="preserve">acquisizione, la pubblicizzazione e la detenzione di modelli per la stampa 3D di armi da parte di armaioli non autorizzati; </w:t>
      </w:r>
    </w:p>
    <w:p w14:paraId="6D316996" w14:textId="0569AC98" w:rsidR="00E2665A" w:rsidRPr="00A53243" w:rsidRDefault="00E2665A" w:rsidP="00AA4920">
      <w:pPr>
        <w:pStyle w:val="ListParagraph"/>
        <w:numPr>
          <w:ilvl w:val="0"/>
          <w:numId w:val="24"/>
        </w:numPr>
        <w:rPr>
          <w:noProof/>
          <w:sz w:val="24"/>
          <w:szCs w:val="24"/>
        </w:rPr>
      </w:pPr>
      <w:r>
        <w:rPr>
          <w:noProof/>
          <w:sz w:val="24"/>
          <w:szCs w:val="24"/>
        </w:rPr>
        <w:t>creare una base giuridica esplicita per l</w:t>
      </w:r>
      <w:r w:rsidR="003D07FD">
        <w:rPr>
          <w:noProof/>
          <w:sz w:val="24"/>
          <w:szCs w:val="24"/>
        </w:rPr>
        <w:t>'</w:t>
      </w:r>
      <w:r>
        <w:rPr>
          <w:noProof/>
          <w:sz w:val="24"/>
          <w:szCs w:val="24"/>
        </w:rPr>
        <w:t>uso del sistema di informazione del mercato interno nella direttiva sulle armi da fuoco;</w:t>
      </w:r>
    </w:p>
    <w:p w14:paraId="311CCD07" w14:textId="1934E18B" w:rsidR="0096435F" w:rsidRPr="00A53243" w:rsidRDefault="0096435F" w:rsidP="00AA4920">
      <w:pPr>
        <w:pStyle w:val="ListParagraph"/>
        <w:numPr>
          <w:ilvl w:val="0"/>
          <w:numId w:val="24"/>
        </w:numPr>
        <w:rPr>
          <w:noProof/>
          <w:sz w:val="24"/>
          <w:szCs w:val="24"/>
        </w:rPr>
      </w:pPr>
      <w:r>
        <w:rPr>
          <w:noProof/>
          <w:sz w:val="24"/>
          <w:szCs w:val="24"/>
        </w:rPr>
        <w:t>chiarire ulteriormente le responsabilità delle autorità nazionali negli scambi di informazioni;</w:t>
      </w:r>
    </w:p>
    <w:p w14:paraId="1C476951" w14:textId="27E2E9E7" w:rsidR="0096435F" w:rsidRPr="00A53243" w:rsidRDefault="00E2665A" w:rsidP="00AA4920">
      <w:pPr>
        <w:pStyle w:val="ListParagraph"/>
        <w:numPr>
          <w:ilvl w:val="0"/>
          <w:numId w:val="24"/>
        </w:numPr>
        <w:rPr>
          <w:noProof/>
          <w:sz w:val="24"/>
          <w:szCs w:val="24"/>
        </w:rPr>
      </w:pPr>
      <w:r>
        <w:rPr>
          <w:noProof/>
          <w:sz w:val="24"/>
          <w:szCs w:val="24"/>
        </w:rPr>
        <w:t>definire una profondità minima per la marcatura di armi da fuoco e componenti essenziali.</w:t>
      </w:r>
    </w:p>
    <w:p w14:paraId="21EE8E6C" w14:textId="722384BE" w:rsidR="003D59DD" w:rsidRDefault="00262402" w:rsidP="003D59DD">
      <w:pPr>
        <w:spacing w:after="240" w:line="240" w:lineRule="auto"/>
        <w:rPr>
          <w:noProof/>
          <w:sz w:val="24"/>
          <w:szCs w:val="24"/>
        </w:rPr>
      </w:pPr>
      <w:r>
        <w:rPr>
          <w:noProof/>
          <w:sz w:val="24"/>
          <w:szCs w:val="24"/>
        </w:rPr>
        <w:t>La Commissione effettuerà pertanto una valutazione d</w:t>
      </w:r>
      <w:r w:rsidR="003D07FD">
        <w:rPr>
          <w:noProof/>
          <w:sz w:val="24"/>
          <w:szCs w:val="24"/>
        </w:rPr>
        <w:t>'</w:t>
      </w:r>
      <w:r>
        <w:rPr>
          <w:noProof/>
          <w:sz w:val="24"/>
          <w:szCs w:val="24"/>
        </w:rPr>
        <w:t>impatto sul potenziale di modifica alla direttiva sulle armi da fuoco.</w:t>
      </w:r>
      <w:r>
        <w:rPr>
          <w:noProof/>
        </w:rPr>
        <w:t xml:space="preserve"> </w:t>
      </w:r>
      <w:r>
        <w:rPr>
          <w:noProof/>
          <w:sz w:val="24"/>
          <w:szCs w:val="24"/>
        </w:rPr>
        <w:t>La Commissione continuerà inoltre a monitorare direttamente e tramite progetti finanziati dall</w:t>
      </w:r>
      <w:r w:rsidR="003D07FD">
        <w:rPr>
          <w:noProof/>
          <w:sz w:val="24"/>
          <w:szCs w:val="24"/>
        </w:rPr>
        <w:t>'</w:t>
      </w:r>
      <w:r>
        <w:rPr>
          <w:noProof/>
          <w:sz w:val="24"/>
          <w:szCs w:val="24"/>
        </w:rPr>
        <w:t xml:space="preserve">UE gli sviluppi tecnologici e la diffusione sul mercato al fine di migliorare la tracciabilità e il controllo delle scorte di armi da fuoco, utilizzando tecnologie differenti applicabili ad altri settori industriali. </w:t>
      </w:r>
    </w:p>
    <w:p w14:paraId="57DA99FA" w14:textId="5FF190AA" w:rsidR="00A84AA3" w:rsidRPr="00704D37" w:rsidRDefault="004E07D1" w:rsidP="00704D37">
      <w:pPr>
        <w:rPr>
          <w:noProof/>
          <w:sz w:val="24"/>
          <w:szCs w:val="24"/>
        </w:rPr>
      </w:pPr>
      <w:r>
        <w:rPr>
          <w:noProof/>
          <w:sz w:val="24"/>
          <w:szCs w:val="24"/>
        </w:rPr>
        <w:t>Queste azioni chiave contribuiranno alla realizzazione degli obiettivi della direttiva sulle armi da fuoco: consentire la circolazione transfrontaliera delle armi da fuoco mantenendo un livello elevato di sicurezza e protezione dagli atti criminali e dal traffico illecito di armi da fuoco.</w:t>
      </w:r>
    </w:p>
    <w:sectPr w:rsidR="00A84AA3" w:rsidRPr="00704D37" w:rsidSect="00AC317D">
      <w:headerReference w:type="even" r:id="rId30"/>
      <w:headerReference w:type="default" r:id="rId31"/>
      <w:footerReference w:type="even" r:id="rId32"/>
      <w:footerReference w:type="default" r:id="rId33"/>
      <w:headerReference w:type="first" r:id="rId34"/>
      <w:footerReference w:type="first" r:id="rId35"/>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56B43" w14:textId="77777777" w:rsidR="000F18E1" w:rsidRDefault="000F18E1">
      <w:pPr>
        <w:spacing w:after="0" w:line="240" w:lineRule="auto"/>
      </w:pPr>
      <w:r>
        <w:separator/>
      </w:r>
    </w:p>
  </w:endnote>
  <w:endnote w:type="continuationSeparator" w:id="0">
    <w:p w14:paraId="2647B5D9" w14:textId="77777777" w:rsidR="000F18E1" w:rsidRDefault="000F18E1">
      <w:pPr>
        <w:spacing w:after="0" w:line="240" w:lineRule="auto"/>
      </w:pPr>
      <w:r>
        <w:continuationSeparator/>
      </w:r>
    </w:p>
  </w:endnote>
  <w:endnote w:type="continuationNotice" w:id="1">
    <w:p w14:paraId="3D480067" w14:textId="77777777" w:rsidR="000F18E1" w:rsidRDefault="000F18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Serif">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68607" w14:textId="77777777" w:rsidR="004A48A3" w:rsidRPr="004A48A3" w:rsidRDefault="004A48A3" w:rsidP="004A48A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C1DA6" w14:textId="77777777" w:rsidR="001071D6" w:rsidRDefault="001071D6">
    <w:pPr>
      <w:pStyle w:val="FooterLine"/>
    </w:pPr>
    <w:r>
      <w:t xml:space="preserve"> - </w:t>
    </w:r>
    <w:r>
      <w:tab/>
      <w:t xml:space="preserve">Pagina </w:t>
    </w:r>
    <w:r>
      <w:fldChar w:fldCharType="begin"/>
    </w:r>
    <w:r>
      <w:instrText>PAGE</w:instrText>
    </w:r>
    <w:r>
      <w:fldChar w:fldCharType="separate"/>
    </w:r>
    <w:r>
      <w:t>3</w:t>
    </w:r>
    <w:r>
      <w:fldChar w:fldCharType="end"/>
    </w:r>
    <w:r>
      <w:t xml:space="preserve"> / </w:t>
    </w:r>
    <w:r>
      <w:fldChar w:fldCharType="begin"/>
    </w:r>
    <w:r>
      <w:instrText>NUMPAGES</w:instrText>
    </w:r>
    <w:r>
      <w:fldChar w:fldCharType="separate"/>
    </w:r>
    <w:r>
      <w:t>4</w:t>
    </w:r>
    <w:r>
      <w:fldChar w:fldCharType="end"/>
    </w:r>
  </w:p>
  <w:p w14:paraId="20BA6550" w14:textId="77777777" w:rsidR="001071D6" w:rsidRDefault="004A48A3">
    <w:pPr>
      <w:pStyle w:val="Footer"/>
    </w:pPr>
    <w:sdt>
      <w:sdtPr>
        <w:id w:val="203450610"/>
        <w:dataBinding w:xpath="/Texts/TechFooterVersion" w:storeItemID="{4EF90DE6-88B6-4264-9629-4D8DFDFE87D2}"/>
        <w:text w:multiLine="1"/>
      </w:sdtPr>
      <w:sdtEndPr/>
      <w:sdtContent>
        <w:r w:rsidR="004879F4">
          <w:t>Versione del documento</w:t>
        </w:r>
      </w:sdtContent>
    </w:sdt>
    <w:r w:rsidR="004879F4">
      <w:t xml:space="preserve"> </w:t>
    </w:r>
    <w:sdt>
      <w:sdtPr>
        <w:alias w:val="Versione"/>
        <w:id w:val="1862395110"/>
        <w:dataBinding w:xpath="/EurolookProperties/DocumentVersion" w:storeItemID="{D3EA5527-7367-4268-9D83-5125C98D0ED2}"/>
        <w:text w:multiLine="1"/>
      </w:sdtPr>
      <w:sdtEndPr/>
      <w:sdtContent>
        <w:r w:rsidR="004879F4">
          <w:t>0.1</w:t>
        </w:r>
      </w:sdtContent>
    </w:sdt>
    <w:r w:rsidR="004879F4">
      <w:t xml:space="preserve"> </w:t>
    </w:r>
    <w:sdt>
      <w:sdtPr>
        <w:id w:val="-1454549243"/>
        <w:dataBinding w:xpath="/Texts/TechFooterDated" w:storeItemID="{4EF90DE6-88B6-4264-9629-4D8DFDFE87D2}"/>
        <w:text w:multiLine="1"/>
      </w:sdtPr>
      <w:sdtEndPr/>
      <w:sdtContent>
        <w:r w:rsidR="004879F4">
          <w:t>datata</w:t>
        </w:r>
      </w:sdtContent>
    </w:sdt>
    <w:r w:rsidR="004879F4">
      <w:t xml:space="preserve"> </w:t>
    </w:r>
    <w:sdt>
      <w:sdtPr>
        <w:alias w:val=""/>
        <w:id w:val="-1314870678"/>
        <w:dataBinding w:xpath="/EurolookProperties/DocumentDate" w:storeItemID="{D3EA5527-7367-4268-9D83-5125C98D0ED2}"/>
        <w:date w:fullDate="2020-03-26T10:19:00Z">
          <w:dateFormat w:val="dd/MM/yyyy"/>
          <w:lid w:val="it-IT"/>
          <w:storeMappedDataAs w:val="dateTime"/>
          <w:calendar w:val="gregorian"/>
        </w:date>
      </w:sdtPr>
      <w:sdtEndPr/>
      <w:sdtContent>
        <w:r w:rsidR="004879F4">
          <w:t>26/03/2020</w:t>
        </w:r>
      </w:sdtContent>
    </w:sdt>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101032"/>
      <w:docPartObj>
        <w:docPartGallery w:val="Page Numbers (Bottom of Page)"/>
        <w:docPartUnique/>
      </w:docPartObj>
    </w:sdtPr>
    <w:sdtEndPr>
      <w:rPr>
        <w:noProof/>
      </w:rPr>
    </w:sdtEndPr>
    <w:sdtContent>
      <w:p w14:paraId="6E3B1223" w14:textId="64E5A6FC" w:rsidR="001071D6" w:rsidRDefault="001071D6">
        <w:pPr>
          <w:pStyle w:val="Footer"/>
          <w:jc w:val="center"/>
        </w:pPr>
        <w:r>
          <w:fldChar w:fldCharType="begin"/>
        </w:r>
        <w:r>
          <w:instrText xml:space="preserve"> PAGE   \* MERGEFORMAT </w:instrText>
        </w:r>
        <w:r>
          <w:fldChar w:fldCharType="separate"/>
        </w:r>
        <w:r w:rsidR="004A48A3">
          <w:rPr>
            <w:noProof/>
          </w:rPr>
          <w:t>16</w:t>
        </w:r>
        <w:r>
          <w:fldChar w:fldCharType="end"/>
        </w:r>
      </w:p>
    </w:sdtContent>
  </w:sdt>
  <w:p w14:paraId="6B33C47E" w14:textId="77777777" w:rsidR="001071D6" w:rsidRDefault="001071D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476119"/>
      <w:docPartObj>
        <w:docPartGallery w:val="Page Numbers (Bottom of Page)"/>
        <w:docPartUnique/>
      </w:docPartObj>
    </w:sdtPr>
    <w:sdtEndPr>
      <w:rPr>
        <w:noProof/>
      </w:rPr>
    </w:sdtEndPr>
    <w:sdtContent>
      <w:p w14:paraId="3C377D00" w14:textId="5BE310B3" w:rsidR="001071D6" w:rsidRDefault="001071D6">
        <w:pPr>
          <w:pStyle w:val="Footer"/>
          <w:jc w:val="center"/>
        </w:pPr>
        <w:r>
          <w:fldChar w:fldCharType="begin"/>
        </w:r>
        <w:r>
          <w:instrText xml:space="preserve"> PAGE   \* MERGEFORMAT </w:instrText>
        </w:r>
        <w:r>
          <w:fldChar w:fldCharType="separate"/>
        </w:r>
        <w:r w:rsidR="004A48A3">
          <w:rPr>
            <w:noProof/>
          </w:rPr>
          <w:t>4</w:t>
        </w:r>
        <w:r>
          <w:fldChar w:fldCharType="end"/>
        </w:r>
      </w:p>
    </w:sdtContent>
  </w:sdt>
  <w:p w14:paraId="37C32CF6" w14:textId="77777777" w:rsidR="001071D6" w:rsidRDefault="001071D6">
    <w:pPr>
      <w:pStyle w:val="Footer"/>
      <w:rPr>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FDA2E" w14:textId="4E08D3BE" w:rsidR="00762ABC" w:rsidRPr="004A48A3" w:rsidRDefault="004A48A3" w:rsidP="004A48A3">
    <w:pPr>
      <w:pStyle w:val="FooterCoverPage"/>
      <w:rPr>
        <w:rFonts w:ascii="Arial" w:hAnsi="Arial" w:cs="Arial"/>
        <w:b/>
        <w:sz w:val="48"/>
      </w:rPr>
    </w:pPr>
    <w:r w:rsidRPr="004A48A3">
      <w:rPr>
        <w:rFonts w:ascii="Arial" w:hAnsi="Arial" w:cs="Arial"/>
        <w:b/>
        <w:sz w:val="48"/>
      </w:rPr>
      <w:t>IT</w:t>
    </w:r>
    <w:r w:rsidRPr="004A48A3">
      <w:rPr>
        <w:rFonts w:ascii="Arial" w:hAnsi="Arial" w:cs="Arial"/>
        <w:b/>
        <w:sz w:val="48"/>
      </w:rPr>
      <w:tab/>
    </w:r>
    <w:r w:rsidRPr="004A48A3">
      <w:rPr>
        <w:rFonts w:ascii="Arial" w:hAnsi="Arial" w:cs="Arial"/>
        <w:b/>
        <w:sz w:val="48"/>
      </w:rPr>
      <w:tab/>
    </w:r>
    <w:r w:rsidRPr="004A48A3">
      <w:tab/>
    </w:r>
    <w:r w:rsidRPr="004A48A3">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A9390" w14:textId="77777777" w:rsidR="004A48A3" w:rsidRPr="004A48A3" w:rsidRDefault="004A48A3" w:rsidP="004A48A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DA231" w14:textId="31495BD6" w:rsidR="000F18E1" w:rsidRDefault="000F18E1">
    <w:pPr>
      <w:pStyle w:val="FooterLine"/>
    </w:pPr>
    <w:r>
      <w:t xml:space="preserve"> - </w:t>
    </w:r>
    <w:r>
      <w:tab/>
      <w:t xml:space="preserve">Pagina </w:t>
    </w:r>
    <w:r>
      <w:fldChar w:fldCharType="begin"/>
    </w:r>
    <w:r>
      <w:instrText>PAGE</w:instrText>
    </w:r>
    <w:r>
      <w:fldChar w:fldCharType="separate"/>
    </w:r>
    <w:r>
      <w:t>3</w:t>
    </w:r>
    <w:r>
      <w:fldChar w:fldCharType="end"/>
    </w:r>
    <w:r>
      <w:t xml:space="preserve"> / </w:t>
    </w:r>
    <w:r>
      <w:fldChar w:fldCharType="begin"/>
    </w:r>
    <w:r>
      <w:instrText>NUMPAGES</w:instrText>
    </w:r>
    <w:r>
      <w:fldChar w:fldCharType="separate"/>
    </w:r>
    <w:r>
      <w:t>4</w:t>
    </w:r>
    <w:r>
      <w:fldChar w:fldCharType="end"/>
    </w:r>
  </w:p>
  <w:p w14:paraId="055417EF" w14:textId="77777777" w:rsidR="000F18E1" w:rsidRDefault="004A48A3">
    <w:pPr>
      <w:pStyle w:val="Footer"/>
    </w:pPr>
    <w:sdt>
      <w:sdtPr>
        <w:id w:val="-1717954504"/>
        <w:dataBinding w:xpath="/Texts/TechFooterVersion" w:storeItemID="{4EF90DE6-88B6-4264-9629-4D8DFDFE87D2}"/>
        <w:text w:multiLine="1"/>
      </w:sdtPr>
      <w:sdtEndPr/>
      <w:sdtContent>
        <w:r w:rsidR="004879F4">
          <w:t>Versione del documento</w:t>
        </w:r>
      </w:sdtContent>
    </w:sdt>
    <w:r w:rsidR="004879F4">
      <w:t xml:space="preserve"> </w:t>
    </w:r>
    <w:sdt>
      <w:sdtPr>
        <w:alias w:val="Versione"/>
        <w:id w:val="1725406815"/>
        <w:dataBinding w:xpath="/EurolookProperties/DocumentVersion" w:storeItemID="{D3EA5527-7367-4268-9D83-5125C98D0ED2}"/>
        <w:text w:multiLine="1"/>
      </w:sdtPr>
      <w:sdtEndPr/>
      <w:sdtContent>
        <w:r w:rsidR="004879F4">
          <w:t>0.1</w:t>
        </w:r>
      </w:sdtContent>
    </w:sdt>
    <w:r w:rsidR="004879F4">
      <w:t xml:space="preserve"> </w:t>
    </w:r>
    <w:sdt>
      <w:sdtPr>
        <w:id w:val="-167176333"/>
        <w:dataBinding w:xpath="/Texts/TechFooterDated" w:storeItemID="{4EF90DE6-88B6-4264-9629-4D8DFDFE87D2}"/>
        <w:text w:multiLine="1"/>
      </w:sdtPr>
      <w:sdtEndPr/>
      <w:sdtContent>
        <w:r w:rsidR="004879F4">
          <w:t>datata</w:t>
        </w:r>
      </w:sdtContent>
    </w:sdt>
    <w:r w:rsidR="004879F4">
      <w:t xml:space="preserve"> </w:t>
    </w:r>
    <w:sdt>
      <w:sdtPr>
        <w:alias w:val=""/>
        <w:id w:val="-770240014"/>
        <w:dataBinding w:xpath="/EurolookProperties/DocumentDate" w:storeItemID="{D3EA5527-7367-4268-9D83-5125C98D0ED2}"/>
        <w:date w:fullDate="2020-03-26T10:19:00Z">
          <w:dateFormat w:val="dd/MM/yyyy"/>
          <w:lid w:val="it-IT"/>
          <w:storeMappedDataAs w:val="dateTime"/>
          <w:calendar w:val="gregorian"/>
        </w:date>
      </w:sdtPr>
      <w:sdtEndPr/>
      <w:sdtContent>
        <w:r w:rsidR="004879F4">
          <w:t>26/03/2020</w:t>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627057"/>
      <w:docPartObj>
        <w:docPartGallery w:val="Page Numbers (Bottom of Page)"/>
        <w:docPartUnique/>
      </w:docPartObj>
    </w:sdtPr>
    <w:sdtEndPr>
      <w:rPr>
        <w:noProof/>
      </w:rPr>
    </w:sdtEndPr>
    <w:sdtContent>
      <w:p w14:paraId="466F5A1A" w14:textId="35F8CD07" w:rsidR="00BD0DDF" w:rsidRDefault="00BD0DDF">
        <w:pPr>
          <w:pStyle w:val="Footer"/>
          <w:jc w:val="center"/>
        </w:pPr>
        <w:r>
          <w:fldChar w:fldCharType="begin"/>
        </w:r>
        <w:r>
          <w:instrText xml:space="preserve"> PAGE   \* MERGEFORMAT </w:instrText>
        </w:r>
        <w:r>
          <w:fldChar w:fldCharType="separate"/>
        </w:r>
        <w:r w:rsidR="004A48A3">
          <w:rPr>
            <w:noProof/>
          </w:rPr>
          <w:t>2</w:t>
        </w:r>
        <w:r>
          <w:fldChar w:fldCharType="end"/>
        </w:r>
      </w:p>
    </w:sdtContent>
  </w:sdt>
  <w:p w14:paraId="7EF8F70E" w14:textId="77777777" w:rsidR="000F18E1" w:rsidRDefault="000F18E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895216"/>
      <w:docPartObj>
        <w:docPartGallery w:val="Page Numbers (Bottom of Page)"/>
        <w:docPartUnique/>
      </w:docPartObj>
    </w:sdtPr>
    <w:sdtEndPr>
      <w:rPr>
        <w:noProof/>
      </w:rPr>
    </w:sdtEndPr>
    <w:sdtContent>
      <w:p w14:paraId="140DE163" w14:textId="3E05C559" w:rsidR="00BD0DDF" w:rsidRDefault="00BD0DDF">
        <w:pPr>
          <w:pStyle w:val="Footer"/>
          <w:jc w:val="center"/>
        </w:pPr>
        <w:r>
          <w:fldChar w:fldCharType="begin"/>
        </w:r>
        <w:r>
          <w:instrText xml:space="preserve"> PAGE   \* MERGEFORMAT </w:instrText>
        </w:r>
        <w:r>
          <w:fldChar w:fldCharType="separate"/>
        </w:r>
        <w:r w:rsidR="004A48A3">
          <w:rPr>
            <w:noProof/>
          </w:rPr>
          <w:t>1</w:t>
        </w:r>
        <w:r>
          <w:fldChar w:fldCharType="end"/>
        </w:r>
      </w:p>
    </w:sdtContent>
  </w:sdt>
  <w:p w14:paraId="4A1A0CDF" w14:textId="16F639FF" w:rsidR="000F18E1" w:rsidRDefault="000F18E1">
    <w:pPr>
      <w:pStyle w:val="Footer"/>
      <w:rPr>
        <w:sz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A1B77" w14:textId="77777777" w:rsidR="001071D6" w:rsidRDefault="001071D6">
    <w:pPr>
      <w:pStyle w:val="FooterLine"/>
    </w:pPr>
    <w:r>
      <w:t xml:space="preserve"> - </w:t>
    </w:r>
    <w:r>
      <w:tab/>
      <w:t xml:space="preserve">Pagina </w:t>
    </w:r>
    <w:r>
      <w:fldChar w:fldCharType="begin"/>
    </w:r>
    <w:r>
      <w:instrText>PAGE</w:instrText>
    </w:r>
    <w:r>
      <w:fldChar w:fldCharType="separate"/>
    </w:r>
    <w:r>
      <w:t>3</w:t>
    </w:r>
    <w:r>
      <w:fldChar w:fldCharType="end"/>
    </w:r>
    <w:r>
      <w:t xml:space="preserve"> / </w:t>
    </w:r>
    <w:r>
      <w:fldChar w:fldCharType="begin"/>
    </w:r>
    <w:r>
      <w:instrText>NUMPAGES</w:instrText>
    </w:r>
    <w:r>
      <w:fldChar w:fldCharType="separate"/>
    </w:r>
    <w:r>
      <w:t>4</w:t>
    </w:r>
    <w:r>
      <w:fldChar w:fldCharType="end"/>
    </w:r>
  </w:p>
  <w:p w14:paraId="59EC621F" w14:textId="77777777" w:rsidR="001071D6" w:rsidRDefault="004A48A3">
    <w:pPr>
      <w:pStyle w:val="Footer"/>
    </w:pPr>
    <w:sdt>
      <w:sdtPr>
        <w:id w:val="-1511748948"/>
        <w:dataBinding w:xpath="/Texts/TechFooterVersion" w:storeItemID="{4EF90DE6-88B6-4264-9629-4D8DFDFE87D2}"/>
        <w:text w:multiLine="1"/>
      </w:sdtPr>
      <w:sdtEndPr/>
      <w:sdtContent>
        <w:r w:rsidR="004879F4">
          <w:t>Versione del documento</w:t>
        </w:r>
      </w:sdtContent>
    </w:sdt>
    <w:r w:rsidR="004879F4">
      <w:t xml:space="preserve"> </w:t>
    </w:r>
    <w:sdt>
      <w:sdtPr>
        <w:alias w:val="Versione"/>
        <w:id w:val="1279220357"/>
        <w:dataBinding w:xpath="/EurolookProperties/DocumentVersion" w:storeItemID="{D3EA5527-7367-4268-9D83-5125C98D0ED2}"/>
        <w:text w:multiLine="1"/>
      </w:sdtPr>
      <w:sdtEndPr/>
      <w:sdtContent>
        <w:r w:rsidR="004879F4">
          <w:t>0.1</w:t>
        </w:r>
      </w:sdtContent>
    </w:sdt>
    <w:r w:rsidR="004879F4">
      <w:t xml:space="preserve"> </w:t>
    </w:r>
    <w:sdt>
      <w:sdtPr>
        <w:id w:val="-370915512"/>
        <w:dataBinding w:xpath="/Texts/TechFooterDated" w:storeItemID="{4EF90DE6-88B6-4264-9629-4D8DFDFE87D2}"/>
        <w:text w:multiLine="1"/>
      </w:sdtPr>
      <w:sdtEndPr/>
      <w:sdtContent>
        <w:r w:rsidR="004879F4">
          <w:t>datata</w:t>
        </w:r>
      </w:sdtContent>
    </w:sdt>
    <w:r w:rsidR="004879F4">
      <w:t xml:space="preserve"> </w:t>
    </w:r>
    <w:sdt>
      <w:sdtPr>
        <w:alias w:val=""/>
        <w:id w:val="-113440500"/>
        <w:dataBinding w:xpath="/EurolookProperties/DocumentDate" w:storeItemID="{D3EA5527-7367-4268-9D83-5125C98D0ED2}"/>
        <w:date w:fullDate="2020-03-26T10:19:00Z">
          <w:dateFormat w:val="dd/MM/yyyy"/>
          <w:lid w:val="it-IT"/>
          <w:storeMappedDataAs w:val="dateTime"/>
          <w:calendar w:val="gregorian"/>
        </w:date>
      </w:sdtPr>
      <w:sdtEndPr/>
      <w:sdtContent>
        <w:r w:rsidR="004879F4">
          <w:t>26/03/2020</w:t>
        </w:r>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316569"/>
      <w:docPartObj>
        <w:docPartGallery w:val="Page Numbers (Bottom of Page)"/>
        <w:docPartUnique/>
      </w:docPartObj>
    </w:sdtPr>
    <w:sdtEndPr>
      <w:rPr>
        <w:noProof/>
      </w:rPr>
    </w:sdtEndPr>
    <w:sdtContent>
      <w:p w14:paraId="67C7327F" w14:textId="77777777" w:rsidR="001071D6" w:rsidRDefault="001071D6">
        <w:pPr>
          <w:pStyle w:val="Footer"/>
          <w:jc w:val="center"/>
        </w:pPr>
        <w:r>
          <w:fldChar w:fldCharType="begin"/>
        </w:r>
        <w:r>
          <w:instrText xml:space="preserve"> PAGE   \* MERGEFORMAT </w:instrText>
        </w:r>
        <w:r>
          <w:fldChar w:fldCharType="separate"/>
        </w:r>
        <w:r>
          <w:t>2</w:t>
        </w:r>
        <w:r>
          <w:fldChar w:fldCharType="end"/>
        </w:r>
      </w:p>
    </w:sdtContent>
  </w:sdt>
  <w:p w14:paraId="5FE92AEB" w14:textId="77777777" w:rsidR="001071D6" w:rsidRDefault="001071D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904228"/>
      <w:docPartObj>
        <w:docPartGallery w:val="Page Numbers (Bottom of Page)"/>
        <w:docPartUnique/>
      </w:docPartObj>
    </w:sdtPr>
    <w:sdtEndPr>
      <w:rPr>
        <w:noProof/>
      </w:rPr>
    </w:sdtEndPr>
    <w:sdtContent>
      <w:p w14:paraId="69A1FAD4" w14:textId="7F912034" w:rsidR="001071D6" w:rsidRDefault="001071D6">
        <w:pPr>
          <w:pStyle w:val="Footer"/>
          <w:jc w:val="center"/>
        </w:pPr>
        <w:r>
          <w:fldChar w:fldCharType="begin"/>
        </w:r>
        <w:r>
          <w:instrText xml:space="preserve"> PAGE   \* MERGEFORMAT </w:instrText>
        </w:r>
        <w:r>
          <w:fldChar w:fldCharType="separate"/>
        </w:r>
        <w:r w:rsidR="004A48A3">
          <w:rPr>
            <w:noProof/>
          </w:rPr>
          <w:t>3</w:t>
        </w:r>
        <w:r>
          <w:fldChar w:fldCharType="end"/>
        </w:r>
      </w:p>
    </w:sdtContent>
  </w:sdt>
  <w:p w14:paraId="06208E61" w14:textId="77777777" w:rsidR="001071D6" w:rsidRDefault="001071D6">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B3AE7" w14:textId="77777777" w:rsidR="000F18E1" w:rsidRDefault="000F18E1">
      <w:pPr>
        <w:spacing w:after="0" w:line="240" w:lineRule="auto"/>
      </w:pPr>
      <w:r>
        <w:separator/>
      </w:r>
    </w:p>
  </w:footnote>
  <w:footnote w:type="continuationSeparator" w:id="0">
    <w:p w14:paraId="2D99E843" w14:textId="77777777" w:rsidR="000F18E1" w:rsidRDefault="000F18E1">
      <w:pPr>
        <w:spacing w:after="0" w:line="240" w:lineRule="auto"/>
      </w:pPr>
      <w:r>
        <w:continuationSeparator/>
      </w:r>
    </w:p>
  </w:footnote>
  <w:footnote w:type="continuationNotice" w:id="1">
    <w:p w14:paraId="5AF79970" w14:textId="77777777" w:rsidR="000F18E1" w:rsidRDefault="000F18E1">
      <w:pPr>
        <w:spacing w:after="0" w:line="240" w:lineRule="auto"/>
      </w:pPr>
    </w:p>
  </w:footnote>
  <w:footnote w:id="2">
    <w:p w14:paraId="716D3BF3" w14:textId="53F6FE32" w:rsidR="00FC752C" w:rsidRPr="00411557" w:rsidRDefault="00FC752C">
      <w:pPr>
        <w:pStyle w:val="FootnoteText"/>
        <w:rPr>
          <w:lang w:val="en-IE"/>
        </w:rPr>
      </w:pPr>
      <w:r>
        <w:rPr>
          <w:rStyle w:val="FootnoteReference"/>
        </w:rPr>
        <w:footnoteRef/>
      </w:r>
      <w:r w:rsidRPr="00411557">
        <w:rPr>
          <w:lang w:val="en-IE"/>
        </w:rPr>
        <w:t xml:space="preserve"> </w:t>
      </w:r>
      <w:r w:rsidRPr="00411557">
        <w:rPr>
          <w:lang w:val="en-IE"/>
        </w:rPr>
        <w:tab/>
        <w:t>COM(2020) 608 final.</w:t>
      </w:r>
    </w:p>
  </w:footnote>
  <w:footnote w:id="3">
    <w:p w14:paraId="2BA4A79E" w14:textId="417F5D33" w:rsidR="00FC752C" w:rsidRPr="00411557" w:rsidRDefault="00FC752C">
      <w:pPr>
        <w:pStyle w:val="FootnoteText"/>
        <w:rPr>
          <w:lang w:val="en-IE"/>
        </w:rPr>
      </w:pPr>
      <w:r>
        <w:rPr>
          <w:rStyle w:val="FootnoteReference"/>
        </w:rPr>
        <w:footnoteRef/>
      </w:r>
      <w:r w:rsidRPr="00411557">
        <w:rPr>
          <w:lang w:val="en-IE"/>
        </w:rPr>
        <w:t xml:space="preserve"> </w:t>
      </w:r>
      <w:r w:rsidRPr="00411557">
        <w:rPr>
          <w:lang w:val="en-IE"/>
        </w:rPr>
        <w:tab/>
        <w:t>COM(2020) 795 final.</w:t>
      </w:r>
    </w:p>
  </w:footnote>
  <w:footnote w:id="4">
    <w:p w14:paraId="0BF2E965" w14:textId="2D87BB3A" w:rsidR="009209EA" w:rsidRPr="00411557" w:rsidRDefault="009209EA" w:rsidP="009209EA">
      <w:pPr>
        <w:pStyle w:val="FootnoteText"/>
        <w:rPr>
          <w:lang w:val="en-IE"/>
        </w:rPr>
      </w:pPr>
      <w:r>
        <w:rPr>
          <w:rStyle w:val="FootnoteReference"/>
        </w:rPr>
        <w:footnoteRef/>
      </w:r>
      <w:r w:rsidRPr="00411557">
        <w:rPr>
          <w:lang w:val="en-IE"/>
        </w:rPr>
        <w:t xml:space="preserve"> </w:t>
      </w:r>
      <w:r w:rsidRPr="00411557">
        <w:rPr>
          <w:lang w:val="en-IE"/>
        </w:rPr>
        <w:tab/>
        <w:t xml:space="preserve">GU L 137 del 24.5.2017, pag. 22. </w:t>
      </w:r>
    </w:p>
  </w:footnote>
  <w:footnote w:id="5">
    <w:p w14:paraId="3CF6589D" w14:textId="41D28588" w:rsidR="009209EA" w:rsidRPr="009209EA" w:rsidRDefault="009209EA">
      <w:pPr>
        <w:pStyle w:val="FootnoteText"/>
      </w:pPr>
      <w:r>
        <w:rPr>
          <w:rStyle w:val="FootnoteReference"/>
        </w:rPr>
        <w:footnoteRef/>
      </w:r>
      <w:r>
        <w:t xml:space="preserve"> </w:t>
      </w:r>
      <w:r>
        <w:tab/>
      </w:r>
      <w:r>
        <w:rPr>
          <w:rStyle w:val="Emphasis"/>
          <w:i w:val="0"/>
        </w:rPr>
        <w:t>GU L 115 del 6.4.2021, pag. 1.</w:t>
      </w:r>
    </w:p>
  </w:footnote>
  <w:footnote w:id="6">
    <w:p w14:paraId="6504ABBC" w14:textId="77777777" w:rsidR="00731B25" w:rsidRPr="00536A8E" w:rsidRDefault="00731B25" w:rsidP="00731B25">
      <w:pPr>
        <w:pStyle w:val="FootnoteText"/>
      </w:pPr>
      <w:r>
        <w:rPr>
          <w:rStyle w:val="FootnoteReference"/>
        </w:rPr>
        <w:footnoteRef/>
      </w:r>
      <w:r>
        <w:t xml:space="preserve"> </w:t>
      </w:r>
      <w:r>
        <w:tab/>
        <w:t>COM(2021) 170 final.</w:t>
      </w:r>
      <w:r>
        <w:tab/>
      </w:r>
    </w:p>
  </w:footnote>
  <w:footnote w:id="7">
    <w:p w14:paraId="64D5F78F" w14:textId="49448E4E" w:rsidR="00FB7F6A" w:rsidRPr="00DB2226" w:rsidRDefault="00FB7F6A" w:rsidP="00FB7F6A">
      <w:pPr>
        <w:pStyle w:val="FootnoteText"/>
      </w:pPr>
      <w:r>
        <w:rPr>
          <w:rStyle w:val="FootnoteReference"/>
        </w:rPr>
        <w:footnoteRef/>
      </w:r>
      <w:r>
        <w:t xml:space="preserve"> </w:t>
      </w:r>
      <w:r>
        <w:tab/>
        <w:t>EMPACT (https://www.consilium.europa.eu/it/documents-publications/publications/empact/) è una piattaforma che consente la cooperazione strutturata tra le autorità di contrasto, le autorità doganali, le autorità fiscali, i magistrati degli Stati membri, le istituzioni e le agenzie europee e, se del caso, i paesi terzi, le organizzazioni internazionali e il settore privato in cicli operativi di quattro anni.</w:t>
      </w:r>
    </w:p>
  </w:footnote>
  <w:footnote w:id="8">
    <w:p w14:paraId="7F872673" w14:textId="1218A4A0" w:rsidR="00FB7F6A" w:rsidRPr="000A57B4" w:rsidRDefault="00FB7F6A" w:rsidP="00FB7F6A">
      <w:pPr>
        <w:pStyle w:val="FootnoteText"/>
      </w:pPr>
      <w:r>
        <w:rPr>
          <w:rStyle w:val="FootnoteReference"/>
        </w:rPr>
        <w:footnoteRef/>
      </w:r>
      <w:r>
        <w:t xml:space="preserve"> </w:t>
      </w:r>
      <w:r>
        <w:tab/>
        <w:t xml:space="preserve">Sottogruppo del gruppo </w:t>
      </w:r>
      <w:r w:rsidR="003D07FD">
        <w:t>"</w:t>
      </w:r>
      <w:r>
        <w:t>Applicazione della legge</w:t>
      </w:r>
      <w:r w:rsidR="003D07FD">
        <w:t>"</w:t>
      </w:r>
      <w:r>
        <w:t xml:space="preserve"> (Law enforcement working party, LEWP) in seno al Consiglio dell</w:t>
      </w:r>
      <w:r w:rsidR="003D07FD">
        <w:t>'</w:t>
      </w:r>
      <w:r>
        <w:t>Unione europea, https://www.consilium.europa.eu/it/council-eu/preparatory-bodies/law-enforcement-working-party/.</w:t>
      </w:r>
    </w:p>
  </w:footnote>
  <w:footnote w:id="9">
    <w:p w14:paraId="207EF714" w14:textId="28494516" w:rsidR="00BB0C3B" w:rsidRPr="00BB0C3B" w:rsidRDefault="00BB0C3B">
      <w:pPr>
        <w:pStyle w:val="FootnoteText"/>
      </w:pPr>
      <w:r>
        <w:rPr>
          <w:rStyle w:val="FootnoteReference"/>
        </w:rPr>
        <w:footnoteRef/>
      </w:r>
      <w:r>
        <w:t xml:space="preserve"> </w:t>
      </w:r>
      <w:r>
        <w:tab/>
        <w:t>La Commissione ha avviato procedure d</w:t>
      </w:r>
      <w:r w:rsidR="003D07FD">
        <w:t>'</w:t>
      </w:r>
      <w:r>
        <w:t>infrazione per il mancato recepimento della direttiva sulle armi da fuoco e di due direttive di esecuzione sulla marcatura e sulle armi d</w:t>
      </w:r>
      <w:r w:rsidR="003D07FD">
        <w:t>'</w:t>
      </w:r>
      <w:r>
        <w:t>allarme o da segnalazione rispettivamente nei confronti di 25 e di 20 Stati membri (cfr. la sezione 2.2 per maggiori dettagli).</w:t>
      </w:r>
    </w:p>
  </w:footnote>
  <w:footnote w:id="10">
    <w:p w14:paraId="598529CD" w14:textId="77777777" w:rsidR="000F18E1" w:rsidRPr="00657478" w:rsidRDefault="000F18E1">
      <w:pPr>
        <w:pStyle w:val="FootnoteText"/>
      </w:pPr>
      <w:r>
        <w:rPr>
          <w:rStyle w:val="FootnoteReference"/>
        </w:rPr>
        <w:footnoteRef/>
      </w:r>
      <w:r>
        <w:t xml:space="preserve"> </w:t>
      </w:r>
      <w:r>
        <w:tab/>
        <w:t>Nazioni Unite, Vienna, 2020, https://www.unodc.org/documents/firearms-protocol/2020/UNODC-EU-Report-A8_FINAL.pdf.</w:t>
      </w:r>
    </w:p>
  </w:footnote>
  <w:footnote w:id="11">
    <w:p w14:paraId="64A1768F" w14:textId="4ABB9E06" w:rsidR="000F18E1" w:rsidRPr="0095001B" w:rsidRDefault="000F18E1" w:rsidP="00944145">
      <w:pPr>
        <w:pStyle w:val="FootnoteText"/>
      </w:pPr>
      <w:r>
        <w:rPr>
          <w:rStyle w:val="FootnoteReference"/>
        </w:rPr>
        <w:footnoteRef/>
      </w:r>
      <w:r>
        <w:t xml:space="preserve"> </w:t>
      </w:r>
      <w:r>
        <w:tab/>
        <w:t>Recepito nell</w:t>
      </w:r>
      <w:r w:rsidR="003D07FD">
        <w:t>'</w:t>
      </w:r>
      <w:r>
        <w:t>ordinamento giuridico dell</w:t>
      </w:r>
      <w:r w:rsidR="003D07FD">
        <w:t>'</w:t>
      </w:r>
      <w:r>
        <w:t>UE con decisione 201</w:t>
      </w:r>
      <w:r w:rsidR="00411557">
        <w:t>4/164/UE del Consiglio, dell</w:t>
      </w:r>
      <w:r w:rsidR="003D07FD">
        <w:t>'</w:t>
      </w:r>
      <w:r w:rsidR="00411557">
        <w:t>11 </w:t>
      </w:r>
      <w:r>
        <w:t>febbraio 2014, relativa alla conclusione, a nome dell</w:t>
      </w:r>
      <w:r w:rsidR="003D07FD">
        <w:t>'</w:t>
      </w:r>
      <w:r>
        <w:t>Unione europea, del protocollo delle Nazioni Unite contro la fabbricazione e il traffico illeciti di armi da fuoco, loro parti e componenti e munizioni, addizionale alla convenzione delle Nazioni Unite contro la criminalità organizzata transnazionale (GU L 89 del 25.3.2014, pag. 7).</w:t>
      </w:r>
    </w:p>
  </w:footnote>
  <w:footnote w:id="12">
    <w:p w14:paraId="687FEE22" w14:textId="3997DA65" w:rsidR="000F18E1" w:rsidRPr="00E011F0" w:rsidRDefault="000F18E1">
      <w:pPr>
        <w:pStyle w:val="FootnoteText"/>
      </w:pPr>
      <w:r>
        <w:rPr>
          <w:rStyle w:val="FootnoteReference"/>
        </w:rPr>
        <w:footnoteRef/>
      </w:r>
      <w:r>
        <w:t xml:space="preserve"> </w:t>
      </w:r>
      <w:r>
        <w:tab/>
        <w:t>Tutti fuorché AT, BG, FR, LV, MT.</w:t>
      </w:r>
    </w:p>
  </w:footnote>
  <w:footnote w:id="13">
    <w:p w14:paraId="0EDF7D53" w14:textId="246906EA" w:rsidR="000F18E1" w:rsidRPr="00E011F0" w:rsidRDefault="000F18E1">
      <w:pPr>
        <w:pStyle w:val="FootnoteText"/>
      </w:pPr>
      <w:r>
        <w:rPr>
          <w:rStyle w:val="FootnoteReference"/>
        </w:rPr>
        <w:footnoteRef/>
      </w:r>
      <w:r>
        <w:t xml:space="preserve"> </w:t>
      </w:r>
      <w:r>
        <w:tab/>
        <w:t>Tutti fuorché AT, BG, FI, HR, IT, LV, LT, MT, NL, PT e RO.</w:t>
      </w:r>
    </w:p>
  </w:footnote>
  <w:footnote w:id="14">
    <w:p w14:paraId="2ED78D01" w14:textId="7AB92BB5" w:rsidR="000F18E1" w:rsidRPr="00975FB8" w:rsidRDefault="000F18E1">
      <w:pPr>
        <w:pStyle w:val="FootnoteText"/>
      </w:pPr>
      <w:r>
        <w:rPr>
          <w:rStyle w:val="FootnoteReference"/>
        </w:rPr>
        <w:footnoteRef/>
      </w:r>
      <w:r>
        <w:t xml:space="preserve"> </w:t>
      </w:r>
      <w:r>
        <w:tab/>
        <w:t>Tutti fuorché DK, EE, FR, LV, LT, MT, NL, PT e SK.</w:t>
      </w:r>
    </w:p>
  </w:footnote>
  <w:footnote w:id="15">
    <w:p w14:paraId="1E492D84" w14:textId="70C03CBD" w:rsidR="000F18E1" w:rsidRPr="00975FB8" w:rsidRDefault="000F18E1">
      <w:pPr>
        <w:pStyle w:val="FootnoteText"/>
      </w:pPr>
      <w:r>
        <w:rPr>
          <w:rStyle w:val="FootnoteReference"/>
        </w:rPr>
        <w:footnoteRef/>
      </w:r>
      <w:r>
        <w:t xml:space="preserve"> </w:t>
      </w:r>
      <w:r>
        <w:tab/>
        <w:t>Tutti fuorché AT, BE, DK, DE, EE, FR, LV, LT, MT, PT e SK.</w:t>
      </w:r>
    </w:p>
  </w:footnote>
  <w:footnote w:id="16">
    <w:p w14:paraId="5B3C2DEC" w14:textId="0A597853" w:rsidR="000F18E1" w:rsidRPr="00A93D12" w:rsidRDefault="000F18E1" w:rsidP="00033EC7">
      <w:pPr>
        <w:pStyle w:val="FootnoteText"/>
      </w:pPr>
      <w:r>
        <w:rPr>
          <w:rStyle w:val="FootnoteReference"/>
        </w:rPr>
        <w:footnoteRef/>
      </w:r>
      <w:r>
        <w:t xml:space="preserve"> </w:t>
      </w:r>
      <w:r>
        <w:tab/>
        <w:t>Tra il 2016 e il 2020 gli Stati membri hanno sequestrato 15 949 armi d</w:t>
      </w:r>
      <w:r w:rsidR="003D07FD">
        <w:t>'</w:t>
      </w:r>
      <w:r>
        <w:t xml:space="preserve">allarme o da segnalazione delle marche Ekol, Zoraki e Bruni, perlopiù nel quadro della piattaforma sulle armi da fuoco, con il contributo di Europol. </w:t>
      </w:r>
    </w:p>
  </w:footnote>
  <w:footnote w:id="17">
    <w:p w14:paraId="7863E5BC" w14:textId="77777777" w:rsidR="000F18E1" w:rsidRPr="006A7F07" w:rsidRDefault="000F18E1">
      <w:pPr>
        <w:pStyle w:val="FootnoteText"/>
      </w:pPr>
      <w:r>
        <w:rPr>
          <w:rStyle w:val="FootnoteReference"/>
        </w:rPr>
        <w:footnoteRef/>
      </w:r>
      <w:r>
        <w:t xml:space="preserve"> </w:t>
      </w:r>
      <w:r>
        <w:tab/>
        <w:t>Individuati finora in Cechia e Slovacchia.</w:t>
      </w:r>
    </w:p>
  </w:footnote>
  <w:footnote w:id="18">
    <w:p w14:paraId="1275BEA2" w14:textId="6216BAC4" w:rsidR="000F18E1" w:rsidRPr="00942927" w:rsidRDefault="000F18E1" w:rsidP="007B3401">
      <w:pPr>
        <w:pStyle w:val="FootnoteText"/>
      </w:pPr>
      <w:r>
        <w:rPr>
          <w:rStyle w:val="FootnoteReference"/>
        </w:rPr>
        <w:footnoteRef/>
      </w:r>
      <w:r>
        <w:t xml:space="preserve"> </w:t>
      </w:r>
      <w:r>
        <w:tab/>
        <w:t>Versione riservata SOCTA 2021 dell</w:t>
      </w:r>
      <w:r w:rsidR="003D07FD">
        <w:t>'</w:t>
      </w:r>
      <w:r>
        <w:t>UE.</w:t>
      </w:r>
    </w:p>
  </w:footnote>
  <w:footnote w:id="19">
    <w:p w14:paraId="25AC620A" w14:textId="3F4FBCD7" w:rsidR="000F18E1" w:rsidRPr="00084537" w:rsidRDefault="000F18E1">
      <w:pPr>
        <w:pStyle w:val="FootnoteText"/>
      </w:pPr>
      <w:r>
        <w:rPr>
          <w:rStyle w:val="FootnoteReference"/>
        </w:rPr>
        <w:footnoteRef/>
      </w:r>
      <w:r>
        <w:t xml:space="preserve"> </w:t>
      </w:r>
      <w:r>
        <w:tab/>
        <w:t xml:space="preserve">Fonte: </w:t>
      </w:r>
      <w:r w:rsidR="003D07FD">
        <w:t>"</w:t>
      </w:r>
      <w:r>
        <w:t>The Disruptive nature of 3D printing</w:t>
      </w:r>
      <w:r w:rsidR="003D07FD">
        <w:t>"</w:t>
      </w:r>
      <w:r>
        <w:t xml:space="preserve">, </w:t>
      </w:r>
      <w:r>
        <w:rPr>
          <w:i/>
        </w:rPr>
        <w:t>Digital transformation monitor</w:t>
      </w:r>
      <w:r>
        <w:t>, gennaio 2017, https://ec.europa.eu/growth/tools-databases/dem/monitor/sites/default/files/DTM_The%20disruptive%20nature%20of%203D%20printing%20v1.pdf.</w:t>
      </w:r>
    </w:p>
  </w:footnote>
  <w:footnote w:id="20">
    <w:p w14:paraId="6139D892" w14:textId="17E381D7" w:rsidR="000F18E1" w:rsidRPr="00411557" w:rsidRDefault="000F18E1" w:rsidP="00143F1A">
      <w:pPr>
        <w:pStyle w:val="FootnoteText"/>
        <w:rPr>
          <w:rStyle w:val="FootnoteReference"/>
          <w:vertAlign w:val="baseline"/>
          <w:lang w:val="fr-BE"/>
        </w:rPr>
      </w:pPr>
      <w:r>
        <w:rPr>
          <w:rStyle w:val="FootnoteReference"/>
        </w:rPr>
        <w:footnoteRef/>
      </w:r>
      <w:r w:rsidRPr="00411557">
        <w:rPr>
          <w:rStyle w:val="FootnoteReference"/>
          <w:lang w:val="fr-BE"/>
        </w:rPr>
        <w:t xml:space="preserve"> </w:t>
      </w:r>
      <w:r w:rsidRPr="00411557">
        <w:rPr>
          <w:lang w:val="fr-BE"/>
        </w:rPr>
        <w:tab/>
        <w:t xml:space="preserve">Fonte: </w:t>
      </w:r>
      <w:r w:rsidRPr="00411557">
        <w:rPr>
          <w:rStyle w:val="FootnoteReference"/>
          <w:i/>
          <w:vertAlign w:val="baseline"/>
          <w:lang w:val="fr-BE"/>
        </w:rPr>
        <w:t>Triggering Terror: Illicit Gun Markets and Firearms Acquisition of Terrorist Networks in Europe</w:t>
      </w:r>
      <w:r w:rsidRPr="00411557">
        <w:rPr>
          <w:rStyle w:val="FootnoteReference"/>
          <w:vertAlign w:val="baseline"/>
          <w:lang w:val="fr-BE"/>
        </w:rPr>
        <w:t>, pubblicato il 17.4.2018, disponibile all</w:t>
      </w:r>
      <w:r w:rsidR="003D07FD">
        <w:rPr>
          <w:rStyle w:val="FootnoteReference"/>
          <w:vertAlign w:val="baseline"/>
          <w:lang w:val="fr-BE"/>
        </w:rPr>
        <w:t>'</w:t>
      </w:r>
      <w:r w:rsidRPr="00411557">
        <w:rPr>
          <w:rStyle w:val="FootnoteReference"/>
          <w:vertAlign w:val="baseline"/>
          <w:lang w:val="fr-BE"/>
        </w:rPr>
        <w:t>indirizzo</w:t>
      </w:r>
      <w:r w:rsidR="00D6259A">
        <w:rPr>
          <w:lang w:val="fr-BE"/>
        </w:rPr>
        <w:tab/>
      </w:r>
      <w:r w:rsidRPr="00411557">
        <w:rPr>
          <w:rStyle w:val="FootnoteReference"/>
          <w:vertAlign w:val="baseline"/>
          <w:lang w:val="fr-BE"/>
        </w:rPr>
        <w:t xml:space="preserve"> </w:t>
      </w:r>
      <w:hyperlink r:id="rId1" w:history="1">
        <w:r w:rsidRPr="00411557">
          <w:rPr>
            <w:rStyle w:val="FootnoteReference"/>
            <w:vertAlign w:val="baseline"/>
            <w:lang w:val="fr-BE"/>
          </w:rPr>
          <w:t>https://vlaamsvredesinstituut.eu/en/report/triggering-terror-illicit-gun-markets-and-firearms-acquisition-of-terrorist-networks-in-europe/</w:t>
        </w:r>
      </w:hyperlink>
      <w:r w:rsidRPr="00411557">
        <w:rPr>
          <w:rStyle w:val="FootnoteReference"/>
          <w:vertAlign w:val="baseline"/>
          <w:lang w:val="fr-BE"/>
        </w:rPr>
        <w:t xml:space="preserve">; Europol, </w:t>
      </w:r>
      <w:r w:rsidRPr="00411557">
        <w:rPr>
          <w:rStyle w:val="FootnoteReference"/>
          <w:i/>
          <w:vertAlign w:val="baseline"/>
          <w:lang w:val="fr-BE"/>
        </w:rPr>
        <w:t>Exploring tomorrow</w:t>
      </w:r>
      <w:r w:rsidR="003D07FD">
        <w:rPr>
          <w:rStyle w:val="FootnoteReference"/>
          <w:i/>
          <w:vertAlign w:val="baseline"/>
          <w:lang w:val="fr-BE"/>
        </w:rPr>
        <w:t>'</w:t>
      </w:r>
      <w:r w:rsidRPr="00411557">
        <w:rPr>
          <w:rStyle w:val="FootnoteReference"/>
          <w:i/>
          <w:vertAlign w:val="baseline"/>
          <w:lang w:val="fr-BE"/>
        </w:rPr>
        <w:t>s organised crime</w:t>
      </w:r>
      <w:r w:rsidRPr="00411557">
        <w:rPr>
          <w:rStyle w:val="FootnoteReference"/>
          <w:vertAlign w:val="baseline"/>
          <w:lang w:val="fr-BE"/>
        </w:rPr>
        <w:t>, L</w:t>
      </w:r>
      <w:r w:rsidR="003D07FD">
        <w:rPr>
          <w:rStyle w:val="FootnoteReference"/>
          <w:vertAlign w:val="baseline"/>
          <w:lang w:val="fr-BE"/>
        </w:rPr>
        <w:t>'</w:t>
      </w:r>
      <w:r w:rsidRPr="00411557">
        <w:rPr>
          <w:rStyle w:val="FootnoteReference"/>
          <w:vertAlign w:val="baseline"/>
          <w:lang w:val="fr-BE"/>
        </w:rPr>
        <w:t xml:space="preserve">Aia, 2015, pag. 41. </w:t>
      </w:r>
    </w:p>
  </w:footnote>
  <w:footnote w:id="21">
    <w:p w14:paraId="03364910" w14:textId="0090D6E2" w:rsidR="000F18E1" w:rsidRPr="00262402" w:rsidRDefault="000F18E1">
      <w:pPr>
        <w:pStyle w:val="FootnoteText"/>
      </w:pPr>
      <w:r>
        <w:rPr>
          <w:rStyle w:val="FootnoteReference"/>
        </w:rPr>
        <w:footnoteRef/>
      </w:r>
      <w:r>
        <w:t xml:space="preserve"> </w:t>
      </w:r>
      <w:r>
        <w:tab/>
        <w:t>Relazione 2019 di Europol. RISERVATA.</w:t>
      </w:r>
    </w:p>
  </w:footnote>
  <w:footnote w:id="22">
    <w:p w14:paraId="549D8D21" w14:textId="2BDCD29A" w:rsidR="000F18E1" w:rsidRPr="00DB702F" w:rsidRDefault="000F18E1" w:rsidP="001D4C6C">
      <w:pPr>
        <w:pStyle w:val="FootnoteText"/>
      </w:pPr>
      <w:r>
        <w:rPr>
          <w:rStyle w:val="FootnoteReference"/>
        </w:rPr>
        <w:footnoteRef/>
      </w:r>
      <w:r>
        <w:t xml:space="preserve"> </w:t>
      </w:r>
      <w:r>
        <w:tab/>
        <w:t>Bollettino EMPACT Armi da fuoco numeri 10 e 12. RISERVATO.</w:t>
      </w:r>
    </w:p>
  </w:footnote>
  <w:footnote w:id="23">
    <w:p w14:paraId="3B3C0C2C" w14:textId="47A8A597" w:rsidR="000F18E1" w:rsidRPr="009A062D" w:rsidRDefault="000F18E1" w:rsidP="00143F1A">
      <w:pPr>
        <w:pStyle w:val="FootnoteText"/>
      </w:pPr>
      <w:r>
        <w:rPr>
          <w:rStyle w:val="FootnoteReference"/>
        </w:rPr>
        <w:footnoteRef/>
      </w:r>
      <w:r>
        <w:t xml:space="preserve"> </w:t>
      </w:r>
      <w:r>
        <w:tab/>
        <w:t>Fonte: https://www.law.kuleuven.be/citip/blog/warning-toner-low-3d-printed-guns-and-the-law/.</w:t>
      </w:r>
    </w:p>
  </w:footnote>
  <w:footnote w:id="24">
    <w:p w14:paraId="09ABD505" w14:textId="493BE7D0" w:rsidR="000F18E1" w:rsidRPr="00411557" w:rsidRDefault="000F18E1" w:rsidP="00084537">
      <w:pPr>
        <w:pStyle w:val="FootnoteText"/>
        <w:rPr>
          <w:rStyle w:val="FootnoteReference"/>
          <w:vertAlign w:val="baseline"/>
          <w:lang w:val="fr-BE"/>
        </w:rPr>
      </w:pPr>
      <w:r>
        <w:rPr>
          <w:rStyle w:val="FootnoteReference"/>
        </w:rPr>
        <w:footnoteRef/>
      </w:r>
      <w:r w:rsidRPr="00411557">
        <w:rPr>
          <w:rStyle w:val="FootnoteReference"/>
          <w:lang w:val="fr-BE"/>
        </w:rPr>
        <w:t xml:space="preserve"> </w:t>
      </w:r>
      <w:r w:rsidRPr="00411557">
        <w:rPr>
          <w:lang w:val="fr-BE"/>
        </w:rPr>
        <w:t xml:space="preserve">Fonte: </w:t>
      </w:r>
      <w:r w:rsidRPr="00411557">
        <w:rPr>
          <w:rStyle w:val="FootnoteReference"/>
          <w:i/>
          <w:vertAlign w:val="baseline"/>
          <w:lang w:val="fr-BE"/>
        </w:rPr>
        <w:t>Metal 3D Printing in Firearms:</w:t>
      </w:r>
      <w:r w:rsidRPr="00411557">
        <w:rPr>
          <w:rStyle w:val="FootnoteReference"/>
          <w:vertAlign w:val="baseline"/>
          <w:lang w:val="fr-BE"/>
        </w:rPr>
        <w:t xml:space="preserve"> Real-World Case Studies, pubblicato il 18.1.2018</w:t>
      </w:r>
      <w:r w:rsidRPr="00411557">
        <w:rPr>
          <w:lang w:val="fr-BE"/>
        </w:rPr>
        <w:t xml:space="preserve">. </w:t>
      </w:r>
      <w:hyperlink r:id="rId2" w:history="1">
        <w:r w:rsidRPr="00411557">
          <w:rPr>
            <w:rStyle w:val="FootnoteReference"/>
            <w:vertAlign w:val="baseline"/>
            <w:lang w:val="fr-BE"/>
          </w:rPr>
          <w:t>https://news.3deo.co/metal-3d-printing-firearms-case-studies</w:t>
        </w:r>
      </w:hyperlink>
      <w:r w:rsidRPr="00411557">
        <w:rPr>
          <w:rStyle w:val="FootnoteReference"/>
          <w:vertAlign w:val="baseline"/>
          <w:lang w:val="fr-BE"/>
        </w:rPr>
        <w:t xml:space="preserve"> </w:t>
      </w:r>
    </w:p>
  </w:footnote>
  <w:footnote w:id="25">
    <w:p w14:paraId="2017DCE9" w14:textId="1EF80133" w:rsidR="000F18E1" w:rsidRPr="00411557" w:rsidRDefault="000F18E1">
      <w:pPr>
        <w:pStyle w:val="FootnoteText"/>
        <w:rPr>
          <w:lang w:val="en-IE"/>
        </w:rPr>
      </w:pPr>
      <w:r>
        <w:rPr>
          <w:rStyle w:val="FootnoteReference"/>
        </w:rPr>
        <w:footnoteRef/>
      </w:r>
      <w:r w:rsidRPr="00411557">
        <w:rPr>
          <w:lang w:val="en-IE"/>
        </w:rPr>
        <w:t xml:space="preserve"> </w:t>
      </w:r>
      <w:r w:rsidRPr="00411557">
        <w:rPr>
          <w:lang w:val="en-IE"/>
        </w:rPr>
        <w:tab/>
        <w:t>Fonte: ARES, Research Report number 8. Desktop Firearms: emergent small arms craft production Technologies. marzo 2020, https://armamentresearch.com/wp-content/uploads/2020/03/ARES-Research-Report-8-Desktop-Firearms.pdf.</w:t>
      </w:r>
      <w:r w:rsidRPr="00411557">
        <w:rPr>
          <w:lang w:val="en-IE"/>
        </w:rPr>
        <w:tab/>
      </w:r>
    </w:p>
  </w:footnote>
  <w:footnote w:id="26">
    <w:p w14:paraId="4E82A40B" w14:textId="4390F068" w:rsidR="000F18E1" w:rsidRPr="00411557" w:rsidRDefault="000F18E1" w:rsidP="00C1104C">
      <w:pPr>
        <w:pStyle w:val="FootnoteText"/>
        <w:jc w:val="left"/>
        <w:rPr>
          <w:lang w:val="en-IE"/>
        </w:rPr>
      </w:pPr>
      <w:r>
        <w:rPr>
          <w:rStyle w:val="FootnoteReference"/>
        </w:rPr>
        <w:footnoteRef/>
      </w:r>
      <w:r w:rsidRPr="00411557">
        <w:rPr>
          <w:lang w:val="en-IE"/>
        </w:rPr>
        <w:t xml:space="preserve"> </w:t>
      </w:r>
      <w:r w:rsidRPr="00411557">
        <w:rPr>
          <w:lang w:val="en-IE"/>
        </w:rPr>
        <w:tab/>
        <w:t xml:space="preserve">Fonte: Technopolis Consulting Group Belgium, </w:t>
      </w:r>
      <w:r w:rsidRPr="00411557">
        <w:rPr>
          <w:i/>
          <w:lang w:val="en-IE"/>
        </w:rPr>
        <w:t>Study on the Evaluation on the Firearms Directive</w:t>
      </w:r>
      <w:r w:rsidRPr="00411557">
        <w:rPr>
          <w:lang w:val="en-IE"/>
        </w:rPr>
        <w:t>, dicembre 2014, allegato, https://ec.europa.eu/docsroom/documents/8385?locale=en.</w:t>
      </w:r>
    </w:p>
  </w:footnote>
  <w:footnote w:id="27">
    <w:p w14:paraId="04DC2C31" w14:textId="77777777" w:rsidR="000F18E1" w:rsidRPr="00CD39AF" w:rsidRDefault="000F18E1" w:rsidP="00CD39AF">
      <w:pPr>
        <w:pStyle w:val="FootnoteText"/>
      </w:pPr>
      <w:r>
        <w:rPr>
          <w:rStyle w:val="FootnoteReference"/>
        </w:rPr>
        <w:footnoteRef/>
      </w:r>
      <w:r>
        <w:t xml:space="preserve"> </w:t>
      </w:r>
      <w:r>
        <w:tab/>
        <w:t>Bollettino EMPACT numero 6, settembre 2018. RISERVATO.</w:t>
      </w:r>
    </w:p>
  </w:footnote>
  <w:footnote w:id="28">
    <w:p w14:paraId="3EAEFBA8" w14:textId="5FB840F4" w:rsidR="00A8275A" w:rsidRPr="00A8275A" w:rsidRDefault="00A8275A">
      <w:pPr>
        <w:pStyle w:val="FootnoteText"/>
      </w:pPr>
      <w:r>
        <w:rPr>
          <w:rStyle w:val="FootnoteReference"/>
        </w:rPr>
        <w:footnoteRef/>
      </w:r>
      <w:r>
        <w:t xml:space="preserve"> </w:t>
      </w:r>
      <w:r>
        <w:tab/>
        <w:t>Fonte:https://ec.europa.eu/info/law/better-regulation/have-your-say/initiatives/12855-Armi-da-fuoco-riesame-delle-norme-sulle-esportazioni-e-delle-misure-di-importazione-e-transito_it.</w:t>
      </w:r>
    </w:p>
  </w:footnote>
  <w:footnote w:id="29">
    <w:p w14:paraId="0D980063" w14:textId="7857AB07" w:rsidR="000F18E1" w:rsidRPr="00411557" w:rsidRDefault="000F18E1">
      <w:pPr>
        <w:pStyle w:val="FootnoteText"/>
        <w:rPr>
          <w:lang w:val="en-IE"/>
        </w:rPr>
      </w:pPr>
      <w:r>
        <w:rPr>
          <w:rStyle w:val="FootnoteReference"/>
        </w:rPr>
        <w:footnoteRef/>
      </w:r>
      <w:r w:rsidRPr="00411557">
        <w:rPr>
          <w:lang w:val="en-IE"/>
        </w:rPr>
        <w:t xml:space="preserve"> </w:t>
      </w:r>
      <w:r w:rsidRPr="00411557">
        <w:rPr>
          <w:lang w:val="en-IE"/>
        </w:rPr>
        <w:tab/>
      </w:r>
      <w:r w:rsidRPr="00411557">
        <w:rPr>
          <w:i/>
          <w:lang w:val="en-IE"/>
        </w:rPr>
        <w:t>Study on the Evaluation on the Firearms Directive,</w:t>
      </w:r>
      <w:r w:rsidRPr="00411557">
        <w:rPr>
          <w:lang w:val="en-IE"/>
        </w:rPr>
        <w:t xml:space="preserve"> op. cit.</w:t>
      </w:r>
    </w:p>
  </w:footnote>
  <w:footnote w:id="30">
    <w:p w14:paraId="1B538C5E" w14:textId="3AE13AE5" w:rsidR="000F18E1" w:rsidRPr="005D1CB9" w:rsidRDefault="000F18E1" w:rsidP="004879F4">
      <w:pPr>
        <w:ind w:left="357" w:hanging="357"/>
        <w:rPr>
          <w:sz w:val="20"/>
        </w:rPr>
      </w:pPr>
      <w:r>
        <w:rPr>
          <w:rStyle w:val="FootnoteReference"/>
        </w:rPr>
        <w:footnoteRef/>
      </w:r>
      <w:r>
        <w:tab/>
      </w:r>
      <w:r>
        <w:rPr>
          <w:sz w:val="20"/>
        </w:rPr>
        <w:t>Il sistema di informazione del mercato interno è stato istituito dal regolamento (UE) n. 1024/2012. È un</w:t>
      </w:r>
      <w:r w:rsidR="003D07FD">
        <w:rPr>
          <w:sz w:val="20"/>
        </w:rPr>
        <w:t>'</w:t>
      </w:r>
      <w:r>
        <w:rPr>
          <w:sz w:val="20"/>
        </w:rPr>
        <w:t>applicazione software accessibile via internet che è stata sviluppata dalla Commissione, in collaborazione con gli Stati membri, al fine di aiutarli a rispettare le prescrizioni in materia di scambio di informazioni stabilite negli atti dell</w:t>
      </w:r>
      <w:r w:rsidR="003D07FD">
        <w:rPr>
          <w:sz w:val="20"/>
        </w:rPr>
        <w:t>'</w:t>
      </w:r>
      <w:r>
        <w:rPr>
          <w:sz w:val="20"/>
        </w:rPr>
        <w:t>Unione mediante un meccanismo di comunicazione centralizzato per facilitare lo scambio di informazioni transfrontaliero e l</w:t>
      </w:r>
      <w:r w:rsidR="003D07FD">
        <w:rPr>
          <w:sz w:val="20"/>
        </w:rPr>
        <w:t>'</w:t>
      </w:r>
      <w:r>
        <w:rPr>
          <w:sz w:val="20"/>
        </w:rPr>
        <w:t>assistenza reciproca.</w:t>
      </w:r>
    </w:p>
    <w:p w14:paraId="6F3CA0AD" w14:textId="77777777" w:rsidR="000F18E1" w:rsidRPr="005D1CB9" w:rsidRDefault="000F18E1" w:rsidP="00A809E7">
      <w:pPr>
        <w:pStyle w:val="FootnoteText"/>
      </w:pPr>
    </w:p>
  </w:footnote>
  <w:footnote w:id="31">
    <w:p w14:paraId="03ED0556" w14:textId="40D267F3" w:rsidR="000F18E1" w:rsidRPr="003D07FD" w:rsidRDefault="000F18E1" w:rsidP="00E853FA">
      <w:pPr>
        <w:pStyle w:val="FootnoteText"/>
      </w:pPr>
      <w:r w:rsidRPr="003D07FD">
        <w:rPr>
          <w:rStyle w:val="FootnoteReference"/>
        </w:rPr>
        <w:footnoteRef/>
      </w:r>
      <w:r w:rsidRPr="003D07FD">
        <w:t xml:space="preserve"> </w:t>
      </w:r>
      <w:r w:rsidRPr="003D07FD">
        <w:tab/>
        <w:t>Fonte:</w:t>
      </w:r>
      <w:r w:rsidR="003D07FD" w:rsidRPr="003D07FD">
        <w:t> </w:t>
      </w:r>
      <w:r w:rsidRPr="003D07FD">
        <w:t>https://www.smallarmssurvey.org/sites/default/files/resources/SAS-HB-06-Weapons-ID-ch3.pdf</w:t>
      </w:r>
    </w:p>
  </w:footnote>
  <w:footnote w:id="32">
    <w:p w14:paraId="36F26AB7" w14:textId="5DD2B024" w:rsidR="000F18E1" w:rsidRPr="003D07FD" w:rsidRDefault="000F18E1" w:rsidP="00E853FA">
      <w:pPr>
        <w:pStyle w:val="FootnoteText"/>
      </w:pPr>
      <w:r w:rsidRPr="003D07FD">
        <w:rPr>
          <w:rStyle w:val="FootnoteReference"/>
        </w:rPr>
        <w:footnoteRef/>
      </w:r>
      <w:r w:rsidRPr="003D07FD">
        <w:rPr>
          <w:rStyle w:val="FootnoteReference"/>
        </w:rPr>
        <w:t xml:space="preserve"> </w:t>
      </w:r>
      <w:r w:rsidRPr="003D07FD">
        <w:tab/>
      </w:r>
      <w:r w:rsidR="003D07FD" w:rsidRPr="003D07FD">
        <w:t>Fonte: </w:t>
      </w:r>
      <w:r w:rsidRPr="003D07FD">
        <w:t xml:space="preserve">https://blog.matthews.com.au/datamatrix-and-qr-codes-why-2d-codes-are-still-relevant-in-2016/ </w:t>
      </w:r>
    </w:p>
  </w:footnote>
  <w:footnote w:id="33">
    <w:p w14:paraId="0CF4CA59" w14:textId="33564D32" w:rsidR="000F18E1" w:rsidRPr="003D07FD" w:rsidRDefault="000F18E1" w:rsidP="00E853FA">
      <w:pPr>
        <w:pStyle w:val="FootnoteText"/>
        <w:rPr>
          <w:lang w:val="fr-BE"/>
        </w:rPr>
      </w:pPr>
      <w:r w:rsidRPr="003D07FD">
        <w:rPr>
          <w:rStyle w:val="FootnoteReference"/>
        </w:rPr>
        <w:footnoteRef/>
      </w:r>
      <w:r w:rsidRPr="003D07FD">
        <w:rPr>
          <w:lang w:val="fr-BE"/>
        </w:rPr>
        <w:t xml:space="preserve"> </w:t>
      </w:r>
      <w:r w:rsidRPr="003D07FD">
        <w:rPr>
          <w:lang w:val="fr-BE"/>
        </w:rPr>
        <w:tab/>
        <w:t xml:space="preserve">Fonte: https://www.camcode.com/asset-tags/barcodes-data-matrix-vs-qr-codes/ </w:t>
      </w:r>
    </w:p>
  </w:footnote>
  <w:footnote w:id="34">
    <w:p w14:paraId="26035FF9" w14:textId="0C9EC8D5" w:rsidR="000F18E1" w:rsidRPr="003D07FD" w:rsidRDefault="000F18E1">
      <w:pPr>
        <w:pStyle w:val="FootnoteText"/>
        <w:rPr>
          <w:lang w:val="fr-BE"/>
        </w:rPr>
      </w:pPr>
      <w:r w:rsidRPr="003D07FD">
        <w:rPr>
          <w:rStyle w:val="FootnoteReference"/>
        </w:rPr>
        <w:footnoteRef/>
      </w:r>
      <w:r w:rsidRPr="003D07FD">
        <w:rPr>
          <w:lang w:val="fr-BE"/>
        </w:rPr>
        <w:t xml:space="preserve"> </w:t>
      </w:r>
      <w:r w:rsidRPr="003D07FD">
        <w:rPr>
          <w:lang w:val="fr-BE"/>
        </w:rPr>
        <w:tab/>
      </w:r>
      <w:r w:rsidR="003D07FD" w:rsidRPr="003D07FD">
        <w:rPr>
          <w:lang w:val="fr-BE"/>
        </w:rPr>
        <w:t>Fonte: </w:t>
      </w:r>
      <w:r w:rsidRPr="003D07FD">
        <w:rPr>
          <w:lang w:val="fr-BE"/>
        </w:rPr>
        <w:t xml:space="preserve">https://www.conflictarm.com/technical/developing-rfid-solutions-in-support-of-stockpile-management-and-postdiversion-tracing/. </w:t>
      </w:r>
    </w:p>
  </w:footnote>
  <w:footnote w:id="35">
    <w:p w14:paraId="6A858A4D" w14:textId="1D15AB08" w:rsidR="000F18E1" w:rsidRPr="003D07FD" w:rsidRDefault="000F18E1" w:rsidP="00E853FA">
      <w:pPr>
        <w:pStyle w:val="FootnoteText"/>
        <w:rPr>
          <w:lang w:val="en-IE"/>
        </w:rPr>
      </w:pPr>
      <w:r w:rsidRPr="003D07FD">
        <w:rPr>
          <w:rStyle w:val="FootnoteReference"/>
        </w:rPr>
        <w:footnoteRef/>
      </w:r>
      <w:r w:rsidRPr="003D07FD">
        <w:rPr>
          <w:lang w:val="en-IE"/>
        </w:rPr>
        <w:t xml:space="preserve"> </w:t>
      </w:r>
      <w:r w:rsidRPr="003D07FD">
        <w:rPr>
          <w:lang w:val="en-IE"/>
        </w:rPr>
        <w:tab/>
        <w:t xml:space="preserve">Fonte: </w:t>
      </w:r>
      <w:r w:rsidRPr="003D07FD">
        <w:rPr>
          <w:i/>
          <w:lang w:val="en-IE"/>
        </w:rPr>
        <w:t>Using RFID to Help Track Guns for Firearm Wholesalers and Distributors</w:t>
      </w:r>
      <w:r w:rsidRPr="003D07FD">
        <w:rPr>
          <w:lang w:val="en-IE"/>
        </w:rPr>
        <w:t>, pubblicato nel 2013, https://www.rfidworld.ca/rfid-to-help-track-guns-by-firearm-wholesalers-and-distributors/1365.</w:t>
      </w:r>
      <w:r w:rsidRPr="003D07FD">
        <w:rPr>
          <w:rStyle w:val="Hyperlink"/>
          <w:lang w:val="en-IE"/>
        </w:rPr>
        <w:t xml:space="preserve"> </w:t>
      </w:r>
    </w:p>
  </w:footnote>
  <w:footnote w:id="36">
    <w:p w14:paraId="2017AAAE" w14:textId="34DE8CC9" w:rsidR="000F18E1" w:rsidRPr="003D07FD" w:rsidRDefault="000F18E1" w:rsidP="005D2B72">
      <w:pPr>
        <w:pStyle w:val="FootnoteText"/>
        <w:rPr>
          <w:lang w:val="fr-BE"/>
        </w:rPr>
      </w:pPr>
      <w:r w:rsidRPr="003D07FD">
        <w:rPr>
          <w:rStyle w:val="FootnoteReference"/>
        </w:rPr>
        <w:footnoteRef/>
      </w:r>
      <w:r w:rsidRPr="003D07FD">
        <w:rPr>
          <w:lang w:val="fr-BE"/>
        </w:rPr>
        <w:t xml:space="preserve"> </w:t>
      </w:r>
      <w:r w:rsidRPr="003D07FD">
        <w:rPr>
          <w:lang w:val="fr-BE"/>
        </w:rPr>
        <w:tab/>
        <w:t>Ibidem.</w:t>
      </w:r>
      <w:r w:rsidRPr="003D07FD">
        <w:rPr>
          <w:rStyle w:val="Hyperlink"/>
          <w:lang w:val="fr-BE"/>
        </w:rPr>
        <w:t xml:space="preserve"> </w:t>
      </w:r>
    </w:p>
  </w:footnote>
  <w:footnote w:id="37">
    <w:p w14:paraId="46FB8E9B" w14:textId="2890FC5C" w:rsidR="000F18E1" w:rsidRPr="00411557" w:rsidRDefault="000F18E1" w:rsidP="00EE7ADE">
      <w:pPr>
        <w:pStyle w:val="FootnoteText"/>
        <w:rPr>
          <w:lang w:val="fr-BE"/>
        </w:rPr>
      </w:pPr>
      <w:r w:rsidRPr="003D07FD">
        <w:rPr>
          <w:rStyle w:val="FootnoteReference"/>
        </w:rPr>
        <w:footnoteRef/>
      </w:r>
      <w:r w:rsidRPr="003D07FD">
        <w:rPr>
          <w:lang w:val="fr-BE"/>
        </w:rPr>
        <w:t xml:space="preserve"> </w:t>
      </w:r>
      <w:r w:rsidRPr="003D07FD">
        <w:rPr>
          <w:lang w:val="fr-BE"/>
        </w:rPr>
        <w:tab/>
        <w:t>Fonte: https://www.ecb.europa.eu/euro/banknotes/ink-stained/html/index.it.html.</w:t>
      </w:r>
      <w:r w:rsidRPr="00411557">
        <w:rPr>
          <w:lang w:val="fr-BE"/>
        </w:rPr>
        <w:t xml:space="preserve"> </w:t>
      </w:r>
    </w:p>
  </w:footnote>
  <w:footnote w:id="38">
    <w:p w14:paraId="3B9AAF65" w14:textId="53CD5437" w:rsidR="000F18E1" w:rsidRPr="00411557" w:rsidRDefault="000F18E1" w:rsidP="00EE7ADE">
      <w:pPr>
        <w:pStyle w:val="FootnoteText"/>
        <w:rPr>
          <w:lang w:val="fr-BE"/>
        </w:rPr>
      </w:pPr>
      <w:r>
        <w:rPr>
          <w:rStyle w:val="FootnoteReference"/>
        </w:rPr>
        <w:footnoteRef/>
      </w:r>
      <w:r w:rsidR="003D07FD">
        <w:rPr>
          <w:lang w:val="fr-BE"/>
        </w:rPr>
        <w:t xml:space="preserve"> </w:t>
      </w:r>
      <w:r w:rsidR="003D07FD">
        <w:rPr>
          <w:lang w:val="fr-BE"/>
        </w:rPr>
        <w:tab/>
        <w:t>Fonte: </w:t>
      </w:r>
      <w:hyperlink r:id="rId3" w:history="1">
        <w:r w:rsidRPr="00411557">
          <w:rPr>
            <w:lang w:val="fr-BE"/>
          </w:rPr>
          <w:t>https://www.reiner.de/index.php?UV-ink-with-handheld-inkjet-printer</w:t>
        </w:r>
      </w:hyperlink>
      <w:r w:rsidRPr="00411557">
        <w:rPr>
          <w:lang w:val="fr-BE"/>
        </w:rPr>
        <w:t xml:space="preserve">, https://www.sicpa.com/sicpa-history </w:t>
      </w:r>
    </w:p>
  </w:footnote>
  <w:footnote w:id="39">
    <w:p w14:paraId="38477C6D" w14:textId="5F49C5D7" w:rsidR="000F18E1" w:rsidRPr="00411557" w:rsidRDefault="000F18E1" w:rsidP="00EE7ADE">
      <w:pPr>
        <w:pStyle w:val="FootnoteText"/>
        <w:rPr>
          <w:lang w:val="fr-BE"/>
        </w:rPr>
      </w:pPr>
      <w:r>
        <w:rPr>
          <w:rStyle w:val="FootnoteReference"/>
        </w:rPr>
        <w:footnoteRef/>
      </w:r>
      <w:r w:rsidRPr="00411557">
        <w:rPr>
          <w:lang w:val="fr-BE"/>
        </w:rPr>
        <w:t xml:space="preserve"> </w:t>
      </w:r>
      <w:r w:rsidRPr="00411557">
        <w:rPr>
          <w:lang w:val="fr-BE"/>
        </w:rPr>
        <w:tab/>
        <w:t xml:space="preserve">https://www.pharmtech.com/view/securing-the-pharmaceutical-supply-chain-with-full-traceability; https://www.pharmaceuticalprocessingworld.com/dna-marker-for-pharma-ink-ensures-traceability/ </w:t>
      </w:r>
    </w:p>
  </w:footnote>
  <w:footnote w:id="40">
    <w:p w14:paraId="4DCEE321" w14:textId="3F6C1772" w:rsidR="00045806" w:rsidRPr="00286AE8" w:rsidRDefault="00045806">
      <w:pPr>
        <w:pStyle w:val="FootnoteText"/>
      </w:pPr>
      <w:r>
        <w:rPr>
          <w:rStyle w:val="FootnoteReference"/>
        </w:rPr>
        <w:footnoteRef/>
      </w:r>
      <w:r>
        <w:t xml:space="preserve"> </w:t>
      </w:r>
      <w:r>
        <w:tab/>
        <w:t xml:space="preserve">Il traffico delle armi da fuoco è una priorità degli Stati membri dal 2014 nel quadro della piattaforma multidisciplinare europea di lotta alle minacce della criminalità (EMPACT).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4F186" w14:textId="77777777" w:rsidR="004A48A3" w:rsidRPr="004A48A3" w:rsidRDefault="004A48A3" w:rsidP="004A48A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7A623" w14:textId="77777777" w:rsidR="001071D6" w:rsidRDefault="001071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7FE65" w14:textId="77777777" w:rsidR="001071D6" w:rsidRDefault="001071D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EE652" w14:textId="77777777" w:rsidR="001071D6" w:rsidRDefault="00107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78C21" w14:textId="77777777" w:rsidR="004A48A3" w:rsidRPr="004A48A3" w:rsidRDefault="004A48A3" w:rsidP="004A48A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919C3" w14:textId="77777777" w:rsidR="004A48A3" w:rsidRPr="004A48A3" w:rsidRDefault="004A48A3" w:rsidP="004A48A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E1A4E" w14:textId="77777777" w:rsidR="000F18E1" w:rsidRDefault="000F18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57828" w14:textId="77777777" w:rsidR="000F18E1" w:rsidRDefault="000F18E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20890" w14:textId="77777777" w:rsidR="000F18E1" w:rsidRDefault="000F18E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F8D3E" w14:textId="77777777" w:rsidR="001071D6" w:rsidRDefault="001071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45AD9" w14:textId="77777777" w:rsidR="001071D6" w:rsidRDefault="001071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89E9E" w14:textId="77777777" w:rsidR="001071D6" w:rsidRDefault="00107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8F0E7B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0B7201"/>
    <w:multiLevelType w:val="multilevel"/>
    <w:tmpl w:val="FB7C877C"/>
    <w:name w:val="ListNumberNumbering"/>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2D293CE3"/>
    <w:multiLevelType w:val="multilevel"/>
    <w:tmpl w:val="BD641E30"/>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3" w15:restartNumberingAfterBreak="0">
    <w:nsid w:val="2D293CF4"/>
    <w:multiLevelType w:val="multilevel"/>
    <w:tmpl w:val="E39EAAF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4" w15:restartNumberingAfterBreak="0">
    <w:nsid w:val="32233771"/>
    <w:multiLevelType w:val="hybridMultilevel"/>
    <w:tmpl w:val="340C3B3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39A407A"/>
    <w:multiLevelType w:val="hybridMultilevel"/>
    <w:tmpl w:val="9D122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D674E6"/>
    <w:multiLevelType w:val="hybridMultilevel"/>
    <w:tmpl w:val="E794D4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E1A982C"/>
    <w:multiLevelType w:val="multilevel"/>
    <w:tmpl w:val="2DBE447A"/>
    <w:name w:val="ListBulletNumbering2"/>
    <w:lvl w:ilvl="0">
      <w:start w:val="1"/>
      <w:numFmt w:val="bullet"/>
      <w:pStyle w:val="ListBullet"/>
      <w:lvlText w:val=""/>
      <w:lvlJc w:val="left"/>
      <w:pPr>
        <w:tabs>
          <w:tab w:val="num" w:pos="454"/>
        </w:tabs>
        <w:ind w:left="454" w:hanging="454"/>
      </w:pPr>
      <w:rPr>
        <w:rFonts w:ascii="Symbol" w:hAnsi="Symbol"/>
      </w:rPr>
    </w:lvl>
    <w:lvl w:ilvl="1">
      <w:start w:val="1"/>
      <w:numFmt w:val="bullet"/>
      <w:pStyle w:val="ListBulletLevel2"/>
      <w:lvlText w:val=""/>
      <w:lvlJc w:val="left"/>
      <w:pPr>
        <w:tabs>
          <w:tab w:val="num" w:pos="907"/>
        </w:tabs>
        <w:ind w:left="907" w:hanging="453"/>
      </w:pPr>
      <w:rPr>
        <w:rFonts w:ascii="Symbol" w:hAnsi="Symbol"/>
      </w:rPr>
    </w:lvl>
    <w:lvl w:ilvl="2">
      <w:start w:val="1"/>
      <w:numFmt w:val="bullet"/>
      <w:pStyle w:val="ListBulletLevel3"/>
      <w:lvlText w:val=""/>
      <w:lvlJc w:val="left"/>
      <w:pPr>
        <w:tabs>
          <w:tab w:val="num" w:pos="1361"/>
        </w:tabs>
        <w:ind w:left="1361" w:hanging="454"/>
      </w:pPr>
      <w:rPr>
        <w:rFonts w:ascii="Symbol" w:hAnsi="Symbol"/>
      </w:rPr>
    </w:lvl>
    <w:lvl w:ilvl="3">
      <w:start w:val="1"/>
      <w:numFmt w:val="bullet"/>
      <w:pStyle w:val="ListBullet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5072619B"/>
    <w:multiLevelType w:val="multilevel"/>
    <w:tmpl w:val="5DF63B78"/>
    <w:name w:val="ListDashNumbering"/>
    <w:lvl w:ilvl="0">
      <w:start w:val="1"/>
      <w:numFmt w:val="bullet"/>
      <w:pStyle w:val="ListDash"/>
      <w:lvlText w:val="–"/>
      <w:lvlJc w:val="left"/>
      <w:pPr>
        <w:tabs>
          <w:tab w:val="num" w:pos="454"/>
        </w:tabs>
        <w:ind w:left="454" w:hanging="454"/>
      </w:pPr>
      <w:rPr>
        <w:rFonts w:ascii="Times New Roman" w:hAnsi="Times New Roman"/>
      </w:rPr>
    </w:lvl>
    <w:lvl w:ilvl="1">
      <w:start w:val="1"/>
      <w:numFmt w:val="bullet"/>
      <w:pStyle w:val="ListDashLevel2"/>
      <w:lvlText w:val="–"/>
      <w:lvlJc w:val="left"/>
      <w:pPr>
        <w:tabs>
          <w:tab w:val="num" w:pos="907"/>
        </w:tabs>
        <w:ind w:left="907" w:hanging="453"/>
      </w:pPr>
      <w:rPr>
        <w:rFonts w:ascii="Times New Roman" w:hAnsi="Times New Roman"/>
      </w:rPr>
    </w:lvl>
    <w:lvl w:ilvl="2">
      <w:start w:val="1"/>
      <w:numFmt w:val="bullet"/>
      <w:pStyle w:val="ListDashLevel3"/>
      <w:lvlText w:val="–"/>
      <w:lvlJc w:val="left"/>
      <w:pPr>
        <w:tabs>
          <w:tab w:val="num" w:pos="1361"/>
        </w:tabs>
        <w:ind w:left="1361" w:hanging="454"/>
      </w:pPr>
      <w:rPr>
        <w:rFonts w:ascii="Times New Roman" w:hAnsi="Times New Roman"/>
      </w:rPr>
    </w:lvl>
    <w:lvl w:ilvl="3">
      <w:start w:val="1"/>
      <w:numFmt w:val="bullet"/>
      <w:pStyle w:val="ListDashLevel4"/>
      <w:lvlText w:val="–"/>
      <w:lvlJc w:val="left"/>
      <w:pPr>
        <w:tabs>
          <w:tab w:val="num" w:pos="1814"/>
        </w:tabs>
        <w:ind w:left="1814" w:hanging="45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55CA7558"/>
    <w:multiLevelType w:val="hybridMultilevel"/>
    <w:tmpl w:val="39FCD02A"/>
    <w:lvl w:ilvl="0" w:tplc="3094251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975B95"/>
    <w:multiLevelType w:val="hybridMultilevel"/>
    <w:tmpl w:val="3B2ECD84"/>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E01E02"/>
    <w:multiLevelType w:val="hybridMultilevel"/>
    <w:tmpl w:val="C58644D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C65145E"/>
    <w:multiLevelType w:val="multilevel"/>
    <w:tmpl w:val="F9805C68"/>
    <w:name w:val="EurolookHeading"/>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595"/>
        </w:tabs>
        <w:ind w:left="595" w:hanging="595"/>
      </w:pPr>
      <w:rPr>
        <w:rFonts w:hint="default"/>
        <w:lang w:val="en-US"/>
      </w:rPr>
    </w:lvl>
    <w:lvl w:ilvl="2">
      <w:start w:val="1"/>
      <w:numFmt w:val="decimal"/>
      <w:pStyle w:val="Heading3"/>
      <w:lvlText w:val="%1.%2.%3."/>
      <w:lvlJc w:val="left"/>
      <w:pPr>
        <w:tabs>
          <w:tab w:val="num" w:pos="737"/>
        </w:tabs>
        <w:ind w:left="737" w:hanging="737"/>
      </w:pPr>
      <w:rPr>
        <w:rFonts w:hint="default"/>
        <w:u w:val="none"/>
      </w:rPr>
    </w:lvl>
    <w:lvl w:ilvl="3">
      <w:start w:val="1"/>
      <w:numFmt w:val="decimal"/>
      <w:pStyle w:val="Heading4"/>
      <w:lvlText w:val="%1.%2.%3.%4."/>
      <w:lvlJc w:val="left"/>
      <w:pPr>
        <w:tabs>
          <w:tab w:val="num" w:pos="850"/>
        </w:tabs>
        <w:ind w:left="850" w:hanging="850"/>
      </w:pPr>
      <w:rPr>
        <w:rFonts w:hint="default"/>
      </w:rPr>
    </w:lvl>
    <w:lvl w:ilvl="4">
      <w:start w:val="1"/>
      <w:numFmt w:val="decimal"/>
      <w:pStyle w:val="Heading5"/>
      <w:lvlText w:val="%1.%2.%3.%4.%5."/>
      <w:lvlJc w:val="left"/>
      <w:pPr>
        <w:tabs>
          <w:tab w:val="num" w:pos="1049"/>
        </w:tabs>
        <w:ind w:left="1049" w:hanging="1049"/>
      </w:pPr>
      <w:rPr>
        <w:rFonts w:hint="default"/>
      </w:rPr>
    </w:lvl>
    <w:lvl w:ilvl="5">
      <w:start w:val="1"/>
      <w:numFmt w:val="decimal"/>
      <w:pStyle w:val="Heading6"/>
      <w:suff w:val="space"/>
      <w:lvlText w:val="%1.%2.%3.%4.%5.%6."/>
      <w:lvlJc w:val="left"/>
      <w:pPr>
        <w:ind w:firstLine="0"/>
      </w:pPr>
      <w:rPr>
        <w:rFonts w:hint="default"/>
      </w:rPr>
    </w:lvl>
    <w:lvl w:ilvl="6">
      <w:start w:val="1"/>
      <w:numFmt w:val="decimal"/>
      <w:pStyle w:val="Heading7"/>
      <w:suff w:val="space"/>
      <w:lvlText w:val="%1.%2.%3.%4.%5.%6.%7."/>
      <w:lvlJc w:val="left"/>
      <w:pPr>
        <w:ind w:firstLine="0"/>
      </w:pPr>
      <w:rPr>
        <w:rFonts w:hint="default"/>
      </w:rPr>
    </w:lvl>
    <w:lvl w:ilvl="7">
      <w:start w:val="1"/>
      <w:numFmt w:val="decimal"/>
      <w:pStyle w:val="Heading8"/>
      <w:suff w:val="space"/>
      <w:lvlText w:val="%1.%2.%3.%4.%5.%6.%7.%8."/>
      <w:lvlJc w:val="left"/>
      <w:pPr>
        <w:ind w:firstLine="0"/>
      </w:pPr>
      <w:rPr>
        <w:rFonts w:hint="default"/>
      </w:rPr>
    </w:lvl>
    <w:lvl w:ilvl="8">
      <w:start w:val="1"/>
      <w:numFmt w:val="decimal"/>
      <w:pStyle w:val="Heading9"/>
      <w:suff w:val="space"/>
      <w:lvlText w:val="%1.%2.%3.%4.%5.%6.%7.%8.%9."/>
      <w:lvlJc w:val="left"/>
      <w:pPr>
        <w:ind w:firstLine="0"/>
      </w:pPr>
      <w:rPr>
        <w:rFonts w:hint="default"/>
      </w:rPr>
    </w:lvl>
  </w:abstractNum>
  <w:abstractNum w:abstractNumId="13"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0"/>
  </w:num>
  <w:num w:numId="2">
    <w:abstractNumId w:val="13"/>
  </w:num>
  <w:num w:numId="3">
    <w:abstractNumId w:val="3"/>
  </w:num>
  <w:num w:numId="4">
    <w:abstractNumId w:val="2"/>
  </w:num>
  <w:num w:numId="5">
    <w:abstractNumId w:val="8"/>
  </w:num>
  <w:num w:numId="6">
    <w:abstractNumId w:val="1"/>
  </w:num>
  <w:num w:numId="7">
    <w:abstractNumId w:val="7"/>
  </w:num>
  <w:num w:numId="8">
    <w:abstractNumId w:val="12"/>
  </w:num>
  <w:num w:numId="9">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3">
    <w:abstractNumId w:val="7"/>
  </w:num>
  <w:num w:numId="14">
    <w:abstractNumId w:val="11"/>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4"/>
  </w:num>
  <w:num w:numId="22">
    <w:abstractNumId w:val="12"/>
  </w:num>
  <w:num w:numId="23">
    <w:abstractNumId w:val="0"/>
  </w:num>
  <w:num w:numId="24">
    <w:abstractNumId w:val="6"/>
  </w:num>
  <w:num w:numId="25">
    <w:abstractNumId w:val="5"/>
  </w:num>
  <w:num w:numId="2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en-IE" w:vendorID="64" w:dllVersion="131078" w:nlCheck="1" w:checkStyle="1"/>
  <w:activeWritingStyle w:appName="MSWord" w:lang="it-IT"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6588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A46F411-E9F2-4CCD-88B4-BB136CB760E1"/>
    <w:docVar w:name="LW_COVERPAGE_TYPE" w:val="1"/>
    <w:docVar w:name="LW_CROSSREFERENCE" w:val="&lt;UNUSED&gt;"/>
    <w:docVar w:name="LW_DocType" w:val="EUROLOOK"/>
    <w:docVar w:name="LW_EMISSION" w:val="27.10.2021"/>
    <w:docVar w:name="LW_EMISSION_ISODATE" w:val="2021-10-27"/>
    <w:docVar w:name="LW_EMISSION_LOCATION" w:val="BRX"/>
    <w:docVar w:name="LW_EMISSION_PREFIX" w:val="Bruxelles, "/>
    <w:docVar w:name="LW_EMISSION_SUFFIX" w:val=" "/>
    <w:docVar w:name="LW_ID_DOCTYPE_NONLW" w:val="CP-006"/>
    <w:docVar w:name="LW_LANGUE" w:val="IT"/>
    <w:docVar w:name="LW_LEVEL_OF_SENSITIVITY" w:val="Standard treatmen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21) 6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ll'applicazione della direttiva (UE) 2021/555 del Parlamento europeo e del Consiglio, del 24 marzo 2021, relativa al controllo dell'acquisizione e della detenzione di armi"/>
    <w:docVar w:name="LW_TYPE.DOC.CP" w:val="RELAZIONE DELLA COMMISSIONE AL PARLAMENTO EUROPEO E AL CONSIGLIO"/>
    <w:docVar w:name="LwApiVersions" w:val="LW4CoDe 1.23.1.0; LW 8.0, Build 20210728"/>
  </w:docVars>
  <w:rsids>
    <w:rsidRoot w:val="00AC317D"/>
    <w:rsid w:val="000049FD"/>
    <w:rsid w:val="00004E90"/>
    <w:rsid w:val="00004EA0"/>
    <w:rsid w:val="000053DE"/>
    <w:rsid w:val="00007659"/>
    <w:rsid w:val="000147A3"/>
    <w:rsid w:val="0001538C"/>
    <w:rsid w:val="000208B9"/>
    <w:rsid w:val="0003091D"/>
    <w:rsid w:val="0003097B"/>
    <w:rsid w:val="00033EC7"/>
    <w:rsid w:val="00034EED"/>
    <w:rsid w:val="0003662E"/>
    <w:rsid w:val="00040DBD"/>
    <w:rsid w:val="0004239C"/>
    <w:rsid w:val="00045806"/>
    <w:rsid w:val="00046960"/>
    <w:rsid w:val="000474A4"/>
    <w:rsid w:val="00053840"/>
    <w:rsid w:val="00053B28"/>
    <w:rsid w:val="0005482E"/>
    <w:rsid w:val="000648CB"/>
    <w:rsid w:val="00065B34"/>
    <w:rsid w:val="00067E64"/>
    <w:rsid w:val="00071814"/>
    <w:rsid w:val="00073061"/>
    <w:rsid w:val="00082C2C"/>
    <w:rsid w:val="00082D63"/>
    <w:rsid w:val="00084537"/>
    <w:rsid w:val="000854BC"/>
    <w:rsid w:val="00086457"/>
    <w:rsid w:val="00091CCB"/>
    <w:rsid w:val="00094070"/>
    <w:rsid w:val="000A0819"/>
    <w:rsid w:val="000A49AD"/>
    <w:rsid w:val="000A57B4"/>
    <w:rsid w:val="000B15B5"/>
    <w:rsid w:val="000B3F1D"/>
    <w:rsid w:val="000B6EEE"/>
    <w:rsid w:val="000C09D5"/>
    <w:rsid w:val="000C2856"/>
    <w:rsid w:val="000C2D75"/>
    <w:rsid w:val="000C3706"/>
    <w:rsid w:val="000C3ABF"/>
    <w:rsid w:val="000C3DD6"/>
    <w:rsid w:val="000C4A97"/>
    <w:rsid w:val="000C6B67"/>
    <w:rsid w:val="000C7797"/>
    <w:rsid w:val="000C7E66"/>
    <w:rsid w:val="000D33A8"/>
    <w:rsid w:val="000D4BC7"/>
    <w:rsid w:val="000D5548"/>
    <w:rsid w:val="000D6F2E"/>
    <w:rsid w:val="000E0420"/>
    <w:rsid w:val="000E0EFA"/>
    <w:rsid w:val="000E38D9"/>
    <w:rsid w:val="000E4165"/>
    <w:rsid w:val="000E5197"/>
    <w:rsid w:val="000E529A"/>
    <w:rsid w:val="000E6523"/>
    <w:rsid w:val="000E731A"/>
    <w:rsid w:val="000E7FB6"/>
    <w:rsid w:val="000F18E1"/>
    <w:rsid w:val="000F4AC4"/>
    <w:rsid w:val="000F4B0B"/>
    <w:rsid w:val="000F65FC"/>
    <w:rsid w:val="000F7430"/>
    <w:rsid w:val="000F7AFD"/>
    <w:rsid w:val="001001C9"/>
    <w:rsid w:val="00103365"/>
    <w:rsid w:val="00104F7D"/>
    <w:rsid w:val="001071D6"/>
    <w:rsid w:val="00111A2D"/>
    <w:rsid w:val="00115513"/>
    <w:rsid w:val="00115D46"/>
    <w:rsid w:val="00120CBC"/>
    <w:rsid w:val="00120CC1"/>
    <w:rsid w:val="001212B8"/>
    <w:rsid w:val="001224EC"/>
    <w:rsid w:val="0012333B"/>
    <w:rsid w:val="001248DC"/>
    <w:rsid w:val="001254DD"/>
    <w:rsid w:val="0012593E"/>
    <w:rsid w:val="001301F2"/>
    <w:rsid w:val="00130856"/>
    <w:rsid w:val="00131E80"/>
    <w:rsid w:val="001327AD"/>
    <w:rsid w:val="001331AB"/>
    <w:rsid w:val="00133AD8"/>
    <w:rsid w:val="001343F2"/>
    <w:rsid w:val="00143226"/>
    <w:rsid w:val="00143F1A"/>
    <w:rsid w:val="0014591F"/>
    <w:rsid w:val="00145A6B"/>
    <w:rsid w:val="0014635C"/>
    <w:rsid w:val="00147760"/>
    <w:rsid w:val="0015281D"/>
    <w:rsid w:val="00152B11"/>
    <w:rsid w:val="00154FB1"/>
    <w:rsid w:val="00155AEC"/>
    <w:rsid w:val="00161452"/>
    <w:rsid w:val="00163104"/>
    <w:rsid w:val="0016378A"/>
    <w:rsid w:val="001644E0"/>
    <w:rsid w:val="0016778D"/>
    <w:rsid w:val="00172419"/>
    <w:rsid w:val="00176E6A"/>
    <w:rsid w:val="0018335A"/>
    <w:rsid w:val="001843E4"/>
    <w:rsid w:val="0018566D"/>
    <w:rsid w:val="001858DA"/>
    <w:rsid w:val="001860DF"/>
    <w:rsid w:val="00190113"/>
    <w:rsid w:val="00192D66"/>
    <w:rsid w:val="0019545D"/>
    <w:rsid w:val="00195542"/>
    <w:rsid w:val="001A1789"/>
    <w:rsid w:val="001A45E1"/>
    <w:rsid w:val="001A5B43"/>
    <w:rsid w:val="001A7726"/>
    <w:rsid w:val="001C0B82"/>
    <w:rsid w:val="001C247C"/>
    <w:rsid w:val="001C645E"/>
    <w:rsid w:val="001C78C0"/>
    <w:rsid w:val="001C7ADC"/>
    <w:rsid w:val="001D1EFD"/>
    <w:rsid w:val="001D4C6C"/>
    <w:rsid w:val="001D7014"/>
    <w:rsid w:val="001F1236"/>
    <w:rsid w:val="00200BC7"/>
    <w:rsid w:val="00202748"/>
    <w:rsid w:val="002053FE"/>
    <w:rsid w:val="0020612A"/>
    <w:rsid w:val="002077F4"/>
    <w:rsid w:val="00213486"/>
    <w:rsid w:val="00217DE5"/>
    <w:rsid w:val="002225D0"/>
    <w:rsid w:val="002236A2"/>
    <w:rsid w:val="0023524E"/>
    <w:rsid w:val="00236221"/>
    <w:rsid w:val="00241E1B"/>
    <w:rsid w:val="002437F4"/>
    <w:rsid w:val="00245825"/>
    <w:rsid w:val="00246C4D"/>
    <w:rsid w:val="00254505"/>
    <w:rsid w:val="00255587"/>
    <w:rsid w:val="002605B4"/>
    <w:rsid w:val="00262402"/>
    <w:rsid w:val="00262F0F"/>
    <w:rsid w:val="0026535C"/>
    <w:rsid w:val="00267E7B"/>
    <w:rsid w:val="0027264B"/>
    <w:rsid w:val="002732DD"/>
    <w:rsid w:val="00274701"/>
    <w:rsid w:val="00274AAF"/>
    <w:rsid w:val="00274B15"/>
    <w:rsid w:val="002764E5"/>
    <w:rsid w:val="002806C8"/>
    <w:rsid w:val="00284E92"/>
    <w:rsid w:val="00286AE8"/>
    <w:rsid w:val="0028756A"/>
    <w:rsid w:val="00287A48"/>
    <w:rsid w:val="00287F36"/>
    <w:rsid w:val="002A161C"/>
    <w:rsid w:val="002A33E8"/>
    <w:rsid w:val="002A3FA7"/>
    <w:rsid w:val="002A7815"/>
    <w:rsid w:val="002B109B"/>
    <w:rsid w:val="002B3766"/>
    <w:rsid w:val="002B61B7"/>
    <w:rsid w:val="002C039D"/>
    <w:rsid w:val="002C5441"/>
    <w:rsid w:val="002D01FF"/>
    <w:rsid w:val="002E10EB"/>
    <w:rsid w:val="002E1CD3"/>
    <w:rsid w:val="002E5CB8"/>
    <w:rsid w:val="002F16FA"/>
    <w:rsid w:val="002F292D"/>
    <w:rsid w:val="002F5B71"/>
    <w:rsid w:val="00300053"/>
    <w:rsid w:val="003012E0"/>
    <w:rsid w:val="00303BD4"/>
    <w:rsid w:val="0030409B"/>
    <w:rsid w:val="00304770"/>
    <w:rsid w:val="00307E0B"/>
    <w:rsid w:val="003113B2"/>
    <w:rsid w:val="00321560"/>
    <w:rsid w:val="00325F33"/>
    <w:rsid w:val="00327578"/>
    <w:rsid w:val="0033246D"/>
    <w:rsid w:val="00332A35"/>
    <w:rsid w:val="00333038"/>
    <w:rsid w:val="00333BDF"/>
    <w:rsid w:val="003348AC"/>
    <w:rsid w:val="003359FC"/>
    <w:rsid w:val="0033646D"/>
    <w:rsid w:val="003456D1"/>
    <w:rsid w:val="00347AD0"/>
    <w:rsid w:val="0035561A"/>
    <w:rsid w:val="003556AB"/>
    <w:rsid w:val="003678DF"/>
    <w:rsid w:val="00370D6C"/>
    <w:rsid w:val="00371AB4"/>
    <w:rsid w:val="00374103"/>
    <w:rsid w:val="00375535"/>
    <w:rsid w:val="00375EF3"/>
    <w:rsid w:val="003766C2"/>
    <w:rsid w:val="0038314C"/>
    <w:rsid w:val="00384669"/>
    <w:rsid w:val="003853BE"/>
    <w:rsid w:val="0038573E"/>
    <w:rsid w:val="00386D80"/>
    <w:rsid w:val="0039533F"/>
    <w:rsid w:val="003959BF"/>
    <w:rsid w:val="003973D1"/>
    <w:rsid w:val="003A21BE"/>
    <w:rsid w:val="003A4923"/>
    <w:rsid w:val="003A49E4"/>
    <w:rsid w:val="003B027E"/>
    <w:rsid w:val="003B2FE8"/>
    <w:rsid w:val="003B3D75"/>
    <w:rsid w:val="003B6578"/>
    <w:rsid w:val="003C4E22"/>
    <w:rsid w:val="003C5E90"/>
    <w:rsid w:val="003C658D"/>
    <w:rsid w:val="003D07FD"/>
    <w:rsid w:val="003D59DD"/>
    <w:rsid w:val="003E16AD"/>
    <w:rsid w:val="003E5DCD"/>
    <w:rsid w:val="003F0C8B"/>
    <w:rsid w:val="003F44E9"/>
    <w:rsid w:val="003F5375"/>
    <w:rsid w:val="003F7CB8"/>
    <w:rsid w:val="004007BA"/>
    <w:rsid w:val="00401A87"/>
    <w:rsid w:val="00402D56"/>
    <w:rsid w:val="00402F34"/>
    <w:rsid w:val="0040549D"/>
    <w:rsid w:val="00405DF9"/>
    <w:rsid w:val="00406664"/>
    <w:rsid w:val="00410E0D"/>
    <w:rsid w:val="00411557"/>
    <w:rsid w:val="00413468"/>
    <w:rsid w:val="00415006"/>
    <w:rsid w:val="00417249"/>
    <w:rsid w:val="00421065"/>
    <w:rsid w:val="00424B77"/>
    <w:rsid w:val="00431495"/>
    <w:rsid w:val="004373E1"/>
    <w:rsid w:val="004379F9"/>
    <w:rsid w:val="00437E0A"/>
    <w:rsid w:val="00440C4D"/>
    <w:rsid w:val="0044117E"/>
    <w:rsid w:val="00441B58"/>
    <w:rsid w:val="00442857"/>
    <w:rsid w:val="00452F69"/>
    <w:rsid w:val="00464D63"/>
    <w:rsid w:val="00467DDA"/>
    <w:rsid w:val="004700A2"/>
    <w:rsid w:val="004711E8"/>
    <w:rsid w:val="004733C1"/>
    <w:rsid w:val="00474550"/>
    <w:rsid w:val="00476547"/>
    <w:rsid w:val="00480C10"/>
    <w:rsid w:val="004817C1"/>
    <w:rsid w:val="004879F4"/>
    <w:rsid w:val="00490CC2"/>
    <w:rsid w:val="00493DFE"/>
    <w:rsid w:val="00494389"/>
    <w:rsid w:val="004949DD"/>
    <w:rsid w:val="00496995"/>
    <w:rsid w:val="004A1400"/>
    <w:rsid w:val="004A20F3"/>
    <w:rsid w:val="004A21BA"/>
    <w:rsid w:val="004A40F3"/>
    <w:rsid w:val="004A432F"/>
    <w:rsid w:val="004A48A3"/>
    <w:rsid w:val="004A533D"/>
    <w:rsid w:val="004A5DE1"/>
    <w:rsid w:val="004A793E"/>
    <w:rsid w:val="004B239B"/>
    <w:rsid w:val="004B33E3"/>
    <w:rsid w:val="004B7E41"/>
    <w:rsid w:val="004C14D8"/>
    <w:rsid w:val="004C244F"/>
    <w:rsid w:val="004C363B"/>
    <w:rsid w:val="004C62CA"/>
    <w:rsid w:val="004D38E0"/>
    <w:rsid w:val="004D5809"/>
    <w:rsid w:val="004D65EC"/>
    <w:rsid w:val="004E039F"/>
    <w:rsid w:val="004E07D1"/>
    <w:rsid w:val="004E15AD"/>
    <w:rsid w:val="004E3E94"/>
    <w:rsid w:val="004F1272"/>
    <w:rsid w:val="004F1875"/>
    <w:rsid w:val="005034D2"/>
    <w:rsid w:val="00505AB1"/>
    <w:rsid w:val="00512396"/>
    <w:rsid w:val="00515270"/>
    <w:rsid w:val="0051655C"/>
    <w:rsid w:val="00517EC3"/>
    <w:rsid w:val="005204BE"/>
    <w:rsid w:val="00524DFB"/>
    <w:rsid w:val="005310C8"/>
    <w:rsid w:val="00536A8E"/>
    <w:rsid w:val="00536F54"/>
    <w:rsid w:val="0053707C"/>
    <w:rsid w:val="00541DF4"/>
    <w:rsid w:val="00543B0F"/>
    <w:rsid w:val="00543D20"/>
    <w:rsid w:val="00546FE5"/>
    <w:rsid w:val="00550BB3"/>
    <w:rsid w:val="005541D0"/>
    <w:rsid w:val="005602F6"/>
    <w:rsid w:val="00564196"/>
    <w:rsid w:val="00565384"/>
    <w:rsid w:val="00566156"/>
    <w:rsid w:val="00570A6D"/>
    <w:rsid w:val="00572A09"/>
    <w:rsid w:val="00572A50"/>
    <w:rsid w:val="00572CB1"/>
    <w:rsid w:val="005747CF"/>
    <w:rsid w:val="0057690B"/>
    <w:rsid w:val="00577ADE"/>
    <w:rsid w:val="0058164F"/>
    <w:rsid w:val="00581B27"/>
    <w:rsid w:val="005820AA"/>
    <w:rsid w:val="00582373"/>
    <w:rsid w:val="00583AB7"/>
    <w:rsid w:val="00590A0F"/>
    <w:rsid w:val="00590AAA"/>
    <w:rsid w:val="00591D1F"/>
    <w:rsid w:val="005922D4"/>
    <w:rsid w:val="005926CE"/>
    <w:rsid w:val="00595C04"/>
    <w:rsid w:val="005A261B"/>
    <w:rsid w:val="005A3F02"/>
    <w:rsid w:val="005B0C7E"/>
    <w:rsid w:val="005B109B"/>
    <w:rsid w:val="005B2137"/>
    <w:rsid w:val="005B4200"/>
    <w:rsid w:val="005B4578"/>
    <w:rsid w:val="005B4CBB"/>
    <w:rsid w:val="005B5C0D"/>
    <w:rsid w:val="005C3634"/>
    <w:rsid w:val="005C3C89"/>
    <w:rsid w:val="005C5413"/>
    <w:rsid w:val="005C7683"/>
    <w:rsid w:val="005D0CB3"/>
    <w:rsid w:val="005D1672"/>
    <w:rsid w:val="005D1CB9"/>
    <w:rsid w:val="005D2B72"/>
    <w:rsid w:val="005D54E5"/>
    <w:rsid w:val="005D7EB9"/>
    <w:rsid w:val="005D7F11"/>
    <w:rsid w:val="005E0AAA"/>
    <w:rsid w:val="005E0AAF"/>
    <w:rsid w:val="005E2A85"/>
    <w:rsid w:val="005E2C14"/>
    <w:rsid w:val="005E3CFD"/>
    <w:rsid w:val="005E4C2A"/>
    <w:rsid w:val="005E6037"/>
    <w:rsid w:val="005E65D0"/>
    <w:rsid w:val="005E6A1A"/>
    <w:rsid w:val="005F231C"/>
    <w:rsid w:val="005F2F76"/>
    <w:rsid w:val="005F5A75"/>
    <w:rsid w:val="00602FEC"/>
    <w:rsid w:val="00607D13"/>
    <w:rsid w:val="006119BF"/>
    <w:rsid w:val="00612EA0"/>
    <w:rsid w:val="006229D5"/>
    <w:rsid w:val="00622E85"/>
    <w:rsid w:val="006240FC"/>
    <w:rsid w:val="00624CF1"/>
    <w:rsid w:val="00633873"/>
    <w:rsid w:val="00637F3C"/>
    <w:rsid w:val="0065353F"/>
    <w:rsid w:val="00657478"/>
    <w:rsid w:val="006618BD"/>
    <w:rsid w:val="00665821"/>
    <w:rsid w:val="00667407"/>
    <w:rsid w:val="00673D80"/>
    <w:rsid w:val="00674D12"/>
    <w:rsid w:val="00675AA0"/>
    <w:rsid w:val="00677546"/>
    <w:rsid w:val="00681784"/>
    <w:rsid w:val="00682ABD"/>
    <w:rsid w:val="006833FF"/>
    <w:rsid w:val="006844C1"/>
    <w:rsid w:val="00685F3E"/>
    <w:rsid w:val="00686FE8"/>
    <w:rsid w:val="0068747B"/>
    <w:rsid w:val="00692323"/>
    <w:rsid w:val="0069310D"/>
    <w:rsid w:val="006958D1"/>
    <w:rsid w:val="006962E7"/>
    <w:rsid w:val="006A1146"/>
    <w:rsid w:val="006A222D"/>
    <w:rsid w:val="006A3638"/>
    <w:rsid w:val="006A63A9"/>
    <w:rsid w:val="006A7F07"/>
    <w:rsid w:val="006B0CA5"/>
    <w:rsid w:val="006B0E06"/>
    <w:rsid w:val="006B11D9"/>
    <w:rsid w:val="006B2CB6"/>
    <w:rsid w:val="006B4827"/>
    <w:rsid w:val="006B54EE"/>
    <w:rsid w:val="006B7325"/>
    <w:rsid w:val="006B77DD"/>
    <w:rsid w:val="006C22B2"/>
    <w:rsid w:val="006C540E"/>
    <w:rsid w:val="006C64D9"/>
    <w:rsid w:val="006C794D"/>
    <w:rsid w:val="006D0440"/>
    <w:rsid w:val="006D0612"/>
    <w:rsid w:val="006D60E7"/>
    <w:rsid w:val="006E6231"/>
    <w:rsid w:val="006E6589"/>
    <w:rsid w:val="006F126D"/>
    <w:rsid w:val="00702744"/>
    <w:rsid w:val="00704D13"/>
    <w:rsid w:val="00704D37"/>
    <w:rsid w:val="007064CD"/>
    <w:rsid w:val="00706EAC"/>
    <w:rsid w:val="007074FF"/>
    <w:rsid w:val="00707A00"/>
    <w:rsid w:val="007127E2"/>
    <w:rsid w:val="00720335"/>
    <w:rsid w:val="00721D1D"/>
    <w:rsid w:val="00723BF9"/>
    <w:rsid w:val="00725832"/>
    <w:rsid w:val="00725AF5"/>
    <w:rsid w:val="00731B25"/>
    <w:rsid w:val="00732298"/>
    <w:rsid w:val="007338CC"/>
    <w:rsid w:val="00736350"/>
    <w:rsid w:val="00737668"/>
    <w:rsid w:val="0074506B"/>
    <w:rsid w:val="0074630E"/>
    <w:rsid w:val="007474C0"/>
    <w:rsid w:val="007549F6"/>
    <w:rsid w:val="00762ABC"/>
    <w:rsid w:val="00763E6A"/>
    <w:rsid w:val="0076410E"/>
    <w:rsid w:val="0076459E"/>
    <w:rsid w:val="00764B0D"/>
    <w:rsid w:val="007650C9"/>
    <w:rsid w:val="00766169"/>
    <w:rsid w:val="00770746"/>
    <w:rsid w:val="00770AEF"/>
    <w:rsid w:val="00780D68"/>
    <w:rsid w:val="00783721"/>
    <w:rsid w:val="00784781"/>
    <w:rsid w:val="00784BB0"/>
    <w:rsid w:val="007906A3"/>
    <w:rsid w:val="007954FC"/>
    <w:rsid w:val="007A0BA1"/>
    <w:rsid w:val="007A1C48"/>
    <w:rsid w:val="007A25AE"/>
    <w:rsid w:val="007A73EE"/>
    <w:rsid w:val="007B1D91"/>
    <w:rsid w:val="007B26F4"/>
    <w:rsid w:val="007B3401"/>
    <w:rsid w:val="007C4E7F"/>
    <w:rsid w:val="007C67FA"/>
    <w:rsid w:val="007D2973"/>
    <w:rsid w:val="007D3E75"/>
    <w:rsid w:val="007F0A0C"/>
    <w:rsid w:val="007F363A"/>
    <w:rsid w:val="007F4DE4"/>
    <w:rsid w:val="007F75F1"/>
    <w:rsid w:val="008001F7"/>
    <w:rsid w:val="00800D7B"/>
    <w:rsid w:val="00801E1B"/>
    <w:rsid w:val="008027D1"/>
    <w:rsid w:val="008062A5"/>
    <w:rsid w:val="0080716E"/>
    <w:rsid w:val="00810C3A"/>
    <w:rsid w:val="00811163"/>
    <w:rsid w:val="00815E6E"/>
    <w:rsid w:val="008320F4"/>
    <w:rsid w:val="0083291D"/>
    <w:rsid w:val="00833FCC"/>
    <w:rsid w:val="008354A8"/>
    <w:rsid w:val="00837841"/>
    <w:rsid w:val="00840ABF"/>
    <w:rsid w:val="008473E5"/>
    <w:rsid w:val="00853DCD"/>
    <w:rsid w:val="00856375"/>
    <w:rsid w:val="008564A4"/>
    <w:rsid w:val="008573D0"/>
    <w:rsid w:val="00862562"/>
    <w:rsid w:val="00862DE2"/>
    <w:rsid w:val="008644D6"/>
    <w:rsid w:val="008650C7"/>
    <w:rsid w:val="00871098"/>
    <w:rsid w:val="00873162"/>
    <w:rsid w:val="00873418"/>
    <w:rsid w:val="00873ECE"/>
    <w:rsid w:val="00875450"/>
    <w:rsid w:val="00875D37"/>
    <w:rsid w:val="008770F8"/>
    <w:rsid w:val="008838EE"/>
    <w:rsid w:val="00890EEE"/>
    <w:rsid w:val="00891D8B"/>
    <w:rsid w:val="00892E5D"/>
    <w:rsid w:val="008930AA"/>
    <w:rsid w:val="008939C4"/>
    <w:rsid w:val="008978B0"/>
    <w:rsid w:val="008978EE"/>
    <w:rsid w:val="00897B8C"/>
    <w:rsid w:val="008A0D01"/>
    <w:rsid w:val="008A1C4F"/>
    <w:rsid w:val="008A3CC4"/>
    <w:rsid w:val="008A47E1"/>
    <w:rsid w:val="008A48F6"/>
    <w:rsid w:val="008A6AE9"/>
    <w:rsid w:val="008B13F0"/>
    <w:rsid w:val="008D72C1"/>
    <w:rsid w:val="008D794F"/>
    <w:rsid w:val="008E3298"/>
    <w:rsid w:val="008E41A4"/>
    <w:rsid w:val="008E44A1"/>
    <w:rsid w:val="008F1DC5"/>
    <w:rsid w:val="008F7A7C"/>
    <w:rsid w:val="0090399B"/>
    <w:rsid w:val="009126A9"/>
    <w:rsid w:val="00913883"/>
    <w:rsid w:val="00914703"/>
    <w:rsid w:val="00916C72"/>
    <w:rsid w:val="00917831"/>
    <w:rsid w:val="009209EA"/>
    <w:rsid w:val="009253CA"/>
    <w:rsid w:val="0092554F"/>
    <w:rsid w:val="0093141C"/>
    <w:rsid w:val="00942927"/>
    <w:rsid w:val="00944145"/>
    <w:rsid w:val="00945D5D"/>
    <w:rsid w:val="00947DA5"/>
    <w:rsid w:val="0095001B"/>
    <w:rsid w:val="009518AD"/>
    <w:rsid w:val="009600B6"/>
    <w:rsid w:val="00961E10"/>
    <w:rsid w:val="00963C52"/>
    <w:rsid w:val="0096435F"/>
    <w:rsid w:val="00965D72"/>
    <w:rsid w:val="009706F2"/>
    <w:rsid w:val="00970ADA"/>
    <w:rsid w:val="00973FED"/>
    <w:rsid w:val="009745A1"/>
    <w:rsid w:val="00975FB8"/>
    <w:rsid w:val="009827EE"/>
    <w:rsid w:val="00984FD4"/>
    <w:rsid w:val="009879C9"/>
    <w:rsid w:val="00993A60"/>
    <w:rsid w:val="00994495"/>
    <w:rsid w:val="00996902"/>
    <w:rsid w:val="009A062D"/>
    <w:rsid w:val="009A0AA6"/>
    <w:rsid w:val="009A3B33"/>
    <w:rsid w:val="009A4321"/>
    <w:rsid w:val="009A7A34"/>
    <w:rsid w:val="009B41FC"/>
    <w:rsid w:val="009B7811"/>
    <w:rsid w:val="009C00C3"/>
    <w:rsid w:val="009C3010"/>
    <w:rsid w:val="009C6D2F"/>
    <w:rsid w:val="009C6D76"/>
    <w:rsid w:val="009C772E"/>
    <w:rsid w:val="009D30BE"/>
    <w:rsid w:val="009D4F4C"/>
    <w:rsid w:val="009D591B"/>
    <w:rsid w:val="009D71DA"/>
    <w:rsid w:val="009E4356"/>
    <w:rsid w:val="009E5B32"/>
    <w:rsid w:val="009F07AF"/>
    <w:rsid w:val="009F1BF1"/>
    <w:rsid w:val="009F6FA8"/>
    <w:rsid w:val="00A0112F"/>
    <w:rsid w:val="00A02BA0"/>
    <w:rsid w:val="00A03519"/>
    <w:rsid w:val="00A03B26"/>
    <w:rsid w:val="00A1002A"/>
    <w:rsid w:val="00A10E3F"/>
    <w:rsid w:val="00A13C8B"/>
    <w:rsid w:val="00A16EBB"/>
    <w:rsid w:val="00A21D00"/>
    <w:rsid w:val="00A21FDD"/>
    <w:rsid w:val="00A27232"/>
    <w:rsid w:val="00A30CE5"/>
    <w:rsid w:val="00A31CCF"/>
    <w:rsid w:val="00A3207C"/>
    <w:rsid w:val="00A337CB"/>
    <w:rsid w:val="00A35DAB"/>
    <w:rsid w:val="00A360F1"/>
    <w:rsid w:val="00A4251A"/>
    <w:rsid w:val="00A4612B"/>
    <w:rsid w:val="00A47559"/>
    <w:rsid w:val="00A53243"/>
    <w:rsid w:val="00A63084"/>
    <w:rsid w:val="00A6360B"/>
    <w:rsid w:val="00A64659"/>
    <w:rsid w:val="00A65B5F"/>
    <w:rsid w:val="00A65DAA"/>
    <w:rsid w:val="00A70134"/>
    <w:rsid w:val="00A70E22"/>
    <w:rsid w:val="00A74CF1"/>
    <w:rsid w:val="00A75739"/>
    <w:rsid w:val="00A8079E"/>
    <w:rsid w:val="00A809E7"/>
    <w:rsid w:val="00A811B4"/>
    <w:rsid w:val="00A81EA9"/>
    <w:rsid w:val="00A82014"/>
    <w:rsid w:val="00A8275A"/>
    <w:rsid w:val="00A83690"/>
    <w:rsid w:val="00A84AA3"/>
    <w:rsid w:val="00A861AE"/>
    <w:rsid w:val="00A8736E"/>
    <w:rsid w:val="00A922F4"/>
    <w:rsid w:val="00A93D12"/>
    <w:rsid w:val="00A93D14"/>
    <w:rsid w:val="00AA4920"/>
    <w:rsid w:val="00AA667A"/>
    <w:rsid w:val="00AB6CFC"/>
    <w:rsid w:val="00AC138B"/>
    <w:rsid w:val="00AC2B3F"/>
    <w:rsid w:val="00AC317D"/>
    <w:rsid w:val="00AC4ED2"/>
    <w:rsid w:val="00AC5BBD"/>
    <w:rsid w:val="00AC5ED1"/>
    <w:rsid w:val="00AD21BF"/>
    <w:rsid w:val="00AD2869"/>
    <w:rsid w:val="00AD2B2E"/>
    <w:rsid w:val="00AD417C"/>
    <w:rsid w:val="00AD6223"/>
    <w:rsid w:val="00AD7EDE"/>
    <w:rsid w:val="00AE0951"/>
    <w:rsid w:val="00AE0C64"/>
    <w:rsid w:val="00AE2154"/>
    <w:rsid w:val="00AE2954"/>
    <w:rsid w:val="00AE72D3"/>
    <w:rsid w:val="00AF08BF"/>
    <w:rsid w:val="00AF27EC"/>
    <w:rsid w:val="00AF4D97"/>
    <w:rsid w:val="00AF6BA0"/>
    <w:rsid w:val="00B042B9"/>
    <w:rsid w:val="00B06579"/>
    <w:rsid w:val="00B129B1"/>
    <w:rsid w:val="00B14E8B"/>
    <w:rsid w:val="00B239C6"/>
    <w:rsid w:val="00B30E44"/>
    <w:rsid w:val="00B30E8D"/>
    <w:rsid w:val="00B31A58"/>
    <w:rsid w:val="00B3393F"/>
    <w:rsid w:val="00B418F7"/>
    <w:rsid w:val="00B466AE"/>
    <w:rsid w:val="00B51553"/>
    <w:rsid w:val="00B615DC"/>
    <w:rsid w:val="00B63539"/>
    <w:rsid w:val="00B65F6D"/>
    <w:rsid w:val="00B67C40"/>
    <w:rsid w:val="00B70D5A"/>
    <w:rsid w:val="00B74119"/>
    <w:rsid w:val="00B74755"/>
    <w:rsid w:val="00B81B7B"/>
    <w:rsid w:val="00B82846"/>
    <w:rsid w:val="00B83186"/>
    <w:rsid w:val="00B853E1"/>
    <w:rsid w:val="00B90006"/>
    <w:rsid w:val="00B90B8C"/>
    <w:rsid w:val="00B9763E"/>
    <w:rsid w:val="00BA1F23"/>
    <w:rsid w:val="00BA222C"/>
    <w:rsid w:val="00BA2C06"/>
    <w:rsid w:val="00BA4988"/>
    <w:rsid w:val="00BA5F9C"/>
    <w:rsid w:val="00BA661D"/>
    <w:rsid w:val="00BB047C"/>
    <w:rsid w:val="00BB0C3B"/>
    <w:rsid w:val="00BB5B28"/>
    <w:rsid w:val="00BB617B"/>
    <w:rsid w:val="00BB7818"/>
    <w:rsid w:val="00BC25EE"/>
    <w:rsid w:val="00BC283F"/>
    <w:rsid w:val="00BC6587"/>
    <w:rsid w:val="00BD0210"/>
    <w:rsid w:val="00BD0DDF"/>
    <w:rsid w:val="00BD171F"/>
    <w:rsid w:val="00BD6A5E"/>
    <w:rsid w:val="00BD78F1"/>
    <w:rsid w:val="00BE7463"/>
    <w:rsid w:val="00BF01BF"/>
    <w:rsid w:val="00BF0BE2"/>
    <w:rsid w:val="00BF24F7"/>
    <w:rsid w:val="00BF6404"/>
    <w:rsid w:val="00C00421"/>
    <w:rsid w:val="00C0076B"/>
    <w:rsid w:val="00C03289"/>
    <w:rsid w:val="00C1104C"/>
    <w:rsid w:val="00C13B65"/>
    <w:rsid w:val="00C20FFF"/>
    <w:rsid w:val="00C22651"/>
    <w:rsid w:val="00C23249"/>
    <w:rsid w:val="00C27C58"/>
    <w:rsid w:val="00C32DA6"/>
    <w:rsid w:val="00C368DD"/>
    <w:rsid w:val="00C37F03"/>
    <w:rsid w:val="00C413D1"/>
    <w:rsid w:val="00C43187"/>
    <w:rsid w:val="00C450C7"/>
    <w:rsid w:val="00C4584E"/>
    <w:rsid w:val="00C4620A"/>
    <w:rsid w:val="00C51414"/>
    <w:rsid w:val="00C530BF"/>
    <w:rsid w:val="00C535CE"/>
    <w:rsid w:val="00C537C1"/>
    <w:rsid w:val="00C572E2"/>
    <w:rsid w:val="00C61FEE"/>
    <w:rsid w:val="00C6228A"/>
    <w:rsid w:val="00C64ABD"/>
    <w:rsid w:val="00C65B33"/>
    <w:rsid w:val="00C65D1D"/>
    <w:rsid w:val="00C663DA"/>
    <w:rsid w:val="00C70046"/>
    <w:rsid w:val="00C77037"/>
    <w:rsid w:val="00C80653"/>
    <w:rsid w:val="00C80980"/>
    <w:rsid w:val="00C91198"/>
    <w:rsid w:val="00C93519"/>
    <w:rsid w:val="00C941AC"/>
    <w:rsid w:val="00C95B59"/>
    <w:rsid w:val="00CA0600"/>
    <w:rsid w:val="00CA4961"/>
    <w:rsid w:val="00CA709A"/>
    <w:rsid w:val="00CB157E"/>
    <w:rsid w:val="00CB2D56"/>
    <w:rsid w:val="00CB7855"/>
    <w:rsid w:val="00CC29F9"/>
    <w:rsid w:val="00CC6F11"/>
    <w:rsid w:val="00CC7AD5"/>
    <w:rsid w:val="00CD2E92"/>
    <w:rsid w:val="00CD39AF"/>
    <w:rsid w:val="00CD6815"/>
    <w:rsid w:val="00CD7CF9"/>
    <w:rsid w:val="00CE1370"/>
    <w:rsid w:val="00CE240D"/>
    <w:rsid w:val="00CE3228"/>
    <w:rsid w:val="00CE6F3F"/>
    <w:rsid w:val="00CF0048"/>
    <w:rsid w:val="00CF272F"/>
    <w:rsid w:val="00CF3EA6"/>
    <w:rsid w:val="00D0122D"/>
    <w:rsid w:val="00D114C7"/>
    <w:rsid w:val="00D115F0"/>
    <w:rsid w:val="00D15574"/>
    <w:rsid w:val="00D21FBE"/>
    <w:rsid w:val="00D2323A"/>
    <w:rsid w:val="00D2558E"/>
    <w:rsid w:val="00D25B35"/>
    <w:rsid w:val="00D3467B"/>
    <w:rsid w:val="00D34FAE"/>
    <w:rsid w:val="00D41D0E"/>
    <w:rsid w:val="00D4240A"/>
    <w:rsid w:val="00D431A7"/>
    <w:rsid w:val="00D431EF"/>
    <w:rsid w:val="00D4387D"/>
    <w:rsid w:val="00D440C5"/>
    <w:rsid w:val="00D4490A"/>
    <w:rsid w:val="00D51CBC"/>
    <w:rsid w:val="00D52DC0"/>
    <w:rsid w:val="00D53535"/>
    <w:rsid w:val="00D5730E"/>
    <w:rsid w:val="00D605A9"/>
    <w:rsid w:val="00D606D5"/>
    <w:rsid w:val="00D60FD7"/>
    <w:rsid w:val="00D6259A"/>
    <w:rsid w:val="00D63370"/>
    <w:rsid w:val="00D65A78"/>
    <w:rsid w:val="00D65E68"/>
    <w:rsid w:val="00D672DE"/>
    <w:rsid w:val="00D7071A"/>
    <w:rsid w:val="00D736FF"/>
    <w:rsid w:val="00D809A9"/>
    <w:rsid w:val="00D94D94"/>
    <w:rsid w:val="00D94EFA"/>
    <w:rsid w:val="00D95A19"/>
    <w:rsid w:val="00DA05C2"/>
    <w:rsid w:val="00DA73EA"/>
    <w:rsid w:val="00DA7A1F"/>
    <w:rsid w:val="00DB0535"/>
    <w:rsid w:val="00DB2226"/>
    <w:rsid w:val="00DB62D6"/>
    <w:rsid w:val="00DB702F"/>
    <w:rsid w:val="00DB732C"/>
    <w:rsid w:val="00DB744B"/>
    <w:rsid w:val="00DB7AA1"/>
    <w:rsid w:val="00DC021A"/>
    <w:rsid w:val="00DC2766"/>
    <w:rsid w:val="00DC2DBA"/>
    <w:rsid w:val="00DC42FB"/>
    <w:rsid w:val="00DC4CA9"/>
    <w:rsid w:val="00DC566E"/>
    <w:rsid w:val="00DC72DD"/>
    <w:rsid w:val="00DD1ECA"/>
    <w:rsid w:val="00DD1FCD"/>
    <w:rsid w:val="00DD21AB"/>
    <w:rsid w:val="00DD5963"/>
    <w:rsid w:val="00DD694D"/>
    <w:rsid w:val="00DE4C03"/>
    <w:rsid w:val="00DE6EB5"/>
    <w:rsid w:val="00DE79DC"/>
    <w:rsid w:val="00DF101E"/>
    <w:rsid w:val="00DF24A1"/>
    <w:rsid w:val="00DF7706"/>
    <w:rsid w:val="00E011F0"/>
    <w:rsid w:val="00E023B8"/>
    <w:rsid w:val="00E03D37"/>
    <w:rsid w:val="00E13A39"/>
    <w:rsid w:val="00E1604C"/>
    <w:rsid w:val="00E20443"/>
    <w:rsid w:val="00E2069B"/>
    <w:rsid w:val="00E21ED6"/>
    <w:rsid w:val="00E244E5"/>
    <w:rsid w:val="00E25126"/>
    <w:rsid w:val="00E25A6E"/>
    <w:rsid w:val="00E2665A"/>
    <w:rsid w:val="00E3236D"/>
    <w:rsid w:val="00E345DD"/>
    <w:rsid w:val="00E36530"/>
    <w:rsid w:val="00E425CF"/>
    <w:rsid w:val="00E45535"/>
    <w:rsid w:val="00E45651"/>
    <w:rsid w:val="00E52B43"/>
    <w:rsid w:val="00E60200"/>
    <w:rsid w:val="00E65DFA"/>
    <w:rsid w:val="00E822AE"/>
    <w:rsid w:val="00E84EC8"/>
    <w:rsid w:val="00E853FA"/>
    <w:rsid w:val="00E96321"/>
    <w:rsid w:val="00EA50AE"/>
    <w:rsid w:val="00EA54A3"/>
    <w:rsid w:val="00EA55A7"/>
    <w:rsid w:val="00EA56A9"/>
    <w:rsid w:val="00EB1967"/>
    <w:rsid w:val="00EB3285"/>
    <w:rsid w:val="00EB3422"/>
    <w:rsid w:val="00EB34AF"/>
    <w:rsid w:val="00EC404F"/>
    <w:rsid w:val="00EC4238"/>
    <w:rsid w:val="00EC66F6"/>
    <w:rsid w:val="00ED00CD"/>
    <w:rsid w:val="00ED1E2E"/>
    <w:rsid w:val="00ED3019"/>
    <w:rsid w:val="00ED71C3"/>
    <w:rsid w:val="00ED7C57"/>
    <w:rsid w:val="00EE11BE"/>
    <w:rsid w:val="00EE153A"/>
    <w:rsid w:val="00EE292A"/>
    <w:rsid w:val="00EE29FF"/>
    <w:rsid w:val="00EE2B07"/>
    <w:rsid w:val="00EE2D97"/>
    <w:rsid w:val="00EE3B46"/>
    <w:rsid w:val="00EE7ADE"/>
    <w:rsid w:val="00EF33FD"/>
    <w:rsid w:val="00EF79BE"/>
    <w:rsid w:val="00F0040C"/>
    <w:rsid w:val="00F02A17"/>
    <w:rsid w:val="00F04144"/>
    <w:rsid w:val="00F0423B"/>
    <w:rsid w:val="00F1052D"/>
    <w:rsid w:val="00F10A27"/>
    <w:rsid w:val="00F10D30"/>
    <w:rsid w:val="00F1234F"/>
    <w:rsid w:val="00F209C3"/>
    <w:rsid w:val="00F21282"/>
    <w:rsid w:val="00F25EAF"/>
    <w:rsid w:val="00F3080F"/>
    <w:rsid w:val="00F3559F"/>
    <w:rsid w:val="00F355F2"/>
    <w:rsid w:val="00F36799"/>
    <w:rsid w:val="00F3679A"/>
    <w:rsid w:val="00F42FED"/>
    <w:rsid w:val="00F4359C"/>
    <w:rsid w:val="00F536EA"/>
    <w:rsid w:val="00F557D2"/>
    <w:rsid w:val="00F61A6A"/>
    <w:rsid w:val="00F6317B"/>
    <w:rsid w:val="00F64397"/>
    <w:rsid w:val="00F664B8"/>
    <w:rsid w:val="00F70C00"/>
    <w:rsid w:val="00F7107A"/>
    <w:rsid w:val="00F711A9"/>
    <w:rsid w:val="00F7213E"/>
    <w:rsid w:val="00F7218B"/>
    <w:rsid w:val="00F731ED"/>
    <w:rsid w:val="00F760B0"/>
    <w:rsid w:val="00F76405"/>
    <w:rsid w:val="00F84121"/>
    <w:rsid w:val="00FA1AC2"/>
    <w:rsid w:val="00FA3E53"/>
    <w:rsid w:val="00FA7F69"/>
    <w:rsid w:val="00FB1AC1"/>
    <w:rsid w:val="00FB397B"/>
    <w:rsid w:val="00FB5F8F"/>
    <w:rsid w:val="00FB7F6A"/>
    <w:rsid w:val="00FC0B72"/>
    <w:rsid w:val="00FC2177"/>
    <w:rsid w:val="00FC27DD"/>
    <w:rsid w:val="00FC333D"/>
    <w:rsid w:val="00FC3D2A"/>
    <w:rsid w:val="00FC5D59"/>
    <w:rsid w:val="00FC64B3"/>
    <w:rsid w:val="00FC752C"/>
    <w:rsid w:val="00FD2EB2"/>
    <w:rsid w:val="00FD5A1B"/>
    <w:rsid w:val="00FE1F89"/>
    <w:rsid w:val="00FE37C2"/>
    <w:rsid w:val="00FF1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3BC9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it-IT" w:eastAsia="en-GB"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header" w:uiPriority="2"/>
    <w:lsdException w:name="footer" w:uiPriority="99"/>
    <w:lsdException w:name="index heading" w:semiHidden="1"/>
    <w:lsdException w:name="caption" w:uiPriority="2"/>
    <w:lsdException w:name="table of figures" w:semiHidden="1"/>
    <w:lsdException w:name="envelope address" w:semiHidden="1"/>
    <w:lsdException w:name="envelope return" w:semiHidden="1"/>
    <w:lsdException w:name="footnote reference" w:semiHidden="1" w:uiPriority="99"/>
    <w:lsdException w:name="annotation reference" w:semiHidden="1" w:uiPriority="99"/>
    <w:lsdException w:name="line number" w:semiHidden="1"/>
    <w:lsdException w:name="page number" w:semiHidden="1"/>
    <w:lsdException w:name="endnote reference" w:semiHidden="1"/>
    <w:lsdException w:name="endnote text" w:semiHidden="1"/>
    <w:lsdException w:name="table of authorities" w:semiHidden="1"/>
    <w:lsdException w:name="macro" w:semiHidden="1" w:uiPriority="1" w:qFormat="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lsdException w:name="No List" w:semiHidden="1" w:uiPriority="99"/>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2"/>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atentStyles>
  <w:style w:type="paragraph" w:default="1" w:styleId="Normal">
    <w:name w:val="Normal"/>
    <w:uiPriority w:val="1"/>
    <w:qFormat/>
    <w:rsid w:val="005541D0"/>
    <w:pPr>
      <w:spacing w:after="120" w:line="264" w:lineRule="auto"/>
      <w:jc w:val="both"/>
    </w:pPr>
    <w:rPr>
      <w:sz w:val="22"/>
    </w:rPr>
  </w:style>
  <w:style w:type="paragraph" w:styleId="Heading1">
    <w:name w:val="heading 1"/>
    <w:basedOn w:val="Normal"/>
    <w:next w:val="Normal"/>
    <w:autoRedefine/>
    <w:uiPriority w:val="1"/>
    <w:qFormat/>
    <w:rsid w:val="00DA05C2"/>
    <w:pPr>
      <w:keepNext/>
      <w:numPr>
        <w:numId w:val="8"/>
      </w:numPr>
      <w:tabs>
        <w:tab w:val="left" w:pos="510"/>
      </w:tabs>
      <w:spacing w:before="480"/>
      <w:outlineLvl w:val="0"/>
    </w:pPr>
    <w:rPr>
      <w:b/>
      <w:smallCaps/>
      <w:sz w:val="26"/>
    </w:rPr>
  </w:style>
  <w:style w:type="paragraph" w:styleId="Heading2">
    <w:name w:val="heading 2"/>
    <w:basedOn w:val="Normal"/>
    <w:next w:val="Normal"/>
    <w:autoRedefine/>
    <w:uiPriority w:val="1"/>
    <w:qFormat/>
    <w:rsid w:val="0014591F"/>
    <w:pPr>
      <w:keepNext/>
      <w:numPr>
        <w:ilvl w:val="1"/>
        <w:numId w:val="8"/>
      </w:numPr>
      <w:tabs>
        <w:tab w:val="left" w:pos="737"/>
      </w:tabs>
      <w:spacing w:before="420"/>
      <w:outlineLvl w:val="1"/>
    </w:pPr>
    <w:rPr>
      <w:b/>
      <w:sz w:val="26"/>
    </w:rPr>
  </w:style>
  <w:style w:type="paragraph" w:styleId="Heading3">
    <w:name w:val="heading 3"/>
    <w:basedOn w:val="Normal"/>
    <w:next w:val="Normal"/>
    <w:autoRedefine/>
    <w:uiPriority w:val="1"/>
    <w:qFormat/>
    <w:rsid w:val="004E3E94"/>
    <w:pPr>
      <w:keepNext/>
      <w:numPr>
        <w:ilvl w:val="2"/>
        <w:numId w:val="8"/>
      </w:numPr>
      <w:tabs>
        <w:tab w:val="left" w:pos="935"/>
      </w:tabs>
      <w:spacing w:before="360"/>
      <w:outlineLvl w:val="2"/>
    </w:pPr>
    <w:rPr>
      <w:b/>
      <w:sz w:val="24"/>
    </w:rPr>
  </w:style>
  <w:style w:type="paragraph" w:styleId="Heading4">
    <w:name w:val="heading 4"/>
    <w:basedOn w:val="Normal"/>
    <w:next w:val="Normal"/>
    <w:uiPriority w:val="1"/>
    <w:qFormat/>
    <w:pPr>
      <w:keepNext/>
      <w:numPr>
        <w:ilvl w:val="3"/>
        <w:numId w:val="8"/>
      </w:numPr>
      <w:tabs>
        <w:tab w:val="left" w:pos="1049"/>
      </w:tabs>
      <w:spacing w:before="360"/>
      <w:outlineLvl w:val="3"/>
    </w:pPr>
    <w:rPr>
      <w:b/>
    </w:rPr>
  </w:style>
  <w:style w:type="paragraph" w:styleId="Heading5">
    <w:name w:val="heading 5"/>
    <w:basedOn w:val="Normal"/>
    <w:next w:val="Normal"/>
    <w:semiHidden/>
    <w:pPr>
      <w:keepNext/>
      <w:numPr>
        <w:ilvl w:val="4"/>
        <w:numId w:val="8"/>
      </w:numPr>
      <w:outlineLvl w:val="4"/>
    </w:pPr>
  </w:style>
  <w:style w:type="paragraph" w:styleId="Heading6">
    <w:name w:val="heading 6"/>
    <w:basedOn w:val="Normal"/>
    <w:next w:val="Normal"/>
    <w:semiHidden/>
    <w:pPr>
      <w:keepNext/>
      <w:numPr>
        <w:ilvl w:val="5"/>
        <w:numId w:val="8"/>
      </w:numPr>
      <w:outlineLvl w:val="5"/>
    </w:pPr>
  </w:style>
  <w:style w:type="paragraph" w:styleId="Heading7">
    <w:name w:val="heading 7"/>
    <w:basedOn w:val="Normal"/>
    <w:next w:val="Normal"/>
    <w:semiHidden/>
    <w:pPr>
      <w:keepNext/>
      <w:numPr>
        <w:ilvl w:val="6"/>
        <w:numId w:val="8"/>
      </w:numPr>
      <w:outlineLvl w:val="6"/>
    </w:pPr>
  </w:style>
  <w:style w:type="paragraph" w:styleId="Heading8">
    <w:name w:val="heading 8"/>
    <w:basedOn w:val="Normal"/>
    <w:next w:val="Normal"/>
    <w:semiHidden/>
    <w:pPr>
      <w:keepNext/>
      <w:numPr>
        <w:ilvl w:val="7"/>
        <w:numId w:val="8"/>
      </w:numPr>
      <w:outlineLvl w:val="7"/>
    </w:pPr>
  </w:style>
  <w:style w:type="paragraph" w:styleId="Heading9">
    <w:name w:val="heading 9"/>
    <w:basedOn w:val="Normal"/>
    <w:next w:val="Normal"/>
    <w:semiHidden/>
    <w:pPr>
      <w:keepNext/>
      <w:numPr>
        <w:ilvl w:val="8"/>
        <w:numId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References">
    <w:name w:val="YReferences"/>
    <w:basedOn w:val="Normal"/>
    <w:pPr>
      <w:spacing w:after="480"/>
      <w:ind w:left="1531" w:hanging="1531"/>
      <w:contextualSpacing/>
    </w:pPr>
  </w:style>
  <w:style w:type="paragraph" w:customStyle="1" w:styleId="Enclosures">
    <w:name w:val="Enclosures"/>
    <w:basedOn w:val="Normal"/>
    <w:pPr>
      <w:keepNext/>
      <w:keepLines/>
      <w:tabs>
        <w:tab w:val="left" w:pos="5641"/>
      </w:tabs>
      <w:spacing w:before="480" w:after="0"/>
      <w:ind w:left="1794" w:hanging="1794"/>
      <w:contextualSpacing/>
    </w:pPr>
  </w:style>
  <w:style w:type="character" w:customStyle="1" w:styleId="MacroTextChar">
    <w:name w:val="Macro Text Char"/>
    <w:basedOn w:val="DefaultParagraphFont"/>
    <w:uiPriority w:val="90"/>
    <w:qFormat/>
    <w:rPr>
      <w:rFonts w:ascii="Courier New" w:hAnsi="Courier New"/>
      <w:sz w:val="20"/>
    </w:rPr>
  </w:style>
  <w:style w:type="character" w:customStyle="1" w:styleId="Marker">
    <w:name w:val="Marker"/>
    <w:basedOn w:val="DefaultParagraphFont"/>
    <w:rsid w:val="00AC317D"/>
    <w:rPr>
      <w:color w:val="0000FF"/>
      <w:shd w:val="clear" w:color="auto" w:fill="auto"/>
    </w:rPr>
  </w:style>
  <w:style w:type="paragraph" w:customStyle="1" w:styleId="Pagedecouverture">
    <w:name w:val="Page de couverture"/>
    <w:basedOn w:val="Normal"/>
    <w:next w:val="Normal"/>
    <w:rsid w:val="00AC317D"/>
    <w:pPr>
      <w:spacing w:after="0" w:line="240" w:lineRule="auto"/>
    </w:pPr>
    <w:rPr>
      <w:rFonts w:eastAsiaTheme="minorHAnsi"/>
      <w:sz w:val="24"/>
      <w:szCs w:val="22"/>
    </w:rPr>
  </w:style>
  <w:style w:type="paragraph" w:customStyle="1" w:styleId="Typedudocument">
    <w:name w:val="Type du document"/>
    <w:basedOn w:val="Normal"/>
    <w:next w:val="Normal"/>
    <w:link w:val="TypedudocumentChar"/>
    <w:rsid w:val="00AC317D"/>
    <w:pPr>
      <w:spacing w:before="360" w:after="0" w:line="240" w:lineRule="auto"/>
      <w:jc w:val="center"/>
    </w:pPr>
    <w:rPr>
      <w:rFonts w:eastAsiaTheme="minorHAnsi"/>
      <w:b/>
      <w:sz w:val="24"/>
      <w:szCs w:val="22"/>
    </w:rPr>
  </w:style>
  <w:style w:type="paragraph" w:customStyle="1" w:styleId="Titreobjet">
    <w:name w:val="Titre objet"/>
    <w:basedOn w:val="Normal"/>
    <w:next w:val="Normal"/>
    <w:rsid w:val="00AC317D"/>
    <w:pPr>
      <w:spacing w:before="360" w:after="360" w:line="240" w:lineRule="auto"/>
      <w:jc w:val="center"/>
    </w:pPr>
    <w:rPr>
      <w:rFonts w:eastAsiaTheme="minorHAnsi"/>
      <w:b/>
      <w:sz w:val="24"/>
      <w:szCs w:val="22"/>
    </w:rPr>
  </w:style>
  <w:style w:type="paragraph" w:customStyle="1" w:styleId="FooterCoverPage">
    <w:name w:val="Footer Cover Page"/>
    <w:basedOn w:val="Normal"/>
    <w:link w:val="FooterCoverPageChar"/>
    <w:rsid w:val="00AC317D"/>
    <w:pPr>
      <w:tabs>
        <w:tab w:val="center" w:pos="4535"/>
        <w:tab w:val="right" w:pos="9071"/>
        <w:tab w:val="right" w:pos="9921"/>
      </w:tabs>
      <w:spacing w:before="360" w:after="0" w:line="240" w:lineRule="auto"/>
      <w:ind w:left="-850" w:right="-850"/>
      <w:jc w:val="left"/>
    </w:pPr>
    <w:rPr>
      <w:sz w:val="24"/>
    </w:rPr>
  </w:style>
  <w:style w:type="character" w:customStyle="1" w:styleId="TypedudocumentChar">
    <w:name w:val="Type du document Char"/>
    <w:basedOn w:val="DefaultParagraphFont"/>
    <w:link w:val="Typedudocument"/>
    <w:rsid w:val="00AC317D"/>
    <w:rPr>
      <w:rFonts w:eastAsiaTheme="minorHAnsi"/>
      <w:b/>
      <w:szCs w:val="22"/>
    </w:rPr>
  </w:style>
  <w:style w:type="character" w:customStyle="1" w:styleId="FooterCoverPageChar">
    <w:name w:val="Footer Cover Page Char"/>
    <w:basedOn w:val="TypedudocumentChar"/>
    <w:link w:val="FooterCoverPage"/>
    <w:rsid w:val="00AC317D"/>
    <w:rPr>
      <w:rFonts w:eastAsiaTheme="minorHAnsi"/>
      <w:b w:val="0"/>
      <w:szCs w:val="22"/>
    </w:rPr>
  </w:style>
  <w:style w:type="paragraph" w:customStyle="1" w:styleId="FooterSensitivity">
    <w:name w:val="Footer Sensitivity"/>
    <w:basedOn w:val="Normal"/>
    <w:link w:val="FooterSensitivityChar"/>
    <w:rsid w:val="00AC317D"/>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TypedudocumentChar"/>
    <w:link w:val="FooterSensitivity"/>
    <w:rsid w:val="00AC317D"/>
    <w:rPr>
      <w:rFonts w:eastAsiaTheme="minorHAnsi"/>
      <w:b/>
      <w:sz w:val="32"/>
      <w:szCs w:val="22"/>
    </w:rPr>
  </w:style>
  <w:style w:type="paragraph" w:customStyle="1" w:styleId="HeaderCoverPage">
    <w:name w:val="Header Cover Page"/>
    <w:basedOn w:val="Normal"/>
    <w:link w:val="HeaderCoverPageChar"/>
    <w:rsid w:val="00AC317D"/>
    <w:pPr>
      <w:tabs>
        <w:tab w:val="center" w:pos="4535"/>
        <w:tab w:val="right" w:pos="9071"/>
      </w:tabs>
      <w:spacing w:line="240" w:lineRule="auto"/>
    </w:pPr>
    <w:rPr>
      <w:sz w:val="24"/>
    </w:rPr>
  </w:style>
  <w:style w:type="character" w:customStyle="1" w:styleId="HeaderCoverPageChar">
    <w:name w:val="Header Cover Page Char"/>
    <w:basedOn w:val="TypedudocumentChar"/>
    <w:link w:val="HeaderCoverPage"/>
    <w:rsid w:val="00AC317D"/>
    <w:rPr>
      <w:rFonts w:eastAsiaTheme="minorHAnsi"/>
      <w:b w:val="0"/>
      <w:szCs w:val="22"/>
    </w:rPr>
  </w:style>
  <w:style w:type="paragraph" w:customStyle="1" w:styleId="HeaderSensitivity">
    <w:name w:val="Header Sensitivity"/>
    <w:basedOn w:val="Normal"/>
    <w:link w:val="HeaderSensitivityChar"/>
    <w:rsid w:val="00AC317D"/>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basedOn w:val="TypedudocumentChar"/>
    <w:link w:val="HeaderSensitivity"/>
    <w:rsid w:val="00AC317D"/>
    <w:rPr>
      <w:rFonts w:eastAsiaTheme="minorHAnsi"/>
      <w:b/>
      <w:sz w:val="32"/>
      <w:szCs w:val="22"/>
    </w:rPr>
  </w:style>
  <w:style w:type="paragraph" w:customStyle="1" w:styleId="HeaderSensitivityRight">
    <w:name w:val="Header Sensitivity Right"/>
    <w:basedOn w:val="Normal"/>
    <w:link w:val="HeaderSensitivityRightChar"/>
    <w:rsid w:val="004B239B"/>
    <w:pPr>
      <w:spacing w:line="240" w:lineRule="auto"/>
      <w:jc w:val="right"/>
    </w:pPr>
    <w:rPr>
      <w:sz w:val="28"/>
    </w:rPr>
  </w:style>
  <w:style w:type="character" w:customStyle="1" w:styleId="HeaderSensitivityRightChar">
    <w:name w:val="Header Sensitivity Right Char"/>
    <w:basedOn w:val="TypedudocumentChar"/>
    <w:link w:val="HeaderSensitivityRight"/>
    <w:rsid w:val="00AC317D"/>
    <w:rPr>
      <w:rFonts w:eastAsiaTheme="minorHAnsi"/>
      <w:b w:val="0"/>
      <w:sz w:val="28"/>
      <w:szCs w:val="22"/>
    </w:rPr>
  </w:style>
  <w:style w:type="character" w:styleId="FootnoteReference">
    <w:name w:val="footnote reference"/>
    <w:basedOn w:val="DefaultParagraphFont"/>
    <w:uiPriority w:val="99"/>
    <w:semiHidden/>
    <w:locked/>
    <w:rsid w:val="00007659"/>
    <w:rPr>
      <w:vertAlign w:val="superscript"/>
    </w:rPr>
  </w:style>
  <w:style w:type="character" w:styleId="Hyperlink">
    <w:name w:val="Hyperlink"/>
    <w:basedOn w:val="DefaultParagraphFont"/>
    <w:uiPriority w:val="99"/>
    <w:unhideWhenUsed/>
    <w:locked/>
    <w:rsid w:val="00CB7855"/>
    <w:rPr>
      <w:color w:val="0563C1" w:themeColor="hyperlink"/>
      <w:u w:val="single"/>
    </w:rPr>
  </w:style>
  <w:style w:type="paragraph" w:styleId="ListParagraph">
    <w:name w:val="List Paragraph"/>
    <w:basedOn w:val="Normal"/>
    <w:semiHidden/>
    <w:locked/>
    <w:rsid w:val="006958D1"/>
    <w:pPr>
      <w:ind w:left="720"/>
      <w:contextualSpacing/>
    </w:pPr>
  </w:style>
  <w:style w:type="character" w:styleId="CommentReference">
    <w:name w:val="annotation reference"/>
    <w:basedOn w:val="DefaultParagraphFont"/>
    <w:uiPriority w:val="99"/>
    <w:semiHidden/>
    <w:locked/>
    <w:rsid w:val="00764B0D"/>
    <w:rPr>
      <w:sz w:val="16"/>
      <w:szCs w:val="16"/>
    </w:rPr>
  </w:style>
  <w:style w:type="paragraph" w:styleId="CommentText">
    <w:name w:val="annotation text"/>
    <w:basedOn w:val="Normal"/>
    <w:link w:val="CommentTextChar"/>
    <w:uiPriority w:val="99"/>
    <w:semiHidden/>
    <w:locked/>
    <w:rsid w:val="00764B0D"/>
    <w:pPr>
      <w:spacing w:line="240" w:lineRule="auto"/>
    </w:pPr>
    <w:rPr>
      <w:sz w:val="20"/>
    </w:rPr>
  </w:style>
  <w:style w:type="character" w:customStyle="1" w:styleId="CommentTextChar">
    <w:name w:val="Comment Text Char"/>
    <w:basedOn w:val="DefaultParagraphFont"/>
    <w:link w:val="CommentText"/>
    <w:uiPriority w:val="99"/>
    <w:semiHidden/>
    <w:rsid w:val="00764B0D"/>
    <w:rPr>
      <w:sz w:val="20"/>
    </w:rPr>
  </w:style>
  <w:style w:type="paragraph" w:styleId="CommentSubject">
    <w:name w:val="annotation subject"/>
    <w:basedOn w:val="CommentText"/>
    <w:next w:val="CommentText"/>
    <w:link w:val="CommentSubjectChar"/>
    <w:semiHidden/>
    <w:locked/>
    <w:rsid w:val="00764B0D"/>
    <w:rPr>
      <w:b/>
      <w:bCs/>
    </w:rPr>
  </w:style>
  <w:style w:type="character" w:customStyle="1" w:styleId="CommentSubjectChar">
    <w:name w:val="Comment Subject Char"/>
    <w:basedOn w:val="CommentTextChar"/>
    <w:link w:val="CommentSubject"/>
    <w:semiHidden/>
    <w:rsid w:val="00764B0D"/>
    <w:rPr>
      <w:b/>
      <w:bCs/>
      <w:sz w:val="20"/>
    </w:rPr>
  </w:style>
  <w:style w:type="paragraph" w:styleId="BalloonText">
    <w:name w:val="Balloon Text"/>
    <w:basedOn w:val="Normal"/>
    <w:link w:val="BalloonTextChar"/>
    <w:semiHidden/>
    <w:locked/>
    <w:rsid w:val="00764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64B0D"/>
    <w:rPr>
      <w:rFonts w:ascii="Segoe UI" w:hAnsi="Segoe UI" w:cs="Segoe UI"/>
      <w:sz w:val="18"/>
      <w:szCs w:val="18"/>
    </w:rPr>
  </w:style>
  <w:style w:type="paragraph" w:customStyle="1" w:styleId="paragraph">
    <w:name w:val="paragraph"/>
    <w:basedOn w:val="Normal"/>
    <w:rsid w:val="00325F33"/>
    <w:pPr>
      <w:spacing w:before="100" w:beforeAutospacing="1" w:after="100" w:afterAutospacing="1" w:line="240" w:lineRule="auto"/>
      <w:jc w:val="left"/>
    </w:pPr>
    <w:rPr>
      <w:sz w:val="24"/>
      <w:szCs w:val="24"/>
    </w:rPr>
  </w:style>
  <w:style w:type="character" w:customStyle="1" w:styleId="normaltextrun">
    <w:name w:val="normaltextrun"/>
    <w:basedOn w:val="DefaultParagraphFont"/>
    <w:rsid w:val="00325F33"/>
  </w:style>
  <w:style w:type="character" w:customStyle="1" w:styleId="eop">
    <w:name w:val="eop"/>
    <w:basedOn w:val="DefaultParagraphFont"/>
    <w:rsid w:val="00325F33"/>
  </w:style>
  <w:style w:type="character" w:customStyle="1" w:styleId="superscript">
    <w:name w:val="superscript"/>
    <w:basedOn w:val="DefaultParagraphFont"/>
    <w:rsid w:val="00325F33"/>
  </w:style>
  <w:style w:type="paragraph" w:styleId="NoSpacing">
    <w:name w:val="No Spacing"/>
    <w:uiPriority w:val="1"/>
    <w:qFormat/>
    <w:locked/>
    <w:rsid w:val="005E65D0"/>
    <w:rPr>
      <w:rFonts w:asciiTheme="minorHAnsi" w:eastAsiaTheme="minorHAnsi" w:hAnsiTheme="minorHAnsi" w:cstheme="minorBidi"/>
      <w:sz w:val="22"/>
      <w:szCs w:val="22"/>
    </w:rPr>
  </w:style>
  <w:style w:type="character" w:customStyle="1" w:styleId="FootnoteTextChar">
    <w:name w:val="Footnote Text Char"/>
    <w:basedOn w:val="DefaultParagraphFont"/>
    <w:uiPriority w:val="99"/>
    <w:semiHidden/>
    <w:rsid w:val="0035561A"/>
    <w:rPr>
      <w:sz w:val="20"/>
    </w:rPr>
  </w:style>
  <w:style w:type="character" w:customStyle="1" w:styleId="italic">
    <w:name w:val="italic"/>
    <w:basedOn w:val="DefaultParagraphFont"/>
    <w:rsid w:val="003A49E4"/>
  </w:style>
  <w:style w:type="character" w:styleId="FollowedHyperlink">
    <w:name w:val="FollowedHyperlink"/>
    <w:basedOn w:val="DefaultParagraphFont"/>
    <w:semiHidden/>
    <w:locked/>
    <w:rsid w:val="00E244E5"/>
    <w:rPr>
      <w:color w:val="954F72" w:themeColor="followedHyperlink"/>
      <w:u w:val="single"/>
    </w:rPr>
  </w:style>
  <w:style w:type="paragraph" w:styleId="Revision">
    <w:name w:val="Revision"/>
    <w:hidden/>
    <w:semiHidden/>
    <w:locked/>
    <w:rsid w:val="00307E0B"/>
    <w:rPr>
      <w:sz w:val="22"/>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CrossReference">
    <w:name w:val="Cross Reference"/>
    <w:basedOn w:val="DefaultParagraphFont"/>
    <w:uiPriority w:val="2"/>
    <w:rPr>
      <w:i/>
    </w:rPr>
  </w:style>
  <w:style w:type="character" w:customStyle="1" w:styleId="InstructionPlaceholder">
    <w:name w:val="InstructionPlaceholder"/>
    <w:uiPriority w:val="1"/>
    <w:rPr>
      <w:color w:val="CB3535"/>
    </w:rPr>
  </w:style>
  <w:style w:type="character" w:customStyle="1" w:styleId="InstructionBlue">
    <w:name w:val="InstructionBlue"/>
    <w:uiPriority w:val="1"/>
    <w:rPr>
      <w:color w:val="3366CC"/>
    </w:rPr>
  </w:style>
  <w:style w:type="character" w:customStyle="1" w:styleId="InstructionRed">
    <w:name w:val="InstructionRed"/>
    <w:uiPriority w:val="1"/>
    <w:rPr>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FigureSource">
    <w:name w:val="Figure Source"/>
    <w:basedOn w:val="Normal"/>
    <w:next w:val="Normal"/>
    <w:uiPriority w:val="2"/>
    <w:pPr>
      <w:spacing w:after="240" w:line="240" w:lineRule="auto"/>
    </w:pPr>
    <w:rPr>
      <w:sz w:val="18"/>
    </w:rPr>
  </w:style>
  <w:style w:type="paragraph" w:customStyle="1" w:styleId="FigureNote">
    <w:name w:val="Figure Note"/>
    <w:basedOn w:val="FigureSource"/>
    <w:next w:val="FigureSource"/>
    <w:uiPriority w:val="2"/>
    <w:rPr>
      <w:b/>
    </w:rPr>
  </w:style>
  <w:style w:type="paragraph" w:customStyle="1" w:styleId="FigureBody">
    <w:name w:val="Figure Body"/>
    <w:basedOn w:val="Normal"/>
    <w:next w:val="FigureNote"/>
    <w:uiPriority w:val="2"/>
    <w:pPr>
      <w:keepNext/>
      <w:spacing w:after="40" w:line="240" w:lineRule="auto"/>
    </w:pPr>
  </w:style>
  <w:style w:type="paragraph" w:customStyle="1" w:styleId="FigureTitle">
    <w:name w:val="Figure Title"/>
    <w:basedOn w:val="Normal"/>
    <w:next w:val="FigureBody"/>
    <w:uiPriority w:val="2"/>
    <w:pPr>
      <w:keepNext/>
      <w:spacing w:before="120"/>
    </w:pPr>
    <w:rPr>
      <w:b/>
      <w:i/>
    </w:rPr>
  </w:style>
  <w:style w:type="paragraph" w:customStyle="1" w:styleId="HistoryTable">
    <w:name w:val="HistoryTable"/>
    <w:basedOn w:val="Normal"/>
    <w:uiPriority w:val="2"/>
    <w:pPr>
      <w:spacing w:before="60" w:after="60"/>
    </w:pPr>
    <w:rPr>
      <w:sz w:val="20"/>
    </w:rPr>
  </w:style>
  <w:style w:type="paragraph" w:customStyle="1" w:styleId="HistTableHeading">
    <w:name w:val="HistTableHeading"/>
    <w:basedOn w:val="Normal"/>
    <w:next w:val="HistoryTable"/>
    <w:uiPriority w:val="2"/>
    <w:pPr>
      <w:jc w:val="center"/>
    </w:pPr>
    <w:rPr>
      <w:rFonts w:ascii="Times New Roman Bold" w:hAnsi="Times New Roman Bold"/>
      <w:b/>
      <w:sz w:val="32"/>
    </w:rPr>
  </w:style>
  <w:style w:type="paragraph" w:customStyle="1" w:styleId="TableText">
    <w:name w:val="Table Text"/>
    <w:basedOn w:val="Normal"/>
    <w:uiPriority w:val="1"/>
    <w:qFormat/>
    <w:pPr>
      <w:spacing w:before="60" w:after="60"/>
    </w:pPr>
  </w:style>
  <w:style w:type="paragraph" w:customStyle="1" w:styleId="ContNumLevel3">
    <w:name w:val="ContNum (Level 3)"/>
    <w:basedOn w:val="Normal"/>
    <w:uiPriority w:val="1"/>
    <w:pPr>
      <w:numPr>
        <w:ilvl w:val="2"/>
        <w:numId w:val="3"/>
      </w:numPr>
    </w:pPr>
  </w:style>
  <w:style w:type="paragraph" w:customStyle="1" w:styleId="ContNumLevel2">
    <w:name w:val="ContNum (Level 2)"/>
    <w:basedOn w:val="Normal"/>
    <w:uiPriority w:val="1"/>
    <w:pPr>
      <w:numPr>
        <w:ilvl w:val="1"/>
        <w:numId w:val="3"/>
      </w:numPr>
    </w:pPr>
  </w:style>
  <w:style w:type="paragraph" w:customStyle="1" w:styleId="ContNum">
    <w:name w:val="ContNum"/>
    <w:basedOn w:val="Normal"/>
    <w:uiPriority w:val="1"/>
    <w:qFormat/>
    <w:pPr>
      <w:numPr>
        <w:numId w:val="3"/>
      </w:numPr>
    </w:pPr>
  </w:style>
  <w:style w:type="paragraph" w:customStyle="1" w:styleId="LegalNumPar3">
    <w:name w:val="LegalNumPar3"/>
    <w:basedOn w:val="Normal"/>
    <w:uiPriority w:val="1"/>
    <w:pPr>
      <w:numPr>
        <w:ilvl w:val="2"/>
        <w:numId w:val="4"/>
      </w:numPr>
      <w:spacing w:line="360" w:lineRule="auto"/>
    </w:pPr>
    <w:rPr>
      <w:sz w:val="24"/>
    </w:rPr>
  </w:style>
  <w:style w:type="paragraph" w:customStyle="1" w:styleId="LegalNumPar2">
    <w:name w:val="LegalNumPar2"/>
    <w:basedOn w:val="Normal"/>
    <w:uiPriority w:val="1"/>
    <w:pPr>
      <w:numPr>
        <w:ilvl w:val="1"/>
        <w:numId w:val="4"/>
      </w:numPr>
      <w:spacing w:line="360" w:lineRule="auto"/>
    </w:pPr>
    <w:rPr>
      <w:sz w:val="24"/>
    </w:rPr>
  </w:style>
  <w:style w:type="paragraph" w:customStyle="1" w:styleId="LegalNumPar">
    <w:name w:val="LegalNumPar"/>
    <w:basedOn w:val="Normal"/>
    <w:uiPriority w:val="1"/>
    <w:qFormat/>
    <w:pPr>
      <w:numPr>
        <w:numId w:val="4"/>
      </w:numPr>
      <w:spacing w:line="360" w:lineRule="auto"/>
    </w:pPr>
    <w:rPr>
      <w:sz w:val="24"/>
    </w:rPr>
  </w:style>
  <w:style w:type="paragraph" w:customStyle="1" w:styleId="Marking">
    <w:name w:val="Marking"/>
    <w:basedOn w:val="Normal"/>
    <w:semiHidden/>
    <w:pPr>
      <w:spacing w:line="240" w:lineRule="auto"/>
      <w:ind w:left="5102" w:right="-567"/>
      <w:contextualSpacing/>
      <w:jc w:val="left"/>
    </w:pPr>
    <w:rPr>
      <w:sz w:val="28"/>
    </w:rPr>
  </w:style>
  <w:style w:type="paragraph" w:customStyle="1" w:styleId="SectionTitle">
    <w:name w:val="SectionTitle"/>
    <w:basedOn w:val="Normal"/>
    <w:next w:val="Heading1"/>
    <w:uiPriority w:val="1"/>
    <w:qFormat/>
    <w:pPr>
      <w:keepNext/>
      <w:spacing w:before="720" w:after="360"/>
      <w:contextualSpacing/>
      <w:jc w:val="center"/>
      <w:outlineLvl w:val="0"/>
    </w:pPr>
    <w:rPr>
      <w:rFonts w:ascii="Times New Roman Bold" w:hAnsi="Times New Roman Bold"/>
      <w:b/>
      <w:smallCaps/>
      <w:sz w:val="32"/>
    </w:rPr>
  </w:style>
  <w:style w:type="paragraph" w:customStyle="1" w:styleId="ChapterTitle">
    <w:name w:val="ChapterTitle"/>
    <w:basedOn w:val="Normal"/>
    <w:next w:val="SectionTitle"/>
    <w:uiPriority w:val="1"/>
    <w:qFormat/>
    <w:pPr>
      <w:keepNext/>
      <w:spacing w:before="720" w:after="360"/>
      <w:jc w:val="center"/>
      <w:outlineLvl w:val="0"/>
    </w:pPr>
    <w:rPr>
      <w:b/>
      <w:sz w:val="36"/>
    </w:rPr>
  </w:style>
  <w:style w:type="paragraph" w:customStyle="1" w:styleId="PartTitle">
    <w:name w:val="PartTitle"/>
    <w:basedOn w:val="Normal"/>
    <w:next w:val="ChapterTitle"/>
    <w:uiPriority w:val="1"/>
    <w:qFormat/>
    <w:pPr>
      <w:keepNext/>
      <w:pageBreakBefore/>
      <w:spacing w:before="720" w:after="360"/>
      <w:jc w:val="center"/>
      <w:outlineLvl w:val="0"/>
    </w:pPr>
    <w:rPr>
      <w:b/>
      <w:sz w:val="40"/>
    </w:rPr>
  </w:style>
  <w:style w:type="paragraph" w:customStyle="1" w:styleId="AnnexTitle">
    <w:name w:val="AnnexTitle"/>
    <w:basedOn w:val="Normal"/>
    <w:next w:val="Normal"/>
    <w:uiPriority w:val="1"/>
    <w:qFormat/>
    <w:pPr>
      <w:pageBreakBefore/>
      <w:numPr>
        <w:numId w:val="2"/>
      </w:numPr>
      <w:spacing w:before="240" w:after="360"/>
      <w:outlineLvl w:val="0"/>
    </w:pPr>
    <w:rPr>
      <w:b/>
      <w:sz w:val="36"/>
    </w:rPr>
  </w:style>
  <w:style w:type="paragraph" w:customStyle="1" w:styleId="FITTable">
    <w:name w:val="FIT Table"/>
    <w:basedOn w:val="Normal"/>
    <w:uiPriority w:val="2"/>
    <w:pPr>
      <w:spacing w:before="60" w:after="60"/>
    </w:pPr>
  </w:style>
  <w:style w:type="paragraph" w:customStyle="1" w:styleId="ListNumberLevel4">
    <w:name w:val="List Number (Level 4)"/>
    <w:basedOn w:val="Normal"/>
    <w:uiPriority w:val="1"/>
    <w:semiHidden/>
    <w:unhideWhenUsed/>
    <w:pPr>
      <w:numPr>
        <w:ilvl w:val="3"/>
        <w:numId w:val="6"/>
      </w:numPr>
      <w:ind w:left="1815" w:hanging="454"/>
      <w:contextualSpacing/>
    </w:pPr>
  </w:style>
  <w:style w:type="paragraph" w:customStyle="1" w:styleId="ListNumberLevel3">
    <w:name w:val="List Number (Level 3)"/>
    <w:basedOn w:val="Normal"/>
    <w:uiPriority w:val="1"/>
    <w:semiHidden/>
    <w:unhideWhenUsed/>
    <w:pPr>
      <w:numPr>
        <w:ilvl w:val="2"/>
        <w:numId w:val="6"/>
      </w:numPr>
      <w:contextualSpacing/>
    </w:pPr>
  </w:style>
  <w:style w:type="paragraph" w:customStyle="1" w:styleId="ListNumberLevel2">
    <w:name w:val="List Number (Level 2)"/>
    <w:basedOn w:val="Normal"/>
    <w:uiPriority w:val="1"/>
    <w:pPr>
      <w:numPr>
        <w:ilvl w:val="1"/>
        <w:numId w:val="6"/>
      </w:numPr>
      <w:ind w:left="908" w:hanging="454"/>
      <w:contextualSpacing/>
    </w:pPr>
  </w:style>
  <w:style w:type="paragraph" w:styleId="ListNumber">
    <w:name w:val="List Number"/>
    <w:basedOn w:val="Normal"/>
    <w:uiPriority w:val="1"/>
    <w:pPr>
      <w:numPr>
        <w:numId w:val="6"/>
      </w:numPr>
      <w:contextualSpacing/>
    </w:pPr>
  </w:style>
  <w:style w:type="paragraph" w:customStyle="1" w:styleId="ListDashLevel4">
    <w:name w:val="List Dash (Level 4)"/>
    <w:basedOn w:val="Normal"/>
    <w:uiPriority w:val="1"/>
    <w:semiHidden/>
    <w:unhideWhenUsed/>
    <w:pPr>
      <w:numPr>
        <w:ilvl w:val="3"/>
        <w:numId w:val="5"/>
      </w:numPr>
      <w:contextualSpacing/>
    </w:pPr>
  </w:style>
  <w:style w:type="paragraph" w:customStyle="1" w:styleId="ListDashLevel3">
    <w:name w:val="List Dash (Level 3)"/>
    <w:basedOn w:val="Normal"/>
    <w:uiPriority w:val="1"/>
    <w:semiHidden/>
    <w:unhideWhenUsed/>
    <w:pPr>
      <w:numPr>
        <w:ilvl w:val="2"/>
        <w:numId w:val="5"/>
      </w:numPr>
      <w:contextualSpacing/>
    </w:pPr>
  </w:style>
  <w:style w:type="paragraph" w:customStyle="1" w:styleId="ListDashLevel2">
    <w:name w:val="List Dash (Level 2)"/>
    <w:basedOn w:val="Normal"/>
    <w:uiPriority w:val="1"/>
    <w:pPr>
      <w:numPr>
        <w:ilvl w:val="1"/>
        <w:numId w:val="5"/>
      </w:numPr>
      <w:contextualSpacing/>
    </w:pPr>
  </w:style>
  <w:style w:type="paragraph" w:customStyle="1" w:styleId="ListDash">
    <w:name w:val="List Dash"/>
    <w:basedOn w:val="Normal"/>
    <w:uiPriority w:val="1"/>
    <w:pPr>
      <w:numPr>
        <w:numId w:val="5"/>
      </w:numPr>
      <w:contextualSpacing/>
    </w:pPr>
  </w:style>
  <w:style w:type="paragraph" w:customStyle="1" w:styleId="ListBulletLevel4">
    <w:name w:val="List Bullet (Level 4)"/>
    <w:basedOn w:val="Normal"/>
    <w:uiPriority w:val="1"/>
    <w:semiHidden/>
    <w:unhideWhenUsed/>
    <w:pPr>
      <w:numPr>
        <w:ilvl w:val="3"/>
        <w:numId w:val="7"/>
      </w:numPr>
      <w:contextualSpacing/>
    </w:pPr>
  </w:style>
  <w:style w:type="paragraph" w:customStyle="1" w:styleId="ListBulletLevel3">
    <w:name w:val="List Bullet (Level 3)"/>
    <w:basedOn w:val="Normal"/>
    <w:uiPriority w:val="1"/>
    <w:semiHidden/>
    <w:unhideWhenUsed/>
    <w:pPr>
      <w:numPr>
        <w:ilvl w:val="2"/>
        <w:numId w:val="7"/>
      </w:numPr>
      <w:contextualSpacing/>
    </w:pPr>
  </w:style>
  <w:style w:type="paragraph" w:customStyle="1" w:styleId="ListBulletLevel2">
    <w:name w:val="List Bullet (Level 2)"/>
    <w:basedOn w:val="Normal"/>
    <w:uiPriority w:val="1"/>
    <w:pPr>
      <w:numPr>
        <w:ilvl w:val="1"/>
        <w:numId w:val="7"/>
      </w:numPr>
      <w:contextualSpacing/>
    </w:pPr>
  </w:style>
  <w:style w:type="paragraph" w:styleId="ListBullet">
    <w:name w:val="List Bullet"/>
    <w:basedOn w:val="Normal"/>
    <w:uiPriority w:val="1"/>
    <w:pPr>
      <w:numPr>
        <w:numId w:val="7"/>
      </w:numPr>
      <w:contextualSpacing/>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left" w:pos="595"/>
        <w:tab w:val="right" w:leader="dot" w:pos="8640"/>
      </w:tabs>
      <w:spacing w:before="240" w:after="60" w:line="240" w:lineRule="auto"/>
      <w:ind w:left="1446" w:right="720" w:hanging="1446"/>
    </w:pPr>
    <w:rPr>
      <w:b/>
      <w:sz w:val="20"/>
    </w:rPr>
  </w:style>
  <w:style w:type="paragraph" w:styleId="TOC5">
    <w:name w:val="toc 5"/>
    <w:basedOn w:val="Normal"/>
    <w:next w:val="Normal"/>
    <w:semiHidden/>
    <w:pPr>
      <w:tabs>
        <w:tab w:val="left" w:pos="595"/>
        <w:tab w:val="right" w:leader="dot" w:pos="8640"/>
      </w:tabs>
      <w:spacing w:before="240" w:after="60" w:line="240" w:lineRule="auto"/>
      <w:ind w:right="720"/>
    </w:pPr>
    <w:rPr>
      <w:b/>
      <w:sz w:val="20"/>
    </w:rPr>
  </w:style>
  <w:style w:type="paragraph" w:styleId="TOC4">
    <w:name w:val="toc 4"/>
    <w:basedOn w:val="Normal"/>
    <w:next w:val="Normal"/>
    <w:semiHidden/>
    <w:pPr>
      <w:tabs>
        <w:tab w:val="left" w:pos="1446"/>
        <w:tab w:val="left" w:pos="1587"/>
        <w:tab w:val="right" w:leader="dot" w:pos="8640"/>
      </w:tabs>
      <w:spacing w:after="60" w:line="240" w:lineRule="auto"/>
      <w:ind w:left="1445" w:right="720" w:hanging="850"/>
    </w:pPr>
    <w:rPr>
      <w:noProof/>
      <w:sz w:val="20"/>
    </w:rPr>
  </w:style>
  <w:style w:type="paragraph" w:styleId="TOC3">
    <w:name w:val="toc 3"/>
    <w:basedOn w:val="Normal"/>
    <w:next w:val="Normal"/>
    <w:uiPriority w:val="39"/>
    <w:pPr>
      <w:tabs>
        <w:tab w:val="left" w:pos="1446"/>
        <w:tab w:val="left" w:pos="1587"/>
        <w:tab w:val="right" w:leader="dot" w:pos="8640"/>
      </w:tabs>
      <w:spacing w:after="60" w:line="240" w:lineRule="auto"/>
      <w:ind w:left="1445" w:right="720" w:hanging="850"/>
    </w:pPr>
    <w:rPr>
      <w:sz w:val="20"/>
    </w:rPr>
  </w:style>
  <w:style w:type="paragraph" w:styleId="TOC2">
    <w:name w:val="toc 2"/>
    <w:basedOn w:val="Normal"/>
    <w:next w:val="Normal"/>
    <w:uiPriority w:val="39"/>
    <w:pPr>
      <w:tabs>
        <w:tab w:val="left" w:pos="595"/>
        <w:tab w:val="right" w:leader="dot" w:pos="8640"/>
      </w:tabs>
      <w:spacing w:after="60" w:line="240" w:lineRule="auto"/>
      <w:ind w:left="595" w:right="720" w:hanging="595"/>
    </w:pPr>
    <w:rPr>
      <w:noProof/>
      <w:sz w:val="20"/>
    </w:rPr>
  </w:style>
  <w:style w:type="paragraph" w:styleId="TOC1">
    <w:name w:val="toc 1"/>
    <w:basedOn w:val="Normal"/>
    <w:next w:val="Normal"/>
    <w:uiPriority w:val="39"/>
    <w:pPr>
      <w:tabs>
        <w:tab w:val="left" w:pos="595"/>
        <w:tab w:val="right" w:leader="dot" w:pos="8640"/>
      </w:tabs>
      <w:spacing w:before="240" w:after="60" w:line="240" w:lineRule="auto"/>
      <w:ind w:left="595" w:right="720" w:hanging="595"/>
    </w:pPr>
    <w:rPr>
      <w:b/>
      <w:sz w:val="20"/>
    </w:rPr>
  </w:style>
  <w:style w:type="paragraph" w:styleId="TOCHeading">
    <w:name w:val="TOC Heading"/>
    <w:basedOn w:val="Normal"/>
    <w:next w:val="Normal"/>
    <w:semiHidden/>
    <w:pPr>
      <w:jc w:val="center"/>
    </w:pPr>
    <w:rPr>
      <w:rFonts w:ascii="Times New Roman Bold" w:hAnsi="Times New Roman Bold"/>
      <w:b/>
      <w:sz w:val="32"/>
    </w:rPr>
  </w:style>
  <w:style w:type="paragraph" w:customStyle="1" w:styleId="SubTitle2">
    <w:name w:val="SubTitle 2"/>
    <w:basedOn w:val="Normal"/>
    <w:uiPriority w:val="1"/>
    <w:qFormat/>
    <w:pPr>
      <w:spacing w:after="280"/>
      <w:jc w:val="center"/>
    </w:pPr>
    <w:rPr>
      <w:b/>
      <w:sz w:val="32"/>
    </w:rPr>
  </w:style>
  <w:style w:type="paragraph" w:customStyle="1" w:styleId="SubTitle1">
    <w:name w:val="SubTitle 1"/>
    <w:basedOn w:val="Normal"/>
    <w:next w:val="Normal"/>
    <w:uiPriority w:val="1"/>
    <w:qFormat/>
    <w:pPr>
      <w:spacing w:before="360" w:after="2000"/>
      <w:jc w:val="center"/>
    </w:pPr>
    <w:rPr>
      <w:b/>
      <w:sz w:val="40"/>
    </w:rPr>
  </w:style>
  <w:style w:type="paragraph" w:styleId="Title">
    <w:name w:val="Title"/>
    <w:basedOn w:val="Normal"/>
    <w:next w:val="SubTitle1"/>
    <w:uiPriority w:val="1"/>
    <w:qFormat/>
    <w:pPr>
      <w:spacing w:before="3200" w:after="480"/>
      <w:jc w:val="center"/>
    </w:pPr>
    <w:rPr>
      <w:b/>
      <w:kern w:val="28"/>
      <w:sz w:val="48"/>
    </w:rPr>
  </w:style>
  <w:style w:type="paragraph" w:customStyle="1" w:styleId="NumPar4">
    <w:name w:val="NumPar 4"/>
    <w:basedOn w:val="Heading4"/>
    <w:uiPriority w:val="1"/>
    <w:qFormat/>
    <w:pPr>
      <w:keepNext w:val="0"/>
      <w:spacing w:before="0"/>
      <w:ind w:left="0" w:firstLine="0"/>
      <w:outlineLvl w:val="9"/>
    </w:pPr>
    <w:rPr>
      <w:b w:val="0"/>
    </w:rPr>
  </w:style>
  <w:style w:type="paragraph" w:customStyle="1" w:styleId="NumPar3">
    <w:name w:val="NumPar 3"/>
    <w:basedOn w:val="Heading3"/>
    <w:uiPriority w:val="1"/>
    <w:qFormat/>
    <w:pPr>
      <w:keepNext w:val="0"/>
      <w:spacing w:before="0"/>
      <w:ind w:left="0" w:firstLine="0"/>
      <w:outlineLvl w:val="9"/>
    </w:pPr>
    <w:rPr>
      <w:b w:val="0"/>
      <w:sz w:val="22"/>
    </w:rPr>
  </w:style>
  <w:style w:type="paragraph" w:customStyle="1" w:styleId="NumPar2">
    <w:name w:val="NumPar 2"/>
    <w:basedOn w:val="Heading2"/>
    <w:uiPriority w:val="1"/>
    <w:qFormat/>
    <w:pPr>
      <w:keepNext w:val="0"/>
      <w:spacing w:before="0"/>
      <w:ind w:left="0" w:firstLine="0"/>
      <w:outlineLvl w:val="9"/>
    </w:pPr>
    <w:rPr>
      <w:b w:val="0"/>
      <w:sz w:val="22"/>
    </w:rPr>
  </w:style>
  <w:style w:type="paragraph" w:customStyle="1" w:styleId="NumPar1">
    <w:name w:val="NumPar 1"/>
    <w:basedOn w:val="Heading1"/>
    <w:uiPriority w:val="1"/>
    <w:qFormat/>
    <w:pPr>
      <w:keepNext w:val="0"/>
      <w:spacing w:before="0"/>
      <w:ind w:left="0" w:firstLine="0"/>
      <w:outlineLvl w:val="9"/>
    </w:pPr>
    <w:rPr>
      <w:b w:val="0"/>
      <w:smallCaps w:val="0"/>
      <w:sz w:val="22"/>
    </w:rPr>
  </w:style>
  <w:style w:type="paragraph" w:styleId="FootnoteText">
    <w:name w:val="footnote text"/>
    <w:basedOn w:val="Normal"/>
    <w:unhideWhenUsed/>
    <w:pPr>
      <w:ind w:left="357" w:hanging="357"/>
    </w:pPr>
    <w:rPr>
      <w:sz w:val="20"/>
    </w:rPr>
  </w:style>
  <w:style w:type="paragraph" w:customStyle="1" w:styleId="FooterLine">
    <w:name w:val="Footer Line"/>
    <w:basedOn w:val="Footer"/>
    <w:next w:val="Footer"/>
    <w:uiPriority w:val="2"/>
    <w:pPr>
      <w:pBdr>
        <w:top w:val="single" w:sz="4" w:space="1" w:color="auto"/>
      </w:pBdr>
      <w:tabs>
        <w:tab w:val="right" w:pos="8646"/>
      </w:tabs>
      <w:spacing w:before="120"/>
      <w:ind w:right="0"/>
    </w:pPr>
  </w:style>
  <w:style w:type="paragraph" w:styleId="EndnoteText">
    <w:name w:val="endnote text"/>
    <w:basedOn w:val="Normal"/>
    <w:semiHidden/>
    <w:unhideWhenUsed/>
    <w:rPr>
      <w:sz w:val="20"/>
    </w:rPr>
  </w:style>
  <w:style w:type="paragraph" w:customStyle="1" w:styleId="References">
    <w:name w:val="References"/>
    <w:uiPriority w:val="2"/>
    <w:pPr>
      <w:tabs>
        <w:tab w:val="num" w:pos="397"/>
        <w:tab w:val="num" w:pos="709"/>
      </w:tabs>
      <w:ind w:left="709" w:hanging="709"/>
    </w:pPr>
  </w:style>
  <w:style w:type="paragraph" w:styleId="Date">
    <w:name w:val="Date"/>
    <w:basedOn w:val="Normal"/>
    <w:next w:val="References"/>
    <w:uiPriority w:val="1"/>
    <w:pPr>
      <w:spacing w:after="0"/>
      <w:ind w:left="5102" w:right="-567"/>
    </w:pPr>
  </w:style>
  <w:style w:type="paragraph" w:customStyle="1" w:styleId="Contact">
    <w:name w:val="Contact"/>
    <w:basedOn w:val="Normal"/>
    <w:uiPriority w:val="2"/>
    <w:pPr>
      <w:spacing w:before="480" w:after="240"/>
      <w:ind w:left="567" w:hanging="567"/>
      <w:jc w:val="left"/>
    </w:pPr>
  </w:style>
  <w:style w:type="paragraph" w:styleId="Caption">
    <w:name w:val="caption"/>
    <w:basedOn w:val="Normal"/>
    <w:next w:val="Normal"/>
    <w:uiPriority w:val="2"/>
    <w:pPr>
      <w:spacing w:before="120"/>
    </w:pPr>
    <w:rPr>
      <w:b/>
      <w:i/>
    </w:rPr>
  </w:style>
  <w:style w:type="paragraph" w:customStyle="1" w:styleId="ZDGName">
    <w:name w:val="Z_DGName"/>
    <w:basedOn w:val="Normal"/>
    <w:uiPriority w:val="2"/>
    <w:pPr>
      <w:widowControl w:val="0"/>
      <w:spacing w:after="0" w:line="240" w:lineRule="auto"/>
      <w:ind w:right="85"/>
      <w:jc w:val="left"/>
    </w:pPr>
    <w:rPr>
      <w:sz w:val="16"/>
    </w:rPr>
  </w:style>
  <w:style w:type="paragraph" w:customStyle="1" w:styleId="ZCom">
    <w:name w:val="Z_Com"/>
    <w:basedOn w:val="Normal"/>
    <w:next w:val="Normal"/>
    <w:uiPriority w:val="2"/>
    <w:pPr>
      <w:widowControl w:val="0"/>
      <w:spacing w:before="90" w:after="0" w:line="240" w:lineRule="auto"/>
      <w:ind w:right="85"/>
    </w:pPr>
    <w:rPr>
      <w:sz w:val="24"/>
    </w:rPr>
  </w:style>
  <w:style w:type="paragraph" w:customStyle="1" w:styleId="ZFlag">
    <w:name w:val="Z_Flag"/>
    <w:basedOn w:val="Normal"/>
    <w:next w:val="Normal"/>
    <w:uiPriority w:val="2"/>
    <w:pPr>
      <w:widowControl w:val="0"/>
      <w:spacing w:after="0"/>
      <w:ind w:right="85"/>
    </w:pPr>
  </w:style>
  <w:style w:type="paragraph" w:customStyle="1" w:styleId="GlossaryHeading">
    <w:name w:val="GlossaryHeading"/>
    <w:basedOn w:val="Normal"/>
    <w:uiPriority w:val="2"/>
    <w:pPr>
      <w:spacing w:after="480"/>
      <w:jc w:val="center"/>
      <w:outlineLvl w:val="0"/>
    </w:pPr>
    <w:rPr>
      <w:rFonts w:ascii="Times New Roman Bold" w:hAnsi="Times New Roman Bold"/>
      <w:b/>
      <w:sz w:val="32"/>
    </w:rPr>
  </w:style>
  <w:style w:type="paragraph" w:customStyle="1" w:styleId="Glossary">
    <w:name w:val="Glossary"/>
    <w:basedOn w:val="Normal"/>
    <w:uiPriority w:val="2"/>
    <w:pPr>
      <w:tabs>
        <w:tab w:val="left" w:pos="2835"/>
      </w:tabs>
      <w:ind w:left="2835" w:hanging="2835"/>
      <w:jc w:val="left"/>
    </w:pPr>
  </w:style>
  <w:style w:type="paragraph" w:customStyle="1" w:styleId="Citation">
    <w:name w:val="Citation"/>
    <w:basedOn w:val="Normal"/>
    <w:link w:val="CitationChar"/>
    <w:uiPriority w:val="1"/>
    <w:qFormat/>
    <w:pPr>
      <w:ind w:left="454" w:right="454"/>
    </w:pPr>
    <w:rPr>
      <w:i/>
    </w:rPr>
  </w:style>
  <w:style w:type="character" w:customStyle="1" w:styleId="CitationChar">
    <w:name w:val="Citation Char"/>
    <w:link w:val="Citation"/>
    <w:uiPriority w:val="1"/>
    <w:qFormat/>
    <w:rPr>
      <w:i/>
    </w:rPr>
  </w:style>
  <w:style w:type="paragraph" w:styleId="MacroText">
    <w:name w:val="macro"/>
    <w:basedOn w:val="Normal"/>
    <w:link w:val="MacroTextChar1"/>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0"/>
    </w:rPr>
  </w:style>
  <w:style w:type="character" w:customStyle="1" w:styleId="MacroTextChar1">
    <w:name w:val="Macro Text Char1"/>
    <w:basedOn w:val="DefaultParagraphFont"/>
    <w:link w:val="MacroText"/>
    <w:uiPriority w:val="1"/>
    <w:qFormat/>
    <w:rPr>
      <w:rFonts w:ascii="Courier New" w:hAnsi="Courier New"/>
      <w:sz w:val="20"/>
    </w:rPr>
  </w:style>
  <w:style w:type="paragraph" w:styleId="Header">
    <w:name w:val="header"/>
    <w:basedOn w:val="Normal"/>
    <w:link w:val="HeaderChar"/>
    <w:uiPriority w:val="2"/>
    <w:pPr>
      <w:tabs>
        <w:tab w:val="center" w:pos="4150"/>
        <w:tab w:val="right" w:pos="8306"/>
      </w:tabs>
    </w:pPr>
  </w:style>
  <w:style w:type="character" w:customStyle="1" w:styleId="HeaderChar">
    <w:name w:val="Header Char"/>
    <w:basedOn w:val="DefaultParagraphFont"/>
    <w:link w:val="Header"/>
    <w:uiPriority w:val="2"/>
    <w:rPr>
      <w:sz w:val="24"/>
    </w:rPr>
  </w:style>
  <w:style w:type="paragraph" w:styleId="Footer">
    <w:name w:val="footer"/>
    <w:basedOn w:val="Normal"/>
    <w:link w:val="FooterChar"/>
    <w:uiPriority w:val="99"/>
    <w:pPr>
      <w:spacing w:after="0" w:line="240" w:lineRule="auto"/>
      <w:ind w:right="-567"/>
    </w:pPr>
    <w:rPr>
      <w:sz w:val="16"/>
    </w:rPr>
  </w:style>
  <w:style w:type="character" w:customStyle="1" w:styleId="FooterChar">
    <w:name w:val="Footer Char"/>
    <w:link w:val="Footer"/>
    <w:uiPriority w:val="99"/>
    <w:rPr>
      <w:sz w:val="16"/>
    </w:rPr>
  </w:style>
  <w:style w:type="table" w:styleId="TableGrid">
    <w:name w:val="Table Grid"/>
    <w:basedOn w:val="TableNormal"/>
    <w:uiPriority w:val="2"/>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
    <w:name w:val="Table History"/>
    <w:basedOn w:val="TableNormal"/>
    <w:semiHidden/>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semiHidden/>
    <w:tblPr>
      <w:tblCellMar>
        <w:left w:w="0" w:type="dxa"/>
        <w:bottom w:w="340" w:type="dxa"/>
        <w:right w:w="0" w:type="dxa"/>
      </w:tblCellMar>
    </w:tblPr>
  </w:style>
  <w:style w:type="table" w:customStyle="1" w:styleId="PropertiesTable">
    <w:name w:val="Properties Table"/>
    <w:basedOn w:val="TableNormal"/>
    <w:semiHidden/>
    <w:pPr>
      <w:spacing w:after="120" w:line="264" w:lineRule="auto"/>
    </w:pPr>
    <w:tblPr>
      <w:tblInd w:w="1984" w:type="dxa"/>
    </w:tblPr>
  </w:style>
  <w:style w:type="character" w:styleId="Emphasis">
    <w:name w:val="Emphasis"/>
    <w:basedOn w:val="DefaultParagraphFont"/>
    <w:uiPriority w:val="20"/>
    <w:qFormat/>
    <w:locked/>
    <w:rsid w:val="00FB397B"/>
    <w:rPr>
      <w:i/>
      <w:iCs/>
    </w:rPr>
  </w:style>
  <w:style w:type="paragraph" w:customStyle="1" w:styleId="Disclaimer">
    <w:name w:val="Disclaimer"/>
    <w:basedOn w:val="Normal"/>
    <w:rsid w:val="004B239B"/>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line="240" w:lineRule="auto"/>
    </w:pPr>
    <w:rPr>
      <w:rFonts w:eastAsiaTheme="minorHAnsi"/>
      <w:sz w:val="24"/>
      <w:szCs w:val="22"/>
      <w:lang w:eastAsia="en-US"/>
    </w:rPr>
  </w:style>
  <w:style w:type="paragraph" w:customStyle="1" w:styleId="SecurityMarking">
    <w:name w:val="SecurityMarking"/>
    <w:basedOn w:val="Normal"/>
    <w:rsid w:val="004B239B"/>
    <w:pPr>
      <w:spacing w:after="0" w:line="276" w:lineRule="auto"/>
      <w:ind w:left="5103"/>
      <w:jc w:val="left"/>
    </w:pPr>
    <w:rPr>
      <w:rFonts w:eastAsiaTheme="minorHAnsi"/>
      <w:sz w:val="28"/>
      <w:szCs w:val="22"/>
      <w:lang w:eastAsia="en-US"/>
    </w:rPr>
  </w:style>
  <w:style w:type="paragraph" w:customStyle="1" w:styleId="DateMarking">
    <w:name w:val="DateMarking"/>
    <w:basedOn w:val="Normal"/>
    <w:rsid w:val="004B239B"/>
    <w:pPr>
      <w:spacing w:after="0" w:line="276" w:lineRule="auto"/>
      <w:ind w:left="5103"/>
      <w:jc w:val="left"/>
    </w:pPr>
    <w:rPr>
      <w:rFonts w:eastAsiaTheme="minorHAnsi"/>
      <w:i/>
      <w:sz w:val="28"/>
      <w:szCs w:val="22"/>
      <w:lang w:eastAsia="en-US"/>
    </w:rPr>
  </w:style>
  <w:style w:type="paragraph" w:customStyle="1" w:styleId="ReleasableTo">
    <w:name w:val="ReleasableTo"/>
    <w:basedOn w:val="Normal"/>
    <w:rsid w:val="004B239B"/>
    <w:pPr>
      <w:spacing w:after="0" w:line="276" w:lineRule="auto"/>
      <w:ind w:left="5103"/>
      <w:jc w:val="left"/>
    </w:pPr>
    <w:rPr>
      <w:rFonts w:eastAsiaTheme="minorHAnsi"/>
      <w:i/>
      <w:sz w:val="28"/>
      <w:szCs w:val="22"/>
      <w:lang w:eastAsia="en-US"/>
    </w:rPr>
  </w:style>
  <w:style w:type="paragraph" w:styleId="NormalWeb">
    <w:name w:val="Normal (Web)"/>
    <w:basedOn w:val="Normal"/>
    <w:uiPriority w:val="99"/>
    <w:semiHidden/>
    <w:unhideWhenUsed/>
    <w:locked/>
    <w:rsid w:val="00963C52"/>
    <w:pPr>
      <w:spacing w:before="100" w:beforeAutospacing="1" w:after="100" w:afterAutospacing="1" w:line="240" w:lineRule="auto"/>
      <w:jc w:val="left"/>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388054">
      <w:bodyDiv w:val="1"/>
      <w:marLeft w:val="0"/>
      <w:marRight w:val="0"/>
      <w:marTop w:val="0"/>
      <w:marBottom w:val="0"/>
      <w:divBdr>
        <w:top w:val="none" w:sz="0" w:space="0" w:color="auto"/>
        <w:left w:val="none" w:sz="0" w:space="0" w:color="auto"/>
        <w:bottom w:val="none" w:sz="0" w:space="0" w:color="auto"/>
        <w:right w:val="none" w:sz="0" w:space="0" w:color="auto"/>
      </w:divBdr>
    </w:div>
    <w:div w:id="1202207893">
      <w:bodyDiv w:val="1"/>
      <w:marLeft w:val="0"/>
      <w:marRight w:val="0"/>
      <w:marTop w:val="0"/>
      <w:marBottom w:val="0"/>
      <w:divBdr>
        <w:top w:val="none" w:sz="0" w:space="0" w:color="auto"/>
        <w:left w:val="none" w:sz="0" w:space="0" w:color="auto"/>
        <w:bottom w:val="none" w:sz="0" w:space="0" w:color="auto"/>
        <w:right w:val="none" w:sz="0" w:space="0" w:color="auto"/>
      </w:divBdr>
      <w:divsChild>
        <w:div w:id="1670205929">
          <w:marLeft w:val="0"/>
          <w:marRight w:val="0"/>
          <w:marTop w:val="0"/>
          <w:marBottom w:val="0"/>
          <w:divBdr>
            <w:top w:val="none" w:sz="0" w:space="0" w:color="auto"/>
            <w:left w:val="none" w:sz="0" w:space="0" w:color="auto"/>
            <w:bottom w:val="none" w:sz="0" w:space="0" w:color="auto"/>
            <w:right w:val="none" w:sz="0" w:space="0" w:color="auto"/>
          </w:divBdr>
        </w:div>
        <w:div w:id="1856768483">
          <w:marLeft w:val="0"/>
          <w:marRight w:val="0"/>
          <w:marTop w:val="0"/>
          <w:marBottom w:val="0"/>
          <w:divBdr>
            <w:top w:val="none" w:sz="0" w:space="0" w:color="auto"/>
            <w:left w:val="none" w:sz="0" w:space="0" w:color="auto"/>
            <w:bottom w:val="none" w:sz="0" w:space="0" w:color="auto"/>
            <w:right w:val="none" w:sz="0" w:space="0" w:color="auto"/>
          </w:divBdr>
        </w:div>
      </w:divsChild>
    </w:div>
    <w:div w:id="1230657515">
      <w:bodyDiv w:val="1"/>
      <w:marLeft w:val="0"/>
      <w:marRight w:val="0"/>
      <w:marTop w:val="0"/>
      <w:marBottom w:val="0"/>
      <w:divBdr>
        <w:top w:val="none" w:sz="0" w:space="0" w:color="auto"/>
        <w:left w:val="none" w:sz="0" w:space="0" w:color="auto"/>
        <w:bottom w:val="none" w:sz="0" w:space="0" w:color="auto"/>
        <w:right w:val="none" w:sz="0" w:space="0" w:color="auto"/>
      </w:divBdr>
      <w:divsChild>
        <w:div w:id="360059650">
          <w:marLeft w:val="0"/>
          <w:marRight w:val="0"/>
          <w:marTop w:val="0"/>
          <w:marBottom w:val="0"/>
          <w:divBdr>
            <w:top w:val="none" w:sz="0" w:space="0" w:color="auto"/>
            <w:left w:val="none" w:sz="0" w:space="0" w:color="auto"/>
            <w:bottom w:val="none" w:sz="0" w:space="0" w:color="auto"/>
            <w:right w:val="none" w:sz="0" w:space="0" w:color="auto"/>
          </w:divBdr>
        </w:div>
        <w:div w:id="1290236911">
          <w:marLeft w:val="0"/>
          <w:marRight w:val="0"/>
          <w:marTop w:val="0"/>
          <w:marBottom w:val="0"/>
          <w:divBdr>
            <w:top w:val="none" w:sz="0" w:space="0" w:color="auto"/>
            <w:left w:val="none" w:sz="0" w:space="0" w:color="auto"/>
            <w:bottom w:val="none" w:sz="0" w:space="0" w:color="auto"/>
            <w:right w:val="none" w:sz="0" w:space="0" w:color="auto"/>
          </w:divBdr>
        </w:div>
        <w:div w:id="1061054683">
          <w:marLeft w:val="0"/>
          <w:marRight w:val="0"/>
          <w:marTop w:val="0"/>
          <w:marBottom w:val="0"/>
          <w:divBdr>
            <w:top w:val="none" w:sz="0" w:space="0" w:color="auto"/>
            <w:left w:val="none" w:sz="0" w:space="0" w:color="auto"/>
            <w:bottom w:val="none" w:sz="0" w:space="0" w:color="auto"/>
            <w:right w:val="none" w:sz="0" w:space="0" w:color="auto"/>
          </w:divBdr>
        </w:div>
        <w:div w:id="1161582311">
          <w:marLeft w:val="0"/>
          <w:marRight w:val="0"/>
          <w:marTop w:val="0"/>
          <w:marBottom w:val="0"/>
          <w:divBdr>
            <w:top w:val="none" w:sz="0" w:space="0" w:color="auto"/>
            <w:left w:val="none" w:sz="0" w:space="0" w:color="auto"/>
            <w:bottom w:val="none" w:sz="0" w:space="0" w:color="auto"/>
            <w:right w:val="none" w:sz="0" w:space="0" w:color="auto"/>
          </w:divBdr>
        </w:div>
        <w:div w:id="1124540970">
          <w:marLeft w:val="0"/>
          <w:marRight w:val="0"/>
          <w:marTop w:val="0"/>
          <w:marBottom w:val="0"/>
          <w:divBdr>
            <w:top w:val="none" w:sz="0" w:space="0" w:color="auto"/>
            <w:left w:val="none" w:sz="0" w:space="0" w:color="auto"/>
            <w:bottom w:val="none" w:sz="0" w:space="0" w:color="auto"/>
            <w:right w:val="none" w:sz="0" w:space="0" w:color="auto"/>
          </w:divBdr>
        </w:div>
      </w:divsChild>
    </w:div>
    <w:div w:id="2088719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s>
</file>

<file path=word/_rels/footnotes.xml.rels><?xml version="1.0" encoding="UTF-8" standalone="yes"?>
<Relationships xmlns="http://schemas.openxmlformats.org/package/2006/relationships"><Relationship Id="rId3" Type="http://schemas.openxmlformats.org/officeDocument/2006/relationships/hyperlink" Target="https://www.reiner.de/index.php?UV-ink-with-handheld-inkjet-printer" TargetMode="External"/><Relationship Id="rId2" Type="http://schemas.openxmlformats.org/officeDocument/2006/relationships/hyperlink" Target="https://news.3deo.co/metal-3d-printing-firearms-case-studies" TargetMode="External"/><Relationship Id="rId1" Type="http://schemas.openxmlformats.org/officeDocument/2006/relationships/hyperlink" Target="https://vlaamsvredesinstituut.eu/en/report/triggering-terror-illicit-gun-markets-and-firearms-acquisition-of-terrorist-networks-in-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harma>Pharma Investigations</SecurityPharma>
  <MarkingUntilText>UNTIL</MarkingUntilText>
  <LabelPictureSeq>Figure {SEQ Figure \* ARABIC }: </LabelPictureSeq>
  <SecurityMediationServiceMatter>Mediation Service</SecurityMediationServiceMatter>
  <SecurityEconomyAndFinance>Economy and Finance</SecurityEconomyAndFinance>
  <TechPropsPublic>Public:</TechPropsPublic>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TechPropsAuthors>Authors:</TechPropsAuthors>
  <FooterOffice>Office:</FooterOffice>
  <SecurityOlafInvestigations>OLAF Investigations</SecurityOlafInvestigations>
  <TechHistory/>
  <TechPropsApproved>Approved by:</TechPropsApproved>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TechPropsVersion>Version:</TechPropsVersion>
  <TechPropsRevised>Revised by:</TechPropsRevised>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TechPropsDate>Date:</TechPropsDate>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TechPropsRefno>Reference Number:</TechPropsRefn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Table>Table </Table>
  <SensitiveFootnoteHyperlinkIASOperations>Handling instructions for SENSITIVE information are given at {field: HYPERLINK "https://europa.eu/!db43PX" |https://europa.eu/!db43PX}.</SensitiveFootnoteHyperlinkIASOperations>
  <SecurityPharmaSpecial>Pharma Investigations</SecurityPharmaSpecial>
  <Figure>Figure </Figure>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TechFooterDated>datata</TechFooterDated>
  <SecurityMedicalSecret>Medical Secret</SecurityMedicalSecret>
  <TechFooterVersion>Versione del documento</TechFooterVersion>
  <Contacts>Contacts:</Contacts>
  <SecurityEmbargo>EMBARGO UNTIL</SecurityEmbargo>
  <DateFormatShort>dd/MM/yyyy</DateFormatShort>
  <DateFormatLong>d MMMM yyyy</DateFormatLong>
</Texts>
</file>

<file path=customXml/item2.xml><?xml version="1.0" encoding="utf-8"?>
<Author Role="Creator" AuthorRoleName="Writer" AuthorRoleId="a4fbaff4-b07c-48b4-a21e-e7b9eedf3796">
  <Id>8b6bb0ee-79be-4960-8e2c-cf5f53d75930</Id>
  <Names>
    <Latin>
      <FirstName>Emmanuel</FirstName>
      <LastName>VALLENS</LastName>
    </Latin>
    <Greek>
      <FirstName/>
      <LastName/>
    </Greek>
    <Cyrillic>
      <FirstName/>
      <LastName/>
    </Cyrillic>
    <DocumentScript>
      <FirstName>Emmanuel</FirstName>
      <LastName>VALLENS</LastName>
      <FullName>Emmanuel VALLENS</FullName>
    </DocumentScript>
  </Names>
  <Initials>EV</Initials>
  <Gender>m</Gender>
  <Email>Emmanu</Email>
  <Service>HOME.D.5</Service>
  <Function ADCode="" ShowInSignature="true" ShowInHeader="false" HeaderText=""/>
  <WebAddress/>
  <InheritedWebAddress>WebAddress</InheritedWebAddress>
  <OrgaEntity1>
    <Id>4f5cd6b8-7bd3-4018-a3f4-3fb44adfff9a</Id>
    <LogicalLevel>1</LogicalLevel>
    <Name>HOME</Name>
    <HeadLine1>DIRECTORATE-GENERAL FOR MIGRATION AND HOME AFFAIRS</HeadLine1>
    <HeadLine2/>
    <PrimaryAddressId>f03b5801-04c9-4931-aa17-c6d6c70bc579</PrimaryAddressId>
    <SecondaryAddressId/>
    <WebAddress>WebAddress</WebAddress>
    <InheritedWebAddress>WebAddress</InheritedWebAddress>
    <ShowInHeader>true</ShowInHeader>
  </OrgaEntity1>
  <OrgaEntity2>
    <Id>da7363ad-03b1-4a06-a0b4-ab3d44a2ae84</Id>
    <LogicalLevel>2</LogicalLevel>
    <Name>HOME.D</Name>
    <HeadLine1>Directorate D: Law Enforcement and Security</HeadLine1>
    <HeadLine2/>
    <PrimaryAddressId>f03b5801-04c9-4931-aa17-c6d6c70bc579</PrimaryAddressId>
    <SecondaryAddressId/>
    <WebAddress/>
    <InheritedWebAddress>WebAddress</InheritedWebAddress>
    <ShowInHeader>true</ShowInHeader>
  </OrgaEntity2>
  <OrgaEntity3>
    <Id>f8fbe6e4-0a6d-44ca-9458-de9f2a8f500d</Id>
    <LogicalLevel>3</LogicalLevel>
    <Name>HOME.D.5</Name>
    <HeadLine1>Unit D.5 : Organised crime and drugs policy</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+32 229-92267</Phone>
    <Office>LX46 04/142</Office>
  </MainWorkplace>
  <Workplaces>
    <Workplace IsMain="false">
      <AddressId>1264fb81-f6bb-475e-9f9d-a937d3be6ee2</AddressId>
      <Fax/>
      <Phone/>
      <Office/>
    </Workplace>
    <Workplace IsMain="true">
      <AddressId>f03b5801-04c9-4931-aa17-c6d6c70bc579</AddressId>
      <Fax/>
      <Phone>+32 229-92267</Phone>
      <Office>LX46 04/142</Office>
    </Workplace>
  </Workplaces>
</Author>
</file>

<file path=customXml/item3.xml><?xml version="1.0" encoding="utf-8"?>
<EurolookProperties>
  <ProductCustomizationId>EC</ProductCustomizationId>
  <Created>
    <Version>10.0.40183.0</Version>
    <Date>2020-03-26T10:19:09</Date>
    <Language>EN</Language>
    <Note/>
  </Created>
  <Edited>
    <Version>10.0.42447.0</Version>
    <Date>2021-10-19T11:00:34</Date>
  </Edited>
  <DocumentModel>
    <Id>34954475-997f-4cb0-a95b-7f65298f3d8c</Id>
    <Name>Report (long)</Name>
  </DocumentModel>
  <DocumentDate>2020-03-26T10:19:09</DocumentDate>
  <DocumentVersion>0.1</DocumentVersion>
  <CompatibilityMode>Eurolook10</CompatibilityMode>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AA85CD31-48C9-4D0C-B688-0715E29F60AF}">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844AC16D-E235-4873-A24B-2D64DF19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5701</Words>
  <Characters>32668</Characters>
  <Application>Microsoft Office Word</Application>
  <DocSecurity>0</DocSecurity>
  <PresentationFormat>Microsoft Word 14.0</PresentationFormat>
  <Lines>510</Lines>
  <Paragraphs>140</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2021-10-14T13:34:00Z</dcterms:created>
  <dcterms:modified xsi:type="dcterms:W3CDTF">2021-10-20T08:29:00Z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