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F12A" w14:textId="5E1A720A" w:rsidR="007D09E1" w:rsidRDefault="005E4779" w:rsidP="005E4779">
      <w:pPr>
        <w:pStyle w:val="Pagedecouverture"/>
        <w:rPr>
          <w:noProof/>
        </w:rPr>
      </w:pPr>
      <w:r>
        <w:rPr>
          <w:noProof/>
        </w:rPr>
        <w:pict w14:anchorId="4AC3A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C8E746B-248D-48A0-B9DD-351FE26B23F6" style="width:455.25pt;height:426pt">
            <v:imagedata r:id="rId8" o:title=""/>
          </v:shape>
        </w:pict>
      </w:r>
    </w:p>
    <w:p w14:paraId="4D2A4649" w14:textId="77777777" w:rsidR="002E68D8" w:rsidRPr="002E68D8" w:rsidRDefault="002E68D8" w:rsidP="002E68D8">
      <w:pPr>
        <w:pStyle w:val="Pagedecouverture"/>
        <w:rPr>
          <w:noProof/>
        </w:rPr>
        <w:sectPr w:rsidR="002E68D8" w:rsidRPr="002E68D8" w:rsidSect="005E4779">
          <w:footerReference w:type="default" r:id="rId9"/>
          <w:pgSz w:w="11907" w:h="16839"/>
          <w:pgMar w:top="1134" w:right="1417" w:bottom="1134" w:left="1417" w:header="709" w:footer="709" w:gutter="0"/>
          <w:pgNumType w:start="0"/>
          <w:cols w:space="720"/>
          <w:docGrid w:linePitch="360"/>
        </w:sectPr>
      </w:pPr>
    </w:p>
    <w:p w14:paraId="427ECDF8" w14:textId="524D4141" w:rsidR="007D09E1" w:rsidRPr="00B3308E" w:rsidRDefault="007D09E1" w:rsidP="0066757E">
      <w:pPr>
        <w:pStyle w:val="Exposdesmotifstitre"/>
        <w:rPr>
          <w:noProof/>
        </w:rPr>
      </w:pPr>
      <w:bookmarkStart w:id="0" w:name="_GoBack"/>
      <w:bookmarkEnd w:id="0"/>
      <w:r w:rsidRPr="00B3308E">
        <w:rPr>
          <w:noProof/>
        </w:rPr>
        <w:lastRenderedPageBreak/>
        <w:t>EXPLANATORY MEMORANDUM</w:t>
      </w:r>
    </w:p>
    <w:p w14:paraId="15B08AB9" w14:textId="77777777" w:rsidR="007D09E1" w:rsidRPr="00B3308E" w:rsidRDefault="007D09E1" w:rsidP="00194FA1">
      <w:pPr>
        <w:pStyle w:val="ManualHeading1"/>
        <w:rPr>
          <w:noProof/>
        </w:rPr>
      </w:pPr>
      <w:r w:rsidRPr="00B3308E">
        <w:rPr>
          <w:noProof/>
        </w:rPr>
        <w:t>1.</w:t>
      </w:r>
      <w:r w:rsidRPr="00B3308E">
        <w:rPr>
          <w:noProof/>
        </w:rPr>
        <w:tab/>
        <w:t>CONTEXT OF THE PROPOSAL</w:t>
      </w:r>
    </w:p>
    <w:p w14:paraId="30C696B4" w14:textId="77777777" w:rsidR="007D09E1" w:rsidRPr="00B3308E" w:rsidRDefault="007D09E1" w:rsidP="00194FA1">
      <w:pPr>
        <w:pStyle w:val="ManualHeading2"/>
        <w:rPr>
          <w:rFonts w:eastAsia="Arial Unicode MS"/>
          <w:noProof/>
        </w:rPr>
      </w:pPr>
      <w:r w:rsidRPr="00B3308E">
        <w:rPr>
          <w:rFonts w:eastAsia="Arial Unicode MS"/>
          <w:noProof/>
          <w:color w:val="000000"/>
          <w:u w:color="000000"/>
          <w:bdr w:val="nil"/>
          <w:lang w:eastAsia="en-GB"/>
        </w:rPr>
        <w:t>•</w:t>
      </w:r>
      <w:r w:rsidRPr="00B3308E">
        <w:rPr>
          <w:rFonts w:eastAsia="Arial Unicode MS"/>
          <w:noProof/>
          <w:color w:val="000000"/>
          <w:u w:color="000000"/>
          <w:bdr w:val="nil"/>
          <w:lang w:eastAsia="en-GB"/>
        </w:rPr>
        <w:tab/>
      </w:r>
      <w:r w:rsidRPr="00B3308E">
        <w:rPr>
          <w:rFonts w:eastAsia="Arial Unicode MS"/>
          <w:noProof/>
        </w:rPr>
        <w:t>Reasons for and objectives of the proposal</w:t>
      </w:r>
    </w:p>
    <w:p w14:paraId="4D903368" w14:textId="58D1451B" w:rsidR="00FF1898" w:rsidRPr="00B3308E" w:rsidRDefault="00FF1898" w:rsidP="00FF1898">
      <w:pPr>
        <w:rPr>
          <w:noProof/>
        </w:rPr>
      </w:pPr>
      <w:r w:rsidRPr="00B3308E">
        <w:rPr>
          <w:noProof/>
        </w:rPr>
        <w:t>Regulation (EU) 2019/1021 of the European Parliament and of the Council</w:t>
      </w:r>
      <w:r w:rsidRPr="00B3308E">
        <w:rPr>
          <w:rStyle w:val="FootnoteReference"/>
          <w:noProof/>
        </w:rPr>
        <w:footnoteReference w:id="2"/>
      </w:r>
      <w:r w:rsidRPr="00B3308E">
        <w:rPr>
          <w:noProof/>
        </w:rPr>
        <w:t xml:space="preserve"> </w:t>
      </w:r>
      <w:r w:rsidR="0009547E" w:rsidRPr="00B3308E">
        <w:rPr>
          <w:noProof/>
        </w:rPr>
        <w:t xml:space="preserve">on persistent organic pollutants </w:t>
      </w:r>
      <w:r w:rsidRPr="00B3308E">
        <w:rPr>
          <w:noProof/>
        </w:rPr>
        <w:t>(</w:t>
      </w:r>
      <w:r w:rsidR="00B3308E">
        <w:rPr>
          <w:noProof/>
        </w:rPr>
        <w:t>‘</w:t>
      </w:r>
      <w:r w:rsidRPr="00B3308E">
        <w:rPr>
          <w:noProof/>
        </w:rPr>
        <w:t>the POPs Regulation</w:t>
      </w:r>
      <w:r w:rsidR="00B3308E">
        <w:rPr>
          <w:noProof/>
        </w:rPr>
        <w:t>’</w:t>
      </w:r>
      <w:r w:rsidRPr="00B3308E">
        <w:rPr>
          <w:noProof/>
        </w:rPr>
        <w:t>) implements the commitments of the Union under the Stockholm Convention on Persistent Organic Pollutants (‘the Stockholm Convention’)</w:t>
      </w:r>
      <w:r w:rsidR="00B3308E">
        <w:rPr>
          <w:noProof/>
        </w:rPr>
        <w:t>,</w:t>
      </w:r>
      <w:r w:rsidRPr="00B3308E">
        <w:rPr>
          <w:noProof/>
        </w:rPr>
        <w:t xml:space="preserve"> approved by Council Decision 2006/507/EC</w:t>
      </w:r>
      <w:r w:rsidRPr="00B3308E">
        <w:rPr>
          <w:rStyle w:val="FootnoteReference"/>
          <w:noProof/>
        </w:rPr>
        <w:footnoteReference w:id="3"/>
      </w:r>
      <w:r w:rsidR="00B3308E">
        <w:rPr>
          <w:noProof/>
        </w:rPr>
        <w:t>,</w:t>
      </w:r>
      <w:r w:rsidRPr="00B3308E">
        <w:rPr>
          <w:noProof/>
        </w:rPr>
        <w:t xml:space="preserve"> and under the Protocol to the 1979 Convention on Long-Range Transboundary Air Pollution on Persistent Organic Pollutants (‘the POPs Protocol’)</w:t>
      </w:r>
      <w:r w:rsidR="00B3308E">
        <w:rPr>
          <w:noProof/>
        </w:rPr>
        <w:t>,</w:t>
      </w:r>
      <w:r w:rsidRPr="00B3308E">
        <w:rPr>
          <w:noProof/>
        </w:rPr>
        <w:t xml:space="preserve"> approved by Council Decision 2004/259/EC</w:t>
      </w:r>
      <w:r w:rsidRPr="00B3308E">
        <w:rPr>
          <w:rStyle w:val="FootnoteReference"/>
          <w:noProof/>
        </w:rPr>
        <w:footnoteReference w:id="4"/>
      </w:r>
      <w:r w:rsidRPr="00B3308E">
        <w:rPr>
          <w:noProof/>
        </w:rPr>
        <w:t>.</w:t>
      </w:r>
    </w:p>
    <w:p w14:paraId="30110994" w14:textId="1C2041C3" w:rsidR="00C81D51" w:rsidRPr="00B3308E" w:rsidRDefault="00C81D51" w:rsidP="00FF1898">
      <w:pPr>
        <w:rPr>
          <w:noProof/>
        </w:rPr>
      </w:pPr>
      <w:r w:rsidRPr="00B3308E">
        <w:rPr>
          <w:rFonts w:eastAsia="Calibri"/>
          <w:noProof/>
          <w:szCs w:val="24"/>
        </w:rPr>
        <w:t xml:space="preserve">The primary purpose of the proposal is to implement, for the substances </w:t>
      </w:r>
      <w:r w:rsidR="00B3308E">
        <w:rPr>
          <w:rFonts w:eastAsia="Calibri"/>
          <w:noProof/>
          <w:szCs w:val="24"/>
        </w:rPr>
        <w:t>with</w:t>
      </w:r>
      <w:r w:rsidR="003C0C0C" w:rsidRPr="00B3308E">
        <w:rPr>
          <w:rFonts w:eastAsia="Calibri"/>
          <w:noProof/>
          <w:szCs w:val="24"/>
        </w:rPr>
        <w:t xml:space="preserve">in </w:t>
      </w:r>
      <w:r w:rsidR="00B3308E">
        <w:rPr>
          <w:rFonts w:eastAsia="Calibri"/>
          <w:noProof/>
          <w:szCs w:val="24"/>
        </w:rPr>
        <w:t xml:space="preserve">its </w:t>
      </w:r>
      <w:r w:rsidR="003C0C0C" w:rsidRPr="00B3308E">
        <w:rPr>
          <w:rFonts w:eastAsia="Calibri"/>
          <w:noProof/>
          <w:szCs w:val="24"/>
        </w:rPr>
        <w:t>scope</w:t>
      </w:r>
      <w:r w:rsidRPr="00B3308E">
        <w:rPr>
          <w:rFonts w:eastAsia="Calibri"/>
          <w:noProof/>
          <w:szCs w:val="24"/>
        </w:rPr>
        <w:t xml:space="preserve">, the EU’s </w:t>
      </w:r>
      <w:r w:rsidRPr="00B3308E">
        <w:rPr>
          <w:rFonts w:eastAsia="Calibri"/>
          <w:b/>
          <w:noProof/>
          <w:szCs w:val="24"/>
        </w:rPr>
        <w:t>international obligations under the Stockholm Convention</w:t>
      </w:r>
      <w:r w:rsidRPr="00B3308E">
        <w:rPr>
          <w:rFonts w:eastAsia="Calibri"/>
          <w:noProof/>
          <w:szCs w:val="24"/>
        </w:rPr>
        <w:t xml:space="preserve"> and, more specifically, those derived from the POPs Regulation. Therefore</w:t>
      </w:r>
      <w:r w:rsidR="00B3308E">
        <w:rPr>
          <w:rFonts w:eastAsia="Calibri"/>
          <w:noProof/>
          <w:szCs w:val="24"/>
        </w:rPr>
        <w:t>,</w:t>
      </w:r>
      <w:r w:rsidRPr="00B3308E">
        <w:rPr>
          <w:rFonts w:eastAsia="Calibri"/>
          <w:noProof/>
          <w:szCs w:val="24"/>
        </w:rPr>
        <w:t xml:space="preserve"> the main objective of the </w:t>
      </w:r>
      <w:r w:rsidR="0009547E" w:rsidRPr="00B3308E">
        <w:rPr>
          <w:rFonts w:eastAsia="Calibri"/>
          <w:noProof/>
          <w:szCs w:val="24"/>
        </w:rPr>
        <w:t xml:space="preserve">proposal </w:t>
      </w:r>
      <w:r w:rsidRPr="00B3308E">
        <w:rPr>
          <w:rFonts w:eastAsia="Calibri"/>
          <w:noProof/>
          <w:szCs w:val="24"/>
        </w:rPr>
        <w:t xml:space="preserve">is </w:t>
      </w:r>
      <w:r w:rsidR="0009547E" w:rsidRPr="00B3308E">
        <w:rPr>
          <w:rFonts w:eastAsia="Calibri"/>
          <w:noProof/>
          <w:szCs w:val="24"/>
        </w:rPr>
        <w:t xml:space="preserve">to </w:t>
      </w:r>
      <w:r w:rsidRPr="00B3308E">
        <w:rPr>
          <w:rFonts w:eastAsia="Calibri"/>
          <w:b/>
          <w:noProof/>
          <w:szCs w:val="24"/>
        </w:rPr>
        <w:t>protect human health and the environment</w:t>
      </w:r>
      <w:r w:rsidRPr="00B3308E">
        <w:rPr>
          <w:rFonts w:eastAsia="Calibri"/>
          <w:noProof/>
          <w:szCs w:val="24"/>
        </w:rPr>
        <w:t xml:space="preserve"> from the adverse effects caused by POP substances and eliminating or minimising emissions of POPs from waste.</w:t>
      </w:r>
      <w:r w:rsidR="00A873B0" w:rsidRPr="00B3308E">
        <w:rPr>
          <w:noProof/>
          <w:szCs w:val="24"/>
        </w:rPr>
        <w:t xml:space="preserve"> Taking this into account, the general objectives of this initiative are also to ensure, to the extent possible, </w:t>
      </w:r>
      <w:r w:rsidR="00A873B0" w:rsidRPr="00B3308E">
        <w:rPr>
          <w:b/>
          <w:noProof/>
          <w:szCs w:val="24"/>
        </w:rPr>
        <w:t>an optimal balance with the European Green Deal</w:t>
      </w:r>
      <w:r w:rsidR="00B3308E">
        <w:rPr>
          <w:b/>
          <w:noProof/>
          <w:szCs w:val="24"/>
        </w:rPr>
        <w:t>’</w:t>
      </w:r>
      <w:r w:rsidR="00A873B0" w:rsidRPr="00B3308E">
        <w:rPr>
          <w:b/>
          <w:noProof/>
          <w:szCs w:val="24"/>
        </w:rPr>
        <w:t>s ambitions</w:t>
      </w:r>
      <w:r w:rsidR="00A873B0" w:rsidRPr="00B3308E">
        <w:rPr>
          <w:noProof/>
          <w:szCs w:val="24"/>
        </w:rPr>
        <w:t xml:space="preserve"> to achieve </w:t>
      </w:r>
      <w:r w:rsidR="00A873B0" w:rsidRPr="00B3308E">
        <w:rPr>
          <w:b/>
          <w:noProof/>
          <w:szCs w:val="24"/>
        </w:rPr>
        <w:t>toxic-free material cycles</w:t>
      </w:r>
      <w:r w:rsidR="00A873B0" w:rsidRPr="00B3308E">
        <w:rPr>
          <w:noProof/>
          <w:szCs w:val="24"/>
        </w:rPr>
        <w:t xml:space="preserve">, increase </w:t>
      </w:r>
      <w:r w:rsidR="00A873B0" w:rsidRPr="00B3308E">
        <w:rPr>
          <w:b/>
          <w:noProof/>
          <w:szCs w:val="24"/>
        </w:rPr>
        <w:t>recycling and circularity</w:t>
      </w:r>
      <w:r w:rsidR="00A873B0" w:rsidRPr="00B3308E">
        <w:rPr>
          <w:noProof/>
          <w:szCs w:val="24"/>
        </w:rPr>
        <w:t xml:space="preserve"> and </w:t>
      </w:r>
      <w:r w:rsidR="00A873B0" w:rsidRPr="00B3308E">
        <w:rPr>
          <w:b/>
          <w:noProof/>
          <w:szCs w:val="24"/>
        </w:rPr>
        <w:t>reduce GHG emissions</w:t>
      </w:r>
      <w:r w:rsidR="00A873B0" w:rsidRPr="00B3308E">
        <w:rPr>
          <w:noProof/>
          <w:szCs w:val="24"/>
        </w:rPr>
        <w:t>.</w:t>
      </w:r>
    </w:p>
    <w:p w14:paraId="18A942B8" w14:textId="62BFCC18" w:rsidR="0087601A" w:rsidRPr="00B3308E" w:rsidRDefault="0087601A" w:rsidP="0087601A">
      <w:pPr>
        <w:rPr>
          <w:noProof/>
          <w:szCs w:val="24"/>
        </w:rPr>
      </w:pPr>
      <w:r w:rsidRPr="00B3308E">
        <w:rPr>
          <w:noProof/>
          <w:szCs w:val="24"/>
        </w:rPr>
        <w:t xml:space="preserve">The problems caused by POP substances are related to their </w:t>
      </w:r>
      <w:r w:rsidRPr="00B3308E">
        <w:rPr>
          <w:b/>
          <w:noProof/>
          <w:szCs w:val="24"/>
        </w:rPr>
        <w:t>intrinsic physical and chemical properties</w:t>
      </w:r>
      <w:r w:rsidRPr="00B3308E">
        <w:rPr>
          <w:noProof/>
          <w:szCs w:val="24"/>
        </w:rPr>
        <w:t>, to how and where they have been used</w:t>
      </w:r>
      <w:r w:rsidR="00B3308E">
        <w:rPr>
          <w:noProof/>
          <w:szCs w:val="24"/>
        </w:rPr>
        <w:t>,</w:t>
      </w:r>
      <w:r w:rsidRPr="00B3308E">
        <w:rPr>
          <w:noProof/>
          <w:szCs w:val="24"/>
        </w:rPr>
        <w:t xml:space="preserve"> and to the adverse effects that their progressive release has on the health of human beings</w:t>
      </w:r>
      <w:r w:rsidR="003C0C0C" w:rsidRPr="00B3308E">
        <w:rPr>
          <w:noProof/>
          <w:szCs w:val="24"/>
        </w:rPr>
        <w:t>, of</w:t>
      </w:r>
      <w:r w:rsidRPr="00B3308E">
        <w:rPr>
          <w:noProof/>
          <w:szCs w:val="24"/>
        </w:rPr>
        <w:t xml:space="preserve"> ecosystems and </w:t>
      </w:r>
      <w:r w:rsidR="003C0C0C" w:rsidRPr="00B3308E">
        <w:rPr>
          <w:noProof/>
          <w:szCs w:val="24"/>
        </w:rPr>
        <w:t xml:space="preserve">on </w:t>
      </w:r>
      <w:r w:rsidRPr="00B3308E">
        <w:rPr>
          <w:noProof/>
          <w:szCs w:val="24"/>
        </w:rPr>
        <w:t>the services these provide. In one way or another</w:t>
      </w:r>
      <w:r w:rsidR="00B3308E">
        <w:rPr>
          <w:noProof/>
          <w:szCs w:val="24"/>
        </w:rPr>
        <w:t>,</w:t>
      </w:r>
      <w:r w:rsidRPr="00B3308E">
        <w:rPr>
          <w:noProof/>
          <w:szCs w:val="24"/>
        </w:rPr>
        <w:t xml:space="preserve"> all POP substances are recognised to have adverse, generally long-term effects upon living organisms. They persist for a very long time in the environment and in our bodies and can be transported unchanged to almost any remote point of the globe, far away from where they were produced or used. </w:t>
      </w:r>
    </w:p>
    <w:p w14:paraId="3071390D" w14:textId="0BD18CA5" w:rsidR="00F16D4E" w:rsidRPr="00B3308E" w:rsidRDefault="00F16D4E" w:rsidP="00F16D4E">
      <w:pPr>
        <w:rPr>
          <w:noProof/>
          <w:szCs w:val="24"/>
        </w:rPr>
      </w:pPr>
      <w:r w:rsidRPr="00B3308E">
        <w:rPr>
          <w:noProof/>
          <w:szCs w:val="24"/>
        </w:rPr>
        <w:t xml:space="preserve">More concretely, the aim of this </w:t>
      </w:r>
      <w:r w:rsidR="00896A24">
        <w:rPr>
          <w:noProof/>
          <w:szCs w:val="24"/>
        </w:rPr>
        <w:t>initiative</w:t>
      </w:r>
      <w:r w:rsidRPr="00B3308E">
        <w:rPr>
          <w:noProof/>
          <w:szCs w:val="24"/>
        </w:rPr>
        <w:t xml:space="preserve"> </w:t>
      </w:r>
      <w:r w:rsidRPr="00B3308E">
        <w:rPr>
          <w:rFonts w:eastAsia="Times New Roman"/>
          <w:noProof/>
          <w:szCs w:val="24"/>
        </w:rPr>
        <w:t xml:space="preserve">is to </w:t>
      </w:r>
      <w:r w:rsidRPr="00B3308E">
        <w:rPr>
          <w:rFonts w:eastAsia="Times New Roman"/>
          <w:b/>
          <w:noProof/>
          <w:szCs w:val="24"/>
        </w:rPr>
        <w:t>update</w:t>
      </w:r>
      <w:r w:rsidR="00F424E8" w:rsidRPr="00B3308E">
        <w:rPr>
          <w:rFonts w:eastAsia="Times New Roman"/>
          <w:b/>
          <w:noProof/>
          <w:szCs w:val="24"/>
        </w:rPr>
        <w:t>, for certain substances</w:t>
      </w:r>
      <w:r w:rsidR="0003495C" w:rsidRPr="00B3308E">
        <w:rPr>
          <w:rFonts w:eastAsia="Times New Roman"/>
          <w:b/>
          <w:noProof/>
          <w:szCs w:val="24"/>
        </w:rPr>
        <w:t xml:space="preserve"> and groups of substances</w:t>
      </w:r>
      <w:r w:rsidR="00F424E8" w:rsidRPr="00B3308E">
        <w:rPr>
          <w:rFonts w:eastAsia="Times New Roman"/>
          <w:b/>
          <w:noProof/>
          <w:szCs w:val="24"/>
        </w:rPr>
        <w:t xml:space="preserve">, </w:t>
      </w:r>
      <w:r w:rsidRPr="00B3308E">
        <w:rPr>
          <w:rFonts w:eastAsia="Times New Roman"/>
          <w:b/>
          <w:noProof/>
          <w:szCs w:val="24"/>
        </w:rPr>
        <w:t xml:space="preserve">the </w:t>
      </w:r>
      <w:r w:rsidR="00681BA9">
        <w:rPr>
          <w:rFonts w:eastAsia="Times New Roman"/>
          <w:b/>
          <w:noProof/>
          <w:szCs w:val="24"/>
        </w:rPr>
        <w:t>concentration limits</w:t>
      </w:r>
      <w:r w:rsidRPr="00B3308E">
        <w:rPr>
          <w:rFonts w:eastAsia="Times New Roman"/>
          <w:b/>
          <w:noProof/>
          <w:szCs w:val="24"/>
        </w:rPr>
        <w:t xml:space="preserve"> set in Annexes IV and V of the POPs Regulation</w:t>
      </w:r>
      <w:r w:rsidRPr="00B3308E">
        <w:rPr>
          <w:rFonts w:eastAsia="Times New Roman"/>
          <w:noProof/>
          <w:szCs w:val="24"/>
        </w:rPr>
        <w:t xml:space="preserve">, which determine how </w:t>
      </w:r>
      <w:r w:rsidR="0003495C" w:rsidRPr="00B3308E">
        <w:rPr>
          <w:rFonts w:eastAsia="Times New Roman"/>
          <w:noProof/>
          <w:szCs w:val="24"/>
        </w:rPr>
        <w:t xml:space="preserve">waste that contains </w:t>
      </w:r>
      <w:r w:rsidR="00A873B0" w:rsidRPr="00B3308E">
        <w:rPr>
          <w:rFonts w:eastAsia="Times New Roman"/>
          <w:noProof/>
          <w:szCs w:val="24"/>
        </w:rPr>
        <w:t xml:space="preserve">POPs </w:t>
      </w:r>
      <w:r w:rsidRPr="00B3308E">
        <w:rPr>
          <w:rFonts w:eastAsia="Times New Roman"/>
          <w:noProof/>
          <w:szCs w:val="24"/>
        </w:rPr>
        <w:t xml:space="preserve">is treated, particularly whether </w:t>
      </w:r>
      <w:r w:rsidR="00896A24">
        <w:rPr>
          <w:rFonts w:eastAsia="Times New Roman"/>
          <w:noProof/>
          <w:szCs w:val="24"/>
        </w:rPr>
        <w:t>it</w:t>
      </w:r>
      <w:r w:rsidRPr="00B3308E">
        <w:rPr>
          <w:rFonts w:eastAsia="Times New Roman"/>
          <w:noProof/>
          <w:szCs w:val="24"/>
        </w:rPr>
        <w:t xml:space="preserve"> can be recycled or should be destroyed or irreversibly transformed.</w:t>
      </w:r>
      <w:r w:rsidR="0003495C" w:rsidRPr="00B3308E">
        <w:rPr>
          <w:rFonts w:eastAsia="Times New Roman"/>
          <w:noProof/>
          <w:szCs w:val="24"/>
        </w:rPr>
        <w:t xml:space="preserve"> This update brings Annexes IV and V of the Regulation in line with the Stockholm Convention and with Annex I of the POPs Regulation by aligning with the substances listed therein and introducing </w:t>
      </w:r>
      <w:r w:rsidR="00681BA9">
        <w:rPr>
          <w:rFonts w:eastAsia="Times New Roman"/>
          <w:noProof/>
          <w:szCs w:val="24"/>
        </w:rPr>
        <w:t xml:space="preserve">concentration </w:t>
      </w:r>
      <w:r w:rsidR="0003495C" w:rsidRPr="00B3308E">
        <w:rPr>
          <w:rFonts w:eastAsia="Times New Roman"/>
          <w:noProof/>
          <w:szCs w:val="24"/>
        </w:rPr>
        <w:t>limit va</w:t>
      </w:r>
      <w:r w:rsidR="00993105">
        <w:rPr>
          <w:rFonts w:eastAsia="Times New Roman"/>
          <w:noProof/>
          <w:szCs w:val="24"/>
        </w:rPr>
        <w:t>l</w:t>
      </w:r>
      <w:r w:rsidR="0003495C" w:rsidRPr="00B3308E">
        <w:rPr>
          <w:rFonts w:eastAsia="Times New Roman"/>
          <w:noProof/>
          <w:szCs w:val="24"/>
        </w:rPr>
        <w:t>ues for them. It also adapts</w:t>
      </w:r>
      <w:r w:rsidR="00302CFA">
        <w:rPr>
          <w:rFonts w:eastAsia="Times New Roman"/>
          <w:noProof/>
          <w:szCs w:val="24"/>
        </w:rPr>
        <w:t>,</w:t>
      </w:r>
      <w:r w:rsidR="0003495C" w:rsidRPr="00B3308E">
        <w:rPr>
          <w:rFonts w:eastAsia="Times New Roman"/>
          <w:noProof/>
          <w:szCs w:val="24"/>
        </w:rPr>
        <w:t xml:space="preserve"> to scientific and technical progress</w:t>
      </w:r>
      <w:r w:rsidR="00302CFA">
        <w:rPr>
          <w:rFonts w:eastAsia="Times New Roman"/>
          <w:noProof/>
          <w:szCs w:val="24"/>
        </w:rPr>
        <w:t>,</w:t>
      </w:r>
      <w:r w:rsidR="0003495C" w:rsidRPr="00B3308E">
        <w:rPr>
          <w:rFonts w:eastAsia="Times New Roman"/>
          <w:noProof/>
          <w:szCs w:val="24"/>
        </w:rPr>
        <w:t xml:space="preserve"> the limit values for some substances that are already listed.  </w:t>
      </w:r>
    </w:p>
    <w:p w14:paraId="02A68802" w14:textId="6AE557CD" w:rsidR="00F16D4E" w:rsidRPr="00B3308E" w:rsidRDefault="00F16D4E" w:rsidP="00F16D4E">
      <w:pPr>
        <w:rPr>
          <w:noProof/>
          <w:szCs w:val="24"/>
        </w:rPr>
      </w:pPr>
      <w:r w:rsidRPr="00B3308E">
        <w:rPr>
          <w:noProof/>
          <w:szCs w:val="24"/>
        </w:rPr>
        <w:t>Management of POP waste, including i</w:t>
      </w:r>
      <w:r w:rsidR="00F424E8" w:rsidRPr="00B3308E">
        <w:rPr>
          <w:noProof/>
          <w:szCs w:val="24"/>
        </w:rPr>
        <w:t>t</w:t>
      </w:r>
      <w:r w:rsidRPr="00B3308E">
        <w:rPr>
          <w:noProof/>
          <w:szCs w:val="24"/>
        </w:rPr>
        <w:t xml:space="preserve">s recycling where this is possible, should be carried out in an </w:t>
      </w:r>
      <w:r w:rsidRPr="00B3308E">
        <w:rPr>
          <w:b/>
          <w:noProof/>
          <w:szCs w:val="24"/>
        </w:rPr>
        <w:t>environmentally sound manner</w:t>
      </w:r>
      <w:r w:rsidRPr="00B3308E">
        <w:rPr>
          <w:noProof/>
          <w:szCs w:val="24"/>
        </w:rPr>
        <w:t xml:space="preserve">, with minimal impact on human health and the environment. The resulting secondary materials should </w:t>
      </w:r>
      <w:r w:rsidRPr="00B3308E">
        <w:rPr>
          <w:b/>
          <w:noProof/>
          <w:szCs w:val="24"/>
        </w:rPr>
        <w:t>always be safe</w:t>
      </w:r>
      <w:r w:rsidR="002C18FE">
        <w:rPr>
          <w:b/>
          <w:noProof/>
          <w:szCs w:val="24"/>
        </w:rPr>
        <w:t>ly useable</w:t>
      </w:r>
      <w:r w:rsidRPr="00B3308E">
        <w:rPr>
          <w:noProof/>
          <w:szCs w:val="24"/>
        </w:rPr>
        <w:t xml:space="preserve"> and fit</w:t>
      </w:r>
      <w:r w:rsidR="00302CFA">
        <w:rPr>
          <w:noProof/>
          <w:szCs w:val="24"/>
        </w:rPr>
        <w:t xml:space="preserve"> </w:t>
      </w:r>
      <w:r w:rsidRPr="00B3308E">
        <w:rPr>
          <w:noProof/>
          <w:szCs w:val="24"/>
        </w:rPr>
        <w:t>for</w:t>
      </w:r>
      <w:r w:rsidR="00302CFA">
        <w:rPr>
          <w:noProof/>
          <w:szCs w:val="24"/>
        </w:rPr>
        <w:t xml:space="preserve"> </w:t>
      </w:r>
      <w:r w:rsidRPr="00B3308E">
        <w:rPr>
          <w:noProof/>
          <w:szCs w:val="24"/>
        </w:rPr>
        <w:t xml:space="preserve">purpose and, to the greatest extent feasible, </w:t>
      </w:r>
      <w:r w:rsidRPr="00B3308E">
        <w:rPr>
          <w:b/>
          <w:noProof/>
          <w:szCs w:val="24"/>
        </w:rPr>
        <w:t>free of toxic substances</w:t>
      </w:r>
      <w:r w:rsidRPr="00B3308E">
        <w:rPr>
          <w:noProof/>
          <w:szCs w:val="24"/>
        </w:rPr>
        <w:t xml:space="preserve">. It should also minimise the extent to which toxic substances are released </w:t>
      </w:r>
      <w:r w:rsidR="00896A24">
        <w:rPr>
          <w:noProof/>
          <w:szCs w:val="24"/>
        </w:rPr>
        <w:t>in</w:t>
      </w:r>
      <w:r w:rsidRPr="00B3308E">
        <w:rPr>
          <w:noProof/>
          <w:szCs w:val="24"/>
        </w:rPr>
        <w:t xml:space="preserve">to the environment, and thus contribute to the </w:t>
      </w:r>
      <w:r w:rsidR="00302CFA">
        <w:rPr>
          <w:noProof/>
          <w:szCs w:val="24"/>
        </w:rPr>
        <w:t>z</w:t>
      </w:r>
      <w:r w:rsidRPr="00B3308E">
        <w:rPr>
          <w:noProof/>
          <w:szCs w:val="24"/>
        </w:rPr>
        <w:t>ero</w:t>
      </w:r>
      <w:r w:rsidR="00302CFA">
        <w:rPr>
          <w:noProof/>
          <w:szCs w:val="24"/>
        </w:rPr>
        <w:t xml:space="preserve"> p</w:t>
      </w:r>
      <w:r w:rsidRPr="00B3308E">
        <w:rPr>
          <w:noProof/>
          <w:szCs w:val="24"/>
        </w:rPr>
        <w:t xml:space="preserve">ollution </w:t>
      </w:r>
      <w:r w:rsidR="00302CFA">
        <w:rPr>
          <w:noProof/>
          <w:szCs w:val="24"/>
        </w:rPr>
        <w:t>a</w:t>
      </w:r>
      <w:r w:rsidRPr="00B3308E">
        <w:rPr>
          <w:noProof/>
          <w:szCs w:val="24"/>
        </w:rPr>
        <w:t xml:space="preserve">mbition by reducing </w:t>
      </w:r>
      <w:r w:rsidR="00302CFA">
        <w:rPr>
          <w:noProof/>
          <w:szCs w:val="24"/>
        </w:rPr>
        <w:t xml:space="preserve">their </w:t>
      </w:r>
      <w:r w:rsidRPr="00B3308E">
        <w:rPr>
          <w:noProof/>
          <w:szCs w:val="24"/>
        </w:rPr>
        <w:t xml:space="preserve">environmental and health impact. </w:t>
      </w:r>
      <w:r w:rsidR="00302CFA">
        <w:rPr>
          <w:noProof/>
          <w:szCs w:val="24"/>
        </w:rPr>
        <w:t>To</w:t>
      </w:r>
      <w:r w:rsidRPr="00B3308E">
        <w:rPr>
          <w:noProof/>
          <w:szCs w:val="24"/>
        </w:rPr>
        <w:t xml:space="preserve"> achieve this, suitable, state-of-the art </w:t>
      </w:r>
      <w:r w:rsidRPr="00B3308E">
        <w:rPr>
          <w:b/>
          <w:noProof/>
          <w:szCs w:val="24"/>
        </w:rPr>
        <w:t>sorting and decontamination technologies</w:t>
      </w:r>
      <w:r w:rsidRPr="00B3308E">
        <w:rPr>
          <w:noProof/>
          <w:szCs w:val="24"/>
        </w:rPr>
        <w:t xml:space="preserve"> must be available. </w:t>
      </w:r>
    </w:p>
    <w:p w14:paraId="49BC77DD" w14:textId="77777777" w:rsidR="00F16D4E" w:rsidRPr="00B3308E" w:rsidRDefault="00F16D4E" w:rsidP="00F16D4E">
      <w:pPr>
        <w:rPr>
          <w:noProof/>
          <w:szCs w:val="24"/>
        </w:rPr>
      </w:pPr>
      <w:r w:rsidRPr="00B3308E">
        <w:rPr>
          <w:noProof/>
          <w:szCs w:val="24"/>
        </w:rPr>
        <w:t xml:space="preserve"> </w:t>
      </w:r>
    </w:p>
    <w:p w14:paraId="5E4F2989" w14:textId="77777777" w:rsidR="007D09E1" w:rsidRPr="00B3308E" w:rsidRDefault="007D09E1" w:rsidP="00194FA1">
      <w:pPr>
        <w:pStyle w:val="ManualHeading2"/>
        <w:rPr>
          <w:rFonts w:eastAsia="Arial Unicode MS"/>
          <w:noProof/>
          <w:color w:val="000000"/>
          <w:u w:color="000000"/>
          <w:bdr w:val="nil"/>
          <w:lang w:eastAsia="en-GB"/>
        </w:rPr>
      </w:pPr>
      <w:r w:rsidRPr="00B3308E">
        <w:rPr>
          <w:rFonts w:eastAsia="Arial Unicode MS"/>
          <w:noProof/>
          <w:color w:val="000000"/>
          <w:u w:color="000000"/>
          <w:bdr w:val="nil"/>
          <w:lang w:eastAsia="en-GB"/>
        </w:rPr>
        <w:t>•</w:t>
      </w:r>
      <w:r w:rsidRPr="00B3308E">
        <w:rPr>
          <w:rFonts w:eastAsia="Arial Unicode MS"/>
          <w:noProof/>
          <w:color w:val="000000"/>
          <w:u w:color="000000"/>
          <w:bdr w:val="nil"/>
          <w:lang w:eastAsia="en-GB"/>
        </w:rPr>
        <w:tab/>
      </w:r>
      <w:r w:rsidRPr="00B3308E">
        <w:rPr>
          <w:rFonts w:eastAsia="Arial Unicode MS"/>
          <w:noProof/>
        </w:rPr>
        <w:t>Consistency with existing policy provisions in the policy area</w:t>
      </w:r>
    </w:p>
    <w:p w14:paraId="1DF94BDB" w14:textId="6399F56B" w:rsidR="0036559B" w:rsidRPr="00B3308E" w:rsidRDefault="0036559B" w:rsidP="0036559B">
      <w:pPr>
        <w:pBdr>
          <w:top w:val="nil"/>
          <w:left w:val="nil"/>
          <w:bottom w:val="nil"/>
          <w:right w:val="nil"/>
          <w:between w:val="nil"/>
          <w:bar w:val="nil"/>
        </w:pBdr>
        <w:spacing w:before="0" w:after="240"/>
        <w:rPr>
          <w:rFonts w:eastAsia="Arial Unicode MS"/>
          <w:noProof/>
        </w:rPr>
      </w:pPr>
      <w:r w:rsidRPr="00B3308E">
        <w:rPr>
          <w:rFonts w:eastAsia="Arial Unicode MS"/>
          <w:noProof/>
        </w:rPr>
        <w:t xml:space="preserve">The current Union rules </w:t>
      </w:r>
      <w:r w:rsidR="00896A24">
        <w:rPr>
          <w:rFonts w:eastAsia="Arial Unicode MS"/>
          <w:noProof/>
        </w:rPr>
        <w:t>on</w:t>
      </w:r>
      <w:r w:rsidRPr="00B3308E">
        <w:rPr>
          <w:rFonts w:eastAsia="Arial Unicode MS"/>
          <w:noProof/>
        </w:rPr>
        <w:t xml:space="preserve"> the management </w:t>
      </w:r>
      <w:r w:rsidRPr="00B3308E">
        <w:rPr>
          <w:noProof/>
        </w:rPr>
        <w:t>of persistent organic pollutants</w:t>
      </w:r>
      <w:r w:rsidRPr="00B3308E">
        <w:rPr>
          <w:rFonts w:eastAsia="Arial Unicode MS"/>
          <w:noProof/>
        </w:rPr>
        <w:t xml:space="preserve"> are laid down in the POPs Regulation. In addition, Union obligations relating to </w:t>
      </w:r>
      <w:r w:rsidR="00896A24">
        <w:rPr>
          <w:rFonts w:eastAsia="Arial Unicode MS"/>
          <w:noProof/>
        </w:rPr>
        <w:t xml:space="preserve">the </w:t>
      </w:r>
      <w:r w:rsidRPr="00B3308E">
        <w:rPr>
          <w:rFonts w:eastAsia="Arial Unicode MS"/>
          <w:noProof/>
        </w:rPr>
        <w:t>export of persistent organic pollutants are implemented by Regulation (EU) No 649/2012 of the European Parliament and of the Council</w:t>
      </w:r>
      <w:r w:rsidR="009543D9" w:rsidRPr="00B3308E">
        <w:rPr>
          <w:rStyle w:val="FootnoteReference"/>
          <w:rFonts w:eastAsia="Arial Unicode MS"/>
          <w:noProof/>
        </w:rPr>
        <w:footnoteReference w:id="5"/>
      </w:r>
      <w:r w:rsidRPr="00B3308E">
        <w:rPr>
          <w:rFonts w:eastAsia="Arial Unicode MS"/>
          <w:noProof/>
        </w:rPr>
        <w:t>.</w:t>
      </w:r>
    </w:p>
    <w:p w14:paraId="7FDFD74A" w14:textId="0B30256A" w:rsidR="00545ED3" w:rsidRPr="00B3308E" w:rsidRDefault="00F424E8" w:rsidP="00545ED3">
      <w:pPr>
        <w:rPr>
          <w:rFonts w:eastAsia="Calibri"/>
          <w:noProof/>
          <w:szCs w:val="24"/>
        </w:rPr>
      </w:pPr>
      <w:r w:rsidRPr="00B3308E">
        <w:rPr>
          <w:rFonts w:eastAsia="Arial Unicode MS"/>
          <w:noProof/>
        </w:rPr>
        <w:t xml:space="preserve">The proposal amends </w:t>
      </w:r>
      <w:r w:rsidR="005F4B01" w:rsidRPr="00B3308E">
        <w:rPr>
          <w:rFonts w:eastAsia="Arial Unicode MS"/>
          <w:noProof/>
        </w:rPr>
        <w:t xml:space="preserve">Annexes IV and V of </w:t>
      </w:r>
      <w:r w:rsidRPr="00B3308E">
        <w:rPr>
          <w:rFonts w:eastAsia="Arial Unicode MS"/>
          <w:noProof/>
        </w:rPr>
        <w:t>the POPs Regulation</w:t>
      </w:r>
      <w:r w:rsidR="00A873B0" w:rsidRPr="00B3308E">
        <w:rPr>
          <w:rFonts w:eastAsia="Arial Unicode MS"/>
          <w:noProof/>
        </w:rPr>
        <w:t>, implements the Union’s</w:t>
      </w:r>
      <w:r w:rsidRPr="00B3308E">
        <w:rPr>
          <w:rFonts w:eastAsia="Arial Unicode MS"/>
          <w:noProof/>
        </w:rPr>
        <w:t xml:space="preserve"> commitments in the context of the Stockholm Convention</w:t>
      </w:r>
      <w:r w:rsidR="00A873B0" w:rsidRPr="00B3308E">
        <w:rPr>
          <w:rFonts w:eastAsia="Arial Unicode MS"/>
          <w:noProof/>
        </w:rPr>
        <w:t xml:space="preserve"> and the POP Protocol</w:t>
      </w:r>
      <w:r w:rsidR="00896A24">
        <w:rPr>
          <w:rFonts w:eastAsia="Arial Unicode MS"/>
          <w:noProof/>
        </w:rPr>
        <w:t>,</w:t>
      </w:r>
      <w:r w:rsidR="00A873B0" w:rsidRPr="00B3308E">
        <w:rPr>
          <w:rFonts w:eastAsia="Arial Unicode MS"/>
          <w:noProof/>
        </w:rPr>
        <w:t xml:space="preserve"> and is consistent with</w:t>
      </w:r>
      <w:r w:rsidRPr="00B3308E">
        <w:rPr>
          <w:rFonts w:eastAsia="Arial Unicode MS"/>
          <w:noProof/>
        </w:rPr>
        <w:t xml:space="preserve"> the Basel Convention on </w:t>
      </w:r>
      <w:r w:rsidR="00545ED3" w:rsidRPr="00B3308E">
        <w:rPr>
          <w:rFonts w:eastAsia="Times New Roman"/>
          <w:noProof/>
          <w:szCs w:val="24"/>
        </w:rPr>
        <w:t>transboundary movements and disposal of hazardous and other wastes. The proposal implements</w:t>
      </w:r>
      <w:r w:rsidR="00545ED3" w:rsidRPr="00B3308E">
        <w:rPr>
          <w:rFonts w:eastAsia="Arial Unicode MS"/>
          <w:noProof/>
        </w:rPr>
        <w:t>,</w:t>
      </w:r>
      <w:r w:rsidRPr="00B3308E">
        <w:rPr>
          <w:rFonts w:eastAsia="Arial Unicode MS"/>
          <w:noProof/>
        </w:rPr>
        <w:t xml:space="preserve"> for the substances </w:t>
      </w:r>
      <w:r w:rsidR="00896A24">
        <w:rPr>
          <w:rFonts w:eastAsia="Arial Unicode MS"/>
          <w:noProof/>
        </w:rPr>
        <w:t>with</w:t>
      </w:r>
      <w:r w:rsidR="00A873B0" w:rsidRPr="00B3308E">
        <w:rPr>
          <w:rFonts w:eastAsia="Calibri"/>
          <w:noProof/>
          <w:szCs w:val="24"/>
        </w:rPr>
        <w:t xml:space="preserve">in </w:t>
      </w:r>
      <w:r w:rsidR="00896A24">
        <w:rPr>
          <w:rFonts w:eastAsia="Calibri"/>
          <w:noProof/>
          <w:szCs w:val="24"/>
        </w:rPr>
        <w:t xml:space="preserve">its </w:t>
      </w:r>
      <w:r w:rsidR="00A873B0" w:rsidRPr="00B3308E">
        <w:rPr>
          <w:rFonts w:eastAsia="Calibri"/>
          <w:noProof/>
          <w:szCs w:val="24"/>
        </w:rPr>
        <w:t>scope</w:t>
      </w:r>
      <w:r w:rsidR="00545ED3" w:rsidRPr="00B3308E">
        <w:rPr>
          <w:rFonts w:eastAsia="Arial Unicode MS"/>
          <w:noProof/>
        </w:rPr>
        <w:t xml:space="preserve">, </w:t>
      </w:r>
      <w:r w:rsidR="00545ED3" w:rsidRPr="00B3308E">
        <w:rPr>
          <w:rFonts w:eastAsia="Calibri"/>
          <w:noProof/>
          <w:szCs w:val="24"/>
        </w:rPr>
        <w:t xml:space="preserve">the obligation of the Parties </w:t>
      </w:r>
      <w:r w:rsidR="00F16D46" w:rsidRPr="00B3308E">
        <w:rPr>
          <w:rFonts w:eastAsia="Calibri"/>
          <w:noProof/>
          <w:szCs w:val="24"/>
        </w:rPr>
        <w:t xml:space="preserve">to the Basel Convention </w:t>
      </w:r>
      <w:r w:rsidR="00545ED3" w:rsidRPr="00B3308E">
        <w:rPr>
          <w:rFonts w:eastAsia="Calibri"/>
          <w:noProof/>
          <w:szCs w:val="24"/>
        </w:rPr>
        <w:t xml:space="preserve">to ensure the </w:t>
      </w:r>
      <w:r w:rsidR="00545ED3" w:rsidRPr="00B3308E">
        <w:rPr>
          <w:rFonts w:eastAsia="Calibri"/>
          <w:b/>
          <w:noProof/>
          <w:szCs w:val="24"/>
        </w:rPr>
        <w:t>environmentally sound management</w:t>
      </w:r>
      <w:r w:rsidR="00545ED3" w:rsidRPr="00B3308E">
        <w:rPr>
          <w:rFonts w:eastAsia="Calibri"/>
          <w:noProof/>
          <w:szCs w:val="24"/>
        </w:rPr>
        <w:t xml:space="preserve"> of hazardous waste and other waste. </w:t>
      </w:r>
      <w:r w:rsidR="002B036A">
        <w:rPr>
          <w:rFonts w:eastAsia="Calibri"/>
          <w:noProof/>
          <w:szCs w:val="24"/>
        </w:rPr>
        <w:t xml:space="preserve">The values set out in </w:t>
      </w:r>
      <w:r w:rsidR="00F16D46" w:rsidRPr="00B3308E">
        <w:rPr>
          <w:rFonts w:eastAsia="Calibri"/>
          <w:noProof/>
          <w:szCs w:val="24"/>
        </w:rPr>
        <w:t xml:space="preserve">Annex </w:t>
      </w:r>
      <w:r w:rsidR="00545ED3" w:rsidRPr="00B3308E">
        <w:rPr>
          <w:rFonts w:eastAsia="Calibri"/>
          <w:noProof/>
          <w:szCs w:val="24"/>
        </w:rPr>
        <w:t>IV</w:t>
      </w:r>
      <w:r w:rsidR="00F16D46" w:rsidRPr="00B3308E">
        <w:rPr>
          <w:rFonts w:eastAsia="Arial Unicode MS"/>
          <w:noProof/>
        </w:rPr>
        <w:t xml:space="preserve"> of the POPs Regulation</w:t>
      </w:r>
      <w:r w:rsidR="00545ED3" w:rsidRPr="00B3308E">
        <w:rPr>
          <w:rFonts w:eastAsia="Calibri"/>
          <w:noProof/>
          <w:szCs w:val="24"/>
        </w:rPr>
        <w:t xml:space="preserve"> implement at </w:t>
      </w:r>
      <w:r w:rsidR="00F16D46" w:rsidRPr="00B3308E">
        <w:rPr>
          <w:rFonts w:eastAsia="Calibri"/>
          <w:noProof/>
          <w:szCs w:val="24"/>
        </w:rPr>
        <w:t xml:space="preserve">Union </w:t>
      </w:r>
      <w:r w:rsidR="00545ED3" w:rsidRPr="00B3308E">
        <w:rPr>
          <w:rFonts w:eastAsia="Calibri"/>
          <w:noProof/>
          <w:szCs w:val="24"/>
        </w:rPr>
        <w:t xml:space="preserve">level the concept of </w:t>
      </w:r>
      <w:r w:rsidR="00896A24">
        <w:rPr>
          <w:rFonts w:eastAsia="Calibri"/>
          <w:noProof/>
          <w:szCs w:val="24"/>
        </w:rPr>
        <w:t>‘</w:t>
      </w:r>
      <w:r w:rsidR="00545ED3" w:rsidRPr="00B3308E">
        <w:rPr>
          <w:rFonts w:eastAsia="Calibri"/>
          <w:noProof/>
          <w:szCs w:val="24"/>
        </w:rPr>
        <w:t>low</w:t>
      </w:r>
      <w:r w:rsidR="00993105">
        <w:rPr>
          <w:rFonts w:eastAsia="Calibri"/>
          <w:noProof/>
          <w:szCs w:val="24"/>
        </w:rPr>
        <w:t xml:space="preserve"> </w:t>
      </w:r>
      <w:r w:rsidR="00545ED3" w:rsidRPr="00B3308E">
        <w:rPr>
          <w:rFonts w:eastAsia="Calibri"/>
          <w:noProof/>
          <w:szCs w:val="24"/>
        </w:rPr>
        <w:t>POP content values</w:t>
      </w:r>
      <w:r w:rsidR="00896A24">
        <w:rPr>
          <w:rFonts w:eastAsia="Calibri"/>
          <w:noProof/>
          <w:szCs w:val="24"/>
        </w:rPr>
        <w:t>’</w:t>
      </w:r>
      <w:r w:rsidR="00545ED3" w:rsidRPr="00B3308E">
        <w:rPr>
          <w:rFonts w:eastAsia="Calibri"/>
          <w:noProof/>
          <w:szCs w:val="24"/>
        </w:rPr>
        <w:t xml:space="preserve"> that are listed as non-binding values unde</w:t>
      </w:r>
      <w:r w:rsidR="003C0C0C" w:rsidRPr="00B3308E">
        <w:rPr>
          <w:rFonts w:eastAsia="Calibri"/>
          <w:noProof/>
          <w:szCs w:val="24"/>
        </w:rPr>
        <w:t>r</w:t>
      </w:r>
      <w:r w:rsidR="00545ED3" w:rsidRPr="00B3308E">
        <w:rPr>
          <w:rFonts w:eastAsia="Calibri"/>
          <w:noProof/>
          <w:szCs w:val="24"/>
        </w:rPr>
        <w:t xml:space="preserve"> the Basel </w:t>
      </w:r>
      <w:r w:rsidR="00896A24">
        <w:rPr>
          <w:rFonts w:eastAsia="Calibri"/>
          <w:noProof/>
          <w:szCs w:val="24"/>
        </w:rPr>
        <w:t>‘</w:t>
      </w:r>
      <w:r w:rsidR="00545ED3" w:rsidRPr="00B3308E">
        <w:rPr>
          <w:rFonts w:eastAsia="Calibri"/>
          <w:noProof/>
          <w:szCs w:val="24"/>
        </w:rPr>
        <w:t>General technical guidelines on the environmentally sound management of wastes consisting of, containing or contaminated with persistent organic pollutants</w:t>
      </w:r>
      <w:r w:rsidR="00896A24">
        <w:rPr>
          <w:rFonts w:eastAsia="Calibri"/>
          <w:noProof/>
          <w:szCs w:val="24"/>
        </w:rPr>
        <w:t>’</w:t>
      </w:r>
      <w:r w:rsidR="00545ED3" w:rsidRPr="00B3308E">
        <w:rPr>
          <w:rFonts w:eastAsia="Calibri"/>
          <w:noProof/>
          <w:szCs w:val="24"/>
        </w:rPr>
        <w:t xml:space="preserve">. </w:t>
      </w:r>
    </w:p>
    <w:p w14:paraId="49531DB4" w14:textId="77777777" w:rsidR="00F6747C" w:rsidRPr="00B3308E" w:rsidRDefault="00F6747C" w:rsidP="00F6747C">
      <w:pPr>
        <w:pBdr>
          <w:top w:val="nil"/>
          <w:left w:val="nil"/>
          <w:bottom w:val="nil"/>
          <w:right w:val="nil"/>
          <w:between w:val="nil"/>
          <w:bar w:val="nil"/>
        </w:pBdr>
        <w:rPr>
          <w:noProof/>
        </w:rPr>
      </w:pPr>
    </w:p>
    <w:p w14:paraId="14A76AEB" w14:textId="77777777" w:rsidR="007D09E1" w:rsidRPr="00B3308E" w:rsidRDefault="007D09E1" w:rsidP="00F6747C">
      <w:pPr>
        <w:pBdr>
          <w:top w:val="nil"/>
          <w:left w:val="nil"/>
          <w:bottom w:val="nil"/>
          <w:right w:val="nil"/>
          <w:between w:val="nil"/>
          <w:bar w:val="nil"/>
        </w:pBdr>
        <w:rPr>
          <w:rFonts w:eastAsia="Arial Unicode MS"/>
          <w:b/>
          <w:noProof/>
        </w:rPr>
      </w:pPr>
      <w:r w:rsidRPr="00B3308E">
        <w:rPr>
          <w:rFonts w:eastAsia="Arial Unicode MS"/>
          <w:b/>
          <w:noProof/>
          <w:color w:val="000000"/>
          <w:u w:color="000000"/>
          <w:bdr w:val="nil"/>
          <w:lang w:eastAsia="en-GB"/>
        </w:rPr>
        <w:t>•</w:t>
      </w:r>
      <w:r w:rsidRPr="00B3308E">
        <w:rPr>
          <w:rFonts w:eastAsia="Arial Unicode MS"/>
          <w:b/>
          <w:noProof/>
          <w:color w:val="000000"/>
          <w:u w:color="000000"/>
          <w:bdr w:val="nil"/>
          <w:lang w:eastAsia="en-GB"/>
        </w:rPr>
        <w:tab/>
      </w:r>
      <w:r w:rsidRPr="00B3308E">
        <w:rPr>
          <w:rFonts w:eastAsia="Arial Unicode MS"/>
          <w:b/>
          <w:noProof/>
        </w:rPr>
        <w:t>Consistency with other Union policies</w:t>
      </w:r>
    </w:p>
    <w:p w14:paraId="75BD7BC1" w14:textId="2CE2586E" w:rsidR="0066757E" w:rsidRPr="00B3308E" w:rsidRDefault="0066757E" w:rsidP="00F6747C">
      <w:pPr>
        <w:pBdr>
          <w:top w:val="nil"/>
          <w:left w:val="nil"/>
          <w:bottom w:val="nil"/>
          <w:right w:val="nil"/>
          <w:between w:val="nil"/>
          <w:bar w:val="nil"/>
        </w:pBdr>
        <w:rPr>
          <w:noProof/>
        </w:rPr>
      </w:pPr>
      <w:r w:rsidRPr="00B3308E">
        <w:rPr>
          <w:noProof/>
        </w:rPr>
        <w:t xml:space="preserve">The </w:t>
      </w:r>
      <w:r w:rsidR="00ED5DA1" w:rsidRPr="00B3308E">
        <w:rPr>
          <w:noProof/>
        </w:rPr>
        <w:t xml:space="preserve">proposal is </w:t>
      </w:r>
      <w:r w:rsidRPr="00B3308E">
        <w:rPr>
          <w:noProof/>
        </w:rPr>
        <w:t xml:space="preserve">consistent with the </w:t>
      </w:r>
      <w:r w:rsidR="00E70758" w:rsidRPr="00B3308E">
        <w:rPr>
          <w:noProof/>
        </w:rPr>
        <w:t xml:space="preserve">objective </w:t>
      </w:r>
      <w:r w:rsidR="00474731">
        <w:rPr>
          <w:noProof/>
        </w:rPr>
        <w:t>in</w:t>
      </w:r>
      <w:r w:rsidR="00E70758" w:rsidRPr="00B3308E">
        <w:rPr>
          <w:noProof/>
        </w:rPr>
        <w:t xml:space="preserve"> the </w:t>
      </w:r>
      <w:r w:rsidR="00ED5DA1" w:rsidRPr="00B3308E">
        <w:rPr>
          <w:rFonts w:eastAsia="Times New Roman"/>
          <w:noProof/>
          <w:szCs w:val="24"/>
        </w:rPr>
        <w:t>Chemicals Strategy for Sustainability</w:t>
      </w:r>
      <w:r w:rsidR="009543D9" w:rsidRPr="00B3308E">
        <w:rPr>
          <w:rStyle w:val="FootnoteReference"/>
          <w:rFonts w:eastAsia="Times New Roman"/>
          <w:noProof/>
          <w:szCs w:val="24"/>
        </w:rPr>
        <w:footnoteReference w:id="6"/>
      </w:r>
      <w:r w:rsidR="00ED5DA1" w:rsidRPr="00B3308E">
        <w:rPr>
          <w:rFonts w:eastAsia="Times New Roman"/>
          <w:noProof/>
          <w:szCs w:val="24"/>
        </w:rPr>
        <w:t xml:space="preserve"> </w:t>
      </w:r>
      <w:r w:rsidR="00C75241">
        <w:rPr>
          <w:rFonts w:eastAsia="Times New Roman"/>
          <w:noProof/>
          <w:szCs w:val="24"/>
        </w:rPr>
        <w:t xml:space="preserve">to </w:t>
      </w:r>
      <w:r w:rsidR="00C75241" w:rsidRPr="00B3308E">
        <w:rPr>
          <w:noProof/>
        </w:rPr>
        <w:t>minimise and substitute</w:t>
      </w:r>
      <w:r w:rsidR="00C75241">
        <w:rPr>
          <w:noProof/>
        </w:rPr>
        <w:t>,</w:t>
      </w:r>
      <w:r w:rsidR="00C75241" w:rsidRPr="00B3308E">
        <w:rPr>
          <w:noProof/>
        </w:rPr>
        <w:t xml:space="preserve"> as far as possible</w:t>
      </w:r>
      <w:r w:rsidR="00C75241">
        <w:rPr>
          <w:noProof/>
        </w:rPr>
        <w:t>,</w:t>
      </w:r>
      <w:r w:rsidR="002753CE" w:rsidRPr="00B3308E">
        <w:rPr>
          <w:noProof/>
        </w:rPr>
        <w:t xml:space="preserve"> chemicals </w:t>
      </w:r>
      <w:r w:rsidR="00C75241">
        <w:rPr>
          <w:noProof/>
        </w:rPr>
        <w:t xml:space="preserve">which </w:t>
      </w:r>
      <w:r w:rsidR="002753CE" w:rsidRPr="00B3308E">
        <w:rPr>
          <w:noProof/>
        </w:rPr>
        <w:t>hav</w:t>
      </w:r>
      <w:r w:rsidR="00C75241">
        <w:rPr>
          <w:noProof/>
        </w:rPr>
        <w:t>e</w:t>
      </w:r>
      <w:r w:rsidR="002753CE" w:rsidRPr="00B3308E">
        <w:rPr>
          <w:noProof/>
        </w:rPr>
        <w:t xml:space="preserve"> a chronic effect </w:t>
      </w:r>
      <w:r w:rsidR="00C75241">
        <w:rPr>
          <w:noProof/>
        </w:rPr>
        <w:t>on</w:t>
      </w:r>
      <w:r w:rsidR="002753CE" w:rsidRPr="00B3308E">
        <w:rPr>
          <w:noProof/>
        </w:rPr>
        <w:t xml:space="preserve"> human health and the environment </w:t>
      </w:r>
      <w:r w:rsidR="00C75241">
        <w:rPr>
          <w:noProof/>
        </w:rPr>
        <w:t>(</w:t>
      </w:r>
      <w:r w:rsidR="0082383A">
        <w:rPr>
          <w:noProof/>
        </w:rPr>
        <w:t xml:space="preserve">one type of </w:t>
      </w:r>
      <w:r w:rsidR="002753CE" w:rsidRPr="00B3308E">
        <w:rPr>
          <w:noProof/>
        </w:rPr>
        <w:t>substances of concern</w:t>
      </w:r>
      <w:r w:rsidR="00C75241">
        <w:rPr>
          <w:noProof/>
        </w:rPr>
        <w:t>)</w:t>
      </w:r>
      <w:r w:rsidR="002753CE" w:rsidRPr="00B3308E">
        <w:rPr>
          <w:noProof/>
        </w:rPr>
        <w:t xml:space="preserve"> </w:t>
      </w:r>
      <w:r w:rsidR="00C75241">
        <w:rPr>
          <w:noProof/>
        </w:rPr>
        <w:t>and</w:t>
      </w:r>
      <w:r w:rsidR="00E70758" w:rsidRPr="00B3308E">
        <w:rPr>
          <w:noProof/>
        </w:rPr>
        <w:t xml:space="preserve"> </w:t>
      </w:r>
      <w:r w:rsidR="00C75241">
        <w:rPr>
          <w:noProof/>
        </w:rPr>
        <w:t xml:space="preserve">to </w:t>
      </w:r>
      <w:r w:rsidR="002753CE" w:rsidRPr="00B3308E">
        <w:rPr>
          <w:noProof/>
        </w:rPr>
        <w:t>phas</w:t>
      </w:r>
      <w:r w:rsidR="00C75241">
        <w:rPr>
          <w:noProof/>
        </w:rPr>
        <w:t>e</w:t>
      </w:r>
      <w:r w:rsidR="002753CE" w:rsidRPr="00B3308E">
        <w:rPr>
          <w:noProof/>
        </w:rPr>
        <w:t xml:space="preserve"> out the most harmful ones </w:t>
      </w:r>
      <w:r w:rsidR="002C18FE">
        <w:rPr>
          <w:noProof/>
        </w:rPr>
        <w:t xml:space="preserve">in applications </w:t>
      </w:r>
      <w:r w:rsidR="00E70758" w:rsidRPr="00B3308E">
        <w:rPr>
          <w:noProof/>
        </w:rPr>
        <w:t>that are</w:t>
      </w:r>
      <w:r w:rsidR="002753CE" w:rsidRPr="00B3308E">
        <w:rPr>
          <w:noProof/>
        </w:rPr>
        <w:t xml:space="preserve"> non-essential </w:t>
      </w:r>
      <w:r w:rsidR="00E70758" w:rsidRPr="00B3308E">
        <w:rPr>
          <w:noProof/>
        </w:rPr>
        <w:t xml:space="preserve">for </w:t>
      </w:r>
      <w:r w:rsidR="002753CE" w:rsidRPr="00B3308E">
        <w:rPr>
          <w:noProof/>
        </w:rPr>
        <w:t>societ</w:t>
      </w:r>
      <w:r w:rsidR="00E70758" w:rsidRPr="00B3308E">
        <w:rPr>
          <w:noProof/>
        </w:rPr>
        <w:t>y</w:t>
      </w:r>
      <w:r w:rsidR="002753CE" w:rsidRPr="00B3308E">
        <w:rPr>
          <w:noProof/>
        </w:rPr>
        <w:t>, particular</w:t>
      </w:r>
      <w:r w:rsidR="00C75241">
        <w:rPr>
          <w:noProof/>
        </w:rPr>
        <w:t>ly those</w:t>
      </w:r>
      <w:r w:rsidR="002753CE" w:rsidRPr="00B3308E">
        <w:rPr>
          <w:noProof/>
        </w:rPr>
        <w:t xml:space="preserve"> in consumer products. </w:t>
      </w:r>
    </w:p>
    <w:p w14:paraId="014198C6" w14:textId="57AC3F78" w:rsidR="002753CE" w:rsidRPr="00B3308E" w:rsidRDefault="002753CE" w:rsidP="002753CE">
      <w:pPr>
        <w:rPr>
          <w:rFonts w:eastAsia="Times New Roman"/>
          <w:noProof/>
          <w:szCs w:val="24"/>
        </w:rPr>
      </w:pPr>
      <w:r w:rsidRPr="00B3308E">
        <w:rPr>
          <w:rFonts w:eastAsia="Times New Roman"/>
          <w:noProof/>
          <w:szCs w:val="24"/>
        </w:rPr>
        <w:t>Similarly</w:t>
      </w:r>
      <w:r w:rsidR="00E70758" w:rsidRPr="00B3308E">
        <w:rPr>
          <w:rFonts w:eastAsia="Times New Roman"/>
          <w:noProof/>
          <w:szCs w:val="24"/>
        </w:rPr>
        <w:t>,</w:t>
      </w:r>
      <w:r w:rsidRPr="00B3308E">
        <w:rPr>
          <w:rFonts w:eastAsia="Times New Roman"/>
          <w:noProof/>
          <w:szCs w:val="24"/>
        </w:rPr>
        <w:t xml:space="preserve"> the proposal is consistent with the objective, put forward in the European Green Deal</w:t>
      </w:r>
      <w:r w:rsidR="009543D9" w:rsidRPr="00B3308E">
        <w:rPr>
          <w:rStyle w:val="FootnoteReference"/>
          <w:rFonts w:eastAsia="Times New Roman"/>
          <w:noProof/>
          <w:szCs w:val="24"/>
        </w:rPr>
        <w:footnoteReference w:id="7"/>
      </w:r>
      <w:r w:rsidRPr="00B3308E">
        <w:rPr>
          <w:rFonts w:eastAsia="Times New Roman"/>
          <w:noProof/>
          <w:szCs w:val="24"/>
        </w:rPr>
        <w:t xml:space="preserve">, of achieving </w:t>
      </w:r>
      <w:r w:rsidRPr="00B3308E">
        <w:rPr>
          <w:rFonts w:eastAsia="Times New Roman"/>
          <w:b/>
          <w:noProof/>
          <w:szCs w:val="24"/>
        </w:rPr>
        <w:t xml:space="preserve">climate neutrality </w:t>
      </w:r>
      <w:r w:rsidRPr="00B3308E">
        <w:rPr>
          <w:rFonts w:eastAsia="Times New Roman"/>
          <w:noProof/>
          <w:szCs w:val="24"/>
        </w:rPr>
        <w:t xml:space="preserve">in Europe by 2050 and </w:t>
      </w:r>
      <w:r w:rsidR="00E70758" w:rsidRPr="00B3308E">
        <w:rPr>
          <w:rFonts w:eastAsia="Times New Roman"/>
          <w:noProof/>
          <w:szCs w:val="24"/>
        </w:rPr>
        <w:t xml:space="preserve">with that of </w:t>
      </w:r>
      <w:r w:rsidRPr="00B3308E">
        <w:rPr>
          <w:rFonts w:eastAsia="Times New Roman"/>
          <w:noProof/>
          <w:szCs w:val="24"/>
        </w:rPr>
        <w:t>implement</w:t>
      </w:r>
      <w:r w:rsidR="00E70758" w:rsidRPr="00B3308E">
        <w:rPr>
          <w:rFonts w:eastAsia="Times New Roman"/>
          <w:noProof/>
          <w:szCs w:val="24"/>
        </w:rPr>
        <w:t>ing</w:t>
      </w:r>
      <w:r w:rsidRPr="00B3308E">
        <w:rPr>
          <w:rFonts w:eastAsia="Times New Roman"/>
          <w:noProof/>
          <w:szCs w:val="24"/>
        </w:rPr>
        <w:t xml:space="preserve"> a new Circular Economy Action Plan</w:t>
      </w:r>
      <w:r w:rsidR="00DF02FB" w:rsidRPr="00B3308E">
        <w:rPr>
          <w:rStyle w:val="FootnoteReference"/>
          <w:rFonts w:eastAsia="Times New Roman"/>
          <w:noProof/>
          <w:szCs w:val="24"/>
        </w:rPr>
        <w:footnoteReference w:id="8"/>
      </w:r>
      <w:r w:rsidRPr="00B3308E">
        <w:rPr>
          <w:rFonts w:eastAsia="Times New Roman"/>
          <w:noProof/>
          <w:szCs w:val="24"/>
        </w:rPr>
        <w:t xml:space="preserve"> to stimulate the development of lead markets for climate</w:t>
      </w:r>
      <w:r w:rsidR="00C75241">
        <w:rPr>
          <w:rFonts w:eastAsia="Times New Roman"/>
          <w:noProof/>
          <w:szCs w:val="24"/>
        </w:rPr>
        <w:t>-</w:t>
      </w:r>
      <w:r w:rsidRPr="00B3308E">
        <w:rPr>
          <w:rFonts w:eastAsia="Times New Roman"/>
          <w:noProof/>
          <w:szCs w:val="24"/>
        </w:rPr>
        <w:t xml:space="preserve">neutral and circular products in the EU and beyond. The proposal is also in line with the Communication on a </w:t>
      </w:r>
      <w:r w:rsidRPr="00B3308E">
        <w:rPr>
          <w:rFonts w:eastAsia="Times New Roman"/>
          <w:b/>
          <w:noProof/>
          <w:szCs w:val="24"/>
        </w:rPr>
        <w:t>Zero Pollution Action Plan</w:t>
      </w:r>
      <w:r w:rsidR="00DF02FB" w:rsidRPr="00302CFA">
        <w:rPr>
          <w:rStyle w:val="FootnoteReference"/>
          <w:rFonts w:eastAsia="Times New Roman"/>
          <w:noProof/>
          <w:szCs w:val="24"/>
        </w:rPr>
        <w:footnoteReference w:id="9"/>
      </w:r>
      <w:r w:rsidR="00C75241" w:rsidRPr="00C75241">
        <w:rPr>
          <w:rFonts w:eastAsia="Times New Roman"/>
          <w:noProof/>
          <w:szCs w:val="24"/>
        </w:rPr>
        <w:t>,</w:t>
      </w:r>
      <w:r w:rsidRPr="00B3308E">
        <w:rPr>
          <w:rFonts w:eastAsia="Times New Roman"/>
          <w:noProof/>
          <w:szCs w:val="24"/>
        </w:rPr>
        <w:t xml:space="preserve"> in which the EU has defined a zero pollution vision for 2050, whereby air, water and soil pollution is reduced to levels no longer considered harmful to health and natural ecosystems and that respect the boundaries our planet can cope with.</w:t>
      </w:r>
    </w:p>
    <w:p w14:paraId="4C8E8892" w14:textId="77777777" w:rsidR="007D09E1" w:rsidRPr="00B3308E" w:rsidRDefault="007D09E1" w:rsidP="00194FA1">
      <w:pPr>
        <w:pStyle w:val="ManualHeading1"/>
        <w:rPr>
          <w:noProof/>
        </w:rPr>
      </w:pPr>
      <w:r w:rsidRPr="00B3308E">
        <w:rPr>
          <w:noProof/>
        </w:rPr>
        <w:t>2.</w:t>
      </w:r>
      <w:r w:rsidRPr="00B3308E">
        <w:rPr>
          <w:noProof/>
        </w:rPr>
        <w:tab/>
        <w:t>LEGAL BASIS, SUBSIDIARITY AND PROPORTIONALITY</w:t>
      </w:r>
    </w:p>
    <w:p w14:paraId="131A1C10"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Legal basis</w:t>
      </w:r>
    </w:p>
    <w:p w14:paraId="6BB35AA4" w14:textId="2269A98C" w:rsidR="00E74A76" w:rsidRPr="00B3308E" w:rsidRDefault="0066757E" w:rsidP="00E74A76">
      <w:pPr>
        <w:rPr>
          <w:rFonts w:eastAsia="Arial Unicode MS"/>
          <w:noProof/>
        </w:rPr>
      </w:pPr>
      <w:r w:rsidRPr="00B3308E">
        <w:rPr>
          <w:noProof/>
        </w:rPr>
        <w:t>The proposal is based</w:t>
      </w:r>
      <w:r w:rsidR="00004C60" w:rsidRPr="00B3308E">
        <w:rPr>
          <w:noProof/>
        </w:rPr>
        <w:t xml:space="preserve"> </w:t>
      </w:r>
      <w:r w:rsidR="00004C60" w:rsidRPr="00B3308E">
        <w:rPr>
          <w:rFonts w:eastAsia="Arial Unicode MS"/>
          <w:noProof/>
        </w:rPr>
        <w:t>on Article 192(1) of the Treaty on the Functioning of the European Union</w:t>
      </w:r>
      <w:r w:rsidR="00803B95" w:rsidRPr="00B3308E">
        <w:rPr>
          <w:rFonts w:eastAsia="Arial Unicode MS"/>
          <w:noProof/>
        </w:rPr>
        <w:t xml:space="preserve"> relating to environmental protection</w:t>
      </w:r>
      <w:r w:rsidR="00004C60" w:rsidRPr="00B3308E">
        <w:rPr>
          <w:rFonts w:eastAsia="Arial Unicode MS"/>
          <w:noProof/>
        </w:rPr>
        <w:t>, given that the measures agreed under the Stockholm Convention predominantly pursue an environmental objective</w:t>
      </w:r>
      <w:r w:rsidR="00803B95" w:rsidRPr="00B3308E">
        <w:rPr>
          <w:rFonts w:eastAsia="Arial Unicode MS"/>
          <w:noProof/>
        </w:rPr>
        <w:t>, namely</w:t>
      </w:r>
      <w:r w:rsidR="00004C60" w:rsidRPr="00B3308E">
        <w:rPr>
          <w:rFonts w:eastAsia="Arial Unicode MS"/>
          <w:noProof/>
        </w:rPr>
        <w:t xml:space="preserve">  eliminati</w:t>
      </w:r>
      <w:r w:rsidR="0082383A">
        <w:rPr>
          <w:rFonts w:eastAsia="Arial Unicode MS"/>
          <w:noProof/>
        </w:rPr>
        <w:t xml:space="preserve">ng or reducing the emissions </w:t>
      </w:r>
      <w:r w:rsidR="00004C60" w:rsidRPr="00B3308E">
        <w:rPr>
          <w:rFonts w:eastAsia="Arial Unicode MS"/>
          <w:noProof/>
        </w:rPr>
        <w:t>of persistent organic pollutants.</w:t>
      </w:r>
      <w:r w:rsidR="00E74A76" w:rsidRPr="00B3308E">
        <w:rPr>
          <w:rFonts w:eastAsia="Arial Unicode MS"/>
          <w:noProof/>
        </w:rPr>
        <w:t xml:space="preserve"> </w:t>
      </w:r>
    </w:p>
    <w:p w14:paraId="5AA934B2" w14:textId="3D14973E" w:rsidR="00E74A76" w:rsidRPr="00B3308E" w:rsidRDefault="00E74A76" w:rsidP="00E74A76">
      <w:pPr>
        <w:rPr>
          <w:noProof/>
          <w:szCs w:val="24"/>
        </w:rPr>
      </w:pPr>
      <w:r w:rsidRPr="00B3308E">
        <w:rPr>
          <w:noProof/>
          <w:szCs w:val="24"/>
        </w:rPr>
        <w:t xml:space="preserve">Article 15(2) </w:t>
      </w:r>
      <w:r w:rsidR="00803B95" w:rsidRPr="00B3308E">
        <w:rPr>
          <w:rFonts w:eastAsia="Arial Unicode MS"/>
          <w:noProof/>
        </w:rPr>
        <w:t xml:space="preserve">of the POPs </w:t>
      </w:r>
      <w:r w:rsidRPr="00B3308E">
        <w:rPr>
          <w:noProof/>
          <w:szCs w:val="24"/>
        </w:rPr>
        <w:t xml:space="preserve">Regulation specifies that the Commission must keep Annexes IV and V under </w:t>
      </w:r>
      <w:r w:rsidRPr="00B3308E">
        <w:rPr>
          <w:b/>
          <w:noProof/>
          <w:szCs w:val="24"/>
        </w:rPr>
        <w:t>constant review</w:t>
      </w:r>
      <w:r w:rsidRPr="00B3308E">
        <w:rPr>
          <w:noProof/>
          <w:szCs w:val="24"/>
        </w:rPr>
        <w:t xml:space="preserve"> and shall, </w:t>
      </w:r>
      <w:r w:rsidRPr="00B3308E">
        <w:rPr>
          <w:b/>
          <w:noProof/>
          <w:szCs w:val="24"/>
        </w:rPr>
        <w:t>where appropriate</w:t>
      </w:r>
      <w:r w:rsidRPr="00B3308E">
        <w:rPr>
          <w:noProof/>
          <w:szCs w:val="24"/>
        </w:rPr>
        <w:t>, make legislative proposals to amend these Annexes</w:t>
      </w:r>
      <w:r w:rsidR="005378C0">
        <w:rPr>
          <w:noProof/>
          <w:szCs w:val="24"/>
        </w:rPr>
        <w:t>,</w:t>
      </w:r>
      <w:r w:rsidRPr="00B3308E">
        <w:rPr>
          <w:noProof/>
          <w:szCs w:val="24"/>
        </w:rPr>
        <w:t xml:space="preserve"> to adapt them to the </w:t>
      </w:r>
      <w:r w:rsidRPr="00B3308E">
        <w:rPr>
          <w:b/>
          <w:noProof/>
          <w:szCs w:val="24"/>
        </w:rPr>
        <w:t>changes to the list of substances</w:t>
      </w:r>
      <w:r w:rsidRPr="00B3308E">
        <w:rPr>
          <w:noProof/>
          <w:szCs w:val="24"/>
        </w:rPr>
        <w:t xml:space="preserve"> set out in the Annexes to the Convention or the Protocol</w:t>
      </w:r>
      <w:r w:rsidR="005378C0">
        <w:rPr>
          <w:noProof/>
          <w:szCs w:val="24"/>
        </w:rPr>
        <w:t>,</w:t>
      </w:r>
      <w:r w:rsidRPr="00B3308E">
        <w:rPr>
          <w:noProof/>
          <w:szCs w:val="24"/>
        </w:rPr>
        <w:t xml:space="preserve"> or to </w:t>
      </w:r>
      <w:r w:rsidRPr="00B3308E">
        <w:rPr>
          <w:b/>
          <w:noProof/>
          <w:szCs w:val="24"/>
        </w:rPr>
        <w:t>modify existing entries</w:t>
      </w:r>
      <w:r w:rsidRPr="00B3308E">
        <w:rPr>
          <w:noProof/>
          <w:szCs w:val="24"/>
        </w:rPr>
        <w:t xml:space="preserve"> or provisions in the Annexes to this Regulation</w:t>
      </w:r>
      <w:r w:rsidR="00E70758" w:rsidRPr="00B3308E">
        <w:rPr>
          <w:noProof/>
          <w:szCs w:val="24"/>
        </w:rPr>
        <w:t>,</w:t>
      </w:r>
      <w:r w:rsidRPr="00B3308E">
        <w:rPr>
          <w:noProof/>
          <w:szCs w:val="24"/>
        </w:rPr>
        <w:t xml:space="preserve"> to adapt them to scientific and technical progress. </w:t>
      </w:r>
    </w:p>
    <w:p w14:paraId="285778E4" w14:textId="77777777" w:rsidR="00004C60" w:rsidRPr="00B3308E" w:rsidRDefault="00004C60" w:rsidP="0066757E">
      <w:pPr>
        <w:rPr>
          <w:noProof/>
        </w:rPr>
      </w:pPr>
    </w:p>
    <w:p w14:paraId="3EC58FB4"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 xml:space="preserve">Subsidiarity </w:t>
      </w:r>
    </w:p>
    <w:p w14:paraId="52D6C221" w14:textId="510632DA" w:rsidR="003D6516" w:rsidRDefault="00E74A76" w:rsidP="003D6516">
      <w:pPr>
        <w:autoSpaceDE w:val="0"/>
        <w:autoSpaceDN w:val="0"/>
        <w:adjustRightInd w:val="0"/>
        <w:spacing w:before="0" w:after="0"/>
        <w:rPr>
          <w:noProof/>
          <w:szCs w:val="24"/>
        </w:rPr>
      </w:pPr>
      <w:r w:rsidRPr="00B3308E">
        <w:rPr>
          <w:noProof/>
          <w:szCs w:val="24"/>
        </w:rPr>
        <w:t xml:space="preserve">The </w:t>
      </w:r>
      <w:r w:rsidR="00803B95" w:rsidRPr="00B3308E">
        <w:rPr>
          <w:noProof/>
          <w:szCs w:val="24"/>
        </w:rPr>
        <w:t xml:space="preserve">POP </w:t>
      </w:r>
      <w:r w:rsidRPr="00B3308E">
        <w:rPr>
          <w:noProof/>
          <w:szCs w:val="24"/>
        </w:rPr>
        <w:t xml:space="preserve">substances </w:t>
      </w:r>
      <w:r w:rsidR="005378C0">
        <w:rPr>
          <w:noProof/>
          <w:szCs w:val="24"/>
        </w:rPr>
        <w:t>with</w:t>
      </w:r>
      <w:r w:rsidR="00803B95" w:rsidRPr="00B3308E">
        <w:rPr>
          <w:noProof/>
          <w:szCs w:val="24"/>
        </w:rPr>
        <w:t>in the scope of this proposal</w:t>
      </w:r>
      <w:r w:rsidRPr="00B3308E">
        <w:rPr>
          <w:noProof/>
          <w:szCs w:val="24"/>
        </w:rPr>
        <w:t xml:space="preserve"> are transported across internal EU boundaries far from their sources</w:t>
      </w:r>
      <w:r w:rsidR="003D6516">
        <w:rPr>
          <w:noProof/>
          <w:szCs w:val="24"/>
        </w:rPr>
        <w:t>, and</w:t>
      </w:r>
      <w:r w:rsidRPr="00B3308E">
        <w:rPr>
          <w:noProof/>
          <w:szCs w:val="24"/>
        </w:rPr>
        <w:t xml:space="preserve"> </w:t>
      </w:r>
      <w:r w:rsidR="003D6516">
        <w:rPr>
          <w:noProof/>
          <w:szCs w:val="24"/>
        </w:rPr>
        <w:t>a</w:t>
      </w:r>
      <w:r w:rsidRPr="00B3308E">
        <w:rPr>
          <w:noProof/>
          <w:szCs w:val="24"/>
        </w:rPr>
        <w:t xml:space="preserve">voiding releases from </w:t>
      </w:r>
      <w:r w:rsidR="00446EC6" w:rsidRPr="00B3308E">
        <w:rPr>
          <w:noProof/>
          <w:szCs w:val="24"/>
        </w:rPr>
        <w:t>POP</w:t>
      </w:r>
      <w:r w:rsidR="003D6516">
        <w:rPr>
          <w:noProof/>
          <w:szCs w:val="24"/>
        </w:rPr>
        <w:t>s</w:t>
      </w:r>
      <w:r w:rsidR="00446EC6" w:rsidRPr="00B3308E">
        <w:rPr>
          <w:noProof/>
          <w:szCs w:val="24"/>
        </w:rPr>
        <w:t xml:space="preserve"> containing </w:t>
      </w:r>
      <w:r w:rsidRPr="00B3308E">
        <w:rPr>
          <w:noProof/>
          <w:szCs w:val="24"/>
        </w:rPr>
        <w:t xml:space="preserve">waste is a priority in this respect. </w:t>
      </w:r>
    </w:p>
    <w:p w14:paraId="3C26D42B" w14:textId="67BA503E" w:rsidR="00E74A76" w:rsidRPr="00B3308E" w:rsidRDefault="005378C0" w:rsidP="003D6516">
      <w:pPr>
        <w:autoSpaceDE w:val="0"/>
        <w:autoSpaceDN w:val="0"/>
        <w:adjustRightInd w:val="0"/>
        <w:spacing w:after="0"/>
        <w:rPr>
          <w:noProof/>
          <w:szCs w:val="24"/>
        </w:rPr>
      </w:pPr>
      <w:r>
        <w:rPr>
          <w:noProof/>
          <w:szCs w:val="24"/>
        </w:rPr>
        <w:t>P</w:t>
      </w:r>
      <w:r w:rsidR="00E74A76" w:rsidRPr="00B3308E">
        <w:rPr>
          <w:noProof/>
          <w:szCs w:val="24"/>
        </w:rPr>
        <w:t>rotect</w:t>
      </w:r>
      <w:r>
        <w:rPr>
          <w:noProof/>
          <w:szCs w:val="24"/>
        </w:rPr>
        <w:t>ing</w:t>
      </w:r>
      <w:r w:rsidR="00E74A76" w:rsidRPr="00B3308E">
        <w:rPr>
          <w:noProof/>
          <w:szCs w:val="24"/>
        </w:rPr>
        <w:t xml:space="preserve"> the environment and human health through a system that guarantees the sound management of POP waste can only be efficient if common rules are defined and established at EU level. Therefore, the objectives of the proposal cannot be achieved by the Member States on their own</w:t>
      </w:r>
      <w:r>
        <w:rPr>
          <w:noProof/>
          <w:szCs w:val="24"/>
        </w:rPr>
        <w:t>,</w:t>
      </w:r>
      <w:r w:rsidR="00E74A76" w:rsidRPr="00B3308E">
        <w:rPr>
          <w:noProof/>
          <w:szCs w:val="24"/>
        </w:rPr>
        <w:t xml:space="preserve"> because a harmonised approach is needed to ensure that the Union, as a Party to the Stockholm Convention, meets its international obligations. </w:t>
      </w:r>
    </w:p>
    <w:p w14:paraId="38A63F0D" w14:textId="77777777" w:rsidR="00F6747C" w:rsidRPr="00B3308E" w:rsidRDefault="00F6747C" w:rsidP="00F6747C">
      <w:pPr>
        <w:rPr>
          <w:noProof/>
        </w:rPr>
      </w:pPr>
    </w:p>
    <w:p w14:paraId="5CCDAFDC"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Proportionality</w:t>
      </w:r>
    </w:p>
    <w:p w14:paraId="45741E25" w14:textId="78E98E28" w:rsidR="003D6516" w:rsidRDefault="00E74A76" w:rsidP="00E74A76">
      <w:pPr>
        <w:spacing w:after="0"/>
        <w:ind w:right="62"/>
        <w:rPr>
          <w:rFonts w:eastAsia="Times New Roman"/>
          <w:noProof/>
          <w:szCs w:val="24"/>
        </w:rPr>
      </w:pPr>
      <w:r w:rsidRPr="00B3308E">
        <w:rPr>
          <w:rFonts w:eastAsia="Times New Roman"/>
          <w:noProof/>
          <w:szCs w:val="24"/>
        </w:rPr>
        <w:t>The POPs Regulation requires consideration of proportionality</w:t>
      </w:r>
      <w:r w:rsidR="003D6516">
        <w:rPr>
          <w:rFonts w:eastAsia="Times New Roman"/>
          <w:noProof/>
          <w:szCs w:val="24"/>
        </w:rPr>
        <w:t>,</w:t>
      </w:r>
      <w:r w:rsidR="0045384F" w:rsidRPr="00B3308E">
        <w:rPr>
          <w:rFonts w:eastAsia="Times New Roman"/>
          <w:noProof/>
          <w:szCs w:val="24"/>
        </w:rPr>
        <w:t xml:space="preserve"> as indicated in recital 34</w:t>
      </w:r>
      <w:r w:rsidR="00526587">
        <w:rPr>
          <w:rFonts w:eastAsia="Times New Roman"/>
          <w:noProof/>
          <w:szCs w:val="24"/>
        </w:rPr>
        <w:t xml:space="preserve"> of the Regulation</w:t>
      </w:r>
      <w:r w:rsidR="0045384F" w:rsidRPr="00B3308E">
        <w:rPr>
          <w:rFonts w:eastAsia="Times New Roman"/>
          <w:noProof/>
          <w:szCs w:val="24"/>
        </w:rPr>
        <w:t xml:space="preserve">. </w:t>
      </w:r>
      <w:r w:rsidRPr="00B3308E">
        <w:rPr>
          <w:rFonts w:eastAsia="Times New Roman"/>
          <w:noProof/>
          <w:szCs w:val="24"/>
        </w:rPr>
        <w:t xml:space="preserve">The principle of proportionality, as laid down in Article 5 of the Treaty on European Union, seeks to set actions taken by EU institutions within specified bounds. </w:t>
      </w:r>
    </w:p>
    <w:p w14:paraId="59E07877" w14:textId="60CED1E1" w:rsidR="00E74A76" w:rsidRPr="00B3308E" w:rsidRDefault="00E74A76" w:rsidP="00E74A76">
      <w:pPr>
        <w:spacing w:after="0"/>
        <w:ind w:right="62"/>
        <w:rPr>
          <w:rFonts w:eastAsia="Times New Roman"/>
          <w:noProof/>
          <w:szCs w:val="24"/>
        </w:rPr>
      </w:pPr>
      <w:r w:rsidRPr="00B3308E">
        <w:rPr>
          <w:rFonts w:eastAsia="Times New Roman"/>
          <w:noProof/>
          <w:szCs w:val="24"/>
        </w:rPr>
        <w:t xml:space="preserve">The measures </w:t>
      </w:r>
      <w:r w:rsidR="003D6516">
        <w:rPr>
          <w:rFonts w:eastAsia="Times New Roman"/>
          <w:noProof/>
          <w:szCs w:val="24"/>
        </w:rPr>
        <w:t xml:space="preserve">in the </w:t>
      </w:r>
      <w:r w:rsidRPr="00B3308E">
        <w:rPr>
          <w:rFonts w:eastAsia="Times New Roman"/>
          <w:noProof/>
          <w:szCs w:val="24"/>
        </w:rPr>
        <w:t>propos</w:t>
      </w:r>
      <w:r w:rsidR="003D6516">
        <w:rPr>
          <w:rFonts w:eastAsia="Times New Roman"/>
          <w:noProof/>
          <w:szCs w:val="24"/>
        </w:rPr>
        <w:t>al</w:t>
      </w:r>
      <w:r w:rsidRPr="00B3308E">
        <w:rPr>
          <w:rFonts w:eastAsia="Times New Roman"/>
          <w:noProof/>
          <w:szCs w:val="24"/>
        </w:rPr>
        <w:t xml:space="preserve"> are limited to what is necessary to achieve </w:t>
      </w:r>
      <w:r w:rsidR="0045384F" w:rsidRPr="00B3308E">
        <w:rPr>
          <w:rFonts w:eastAsia="Times New Roman"/>
          <w:noProof/>
          <w:szCs w:val="24"/>
        </w:rPr>
        <w:t xml:space="preserve">its </w:t>
      </w:r>
      <w:r w:rsidRPr="00B3308E">
        <w:rPr>
          <w:rFonts w:eastAsia="Times New Roman"/>
          <w:noProof/>
          <w:szCs w:val="24"/>
        </w:rPr>
        <w:t>objectives</w:t>
      </w:r>
      <w:r w:rsidR="0045384F" w:rsidRPr="00B3308E">
        <w:rPr>
          <w:rFonts w:eastAsia="Times New Roman"/>
          <w:noProof/>
          <w:szCs w:val="24"/>
        </w:rPr>
        <w:t xml:space="preserve"> and take into account the provisions in </w:t>
      </w:r>
      <w:r w:rsidRPr="00B3308E">
        <w:rPr>
          <w:rFonts w:eastAsia="Times New Roman"/>
          <w:noProof/>
          <w:szCs w:val="24"/>
        </w:rPr>
        <w:t>Article 5 of Protocol number 2 to the Treaty</w:t>
      </w:r>
      <w:r w:rsidR="00446EC6" w:rsidRPr="00B3308E">
        <w:rPr>
          <w:rFonts w:eastAsia="Times New Roman"/>
          <w:noProof/>
          <w:szCs w:val="24"/>
        </w:rPr>
        <w:t xml:space="preserve"> on European Union</w:t>
      </w:r>
      <w:r w:rsidRPr="00B3308E">
        <w:rPr>
          <w:rFonts w:eastAsia="Times New Roman"/>
          <w:noProof/>
          <w:szCs w:val="24"/>
        </w:rPr>
        <w:t xml:space="preserve">, on the application of the principles of subsidiarity and proportionality, </w:t>
      </w:r>
      <w:r w:rsidR="0045384F" w:rsidRPr="00B3308E">
        <w:rPr>
          <w:rFonts w:eastAsia="Times New Roman"/>
          <w:noProof/>
          <w:szCs w:val="24"/>
        </w:rPr>
        <w:t xml:space="preserve">which </w:t>
      </w:r>
      <w:r w:rsidRPr="00B3308E">
        <w:rPr>
          <w:rFonts w:eastAsia="Times New Roman"/>
          <w:noProof/>
          <w:szCs w:val="24"/>
        </w:rPr>
        <w:t xml:space="preserve">indicate that </w:t>
      </w:r>
      <w:r w:rsidR="00526587">
        <w:rPr>
          <w:rFonts w:eastAsia="Times New Roman"/>
          <w:noProof/>
          <w:szCs w:val="24"/>
        </w:rPr>
        <w:t>‘</w:t>
      </w:r>
      <w:r w:rsidRPr="00B3308E">
        <w:rPr>
          <w:rFonts w:eastAsia="Times New Roman"/>
          <w:noProof/>
          <w:szCs w:val="24"/>
        </w:rPr>
        <w:t>draft legislative acts shall take account of the need for any burden, whether financial or administrative, falling upon the Union, national governments, regional or local authorities, economic operators and citizens, to be minimised and commensurate with the objective to be achieved</w:t>
      </w:r>
      <w:r w:rsidR="00526587">
        <w:rPr>
          <w:rFonts w:eastAsia="Times New Roman"/>
          <w:noProof/>
          <w:szCs w:val="24"/>
        </w:rPr>
        <w:t>’</w:t>
      </w:r>
      <w:r w:rsidRPr="00B3308E">
        <w:rPr>
          <w:rFonts w:eastAsia="Times New Roman"/>
          <w:noProof/>
          <w:szCs w:val="24"/>
        </w:rPr>
        <w:t xml:space="preserve">. </w:t>
      </w:r>
    </w:p>
    <w:p w14:paraId="64DBCF88" w14:textId="448F79FA" w:rsidR="005F43FC" w:rsidRDefault="007266D2" w:rsidP="00E74A76">
      <w:pPr>
        <w:spacing w:after="0"/>
        <w:ind w:right="62"/>
        <w:rPr>
          <w:rFonts w:eastAsia="Calibri"/>
          <w:iCs/>
          <w:noProof/>
          <w:szCs w:val="24"/>
        </w:rPr>
      </w:pPr>
      <w:r w:rsidRPr="00B3308E">
        <w:rPr>
          <w:noProof/>
        </w:rPr>
        <w:t xml:space="preserve">The methodology to set the limit values, described in Annex IV of the </w:t>
      </w:r>
      <w:r w:rsidR="003D6516">
        <w:rPr>
          <w:noProof/>
        </w:rPr>
        <w:t>i</w:t>
      </w:r>
      <w:r w:rsidRPr="00B3308E">
        <w:rPr>
          <w:noProof/>
        </w:rPr>
        <w:t xml:space="preserve">mpact </w:t>
      </w:r>
      <w:r w:rsidR="003D6516">
        <w:rPr>
          <w:noProof/>
        </w:rPr>
        <w:t>a</w:t>
      </w:r>
      <w:r w:rsidRPr="00B3308E">
        <w:rPr>
          <w:noProof/>
        </w:rPr>
        <w:t xml:space="preserve">ssessment, supports the development of limit values that are feasible and implementable for all relevant waste streams. </w:t>
      </w:r>
      <w:r w:rsidR="005F43FC">
        <w:rPr>
          <w:noProof/>
        </w:rPr>
        <w:t>A</w:t>
      </w:r>
      <w:r w:rsidRPr="00B3308E">
        <w:rPr>
          <w:rFonts w:eastAsia="Times New Roman"/>
          <w:noProof/>
        </w:rPr>
        <w:t xml:space="preserve">n assessment </w:t>
      </w:r>
      <w:r w:rsidR="005F43FC">
        <w:rPr>
          <w:rFonts w:eastAsia="Times New Roman"/>
          <w:noProof/>
        </w:rPr>
        <w:t>is carried out regarding</w:t>
      </w:r>
      <w:r w:rsidRPr="00B3308E">
        <w:rPr>
          <w:rFonts w:eastAsia="Times New Roman"/>
          <w:noProof/>
        </w:rPr>
        <w:t xml:space="preserve"> </w:t>
      </w:r>
      <w:r w:rsidR="003D6516">
        <w:rPr>
          <w:rFonts w:eastAsia="Times New Roman"/>
          <w:noProof/>
        </w:rPr>
        <w:t xml:space="preserve">the </w:t>
      </w:r>
      <w:r w:rsidRPr="00B3308E">
        <w:rPr>
          <w:rFonts w:eastAsia="Times New Roman"/>
          <w:noProof/>
        </w:rPr>
        <w:t xml:space="preserve">technical and economic feasibility </w:t>
      </w:r>
      <w:r w:rsidR="003D6516">
        <w:rPr>
          <w:rFonts w:eastAsia="Times New Roman"/>
          <w:noProof/>
        </w:rPr>
        <w:t>of</w:t>
      </w:r>
      <w:r w:rsidR="003D6516" w:rsidRPr="00B3308E">
        <w:rPr>
          <w:noProof/>
        </w:rPr>
        <w:t xml:space="preserve"> the </w:t>
      </w:r>
      <w:r w:rsidR="003D6516">
        <w:rPr>
          <w:noProof/>
        </w:rPr>
        <w:t xml:space="preserve">proposed </w:t>
      </w:r>
      <w:r w:rsidR="003D6516">
        <w:rPr>
          <w:rFonts w:eastAsia="Times New Roman"/>
          <w:noProof/>
        </w:rPr>
        <w:t xml:space="preserve">limit values </w:t>
      </w:r>
      <w:r w:rsidRPr="00B3308E">
        <w:rPr>
          <w:rFonts w:eastAsia="Times New Roman"/>
          <w:noProof/>
        </w:rPr>
        <w:t xml:space="preserve">for the main operators </w:t>
      </w:r>
      <w:r w:rsidR="003D6516">
        <w:rPr>
          <w:rFonts w:eastAsia="Times New Roman"/>
          <w:noProof/>
        </w:rPr>
        <w:t xml:space="preserve">who are </w:t>
      </w:r>
      <w:r w:rsidRPr="00B3308E">
        <w:rPr>
          <w:rFonts w:eastAsia="Times New Roman"/>
          <w:noProof/>
        </w:rPr>
        <w:t>affected</w:t>
      </w:r>
      <w:r w:rsidR="005F43FC">
        <w:rPr>
          <w:rFonts w:eastAsia="Times New Roman"/>
          <w:noProof/>
        </w:rPr>
        <w:t>;</w:t>
      </w:r>
      <w:r w:rsidRPr="00B3308E">
        <w:rPr>
          <w:rFonts w:eastAsia="Times New Roman"/>
          <w:noProof/>
        </w:rPr>
        <w:t xml:space="preserve"> </w:t>
      </w:r>
      <w:r w:rsidR="005F43FC">
        <w:rPr>
          <w:rFonts w:eastAsia="Calibri"/>
          <w:iCs/>
          <w:noProof/>
          <w:szCs w:val="24"/>
        </w:rPr>
        <w:t>e</w:t>
      </w:r>
      <w:r w:rsidRPr="00B3308E">
        <w:rPr>
          <w:rFonts w:eastAsia="Calibri"/>
          <w:iCs/>
          <w:noProof/>
          <w:szCs w:val="24"/>
        </w:rPr>
        <w:t xml:space="preserve">ach assessment is case-specific and made on the basis of available information. Aspects such as the number, size and nature of </w:t>
      </w:r>
      <w:r w:rsidR="005F43FC">
        <w:rPr>
          <w:rFonts w:eastAsia="Calibri"/>
          <w:iCs/>
          <w:noProof/>
          <w:szCs w:val="24"/>
        </w:rPr>
        <w:t xml:space="preserve">the </w:t>
      </w:r>
      <w:r w:rsidRPr="00B3308E">
        <w:rPr>
          <w:rFonts w:eastAsia="Calibri"/>
          <w:iCs/>
          <w:noProof/>
          <w:szCs w:val="24"/>
        </w:rPr>
        <w:t xml:space="preserve">stakeholders </w:t>
      </w:r>
      <w:r w:rsidR="005F43FC">
        <w:rPr>
          <w:rFonts w:eastAsia="Calibri"/>
          <w:iCs/>
          <w:noProof/>
          <w:szCs w:val="24"/>
        </w:rPr>
        <w:t xml:space="preserve">who are </w:t>
      </w:r>
      <w:r w:rsidRPr="00B3308E">
        <w:rPr>
          <w:rFonts w:eastAsia="Calibri"/>
          <w:iCs/>
          <w:noProof/>
          <w:szCs w:val="24"/>
        </w:rPr>
        <w:t xml:space="preserve">affected and their estimated capacity to absorb additional costs and investments, </w:t>
      </w:r>
      <w:r w:rsidR="005F43FC">
        <w:rPr>
          <w:rFonts w:eastAsia="Calibri"/>
          <w:iCs/>
          <w:noProof/>
          <w:szCs w:val="24"/>
        </w:rPr>
        <w:t xml:space="preserve">as well as </w:t>
      </w:r>
      <w:r w:rsidR="00806428" w:rsidRPr="00B3308E">
        <w:rPr>
          <w:rFonts w:eastAsia="Calibri"/>
          <w:iCs/>
          <w:noProof/>
          <w:szCs w:val="24"/>
        </w:rPr>
        <w:t>the availab</w:t>
      </w:r>
      <w:r w:rsidR="005F43FC">
        <w:rPr>
          <w:rFonts w:eastAsia="Calibri"/>
          <w:iCs/>
          <w:noProof/>
          <w:szCs w:val="24"/>
        </w:rPr>
        <w:t>le</w:t>
      </w:r>
      <w:r w:rsidR="00806428" w:rsidRPr="00B3308E">
        <w:rPr>
          <w:rFonts w:eastAsia="Calibri"/>
          <w:iCs/>
          <w:noProof/>
          <w:szCs w:val="24"/>
        </w:rPr>
        <w:t xml:space="preserve"> treatment capacit</w:t>
      </w:r>
      <w:r w:rsidR="005F43FC">
        <w:rPr>
          <w:rFonts w:eastAsia="Calibri"/>
          <w:iCs/>
          <w:noProof/>
          <w:szCs w:val="24"/>
        </w:rPr>
        <w:t>y</w:t>
      </w:r>
      <w:r w:rsidR="00806428" w:rsidRPr="00B3308E">
        <w:rPr>
          <w:rFonts w:eastAsia="Calibri"/>
          <w:iCs/>
          <w:noProof/>
          <w:szCs w:val="24"/>
        </w:rPr>
        <w:t xml:space="preserve"> </w:t>
      </w:r>
      <w:r w:rsidR="005F43FC">
        <w:rPr>
          <w:rFonts w:eastAsia="Calibri"/>
          <w:iCs/>
          <w:noProof/>
          <w:szCs w:val="24"/>
        </w:rPr>
        <w:t>of</w:t>
      </w:r>
      <w:r w:rsidR="00806428" w:rsidRPr="00B3308E">
        <w:rPr>
          <w:rFonts w:eastAsia="Calibri"/>
          <w:iCs/>
          <w:noProof/>
          <w:szCs w:val="24"/>
        </w:rPr>
        <w:t xml:space="preserve"> waste operators, </w:t>
      </w:r>
      <w:r w:rsidRPr="00B3308E">
        <w:rPr>
          <w:rFonts w:eastAsia="Calibri"/>
          <w:iCs/>
          <w:noProof/>
          <w:szCs w:val="24"/>
        </w:rPr>
        <w:t xml:space="preserve">are taken into account. </w:t>
      </w:r>
    </w:p>
    <w:p w14:paraId="137A5C81" w14:textId="0C535C55" w:rsidR="007266D2" w:rsidRPr="00B3308E" w:rsidRDefault="007266D2" w:rsidP="00E74A76">
      <w:pPr>
        <w:spacing w:after="0"/>
        <w:ind w:right="62"/>
        <w:rPr>
          <w:rFonts w:eastAsia="Times New Roman"/>
          <w:noProof/>
          <w:szCs w:val="24"/>
        </w:rPr>
      </w:pPr>
      <w:r w:rsidRPr="00B3308E">
        <w:rPr>
          <w:rFonts w:eastAsia="Calibri"/>
          <w:iCs/>
          <w:noProof/>
          <w:szCs w:val="24"/>
        </w:rPr>
        <w:t xml:space="preserve">An analysis of the impact of the preferred policy options is summarised in section 8.2 of the </w:t>
      </w:r>
      <w:r w:rsidR="003D6516">
        <w:rPr>
          <w:rFonts w:eastAsia="Calibri"/>
          <w:iCs/>
          <w:noProof/>
          <w:szCs w:val="24"/>
        </w:rPr>
        <w:t>i</w:t>
      </w:r>
      <w:r w:rsidRPr="00B3308E">
        <w:rPr>
          <w:rFonts w:eastAsia="Calibri"/>
          <w:iCs/>
          <w:noProof/>
          <w:szCs w:val="24"/>
        </w:rPr>
        <w:t xml:space="preserve">mpact </w:t>
      </w:r>
      <w:r w:rsidR="003D6516">
        <w:rPr>
          <w:rFonts w:eastAsia="Calibri"/>
          <w:iCs/>
          <w:noProof/>
          <w:szCs w:val="24"/>
        </w:rPr>
        <w:t>a</w:t>
      </w:r>
      <w:r w:rsidRPr="00B3308E">
        <w:rPr>
          <w:rFonts w:eastAsia="Calibri"/>
          <w:iCs/>
          <w:noProof/>
          <w:szCs w:val="24"/>
        </w:rPr>
        <w:t>ssessment.</w:t>
      </w:r>
    </w:p>
    <w:p w14:paraId="583B6A39" w14:textId="77777777" w:rsidR="00F6747C" w:rsidRPr="00B3308E" w:rsidRDefault="00F6747C" w:rsidP="00194FA1">
      <w:pPr>
        <w:pStyle w:val="ManualHeading2"/>
        <w:rPr>
          <w:rFonts w:eastAsia="Arial Unicode MS"/>
          <w:noProof/>
          <w:u w:color="000000"/>
          <w:bdr w:val="nil"/>
          <w:lang w:eastAsia="en-GB"/>
        </w:rPr>
      </w:pPr>
    </w:p>
    <w:p w14:paraId="7A66F0BC"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Choice of the instrument</w:t>
      </w:r>
    </w:p>
    <w:p w14:paraId="5A2E48F1" w14:textId="08870E67" w:rsidR="00FB08CA" w:rsidRPr="00B3308E" w:rsidRDefault="00FB08CA" w:rsidP="00FB08CA">
      <w:pPr>
        <w:rPr>
          <w:rFonts w:eastAsia="Times New Roman"/>
          <w:noProof/>
          <w:szCs w:val="24"/>
        </w:rPr>
      </w:pPr>
      <w:r w:rsidRPr="00B3308E">
        <w:rPr>
          <w:rFonts w:eastAsia="Times New Roman"/>
          <w:noProof/>
          <w:szCs w:val="24"/>
        </w:rPr>
        <w:t>Under Article 15(2) of the POPs Regulation, the Commission must, where appropriate, make legislative proposals to amend Annexes IV and V to the Regulation</w:t>
      </w:r>
      <w:r w:rsidR="00526587">
        <w:rPr>
          <w:rFonts w:eastAsia="Times New Roman"/>
          <w:noProof/>
          <w:szCs w:val="24"/>
        </w:rPr>
        <w:t>,</w:t>
      </w:r>
      <w:r w:rsidRPr="00B3308E">
        <w:rPr>
          <w:rFonts w:eastAsia="Times New Roman"/>
          <w:noProof/>
          <w:szCs w:val="24"/>
        </w:rPr>
        <w:t xml:space="preserve"> to adapt them to the changes to the list of substances set out in the Annexes to the Convention or the Protocol</w:t>
      </w:r>
      <w:r w:rsidR="005F43FC">
        <w:rPr>
          <w:rFonts w:eastAsia="Times New Roman"/>
          <w:noProof/>
          <w:szCs w:val="24"/>
        </w:rPr>
        <w:t>,</w:t>
      </w:r>
      <w:r w:rsidRPr="00B3308E">
        <w:rPr>
          <w:rFonts w:eastAsia="Times New Roman"/>
          <w:noProof/>
          <w:szCs w:val="24"/>
        </w:rPr>
        <w:t xml:space="preserve"> or to modify existing entries or provisions in the Annexes to this Regulation</w:t>
      </w:r>
      <w:r w:rsidR="005F43FC">
        <w:rPr>
          <w:rFonts w:eastAsia="Times New Roman"/>
          <w:noProof/>
          <w:szCs w:val="24"/>
        </w:rPr>
        <w:t>,</w:t>
      </w:r>
      <w:r w:rsidRPr="00B3308E">
        <w:rPr>
          <w:rFonts w:eastAsia="Times New Roman"/>
          <w:noProof/>
          <w:szCs w:val="24"/>
        </w:rPr>
        <w:t xml:space="preserve"> to adapt them to scientific and technical progress. </w:t>
      </w:r>
      <w:r w:rsidR="00600276" w:rsidRPr="00B3308E">
        <w:rPr>
          <w:rFonts w:eastAsia="Times New Roman"/>
          <w:noProof/>
          <w:szCs w:val="24"/>
        </w:rPr>
        <w:t>Therefore, as prescribed by Article 15(2), this initiative takes the form of a Regulation amending the POPs Regulation.</w:t>
      </w:r>
    </w:p>
    <w:p w14:paraId="3CB12E14" w14:textId="77777777" w:rsidR="00F6747C" w:rsidRPr="00B3308E" w:rsidRDefault="00F6747C" w:rsidP="0066757E">
      <w:pPr>
        <w:rPr>
          <w:noProof/>
          <w:szCs w:val="24"/>
        </w:rPr>
      </w:pPr>
    </w:p>
    <w:p w14:paraId="744177A6" w14:textId="77777777" w:rsidR="007D09E1" w:rsidRPr="00B3308E" w:rsidRDefault="007D09E1" w:rsidP="00194FA1">
      <w:pPr>
        <w:pStyle w:val="ManualHeading1"/>
        <w:rPr>
          <w:noProof/>
        </w:rPr>
      </w:pPr>
      <w:r w:rsidRPr="00B3308E">
        <w:rPr>
          <w:noProof/>
        </w:rPr>
        <w:t>3.</w:t>
      </w:r>
      <w:r w:rsidRPr="00B3308E">
        <w:rPr>
          <w:noProof/>
        </w:rPr>
        <w:tab/>
        <w:t>RESULTS OF EX-POST EVALUATIONS, STAKEHOLDER CONSULTATIONS AND IMPACT ASSESSMENTS</w:t>
      </w:r>
    </w:p>
    <w:p w14:paraId="0E9818F6"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Ex-post evaluations/fitness checks of existing legislation</w:t>
      </w:r>
    </w:p>
    <w:p w14:paraId="7C02605E" w14:textId="053045AC" w:rsidR="00F6747C" w:rsidRPr="00B3308E" w:rsidRDefault="00AA3A26" w:rsidP="00F6747C">
      <w:pPr>
        <w:rPr>
          <w:noProof/>
        </w:rPr>
      </w:pPr>
      <w:r w:rsidRPr="00B3308E">
        <w:rPr>
          <w:noProof/>
        </w:rPr>
        <w:t>Given the limited and technical nature of th</w:t>
      </w:r>
      <w:r w:rsidR="00600276" w:rsidRPr="00B3308E">
        <w:rPr>
          <w:noProof/>
        </w:rPr>
        <w:t xml:space="preserve">is </w:t>
      </w:r>
      <w:r w:rsidR="004A5EA1" w:rsidRPr="00B3308E">
        <w:rPr>
          <w:noProof/>
        </w:rPr>
        <w:t>proposal</w:t>
      </w:r>
      <w:r w:rsidR="00526587">
        <w:rPr>
          <w:noProof/>
        </w:rPr>
        <w:t>,</w:t>
      </w:r>
      <w:r w:rsidRPr="00B3308E">
        <w:rPr>
          <w:noProof/>
        </w:rPr>
        <w:t xml:space="preserve"> and considering </w:t>
      </w:r>
      <w:r w:rsidR="00600276" w:rsidRPr="00B3308E">
        <w:rPr>
          <w:noProof/>
        </w:rPr>
        <w:t xml:space="preserve">the </w:t>
      </w:r>
      <w:r w:rsidRPr="00B3308E">
        <w:rPr>
          <w:noProof/>
        </w:rPr>
        <w:t>recast</w:t>
      </w:r>
      <w:r w:rsidR="00600276" w:rsidRPr="00B3308E">
        <w:rPr>
          <w:noProof/>
        </w:rPr>
        <w:t xml:space="preserve"> of the POPs Regulation</w:t>
      </w:r>
      <w:r w:rsidRPr="00B3308E">
        <w:rPr>
          <w:noProof/>
        </w:rPr>
        <w:t xml:space="preserve"> in 2019, no ex-post evaluation of the existing legislation was considered necessary.  </w:t>
      </w:r>
    </w:p>
    <w:p w14:paraId="0237EF89" w14:textId="77777777" w:rsidR="0066757E" w:rsidRPr="00B3308E" w:rsidRDefault="0066757E" w:rsidP="0066757E">
      <w:pPr>
        <w:rPr>
          <w:noProof/>
        </w:rPr>
      </w:pPr>
      <w:r w:rsidRPr="00B3308E">
        <w:rPr>
          <w:noProof/>
        </w:rPr>
        <w:t xml:space="preserve"> </w:t>
      </w:r>
    </w:p>
    <w:p w14:paraId="36ED1823"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Stakeholder consultations</w:t>
      </w:r>
    </w:p>
    <w:p w14:paraId="40C3C77D" w14:textId="0D505415" w:rsidR="00B616AF" w:rsidRPr="00B3308E" w:rsidRDefault="00B616AF" w:rsidP="00B616AF">
      <w:pPr>
        <w:rPr>
          <w:noProof/>
          <w:szCs w:val="24"/>
        </w:rPr>
      </w:pPr>
      <w:r w:rsidRPr="00B3308E">
        <w:rPr>
          <w:rFonts w:cstheme="minorBidi"/>
          <w:noProof/>
        </w:rPr>
        <w:t xml:space="preserve">The </w:t>
      </w:r>
      <w:r w:rsidR="003D6516">
        <w:rPr>
          <w:rFonts w:cstheme="minorBidi"/>
          <w:noProof/>
        </w:rPr>
        <w:t>i</w:t>
      </w:r>
      <w:r w:rsidRPr="00B3308E">
        <w:rPr>
          <w:rFonts w:cstheme="minorBidi"/>
          <w:noProof/>
        </w:rPr>
        <w:t xml:space="preserve">mpact </w:t>
      </w:r>
      <w:r w:rsidR="003D6516">
        <w:rPr>
          <w:rFonts w:cstheme="minorBidi"/>
          <w:noProof/>
        </w:rPr>
        <w:t>a</w:t>
      </w:r>
      <w:r w:rsidRPr="00B3308E">
        <w:rPr>
          <w:rFonts w:cstheme="minorBidi"/>
          <w:noProof/>
        </w:rPr>
        <w:t xml:space="preserve">ssessment accompanying this </w:t>
      </w:r>
      <w:r w:rsidR="004A5EA1" w:rsidRPr="00B3308E">
        <w:rPr>
          <w:rFonts w:cstheme="minorBidi"/>
          <w:noProof/>
        </w:rPr>
        <w:t xml:space="preserve">proposal </w:t>
      </w:r>
      <w:r w:rsidRPr="00B3308E">
        <w:rPr>
          <w:rFonts w:cstheme="minorBidi"/>
          <w:noProof/>
        </w:rPr>
        <w:t>was subject to a thorough stakeholder consultation to ensure that the view</w:t>
      </w:r>
      <w:r w:rsidR="004A5EA1" w:rsidRPr="00B3308E">
        <w:rPr>
          <w:rFonts w:cstheme="minorBidi"/>
          <w:noProof/>
        </w:rPr>
        <w:t>s</w:t>
      </w:r>
      <w:r w:rsidRPr="00B3308E">
        <w:rPr>
          <w:rFonts w:cstheme="minorBidi"/>
          <w:noProof/>
        </w:rPr>
        <w:t xml:space="preserve"> </w:t>
      </w:r>
      <w:r w:rsidR="004A5EA1" w:rsidRPr="00B3308E">
        <w:rPr>
          <w:rFonts w:cstheme="minorBidi"/>
          <w:noProof/>
        </w:rPr>
        <w:t xml:space="preserve">of stakeholders </w:t>
      </w:r>
      <w:r w:rsidR="001949B5" w:rsidRPr="00B3308E">
        <w:rPr>
          <w:rFonts w:cstheme="minorBidi"/>
          <w:noProof/>
        </w:rPr>
        <w:t>were</w:t>
      </w:r>
      <w:r w:rsidRPr="00B3308E">
        <w:rPr>
          <w:rFonts w:cstheme="minorBidi"/>
          <w:noProof/>
        </w:rPr>
        <w:t xml:space="preserve"> duly represented and considered. </w:t>
      </w:r>
      <w:r w:rsidRPr="00B3308E">
        <w:rPr>
          <w:noProof/>
          <w:szCs w:val="24"/>
        </w:rPr>
        <w:t xml:space="preserve">Given the technical nature of the </w:t>
      </w:r>
      <w:r w:rsidR="004A5EA1" w:rsidRPr="00B3308E">
        <w:rPr>
          <w:noProof/>
          <w:szCs w:val="24"/>
        </w:rPr>
        <w:t>proposal</w:t>
      </w:r>
      <w:r w:rsidRPr="00B3308E">
        <w:rPr>
          <w:noProof/>
          <w:szCs w:val="24"/>
        </w:rPr>
        <w:t xml:space="preserve"> and </w:t>
      </w:r>
      <w:r w:rsidR="005F43FC">
        <w:rPr>
          <w:noProof/>
          <w:szCs w:val="24"/>
        </w:rPr>
        <w:t>its deep level of detail</w:t>
      </w:r>
      <w:r w:rsidRPr="00B3308E">
        <w:rPr>
          <w:noProof/>
          <w:szCs w:val="24"/>
        </w:rPr>
        <w:t xml:space="preserve">, the exercise was primarily addressed to professional, academic and industrial/sectoral stakeholders, as well as representatives of civil society such as NGOs, consumer associations and trade unions. </w:t>
      </w:r>
    </w:p>
    <w:p w14:paraId="2AF47D86" w14:textId="4D88A44B" w:rsidR="0005101C" w:rsidRDefault="00B616AF" w:rsidP="00585217">
      <w:pPr>
        <w:rPr>
          <w:noProof/>
        </w:rPr>
      </w:pPr>
      <w:r w:rsidRPr="00B3308E">
        <w:rPr>
          <w:noProof/>
        </w:rPr>
        <w:t xml:space="preserve">The </w:t>
      </w:r>
      <w:r w:rsidRPr="00B3308E">
        <w:rPr>
          <w:b/>
          <w:noProof/>
        </w:rPr>
        <w:t xml:space="preserve">Inception Impact Assessment Roadmap </w:t>
      </w:r>
      <w:r w:rsidRPr="00B3308E">
        <w:rPr>
          <w:noProof/>
        </w:rPr>
        <w:t>was published on 29 May 2020 and the consultation period concluded on 7 August 2020</w:t>
      </w:r>
      <w:r w:rsidR="00526587">
        <w:rPr>
          <w:noProof/>
        </w:rPr>
        <w:t>;</w:t>
      </w:r>
      <w:r w:rsidRPr="00B3308E">
        <w:rPr>
          <w:noProof/>
        </w:rPr>
        <w:t xml:space="preserve"> </w:t>
      </w:r>
      <w:r w:rsidR="00526587">
        <w:rPr>
          <w:noProof/>
        </w:rPr>
        <w:t>f</w:t>
      </w:r>
      <w:r w:rsidRPr="00B3308E">
        <w:rPr>
          <w:noProof/>
        </w:rPr>
        <w:t xml:space="preserve">eedback was received from 51 respondents. </w:t>
      </w:r>
      <w:r w:rsidR="00585217" w:rsidRPr="00B3308E">
        <w:rPr>
          <w:noProof/>
        </w:rPr>
        <w:t>The analysis of the</w:t>
      </w:r>
      <w:r w:rsidR="00526587">
        <w:rPr>
          <w:noProof/>
        </w:rPr>
        <w:t>se</w:t>
      </w:r>
      <w:r w:rsidR="00585217" w:rsidRPr="00B3308E">
        <w:rPr>
          <w:noProof/>
        </w:rPr>
        <w:t xml:space="preserve"> response</w:t>
      </w:r>
      <w:r w:rsidR="001949B5" w:rsidRPr="00B3308E">
        <w:rPr>
          <w:noProof/>
        </w:rPr>
        <w:t>s</w:t>
      </w:r>
      <w:r w:rsidR="00585217" w:rsidRPr="00B3308E">
        <w:rPr>
          <w:noProof/>
        </w:rPr>
        <w:t xml:space="preserve"> revealed some distinct discrepancies between stakeholders </w:t>
      </w:r>
      <w:r w:rsidR="00526587">
        <w:rPr>
          <w:noProof/>
        </w:rPr>
        <w:t>on</w:t>
      </w:r>
      <w:r w:rsidR="00585217" w:rsidRPr="00B3308E">
        <w:rPr>
          <w:noProof/>
        </w:rPr>
        <w:t xml:space="preserve"> how to deal with POPs in the circular economy. </w:t>
      </w:r>
    </w:p>
    <w:p w14:paraId="31C8EFE9" w14:textId="49575414" w:rsidR="00585217" w:rsidRPr="00B3308E" w:rsidRDefault="00585217" w:rsidP="00585217">
      <w:pPr>
        <w:rPr>
          <w:rFonts w:cstheme="minorHAnsi"/>
          <w:noProof/>
        </w:rPr>
      </w:pPr>
      <w:r w:rsidRPr="00B3308E">
        <w:rPr>
          <w:rFonts w:cstheme="minorHAnsi"/>
          <w:noProof/>
        </w:rPr>
        <w:t>According to many responses, particularly from NGOs</w:t>
      </w:r>
      <w:r w:rsidR="001949B5" w:rsidRPr="00B3308E">
        <w:rPr>
          <w:rFonts w:cstheme="minorHAnsi"/>
          <w:noProof/>
        </w:rPr>
        <w:t>,</w:t>
      </w:r>
      <w:r w:rsidRPr="00B3308E">
        <w:rPr>
          <w:rFonts w:cstheme="minorHAnsi"/>
          <w:noProof/>
        </w:rPr>
        <w:t xml:space="preserve"> the recycling of waste containing POPs is incompatible with a safe circular economy. This argument prioritises the removal of POPs from within the supply chain over the potential benefits associated with recycling such products. Industry responses provide a more nuanced view and </w:t>
      </w:r>
      <w:r w:rsidR="00526587">
        <w:rPr>
          <w:rFonts w:cstheme="minorHAnsi"/>
          <w:noProof/>
        </w:rPr>
        <w:t xml:space="preserve">note </w:t>
      </w:r>
      <w:r w:rsidRPr="00B3308E">
        <w:rPr>
          <w:rFonts w:cstheme="minorHAnsi"/>
          <w:noProof/>
        </w:rPr>
        <w:t>that EU policies which strive for a ‘toxic</w:t>
      </w:r>
      <w:r w:rsidR="00526587">
        <w:rPr>
          <w:rFonts w:cstheme="minorHAnsi"/>
          <w:noProof/>
        </w:rPr>
        <w:t>-</w:t>
      </w:r>
      <w:r w:rsidRPr="00B3308E">
        <w:rPr>
          <w:rFonts w:cstheme="minorHAnsi"/>
          <w:noProof/>
        </w:rPr>
        <w:t>free environment’ and also for more recycling often point in contradictory directions</w:t>
      </w:r>
      <w:r w:rsidR="00526587">
        <w:rPr>
          <w:rFonts w:cstheme="minorHAnsi"/>
          <w:noProof/>
        </w:rPr>
        <w:t>,</w:t>
      </w:r>
      <w:r w:rsidRPr="00B3308E">
        <w:rPr>
          <w:rFonts w:cstheme="minorHAnsi"/>
          <w:noProof/>
        </w:rPr>
        <w:t xml:space="preserve"> which results in waste operators finding themselves in a situation where rules are not predictable and not always practicable. Two associations indicated that more public support should be provided to foster new investments in waste sorting and decontamination</w:t>
      </w:r>
      <w:r w:rsidR="00526587">
        <w:rPr>
          <w:rFonts w:cstheme="minorHAnsi"/>
          <w:noProof/>
        </w:rPr>
        <w:t>,</w:t>
      </w:r>
      <w:r w:rsidRPr="00B3308E">
        <w:rPr>
          <w:rFonts w:cstheme="minorHAnsi"/>
          <w:noProof/>
        </w:rPr>
        <w:t xml:space="preserve"> as this would allow for more </w:t>
      </w:r>
      <w:r w:rsidR="001949B5" w:rsidRPr="00B3308E">
        <w:rPr>
          <w:rFonts w:cstheme="minorHAnsi"/>
          <w:noProof/>
        </w:rPr>
        <w:t xml:space="preserve">and better </w:t>
      </w:r>
      <w:r w:rsidRPr="00B3308E">
        <w:rPr>
          <w:rFonts w:cstheme="minorHAnsi"/>
          <w:noProof/>
        </w:rPr>
        <w:t>recycling.</w:t>
      </w:r>
    </w:p>
    <w:p w14:paraId="04A88DE6" w14:textId="660F085F" w:rsidR="00B616AF" w:rsidRPr="00B3308E" w:rsidRDefault="00B616AF" w:rsidP="00B616AF">
      <w:pPr>
        <w:rPr>
          <w:noProof/>
          <w:szCs w:val="24"/>
        </w:rPr>
      </w:pPr>
      <w:r w:rsidRPr="00B3308E">
        <w:rPr>
          <w:rFonts w:cstheme="minorBidi"/>
          <w:noProof/>
        </w:rPr>
        <w:t xml:space="preserve">In addition, a </w:t>
      </w:r>
      <w:r w:rsidRPr="00B3308E">
        <w:rPr>
          <w:rFonts w:cstheme="minorBidi"/>
          <w:b/>
          <w:noProof/>
        </w:rPr>
        <w:t>targeted stakeholder consultation</w:t>
      </w:r>
      <w:r w:rsidRPr="00B3308E">
        <w:rPr>
          <w:rFonts w:cstheme="minorBidi"/>
          <w:noProof/>
        </w:rPr>
        <w:t xml:space="preserve"> was carried out in the context of the support study, </w:t>
      </w:r>
      <w:r w:rsidRPr="00B3308E">
        <w:rPr>
          <w:noProof/>
          <w:szCs w:val="24"/>
        </w:rPr>
        <w:t xml:space="preserve">comprising all aspects relevant to the </w:t>
      </w:r>
      <w:r w:rsidR="003D6516">
        <w:rPr>
          <w:noProof/>
          <w:szCs w:val="24"/>
        </w:rPr>
        <w:t>i</w:t>
      </w:r>
      <w:r w:rsidRPr="00B3308E">
        <w:rPr>
          <w:noProof/>
          <w:szCs w:val="24"/>
        </w:rPr>
        <w:t xml:space="preserve">mpact </w:t>
      </w:r>
      <w:r w:rsidR="003D6516">
        <w:rPr>
          <w:noProof/>
          <w:szCs w:val="24"/>
        </w:rPr>
        <w:t>a</w:t>
      </w:r>
      <w:r w:rsidRPr="00B3308E">
        <w:rPr>
          <w:noProof/>
          <w:szCs w:val="24"/>
        </w:rPr>
        <w:t xml:space="preserve">ssessment, including socio-economic elements, by means of an electronic questionnaire and interviews with stakeholders representing key sectors and organisations. </w:t>
      </w:r>
      <w:r w:rsidR="004D6323" w:rsidRPr="00B3308E">
        <w:rPr>
          <w:noProof/>
          <w:szCs w:val="24"/>
        </w:rPr>
        <w:t xml:space="preserve">The </w:t>
      </w:r>
      <w:r w:rsidR="003D6516">
        <w:rPr>
          <w:noProof/>
          <w:szCs w:val="24"/>
        </w:rPr>
        <w:t>i</w:t>
      </w:r>
      <w:r w:rsidR="004D6323" w:rsidRPr="00B3308E">
        <w:rPr>
          <w:noProof/>
          <w:szCs w:val="24"/>
        </w:rPr>
        <w:t xml:space="preserve">mpact </w:t>
      </w:r>
      <w:r w:rsidR="003D6516">
        <w:rPr>
          <w:noProof/>
          <w:szCs w:val="24"/>
        </w:rPr>
        <w:t>a</w:t>
      </w:r>
      <w:r w:rsidR="004D6323" w:rsidRPr="00B3308E">
        <w:rPr>
          <w:noProof/>
          <w:szCs w:val="24"/>
        </w:rPr>
        <w:t>ssessment supporting this proposal also capitali</w:t>
      </w:r>
      <w:r w:rsidR="00526587">
        <w:rPr>
          <w:noProof/>
          <w:szCs w:val="24"/>
        </w:rPr>
        <w:t>s</w:t>
      </w:r>
      <w:r w:rsidR="004D6323" w:rsidRPr="00B3308E">
        <w:rPr>
          <w:noProof/>
          <w:szCs w:val="24"/>
        </w:rPr>
        <w:t xml:space="preserve">es on information on the views of stakeholders, and of society in general, </w:t>
      </w:r>
      <w:r w:rsidRPr="00B3308E">
        <w:rPr>
          <w:noProof/>
          <w:szCs w:val="24"/>
        </w:rPr>
        <w:t>regarding substances of concern in recycled materials</w:t>
      </w:r>
      <w:r w:rsidR="004D6323" w:rsidRPr="00B3308E">
        <w:rPr>
          <w:noProof/>
          <w:szCs w:val="24"/>
        </w:rPr>
        <w:t xml:space="preserve">, that were collected in the open public consultation on </w:t>
      </w:r>
      <w:r w:rsidR="004D6323" w:rsidRPr="00B3308E">
        <w:rPr>
          <w:rFonts w:eastAsia="Calibri"/>
          <w:noProof/>
          <w:szCs w:val="24"/>
        </w:rPr>
        <w:t>the interface between chemical, product and waste legislation</w:t>
      </w:r>
      <w:r w:rsidR="0091037E" w:rsidRPr="00B3308E">
        <w:rPr>
          <w:rStyle w:val="FootnoteReference"/>
          <w:rFonts w:eastAsia="Calibri"/>
          <w:noProof/>
          <w:szCs w:val="24"/>
        </w:rPr>
        <w:footnoteReference w:id="10"/>
      </w:r>
      <w:r w:rsidR="004D6323" w:rsidRPr="00B3308E">
        <w:rPr>
          <w:rFonts w:eastAsia="Calibri"/>
          <w:noProof/>
          <w:szCs w:val="24"/>
        </w:rPr>
        <w:t xml:space="preserve">. This consultation, </w:t>
      </w:r>
      <w:r w:rsidR="00526587">
        <w:rPr>
          <w:rFonts w:eastAsia="Calibri"/>
          <w:noProof/>
          <w:szCs w:val="24"/>
        </w:rPr>
        <w:t>carried out</w:t>
      </w:r>
      <w:r w:rsidR="004D6323" w:rsidRPr="00B3308E">
        <w:rPr>
          <w:rFonts w:eastAsia="Calibri"/>
          <w:noProof/>
          <w:szCs w:val="24"/>
        </w:rPr>
        <w:t xml:space="preserve"> in 2018</w:t>
      </w:r>
      <w:r w:rsidR="00526587">
        <w:rPr>
          <w:rFonts w:eastAsia="Calibri"/>
          <w:noProof/>
          <w:szCs w:val="24"/>
        </w:rPr>
        <w:t>,</w:t>
      </w:r>
      <w:r w:rsidRPr="00B3308E">
        <w:rPr>
          <w:noProof/>
          <w:szCs w:val="24"/>
        </w:rPr>
        <w:t xml:space="preserve"> address</w:t>
      </w:r>
      <w:r w:rsidR="004D6323" w:rsidRPr="00B3308E">
        <w:rPr>
          <w:noProof/>
          <w:szCs w:val="24"/>
        </w:rPr>
        <w:t>ed</w:t>
      </w:r>
      <w:r w:rsidRPr="00B3308E">
        <w:rPr>
          <w:noProof/>
          <w:szCs w:val="24"/>
        </w:rPr>
        <w:t xml:space="preserve"> broader, less technical aspects </w:t>
      </w:r>
      <w:r w:rsidR="004D6323" w:rsidRPr="00B3308E">
        <w:rPr>
          <w:noProof/>
          <w:szCs w:val="24"/>
        </w:rPr>
        <w:t>relevant to</w:t>
      </w:r>
      <w:r w:rsidRPr="00B3308E">
        <w:rPr>
          <w:noProof/>
          <w:szCs w:val="24"/>
        </w:rPr>
        <w:t xml:space="preserve"> this measure</w:t>
      </w:r>
      <w:r w:rsidR="00526587">
        <w:rPr>
          <w:noProof/>
          <w:szCs w:val="24"/>
        </w:rPr>
        <w:t>,</w:t>
      </w:r>
      <w:r w:rsidRPr="00B3308E">
        <w:rPr>
          <w:noProof/>
          <w:szCs w:val="24"/>
        </w:rPr>
        <w:t xml:space="preserve"> and </w:t>
      </w:r>
      <w:r w:rsidR="001949B5" w:rsidRPr="00B3308E">
        <w:rPr>
          <w:noProof/>
          <w:szCs w:val="24"/>
        </w:rPr>
        <w:t xml:space="preserve">therefore </w:t>
      </w:r>
      <w:r w:rsidRPr="00B3308E">
        <w:rPr>
          <w:noProof/>
          <w:szCs w:val="24"/>
        </w:rPr>
        <w:t xml:space="preserve">this information was already available and </w:t>
      </w:r>
      <w:r w:rsidR="00DA02FE" w:rsidRPr="00B3308E">
        <w:rPr>
          <w:noProof/>
          <w:szCs w:val="24"/>
        </w:rPr>
        <w:t>was</w:t>
      </w:r>
      <w:r w:rsidRPr="00B3308E">
        <w:rPr>
          <w:noProof/>
          <w:szCs w:val="24"/>
        </w:rPr>
        <w:t xml:space="preserve"> used </w:t>
      </w:r>
      <w:r w:rsidR="0005101C">
        <w:rPr>
          <w:noProof/>
          <w:szCs w:val="24"/>
        </w:rPr>
        <w:t>to</w:t>
      </w:r>
      <w:r w:rsidRPr="00B3308E">
        <w:rPr>
          <w:noProof/>
          <w:szCs w:val="24"/>
        </w:rPr>
        <w:t xml:space="preserve"> support </w:t>
      </w:r>
      <w:r w:rsidR="0005101C">
        <w:rPr>
          <w:noProof/>
          <w:szCs w:val="24"/>
        </w:rPr>
        <w:t>the</w:t>
      </w:r>
      <w:r w:rsidRPr="00B3308E">
        <w:rPr>
          <w:noProof/>
          <w:szCs w:val="24"/>
        </w:rPr>
        <w:t xml:space="preserve"> measure. A summary report</w:t>
      </w:r>
      <w:r w:rsidR="0091037E" w:rsidRPr="00B3308E">
        <w:rPr>
          <w:rStyle w:val="FootnoteReference"/>
          <w:noProof/>
          <w:szCs w:val="24"/>
        </w:rPr>
        <w:footnoteReference w:id="11"/>
      </w:r>
      <w:r w:rsidRPr="00B3308E">
        <w:rPr>
          <w:noProof/>
          <w:szCs w:val="24"/>
        </w:rPr>
        <w:t xml:space="preserve"> of that consultation was published on 28 February 2019.</w:t>
      </w:r>
    </w:p>
    <w:p w14:paraId="51585246" w14:textId="77777777" w:rsidR="00404EF3" w:rsidRPr="00B3308E" w:rsidRDefault="00585217" w:rsidP="00404EF3">
      <w:pPr>
        <w:pBdr>
          <w:top w:val="nil"/>
          <w:left w:val="nil"/>
          <w:bottom w:val="nil"/>
          <w:right w:val="nil"/>
          <w:between w:val="nil"/>
          <w:bar w:val="nil"/>
        </w:pBdr>
        <w:rPr>
          <w:noProof/>
        </w:rPr>
      </w:pPr>
      <w:r w:rsidRPr="00B3308E">
        <w:rPr>
          <w:noProof/>
        </w:rPr>
        <w:t xml:space="preserve">A detailed account of the </w:t>
      </w:r>
      <w:r w:rsidR="00404EF3" w:rsidRPr="00B3308E">
        <w:rPr>
          <w:noProof/>
        </w:rPr>
        <w:t>stakeholder consultations</w:t>
      </w:r>
      <w:r w:rsidRPr="00B3308E">
        <w:rPr>
          <w:noProof/>
        </w:rPr>
        <w:t xml:space="preserve"> and of their outcomes is </w:t>
      </w:r>
      <w:r w:rsidR="00404EF3" w:rsidRPr="00B3308E">
        <w:rPr>
          <w:noProof/>
        </w:rPr>
        <w:t>included in Annex 2 of the impact assessment</w:t>
      </w:r>
      <w:r w:rsidR="001949B5" w:rsidRPr="00B3308E">
        <w:rPr>
          <w:noProof/>
        </w:rPr>
        <w:t xml:space="preserve"> report</w:t>
      </w:r>
      <w:r w:rsidR="00404EF3" w:rsidRPr="00B3308E">
        <w:rPr>
          <w:noProof/>
        </w:rPr>
        <w:t>.</w:t>
      </w:r>
    </w:p>
    <w:p w14:paraId="4459173A" w14:textId="77777777" w:rsidR="00585217" w:rsidRPr="00B3308E" w:rsidRDefault="00585217" w:rsidP="00404EF3">
      <w:pPr>
        <w:pBdr>
          <w:top w:val="nil"/>
          <w:left w:val="nil"/>
          <w:bottom w:val="nil"/>
          <w:right w:val="nil"/>
          <w:between w:val="nil"/>
          <w:bar w:val="nil"/>
        </w:pBdr>
        <w:rPr>
          <w:noProof/>
        </w:rPr>
      </w:pPr>
    </w:p>
    <w:p w14:paraId="28DCF712"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Collection and use of expertise</w:t>
      </w:r>
    </w:p>
    <w:p w14:paraId="3FFF2FB3" w14:textId="440231A2" w:rsidR="00B616AF" w:rsidRPr="00B3308E" w:rsidRDefault="00404EF3" w:rsidP="00B616AF">
      <w:pPr>
        <w:rPr>
          <w:noProof/>
        </w:rPr>
      </w:pPr>
      <w:r w:rsidRPr="00B3308E">
        <w:rPr>
          <w:noProof/>
        </w:rPr>
        <w:t xml:space="preserve">To support the analysis of the </w:t>
      </w:r>
      <w:r w:rsidR="002119DE" w:rsidRPr="00B3308E">
        <w:rPr>
          <w:noProof/>
        </w:rPr>
        <w:t>impact assessment</w:t>
      </w:r>
      <w:r w:rsidRPr="00B3308E">
        <w:rPr>
          <w:noProof/>
        </w:rPr>
        <w:t xml:space="preserve">, the Commission awarded </w:t>
      </w:r>
      <w:r w:rsidR="00B616AF" w:rsidRPr="00B3308E">
        <w:rPr>
          <w:noProof/>
        </w:rPr>
        <w:t xml:space="preserve">a </w:t>
      </w:r>
      <w:r w:rsidRPr="00B3308E">
        <w:rPr>
          <w:noProof/>
        </w:rPr>
        <w:t>support contract</w:t>
      </w:r>
      <w:r w:rsidRPr="00B3308E">
        <w:rPr>
          <w:b/>
          <w:noProof/>
        </w:rPr>
        <w:t xml:space="preserve"> </w:t>
      </w:r>
      <w:r w:rsidRPr="00B3308E">
        <w:rPr>
          <w:noProof/>
        </w:rPr>
        <w:t xml:space="preserve">to </w:t>
      </w:r>
      <w:r w:rsidR="00B616AF" w:rsidRPr="00B3308E">
        <w:rPr>
          <w:noProof/>
        </w:rPr>
        <w:t>external consultants</w:t>
      </w:r>
      <w:r w:rsidRPr="00B3308E">
        <w:rPr>
          <w:noProof/>
        </w:rPr>
        <w:t>:</w:t>
      </w:r>
      <w:r w:rsidR="00B616AF" w:rsidRPr="00B3308E">
        <w:rPr>
          <w:noProof/>
        </w:rPr>
        <w:t xml:space="preserve"> </w:t>
      </w:r>
      <w:r w:rsidR="00526587">
        <w:rPr>
          <w:i/>
          <w:noProof/>
        </w:rPr>
        <w:t>‘</w:t>
      </w:r>
      <w:r w:rsidR="00B616AF" w:rsidRPr="00B3308E">
        <w:rPr>
          <w:i/>
          <w:noProof/>
        </w:rPr>
        <w:t>Study to support the assessment of impacts associated with the review of limit values in waste for POPs listed in Annexes IV and V of Regulation (EU) 2019/1021</w:t>
      </w:r>
      <w:r w:rsidR="00526587">
        <w:rPr>
          <w:i/>
          <w:noProof/>
        </w:rPr>
        <w:t>’</w:t>
      </w:r>
      <w:r w:rsidR="00B616AF" w:rsidRPr="00B3308E">
        <w:rPr>
          <w:noProof/>
        </w:rPr>
        <w:t xml:space="preserve"> (RPA/INERIS, 2021). </w:t>
      </w:r>
      <w:r w:rsidR="0005101C">
        <w:rPr>
          <w:noProof/>
        </w:rPr>
        <w:t>T</w:t>
      </w:r>
      <w:r w:rsidR="00B616AF" w:rsidRPr="00B3308E">
        <w:rPr>
          <w:noProof/>
        </w:rPr>
        <w:t xml:space="preserve">he assessment also relied on a study carried out in support of a previous amendment of </w:t>
      </w:r>
      <w:r w:rsidR="002119DE" w:rsidRPr="00B3308E">
        <w:rPr>
          <w:noProof/>
        </w:rPr>
        <w:t xml:space="preserve">Annexes IV and V </w:t>
      </w:r>
      <w:r w:rsidR="00B616AF" w:rsidRPr="00B3308E">
        <w:rPr>
          <w:noProof/>
        </w:rPr>
        <w:t>of the POP</w:t>
      </w:r>
      <w:r w:rsidR="002119DE" w:rsidRPr="00B3308E">
        <w:rPr>
          <w:noProof/>
        </w:rPr>
        <w:t>s</w:t>
      </w:r>
      <w:r w:rsidR="00B616AF" w:rsidRPr="00B3308E">
        <w:rPr>
          <w:noProof/>
        </w:rPr>
        <w:t xml:space="preserve"> Regulation, particular</w:t>
      </w:r>
      <w:r w:rsidR="0005101C">
        <w:rPr>
          <w:noProof/>
        </w:rPr>
        <w:t>ly</w:t>
      </w:r>
      <w:r w:rsidR="00B616AF" w:rsidRPr="00B3308E">
        <w:rPr>
          <w:noProof/>
        </w:rPr>
        <w:t xml:space="preserve"> for the mass</w:t>
      </w:r>
      <w:r w:rsidR="00B77108">
        <w:rPr>
          <w:noProof/>
        </w:rPr>
        <w:t xml:space="preserve"> </w:t>
      </w:r>
      <w:r w:rsidR="00B616AF" w:rsidRPr="00B3308E">
        <w:rPr>
          <w:noProof/>
        </w:rPr>
        <w:t xml:space="preserve">flows of substances and waste, done in the context of the recast of Regulation (EC) No. 850/2004: </w:t>
      </w:r>
      <w:r w:rsidR="00526587">
        <w:rPr>
          <w:i/>
          <w:noProof/>
        </w:rPr>
        <w:t>‘</w:t>
      </w:r>
      <w:r w:rsidR="00B616AF" w:rsidRPr="00B3308E">
        <w:rPr>
          <w:i/>
          <w:noProof/>
        </w:rPr>
        <w:t>Study to support the review of waste related issues in Annexes IV and V of Regulation (EC) 850/2004</w:t>
      </w:r>
      <w:r w:rsidR="00526587">
        <w:rPr>
          <w:i/>
          <w:noProof/>
        </w:rPr>
        <w:t>’</w:t>
      </w:r>
      <w:r w:rsidR="00B616AF" w:rsidRPr="00B3308E">
        <w:rPr>
          <w:noProof/>
        </w:rPr>
        <w:t xml:space="preserve"> (Ramboll Environment &amp; Health GmbH</w:t>
      </w:r>
      <w:r w:rsidR="00526587">
        <w:rPr>
          <w:noProof/>
        </w:rPr>
        <w:t>,</w:t>
      </w:r>
      <w:r w:rsidR="00B616AF" w:rsidRPr="00B3308E">
        <w:rPr>
          <w:noProof/>
        </w:rPr>
        <w:t xml:space="preserve"> January 2019).</w:t>
      </w:r>
    </w:p>
    <w:p w14:paraId="3BD5CEC7" w14:textId="1607EE5F" w:rsidR="00B616AF" w:rsidRPr="00B3308E" w:rsidRDefault="00B616AF" w:rsidP="00B616AF">
      <w:pPr>
        <w:rPr>
          <w:rFonts w:eastAsia="Cambria"/>
          <w:noProof/>
          <w:lang w:eastAsia="en-GB"/>
        </w:rPr>
      </w:pPr>
      <w:r w:rsidRPr="00B3308E">
        <w:rPr>
          <w:rFonts w:eastAsia="Cambria"/>
          <w:noProof/>
          <w:lang w:eastAsia="en-GB"/>
        </w:rPr>
        <w:t>In addition to these two studies, information on relevant substances contained in older studies carried out in support of previous amendments of the POP</w:t>
      </w:r>
      <w:r w:rsidR="002119DE" w:rsidRPr="00B3308E">
        <w:rPr>
          <w:rFonts w:eastAsia="Cambria"/>
          <w:noProof/>
          <w:lang w:eastAsia="en-GB"/>
        </w:rPr>
        <w:t>s</w:t>
      </w:r>
      <w:r w:rsidRPr="00B3308E">
        <w:rPr>
          <w:rFonts w:eastAsia="Cambria"/>
          <w:noProof/>
          <w:lang w:eastAsia="en-GB"/>
        </w:rPr>
        <w:t xml:space="preserve"> Regulation was also cons</w:t>
      </w:r>
      <w:r w:rsidR="001949B5" w:rsidRPr="00B3308E">
        <w:rPr>
          <w:rFonts w:eastAsia="Cambria"/>
          <w:noProof/>
          <w:lang w:eastAsia="en-GB"/>
        </w:rPr>
        <w:t>idered</w:t>
      </w:r>
      <w:r w:rsidRPr="00B3308E">
        <w:rPr>
          <w:rFonts w:eastAsia="Cambria"/>
          <w:noProof/>
          <w:lang w:eastAsia="en-GB"/>
        </w:rPr>
        <w:t xml:space="preserve">: </w:t>
      </w:r>
    </w:p>
    <w:p w14:paraId="49506B15" w14:textId="3497D4C7" w:rsidR="00A574B8" w:rsidRPr="00B3308E" w:rsidRDefault="00A574B8" w:rsidP="009C7745">
      <w:pPr>
        <w:pStyle w:val="Bullet1"/>
        <w:numPr>
          <w:ilvl w:val="0"/>
          <w:numId w:val="20"/>
        </w:numPr>
        <w:rPr>
          <w:noProof/>
          <w:lang w:eastAsia="en-GB"/>
        </w:rPr>
      </w:pPr>
      <w:r w:rsidRPr="00B3308E">
        <w:rPr>
          <w:rFonts w:eastAsia="Cambria"/>
          <w:i/>
          <w:noProof/>
        </w:rPr>
        <w:t>Study on waste related issues of newly listed POPs and candidate POPs</w:t>
      </w:r>
      <w:r w:rsidRPr="00B3308E">
        <w:rPr>
          <w:rFonts w:eastAsia="Cambria"/>
          <w:noProof/>
        </w:rPr>
        <w:t xml:space="preserve"> </w:t>
      </w:r>
      <w:r w:rsidR="00164E9F">
        <w:rPr>
          <w:rFonts w:eastAsia="Cambria"/>
          <w:noProof/>
        </w:rPr>
        <w:t>(</w:t>
      </w:r>
      <w:r w:rsidRPr="00B3308E">
        <w:rPr>
          <w:rFonts w:eastAsia="Cambria"/>
          <w:noProof/>
        </w:rPr>
        <w:t>ESWI Consortium</w:t>
      </w:r>
      <w:r w:rsidR="00526587">
        <w:rPr>
          <w:rFonts w:eastAsia="Cambria"/>
          <w:noProof/>
        </w:rPr>
        <w:t>,</w:t>
      </w:r>
      <w:r w:rsidRPr="00B3308E">
        <w:rPr>
          <w:rFonts w:eastAsia="Cambria"/>
          <w:noProof/>
        </w:rPr>
        <w:t xml:space="preserve"> April 2011</w:t>
      </w:r>
      <w:r w:rsidR="00164E9F">
        <w:rPr>
          <w:rFonts w:eastAsia="Cambria"/>
          <w:noProof/>
        </w:rPr>
        <w:t>)</w:t>
      </w:r>
    </w:p>
    <w:p w14:paraId="307E7136" w14:textId="067B3D4B" w:rsidR="00A574B8" w:rsidRPr="00B3308E" w:rsidRDefault="00A574B8" w:rsidP="00A574B8">
      <w:pPr>
        <w:pStyle w:val="Bullet1"/>
        <w:rPr>
          <w:noProof/>
        </w:rPr>
      </w:pPr>
      <w:r w:rsidRPr="00B3308E">
        <w:rPr>
          <w:i/>
          <w:noProof/>
        </w:rPr>
        <w:t>Study to facilitate the implementation of certain waste related provisions of the Regulation on Persistent Organic Pollutants (POPs)</w:t>
      </w:r>
      <w:r w:rsidRPr="00B3308E">
        <w:rPr>
          <w:noProof/>
        </w:rPr>
        <w:t xml:space="preserve"> </w:t>
      </w:r>
      <w:r w:rsidR="00164E9F">
        <w:rPr>
          <w:noProof/>
        </w:rPr>
        <w:t>(</w:t>
      </w:r>
      <w:r w:rsidRPr="00B3308E">
        <w:rPr>
          <w:noProof/>
        </w:rPr>
        <w:t>BiPRO</w:t>
      </w:r>
      <w:r w:rsidR="00526587">
        <w:rPr>
          <w:noProof/>
        </w:rPr>
        <w:t>,</w:t>
      </w:r>
      <w:r w:rsidRPr="00B3308E">
        <w:rPr>
          <w:noProof/>
        </w:rPr>
        <w:t xml:space="preserve"> August 2005</w:t>
      </w:r>
      <w:r w:rsidR="00164E9F">
        <w:rPr>
          <w:noProof/>
        </w:rPr>
        <w:t>)</w:t>
      </w:r>
    </w:p>
    <w:p w14:paraId="1B8BC34A" w14:textId="4FEBD3F4" w:rsidR="00B616AF" w:rsidRPr="00B3308E" w:rsidRDefault="00E55EEC" w:rsidP="00B616AF">
      <w:pPr>
        <w:rPr>
          <w:noProof/>
        </w:rPr>
      </w:pPr>
      <w:r w:rsidRPr="00B3308E">
        <w:rPr>
          <w:noProof/>
        </w:rPr>
        <w:t xml:space="preserve">The development of the impact assessment in support of the proposal was also assisted by an </w:t>
      </w:r>
      <w:r w:rsidRPr="00B3308E">
        <w:rPr>
          <w:rFonts w:eastAsia="Cambria"/>
          <w:noProof/>
          <w:lang w:eastAsia="en-GB"/>
        </w:rPr>
        <w:t>Inter Service Steering Group for the Impact Assessment</w:t>
      </w:r>
      <w:r w:rsidR="00164E9F">
        <w:rPr>
          <w:rFonts w:eastAsia="Cambria"/>
          <w:noProof/>
          <w:lang w:eastAsia="en-GB"/>
        </w:rPr>
        <w:t>. This group</w:t>
      </w:r>
      <w:r w:rsidRPr="00B3308E">
        <w:rPr>
          <w:rFonts w:eastAsia="Cambria"/>
          <w:noProof/>
          <w:lang w:eastAsia="en-GB"/>
        </w:rPr>
        <w:t xml:space="preserve"> was set up by DG Environment and</w:t>
      </w:r>
      <w:r w:rsidR="00164E9F">
        <w:rPr>
          <w:rFonts w:eastAsia="Cambria"/>
          <w:noProof/>
          <w:lang w:eastAsia="en-GB"/>
        </w:rPr>
        <w:t xml:space="preserve"> </w:t>
      </w:r>
      <w:r w:rsidR="001B61C4">
        <w:rPr>
          <w:rFonts w:eastAsia="Cambria"/>
          <w:noProof/>
          <w:lang w:eastAsia="en-GB"/>
        </w:rPr>
        <w:t xml:space="preserve">met </w:t>
      </w:r>
      <w:r w:rsidRPr="00B3308E">
        <w:rPr>
          <w:rFonts w:eastAsia="Cambria"/>
          <w:noProof/>
          <w:lang w:eastAsia="en-GB"/>
        </w:rPr>
        <w:t xml:space="preserve">four </w:t>
      </w:r>
      <w:r w:rsidR="001B61C4">
        <w:rPr>
          <w:rFonts w:eastAsia="Cambria"/>
          <w:noProof/>
          <w:lang w:eastAsia="en-GB"/>
        </w:rPr>
        <w:t>times</w:t>
      </w:r>
      <w:r w:rsidRPr="00B3308E">
        <w:rPr>
          <w:rFonts w:eastAsia="Cambria"/>
          <w:noProof/>
          <w:lang w:eastAsia="en-GB"/>
        </w:rPr>
        <w:t xml:space="preserve"> from </w:t>
      </w:r>
      <w:r w:rsidRPr="00B3308E">
        <w:rPr>
          <w:noProof/>
        </w:rPr>
        <w:t xml:space="preserve">July 2020 </w:t>
      </w:r>
      <w:r w:rsidR="005D4C77" w:rsidRPr="00B3308E">
        <w:rPr>
          <w:noProof/>
        </w:rPr>
        <w:t xml:space="preserve">to </w:t>
      </w:r>
      <w:r w:rsidRPr="00B3308E">
        <w:rPr>
          <w:noProof/>
        </w:rPr>
        <w:t xml:space="preserve">June 2021. </w:t>
      </w:r>
    </w:p>
    <w:p w14:paraId="5BCFAF5E" w14:textId="77777777" w:rsidR="00B616AF" w:rsidRPr="00B3308E" w:rsidRDefault="00B616AF" w:rsidP="00B616AF">
      <w:pPr>
        <w:rPr>
          <w:noProof/>
        </w:rPr>
      </w:pPr>
    </w:p>
    <w:p w14:paraId="49879FE9"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Impact assessment</w:t>
      </w:r>
    </w:p>
    <w:p w14:paraId="730E83A9" w14:textId="0C03A6DD" w:rsidR="008B55EB" w:rsidRPr="00B3308E" w:rsidRDefault="00404EF3" w:rsidP="00597DC6">
      <w:pPr>
        <w:autoSpaceDE w:val="0"/>
        <w:autoSpaceDN w:val="0"/>
        <w:adjustRightInd w:val="0"/>
        <w:rPr>
          <w:noProof/>
          <w:szCs w:val="24"/>
        </w:rPr>
      </w:pPr>
      <w:r w:rsidRPr="00B3308E">
        <w:rPr>
          <w:b/>
          <w:noProof/>
          <w:szCs w:val="24"/>
        </w:rPr>
        <w:t xml:space="preserve">The proposal is </w:t>
      </w:r>
      <w:r w:rsidR="00D853EA" w:rsidRPr="00B3308E">
        <w:rPr>
          <w:b/>
          <w:noProof/>
          <w:szCs w:val="24"/>
        </w:rPr>
        <w:t>informed by</w:t>
      </w:r>
      <w:r w:rsidRPr="00B3308E">
        <w:rPr>
          <w:b/>
          <w:noProof/>
          <w:szCs w:val="24"/>
        </w:rPr>
        <w:t xml:space="preserve"> an impact assessment</w:t>
      </w:r>
      <w:r w:rsidRPr="00B3308E">
        <w:rPr>
          <w:noProof/>
          <w:szCs w:val="24"/>
        </w:rPr>
        <w:t>. After having addressed the Regulatory Scrutiny Board</w:t>
      </w:r>
      <w:r w:rsidR="00DD0948">
        <w:rPr>
          <w:noProof/>
          <w:szCs w:val="24"/>
        </w:rPr>
        <w:t>’</w:t>
      </w:r>
      <w:r w:rsidRPr="00B3308E">
        <w:rPr>
          <w:noProof/>
          <w:szCs w:val="24"/>
        </w:rPr>
        <w:t xml:space="preserve">s comments issued in its </w:t>
      </w:r>
      <w:r w:rsidR="00D853EA" w:rsidRPr="00B3308E">
        <w:rPr>
          <w:noProof/>
          <w:szCs w:val="24"/>
        </w:rPr>
        <w:t xml:space="preserve">first </w:t>
      </w:r>
      <w:r w:rsidRPr="00B3308E">
        <w:rPr>
          <w:noProof/>
          <w:szCs w:val="24"/>
        </w:rPr>
        <w:t xml:space="preserve">opinion of </w:t>
      </w:r>
      <w:r w:rsidR="00C93ECA" w:rsidRPr="00B3308E">
        <w:rPr>
          <w:noProof/>
          <w:szCs w:val="24"/>
        </w:rPr>
        <w:t>5 March 20</w:t>
      </w:r>
      <w:r w:rsidR="002C147D" w:rsidRPr="00B3308E">
        <w:rPr>
          <w:noProof/>
          <w:szCs w:val="24"/>
        </w:rPr>
        <w:t>21</w:t>
      </w:r>
      <w:r w:rsidRPr="00B3308E">
        <w:rPr>
          <w:noProof/>
          <w:szCs w:val="24"/>
        </w:rPr>
        <w:t xml:space="preserve">, the impact assessment received a positive opinion with reservations on </w:t>
      </w:r>
      <w:r w:rsidR="002C147D" w:rsidRPr="00B3308E">
        <w:rPr>
          <w:noProof/>
          <w:szCs w:val="24"/>
        </w:rPr>
        <w:t>29</w:t>
      </w:r>
      <w:r w:rsidRPr="00B3308E">
        <w:rPr>
          <w:noProof/>
          <w:szCs w:val="24"/>
        </w:rPr>
        <w:t xml:space="preserve"> </w:t>
      </w:r>
      <w:r w:rsidR="002C147D" w:rsidRPr="00B3308E">
        <w:rPr>
          <w:noProof/>
          <w:szCs w:val="24"/>
        </w:rPr>
        <w:t xml:space="preserve">June </w:t>
      </w:r>
      <w:r w:rsidRPr="00B3308E">
        <w:rPr>
          <w:noProof/>
          <w:szCs w:val="24"/>
        </w:rPr>
        <w:t>202</w:t>
      </w:r>
      <w:r w:rsidR="002C147D" w:rsidRPr="00B3308E">
        <w:rPr>
          <w:noProof/>
          <w:szCs w:val="24"/>
        </w:rPr>
        <w:t>1</w:t>
      </w:r>
      <w:r w:rsidRPr="00B3308E">
        <w:rPr>
          <w:noProof/>
          <w:szCs w:val="24"/>
        </w:rPr>
        <w:t>. In its final opinion</w:t>
      </w:r>
      <w:r w:rsidR="00DD0948">
        <w:rPr>
          <w:noProof/>
          <w:szCs w:val="24"/>
        </w:rPr>
        <w:t>,</w:t>
      </w:r>
      <w:r w:rsidRPr="00B3308E">
        <w:rPr>
          <w:noProof/>
          <w:szCs w:val="24"/>
        </w:rPr>
        <w:t xml:space="preserve"> the Board asked for further det</w:t>
      </w:r>
      <w:r w:rsidR="002C147D" w:rsidRPr="00B3308E">
        <w:rPr>
          <w:noProof/>
          <w:szCs w:val="24"/>
        </w:rPr>
        <w:t xml:space="preserve">ails on the methodology used to propose the different limit values for the POPs </w:t>
      </w:r>
      <w:r w:rsidR="00DD0948">
        <w:rPr>
          <w:noProof/>
          <w:szCs w:val="24"/>
        </w:rPr>
        <w:t>with</w:t>
      </w:r>
      <w:r w:rsidR="002C147D" w:rsidRPr="00B3308E">
        <w:rPr>
          <w:noProof/>
          <w:szCs w:val="24"/>
        </w:rPr>
        <w:t xml:space="preserve">in </w:t>
      </w:r>
      <w:r w:rsidR="00DD0948">
        <w:rPr>
          <w:noProof/>
          <w:szCs w:val="24"/>
        </w:rPr>
        <w:t xml:space="preserve">the </w:t>
      </w:r>
      <w:r w:rsidR="002C147D" w:rsidRPr="00B3308E">
        <w:rPr>
          <w:noProof/>
          <w:szCs w:val="24"/>
        </w:rPr>
        <w:t>scope</w:t>
      </w:r>
      <w:r w:rsidR="00D853EA" w:rsidRPr="00B3308E">
        <w:rPr>
          <w:noProof/>
          <w:szCs w:val="24"/>
        </w:rPr>
        <w:t xml:space="preserve"> of the proposal</w:t>
      </w:r>
      <w:r w:rsidRPr="00B3308E">
        <w:rPr>
          <w:noProof/>
          <w:szCs w:val="24"/>
        </w:rPr>
        <w:t>.</w:t>
      </w:r>
    </w:p>
    <w:p w14:paraId="0EDDD851" w14:textId="5F49312D" w:rsidR="008B55EB" w:rsidRPr="00B3308E" w:rsidRDefault="008B55EB" w:rsidP="008B55EB">
      <w:pPr>
        <w:rPr>
          <w:rFonts w:eastAsia="Calibri"/>
          <w:iCs/>
          <w:noProof/>
          <w:szCs w:val="24"/>
        </w:rPr>
      </w:pPr>
      <w:r w:rsidRPr="00B3308E">
        <w:rPr>
          <w:noProof/>
          <w:szCs w:val="24"/>
        </w:rPr>
        <w:t xml:space="preserve">The </w:t>
      </w:r>
      <w:r w:rsidR="0025180D">
        <w:rPr>
          <w:noProof/>
          <w:szCs w:val="24"/>
        </w:rPr>
        <w:t>p</w:t>
      </w:r>
      <w:r w:rsidRPr="00B3308E">
        <w:rPr>
          <w:noProof/>
          <w:szCs w:val="24"/>
        </w:rPr>
        <w:t xml:space="preserve">olicy </w:t>
      </w:r>
      <w:r w:rsidR="0025180D">
        <w:rPr>
          <w:noProof/>
          <w:szCs w:val="24"/>
        </w:rPr>
        <w:t>o</w:t>
      </w:r>
      <w:r w:rsidRPr="00B3308E">
        <w:rPr>
          <w:noProof/>
          <w:szCs w:val="24"/>
        </w:rPr>
        <w:t>ptions considered</w:t>
      </w:r>
      <w:r w:rsidR="00C93ECA" w:rsidRPr="00B3308E">
        <w:rPr>
          <w:noProof/>
          <w:szCs w:val="24"/>
        </w:rPr>
        <w:t xml:space="preserve"> </w:t>
      </w:r>
      <w:r w:rsidRPr="00B3308E">
        <w:rPr>
          <w:noProof/>
          <w:szCs w:val="24"/>
        </w:rPr>
        <w:t xml:space="preserve">in the impact assessment refer to </w:t>
      </w:r>
      <w:r w:rsidR="00D853EA" w:rsidRPr="00B3308E">
        <w:rPr>
          <w:noProof/>
          <w:szCs w:val="24"/>
        </w:rPr>
        <w:t xml:space="preserve">a range of limit values to the </w:t>
      </w:r>
      <w:r w:rsidRPr="00B3308E">
        <w:rPr>
          <w:noProof/>
          <w:szCs w:val="24"/>
        </w:rPr>
        <w:t xml:space="preserve">Annex IV </w:t>
      </w:r>
      <w:r w:rsidR="00DD0948">
        <w:rPr>
          <w:noProof/>
          <w:szCs w:val="24"/>
        </w:rPr>
        <w:t xml:space="preserve">values </w:t>
      </w:r>
      <w:r w:rsidRPr="00B3308E">
        <w:rPr>
          <w:noProof/>
          <w:szCs w:val="24"/>
        </w:rPr>
        <w:t xml:space="preserve">to be proposed for the different substances </w:t>
      </w:r>
      <w:r w:rsidR="00DD0948">
        <w:rPr>
          <w:noProof/>
          <w:szCs w:val="24"/>
        </w:rPr>
        <w:t>with</w:t>
      </w:r>
      <w:r w:rsidRPr="00B3308E">
        <w:rPr>
          <w:noProof/>
          <w:szCs w:val="24"/>
        </w:rPr>
        <w:t xml:space="preserve">in </w:t>
      </w:r>
      <w:r w:rsidR="00DD0948">
        <w:rPr>
          <w:noProof/>
          <w:szCs w:val="24"/>
        </w:rPr>
        <w:t xml:space="preserve">the </w:t>
      </w:r>
      <w:r w:rsidRPr="00B3308E">
        <w:rPr>
          <w:noProof/>
          <w:szCs w:val="24"/>
        </w:rPr>
        <w:t xml:space="preserve">scope of the proposal. </w:t>
      </w:r>
      <w:r w:rsidRPr="00B3308E">
        <w:rPr>
          <w:rFonts w:eastAsia="Calibri"/>
          <w:iCs/>
          <w:noProof/>
          <w:szCs w:val="24"/>
        </w:rPr>
        <w:t xml:space="preserve">Annex IV values (also known as </w:t>
      </w:r>
      <w:r w:rsidR="00DD0948">
        <w:rPr>
          <w:rFonts w:eastAsia="Calibri"/>
          <w:iCs/>
          <w:noProof/>
          <w:szCs w:val="24"/>
        </w:rPr>
        <w:t>‘</w:t>
      </w:r>
      <w:r w:rsidRPr="00B3308E">
        <w:rPr>
          <w:rFonts w:eastAsia="Calibri"/>
          <w:iCs/>
          <w:noProof/>
          <w:szCs w:val="24"/>
        </w:rPr>
        <w:t>low POP concentration limits</w:t>
      </w:r>
      <w:r w:rsidR="00DD0948">
        <w:rPr>
          <w:rFonts w:eastAsia="Calibri"/>
          <w:iCs/>
          <w:noProof/>
          <w:szCs w:val="24"/>
        </w:rPr>
        <w:t>’</w:t>
      </w:r>
      <w:r w:rsidRPr="00B3308E">
        <w:rPr>
          <w:rFonts w:eastAsia="Calibri"/>
          <w:iCs/>
          <w:noProof/>
          <w:szCs w:val="24"/>
        </w:rPr>
        <w:t>) are defined in Article 7(4)(</w:t>
      </w:r>
      <w:r w:rsidR="00681BA9">
        <w:rPr>
          <w:rFonts w:eastAsia="Calibri"/>
          <w:iCs/>
          <w:noProof/>
          <w:szCs w:val="24"/>
        </w:rPr>
        <w:t>a</w:t>
      </w:r>
      <w:r w:rsidRPr="00B3308E">
        <w:rPr>
          <w:rFonts w:eastAsia="Calibri"/>
          <w:iCs/>
          <w:noProof/>
          <w:szCs w:val="24"/>
        </w:rPr>
        <w:t>) of the POPs Regulation. They define the value for POP substances in waste at or above which they have to be destroyed or irreversibly transformed. In practice</w:t>
      </w:r>
      <w:r w:rsidR="00D853EA" w:rsidRPr="00B3308E">
        <w:rPr>
          <w:rFonts w:eastAsia="Calibri"/>
          <w:iCs/>
          <w:noProof/>
          <w:szCs w:val="24"/>
        </w:rPr>
        <w:t>,</w:t>
      </w:r>
      <w:r w:rsidRPr="00B3308E">
        <w:rPr>
          <w:rFonts w:eastAsia="Calibri"/>
          <w:iCs/>
          <w:noProof/>
          <w:szCs w:val="24"/>
        </w:rPr>
        <w:t xml:space="preserve"> this means that </w:t>
      </w:r>
      <w:r w:rsidR="00B76A90">
        <w:rPr>
          <w:rFonts w:eastAsia="Calibri"/>
          <w:iCs/>
          <w:noProof/>
          <w:szCs w:val="24"/>
        </w:rPr>
        <w:t xml:space="preserve">waste </w:t>
      </w:r>
      <w:r w:rsidRPr="00B3308E">
        <w:rPr>
          <w:rFonts w:eastAsia="Calibri"/>
          <w:iCs/>
          <w:noProof/>
          <w:szCs w:val="24"/>
        </w:rPr>
        <w:t>below this value containing POPs can be treated by other means, including be</w:t>
      </w:r>
      <w:r w:rsidR="00B76A90">
        <w:rPr>
          <w:rFonts w:eastAsia="Calibri"/>
          <w:iCs/>
          <w:noProof/>
          <w:szCs w:val="24"/>
        </w:rPr>
        <w:t>ing</w:t>
      </w:r>
      <w:r w:rsidRPr="00B3308E">
        <w:rPr>
          <w:rFonts w:eastAsia="Calibri"/>
          <w:iCs/>
          <w:noProof/>
          <w:szCs w:val="24"/>
        </w:rPr>
        <w:t xml:space="preserve"> recycled. </w:t>
      </w:r>
    </w:p>
    <w:p w14:paraId="6FC060E2" w14:textId="06D7512D" w:rsidR="00597DC6" w:rsidRPr="00B3308E" w:rsidRDefault="00597DC6" w:rsidP="00597DC6">
      <w:pPr>
        <w:autoSpaceDE w:val="0"/>
        <w:autoSpaceDN w:val="0"/>
        <w:adjustRightInd w:val="0"/>
        <w:rPr>
          <w:noProof/>
          <w:szCs w:val="24"/>
        </w:rPr>
      </w:pPr>
      <w:r w:rsidRPr="00B3308E">
        <w:rPr>
          <w:noProof/>
          <w:szCs w:val="24"/>
        </w:rPr>
        <w:t xml:space="preserve">For each of the substances </w:t>
      </w:r>
      <w:r w:rsidR="00B76A90">
        <w:rPr>
          <w:noProof/>
          <w:szCs w:val="24"/>
        </w:rPr>
        <w:t>with</w:t>
      </w:r>
      <w:r w:rsidRPr="00B3308E">
        <w:rPr>
          <w:noProof/>
          <w:szCs w:val="24"/>
        </w:rPr>
        <w:t xml:space="preserve">in </w:t>
      </w:r>
      <w:r w:rsidR="00B76A90">
        <w:rPr>
          <w:noProof/>
          <w:szCs w:val="24"/>
        </w:rPr>
        <w:t xml:space="preserve">the </w:t>
      </w:r>
      <w:r w:rsidRPr="00B3308E">
        <w:rPr>
          <w:noProof/>
          <w:szCs w:val="24"/>
        </w:rPr>
        <w:t>scope</w:t>
      </w:r>
      <w:r w:rsidR="00B76A90">
        <w:rPr>
          <w:noProof/>
          <w:szCs w:val="24"/>
        </w:rPr>
        <w:t xml:space="preserve"> of the proposal</w:t>
      </w:r>
      <w:r w:rsidRPr="00B3308E">
        <w:rPr>
          <w:noProof/>
          <w:szCs w:val="24"/>
        </w:rPr>
        <w:t xml:space="preserve">, </w:t>
      </w:r>
      <w:r w:rsidRPr="00B3308E">
        <w:rPr>
          <w:b/>
          <w:noProof/>
          <w:szCs w:val="24"/>
        </w:rPr>
        <w:t>Policy Option 1</w:t>
      </w:r>
      <w:r w:rsidRPr="00B3308E">
        <w:rPr>
          <w:noProof/>
          <w:szCs w:val="24"/>
        </w:rPr>
        <w:t xml:space="preserve"> describes the current baseline and represents the highest value considered (or the absence of a limit for substances not</w:t>
      </w:r>
      <w:r w:rsidR="00C93ECA" w:rsidRPr="00B3308E">
        <w:rPr>
          <w:noProof/>
          <w:szCs w:val="24"/>
        </w:rPr>
        <w:t xml:space="preserve"> yet</w:t>
      </w:r>
      <w:r w:rsidRPr="00B3308E">
        <w:rPr>
          <w:noProof/>
          <w:szCs w:val="24"/>
        </w:rPr>
        <w:t xml:space="preserve"> listed). Under the baseline, no changes would be introduced in Annexes IV and V to the POPs Regulation. This means that newly listed substances under the Convention would not be included in the relevant Annexes</w:t>
      </w:r>
      <w:r w:rsidR="008911E5" w:rsidRPr="00B3308E">
        <w:rPr>
          <w:rStyle w:val="FootnoteReference"/>
          <w:noProof/>
          <w:szCs w:val="24"/>
        </w:rPr>
        <w:footnoteReference w:id="12"/>
      </w:r>
      <w:r w:rsidRPr="00B3308E">
        <w:rPr>
          <w:noProof/>
          <w:szCs w:val="24"/>
        </w:rPr>
        <w:t xml:space="preserve">. </w:t>
      </w:r>
      <w:r w:rsidR="00A820E0">
        <w:rPr>
          <w:noProof/>
          <w:szCs w:val="24"/>
        </w:rPr>
        <w:t>The same would also apply to</w:t>
      </w:r>
      <w:r w:rsidRPr="00B3308E">
        <w:rPr>
          <w:noProof/>
          <w:szCs w:val="24"/>
        </w:rPr>
        <w:t xml:space="preserve"> substances for which limits have already been set under the POPs Regulation, and for which scientific and technical progress advises that the values be reviewed. </w:t>
      </w:r>
    </w:p>
    <w:p w14:paraId="4251A68D" w14:textId="0D7AEEEC" w:rsidR="00AD3FA5" w:rsidRPr="00B3308E" w:rsidRDefault="00597DC6" w:rsidP="00404EF3">
      <w:pPr>
        <w:autoSpaceDE w:val="0"/>
        <w:autoSpaceDN w:val="0"/>
        <w:adjustRightInd w:val="0"/>
        <w:rPr>
          <w:noProof/>
          <w:szCs w:val="24"/>
        </w:rPr>
      </w:pPr>
      <w:r w:rsidRPr="00B3308E">
        <w:rPr>
          <w:b/>
          <w:noProof/>
          <w:szCs w:val="24"/>
        </w:rPr>
        <w:t>Policy Option 2</w:t>
      </w:r>
      <w:r w:rsidRPr="00B3308E">
        <w:rPr>
          <w:noProof/>
          <w:szCs w:val="24"/>
        </w:rPr>
        <w:t xml:space="preserve"> represent</w:t>
      </w:r>
      <w:r w:rsidR="00C93ECA" w:rsidRPr="00B3308E">
        <w:rPr>
          <w:noProof/>
          <w:szCs w:val="24"/>
        </w:rPr>
        <w:t>s</w:t>
      </w:r>
      <w:r w:rsidRPr="00B3308E">
        <w:rPr>
          <w:noProof/>
          <w:szCs w:val="24"/>
        </w:rPr>
        <w:t xml:space="preserve"> value</w:t>
      </w:r>
      <w:r w:rsidR="00C93ECA" w:rsidRPr="00B3308E">
        <w:rPr>
          <w:noProof/>
          <w:szCs w:val="24"/>
        </w:rPr>
        <w:t>s</w:t>
      </w:r>
      <w:r w:rsidRPr="00B3308E">
        <w:rPr>
          <w:noProof/>
          <w:szCs w:val="24"/>
        </w:rPr>
        <w:t xml:space="preserve"> in the middle of the range under consideration. In this option, new limit values under Annex IV are proposed to be established for new substances and limit values are proposed to be tightened for certain listed POPs where this c</w:t>
      </w:r>
      <w:r w:rsidR="00C93ECA" w:rsidRPr="00B3308E">
        <w:rPr>
          <w:noProof/>
          <w:szCs w:val="24"/>
        </w:rPr>
        <w:t>an</w:t>
      </w:r>
      <w:r w:rsidRPr="00B3308E">
        <w:rPr>
          <w:noProof/>
          <w:szCs w:val="24"/>
        </w:rPr>
        <w:t xml:space="preserve"> be justified. The former is the case for the newly listed substance PFOA, its salts and PFOA-related compounds</w:t>
      </w:r>
      <w:r w:rsidR="00681BA9">
        <w:rPr>
          <w:noProof/>
          <w:szCs w:val="24"/>
        </w:rPr>
        <w:t>.</w:t>
      </w:r>
      <w:r w:rsidRPr="00B3308E">
        <w:rPr>
          <w:noProof/>
          <w:szCs w:val="24"/>
        </w:rPr>
        <w:t xml:space="preserve"> No intermediate Option 2 values were considered for dicofol and pent</w:t>
      </w:r>
      <w:r w:rsidR="00C93ECA" w:rsidRPr="00B3308E">
        <w:rPr>
          <w:noProof/>
          <w:szCs w:val="24"/>
        </w:rPr>
        <w:t>a</w:t>
      </w:r>
      <w:r w:rsidRPr="00B3308E">
        <w:rPr>
          <w:noProof/>
          <w:szCs w:val="24"/>
        </w:rPr>
        <w:t xml:space="preserve">chlorophenol. </w:t>
      </w:r>
      <w:r w:rsidR="00AD3FA5" w:rsidRPr="00B3308E">
        <w:rPr>
          <w:noProof/>
          <w:szCs w:val="24"/>
        </w:rPr>
        <w:t xml:space="preserve">For the remaining substances </w:t>
      </w:r>
      <w:r w:rsidR="00B76A90">
        <w:rPr>
          <w:noProof/>
          <w:szCs w:val="24"/>
        </w:rPr>
        <w:t>with</w:t>
      </w:r>
      <w:r w:rsidR="00AD3FA5" w:rsidRPr="00B3308E">
        <w:rPr>
          <w:noProof/>
          <w:szCs w:val="24"/>
        </w:rPr>
        <w:t xml:space="preserve">in </w:t>
      </w:r>
      <w:r w:rsidR="00B76A90">
        <w:rPr>
          <w:noProof/>
          <w:szCs w:val="24"/>
        </w:rPr>
        <w:t xml:space="preserve">the </w:t>
      </w:r>
      <w:r w:rsidR="00AD3FA5" w:rsidRPr="00B3308E">
        <w:rPr>
          <w:noProof/>
          <w:szCs w:val="24"/>
        </w:rPr>
        <w:t>scope</w:t>
      </w:r>
      <w:r w:rsidR="00B76A90">
        <w:rPr>
          <w:noProof/>
          <w:szCs w:val="24"/>
        </w:rPr>
        <w:t xml:space="preserve"> of this proposal</w:t>
      </w:r>
      <w:r w:rsidR="00AD3FA5" w:rsidRPr="00B3308E">
        <w:rPr>
          <w:noProof/>
          <w:szCs w:val="24"/>
        </w:rPr>
        <w:t xml:space="preserve"> – PBDEs, HBCDD, SCCPs and dioxins </w:t>
      </w:r>
      <w:r w:rsidR="00331C2F">
        <w:rPr>
          <w:noProof/>
          <w:szCs w:val="24"/>
        </w:rPr>
        <w:t>and</w:t>
      </w:r>
      <w:r w:rsidR="00AD3FA5" w:rsidRPr="00B3308E">
        <w:rPr>
          <w:noProof/>
          <w:szCs w:val="24"/>
        </w:rPr>
        <w:t xml:space="preserve"> furans (including dl-PCBs)</w:t>
      </w:r>
      <w:r w:rsidR="00B76A90">
        <w:rPr>
          <w:noProof/>
          <w:szCs w:val="24"/>
        </w:rPr>
        <w:t xml:space="preserve"> –</w:t>
      </w:r>
      <w:r w:rsidR="00AD3FA5" w:rsidRPr="00B3308E">
        <w:rPr>
          <w:noProof/>
          <w:szCs w:val="24"/>
        </w:rPr>
        <w:t xml:space="preserve"> a middle </w:t>
      </w:r>
      <w:r w:rsidR="00193671" w:rsidRPr="00B3308E">
        <w:rPr>
          <w:noProof/>
          <w:szCs w:val="24"/>
        </w:rPr>
        <w:t xml:space="preserve">range </w:t>
      </w:r>
      <w:r w:rsidR="00AD3FA5" w:rsidRPr="00B3308E">
        <w:rPr>
          <w:noProof/>
          <w:szCs w:val="24"/>
        </w:rPr>
        <w:t xml:space="preserve">limit value was considered in the impact assessment. </w:t>
      </w:r>
    </w:p>
    <w:p w14:paraId="516F5127" w14:textId="01639486" w:rsidR="008036F0" w:rsidRPr="00B3308E" w:rsidRDefault="008036F0" w:rsidP="008036F0">
      <w:pPr>
        <w:rPr>
          <w:noProof/>
          <w:szCs w:val="24"/>
        </w:rPr>
      </w:pPr>
      <w:r w:rsidRPr="00B3308E">
        <w:rPr>
          <w:noProof/>
          <w:szCs w:val="24"/>
        </w:rPr>
        <w:t xml:space="preserve">Under </w:t>
      </w:r>
      <w:r w:rsidRPr="00B3308E">
        <w:rPr>
          <w:b/>
          <w:noProof/>
          <w:szCs w:val="24"/>
        </w:rPr>
        <w:t>Policy Option 3</w:t>
      </w:r>
      <w:r w:rsidRPr="00B3308E">
        <w:rPr>
          <w:noProof/>
          <w:szCs w:val="24"/>
        </w:rPr>
        <w:t xml:space="preserve">, stricter limit values </w:t>
      </w:r>
      <w:r w:rsidR="00AE2F80" w:rsidRPr="00B3308E">
        <w:rPr>
          <w:noProof/>
          <w:szCs w:val="24"/>
        </w:rPr>
        <w:t xml:space="preserve">in </w:t>
      </w:r>
      <w:r w:rsidRPr="00B3308E">
        <w:rPr>
          <w:noProof/>
          <w:szCs w:val="24"/>
        </w:rPr>
        <w:t xml:space="preserve">Annex IV are </w:t>
      </w:r>
      <w:r w:rsidR="00AE2F80" w:rsidRPr="00B3308E">
        <w:rPr>
          <w:noProof/>
          <w:szCs w:val="24"/>
        </w:rPr>
        <w:t xml:space="preserve">proposed </w:t>
      </w:r>
      <w:r w:rsidRPr="00B3308E">
        <w:rPr>
          <w:noProof/>
          <w:szCs w:val="24"/>
        </w:rPr>
        <w:t>for eight substances</w:t>
      </w:r>
      <w:r w:rsidR="00F6470F" w:rsidRPr="00B3308E">
        <w:rPr>
          <w:rStyle w:val="FootnoteReference"/>
          <w:noProof/>
          <w:szCs w:val="24"/>
        </w:rPr>
        <w:footnoteReference w:id="13"/>
      </w:r>
      <w:r w:rsidRPr="00B3308E">
        <w:rPr>
          <w:noProof/>
          <w:szCs w:val="24"/>
        </w:rPr>
        <w:t xml:space="preserve">. </w:t>
      </w:r>
      <w:r w:rsidR="00B76A90">
        <w:rPr>
          <w:noProof/>
          <w:szCs w:val="24"/>
        </w:rPr>
        <w:t>For</w:t>
      </w:r>
      <w:r w:rsidRPr="00B3308E">
        <w:rPr>
          <w:noProof/>
          <w:szCs w:val="24"/>
        </w:rPr>
        <w:t xml:space="preserve"> PBDEs</w:t>
      </w:r>
      <w:r w:rsidR="00AE2F80" w:rsidRPr="00B3308E">
        <w:rPr>
          <w:noProof/>
          <w:szCs w:val="24"/>
        </w:rPr>
        <w:t>,</w:t>
      </w:r>
      <w:r w:rsidRPr="00B3308E">
        <w:rPr>
          <w:noProof/>
          <w:szCs w:val="24"/>
        </w:rPr>
        <w:t xml:space="preserve"> Option 3 is analysed as two sub-options, one resulting in implementing the lower limit value immediately and the other envisag</w:t>
      </w:r>
      <w:r w:rsidR="00331C2F">
        <w:rPr>
          <w:noProof/>
          <w:szCs w:val="24"/>
        </w:rPr>
        <w:t>ing</w:t>
      </w:r>
      <w:r w:rsidRPr="00B3308E">
        <w:rPr>
          <w:noProof/>
          <w:szCs w:val="24"/>
        </w:rPr>
        <w:t xml:space="preserve"> </w:t>
      </w:r>
      <w:r w:rsidR="00331C2F">
        <w:rPr>
          <w:noProof/>
          <w:szCs w:val="24"/>
        </w:rPr>
        <w:t xml:space="preserve">a </w:t>
      </w:r>
      <w:r w:rsidRPr="00B3308E">
        <w:rPr>
          <w:noProof/>
          <w:szCs w:val="24"/>
        </w:rPr>
        <w:t xml:space="preserve">delayed implementation </w:t>
      </w:r>
      <w:r w:rsidR="00193671" w:rsidRPr="00B3308E">
        <w:rPr>
          <w:noProof/>
          <w:szCs w:val="24"/>
        </w:rPr>
        <w:t xml:space="preserve">of </w:t>
      </w:r>
      <w:r w:rsidR="008928D0">
        <w:rPr>
          <w:noProof/>
          <w:szCs w:val="24"/>
        </w:rPr>
        <w:t>5</w:t>
      </w:r>
      <w:r w:rsidRPr="00B3308E">
        <w:rPr>
          <w:noProof/>
          <w:szCs w:val="24"/>
        </w:rPr>
        <w:t xml:space="preserve"> years after entry into force of the measure (with Option 2 being implemented in the interim). </w:t>
      </w:r>
    </w:p>
    <w:p w14:paraId="36892E85" w14:textId="77C20EA9" w:rsidR="00193671" w:rsidRPr="00B3308E" w:rsidRDefault="008036F0" w:rsidP="00E41362">
      <w:pPr>
        <w:rPr>
          <w:rFonts w:eastAsia="Times New Roman"/>
          <w:noProof/>
        </w:rPr>
      </w:pPr>
      <w:r w:rsidRPr="00B3308E">
        <w:rPr>
          <w:rFonts w:eastAsia="Times New Roman"/>
          <w:b/>
          <w:noProof/>
        </w:rPr>
        <w:t>Policy Option 4</w:t>
      </w:r>
      <w:r w:rsidRPr="00B3308E">
        <w:rPr>
          <w:rFonts w:eastAsia="Times New Roman"/>
          <w:noProof/>
        </w:rPr>
        <w:t>, with an additional lower value, has been considered for dioxins and furans (PCDD/Fs). The reason for this additional option is to assess the possibility of setting a lower Annex IV value for these substances, as well as the additional sub-option to set a lower specific value to be used only as a limit for untreated waste applied directly on land (e.g. in agricultural applications).</w:t>
      </w:r>
      <w:r w:rsidR="008B55EB" w:rsidRPr="00B3308E">
        <w:rPr>
          <w:rFonts w:eastAsia="Times New Roman"/>
          <w:noProof/>
        </w:rPr>
        <w:t xml:space="preserve"> </w:t>
      </w:r>
    </w:p>
    <w:p w14:paraId="47CA66A1" w14:textId="6EFDAFF9" w:rsidR="008B55EB" w:rsidRPr="00B3308E" w:rsidRDefault="008036F0" w:rsidP="00E41362">
      <w:pPr>
        <w:rPr>
          <w:noProof/>
          <w:szCs w:val="24"/>
        </w:rPr>
      </w:pPr>
      <w:r w:rsidRPr="00B3308E">
        <w:rPr>
          <w:noProof/>
          <w:szCs w:val="24"/>
        </w:rPr>
        <w:t>The following table presents a range of values (policy options) for Annex IV for each substance/substance group considered:</w:t>
      </w:r>
    </w:p>
    <w:p w14:paraId="3ACFFED0" w14:textId="75562F22" w:rsidR="001A0A03" w:rsidRPr="00B3308E" w:rsidRDefault="001A0A03" w:rsidP="001A0A03">
      <w:pPr>
        <w:pStyle w:val="Caption"/>
        <w:keepNext/>
        <w:ind w:left="-567" w:firstLine="567"/>
        <w:rPr>
          <w:noProof/>
          <w:lang w:val="en-GB"/>
        </w:rPr>
      </w:pPr>
      <w:r w:rsidRPr="00B3308E">
        <w:rPr>
          <w:b w:val="0"/>
          <w:i/>
          <w:noProof/>
          <w:lang w:val="en-GB"/>
        </w:rPr>
        <w:t xml:space="preserve">Tables 1 and 2: Policy options considered for Annex IV limits </w:t>
      </w:r>
    </w:p>
    <w:tbl>
      <w:tblPr>
        <w:tblStyle w:val="TableGrid12"/>
        <w:tblpPr w:leftFromText="180" w:rightFromText="180" w:vertAnchor="text" w:horzAnchor="margin" w:tblpX="74" w:tblpY="19"/>
        <w:tblW w:w="9039" w:type="dxa"/>
        <w:tblLayout w:type="fixed"/>
        <w:tblLook w:val="04A0" w:firstRow="1" w:lastRow="0" w:firstColumn="1" w:lastColumn="0" w:noHBand="0" w:noVBand="1"/>
      </w:tblPr>
      <w:tblGrid>
        <w:gridCol w:w="2943"/>
        <w:gridCol w:w="1418"/>
        <w:gridCol w:w="2410"/>
        <w:gridCol w:w="2268"/>
      </w:tblGrid>
      <w:tr w:rsidR="008036F0" w:rsidRPr="00B3308E" w14:paraId="2540C4D6" w14:textId="77777777" w:rsidTr="00E41362">
        <w:trPr>
          <w:trHeight w:val="699"/>
        </w:trPr>
        <w:tc>
          <w:tcPr>
            <w:tcW w:w="2943" w:type="dxa"/>
            <w:tcBorders>
              <w:top w:val="nil"/>
              <w:left w:val="nil"/>
              <w:bottom w:val="single" w:sz="4" w:space="0" w:color="auto"/>
              <w:right w:val="single" w:sz="4" w:space="0" w:color="auto"/>
            </w:tcBorders>
          </w:tcPr>
          <w:p w14:paraId="586F409C" w14:textId="77777777" w:rsidR="008036F0" w:rsidRPr="00B3308E" w:rsidRDefault="001A0A03" w:rsidP="001A0A03">
            <w:pPr>
              <w:spacing w:after="0"/>
              <w:jc w:val="left"/>
              <w:rPr>
                <w:b/>
                <w:i/>
                <w:noProof/>
                <w:sz w:val="18"/>
                <w:szCs w:val="18"/>
                <w:u w:val="single"/>
              </w:rPr>
            </w:pPr>
            <w:r w:rsidRPr="00B3308E">
              <w:rPr>
                <w:b/>
                <w:i/>
                <w:noProof/>
                <w:sz w:val="18"/>
                <w:szCs w:val="18"/>
                <w:u w:val="single"/>
              </w:rPr>
              <w:t>Table 1</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3F0E92B7" w14:textId="77777777" w:rsidR="008036F0" w:rsidRPr="00B3308E" w:rsidRDefault="008036F0" w:rsidP="00E41362">
            <w:pPr>
              <w:spacing w:after="0"/>
              <w:jc w:val="center"/>
              <w:rPr>
                <w:b/>
                <w:noProof/>
                <w:sz w:val="18"/>
                <w:szCs w:val="18"/>
              </w:rPr>
            </w:pPr>
            <w:r w:rsidRPr="00B3308E">
              <w:rPr>
                <w:b/>
                <w:noProof/>
                <w:sz w:val="18"/>
                <w:szCs w:val="18"/>
              </w:rPr>
              <w:t>Option 1</w:t>
            </w:r>
          </w:p>
          <w:p w14:paraId="2D1F3B7E" w14:textId="73258246" w:rsidR="008036F0" w:rsidRPr="00B3308E" w:rsidRDefault="008036F0" w:rsidP="00F6470F">
            <w:pPr>
              <w:spacing w:after="0"/>
              <w:jc w:val="center"/>
              <w:rPr>
                <w:b/>
                <w:noProof/>
                <w:sz w:val="18"/>
                <w:szCs w:val="18"/>
              </w:rPr>
            </w:pPr>
            <w:r w:rsidRPr="00B3308E">
              <w:rPr>
                <w:b/>
                <w:noProof/>
                <w:sz w:val="18"/>
                <w:szCs w:val="18"/>
              </w:rPr>
              <w:t>(baseline</w:t>
            </w:r>
            <w:r w:rsidR="00F6470F" w:rsidRPr="00B3308E">
              <w:rPr>
                <w:rStyle w:val="FootnoteReference"/>
                <w:b/>
                <w:noProof/>
                <w:sz w:val="18"/>
                <w:szCs w:val="18"/>
              </w:rPr>
              <w:footnoteReference w:id="14"/>
            </w:r>
            <w:r w:rsidRPr="00B3308E">
              <w:rPr>
                <w:b/>
                <w:noProof/>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C6D9F1"/>
            <w:vAlign w:val="center"/>
          </w:tcPr>
          <w:p w14:paraId="223A0F6A" w14:textId="77777777" w:rsidR="008036F0" w:rsidRPr="00B3308E" w:rsidRDefault="008036F0" w:rsidP="00E41362">
            <w:pPr>
              <w:spacing w:after="0"/>
              <w:jc w:val="center"/>
              <w:rPr>
                <w:b/>
                <w:noProof/>
                <w:sz w:val="18"/>
                <w:szCs w:val="18"/>
              </w:rPr>
            </w:pPr>
            <w:r w:rsidRPr="00B3308E">
              <w:rPr>
                <w:b/>
                <w:noProof/>
                <w:sz w:val="18"/>
                <w:szCs w:val="18"/>
              </w:rPr>
              <w:t>Option 2</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tcPr>
          <w:p w14:paraId="286E29A7" w14:textId="77777777" w:rsidR="008036F0" w:rsidRPr="00B3308E" w:rsidRDefault="008036F0" w:rsidP="00E41362">
            <w:pPr>
              <w:spacing w:after="0"/>
              <w:jc w:val="center"/>
              <w:rPr>
                <w:b/>
                <w:noProof/>
                <w:sz w:val="18"/>
                <w:szCs w:val="18"/>
              </w:rPr>
            </w:pPr>
            <w:r w:rsidRPr="00B3308E">
              <w:rPr>
                <w:b/>
                <w:noProof/>
                <w:sz w:val="18"/>
                <w:szCs w:val="18"/>
              </w:rPr>
              <w:t>Option 3</w:t>
            </w:r>
          </w:p>
        </w:tc>
      </w:tr>
      <w:tr w:rsidR="008036F0" w:rsidRPr="00B3308E" w14:paraId="463C04BA" w14:textId="77777777" w:rsidTr="00E41362">
        <w:trPr>
          <w:trHeight w:val="588"/>
        </w:trPr>
        <w:tc>
          <w:tcPr>
            <w:tcW w:w="2943" w:type="dxa"/>
            <w:tcBorders>
              <w:top w:val="single" w:sz="4" w:space="0" w:color="auto"/>
              <w:left w:val="single" w:sz="4" w:space="0" w:color="auto"/>
              <w:bottom w:val="single" w:sz="4" w:space="0" w:color="auto"/>
              <w:right w:val="single" w:sz="4" w:space="0" w:color="auto"/>
            </w:tcBorders>
            <w:vAlign w:val="center"/>
            <w:hideMark/>
          </w:tcPr>
          <w:p w14:paraId="40CBFF10" w14:textId="6D57BEB6" w:rsidR="008036F0" w:rsidRPr="00B3308E" w:rsidRDefault="008036F0" w:rsidP="00193671">
            <w:pPr>
              <w:spacing w:after="0"/>
              <w:jc w:val="left"/>
              <w:rPr>
                <w:b/>
                <w:noProof/>
                <w:sz w:val="18"/>
                <w:szCs w:val="18"/>
              </w:rPr>
            </w:pPr>
            <w:r w:rsidRPr="00B3308E">
              <w:rPr>
                <w:b/>
                <w:noProof/>
                <w:sz w:val="18"/>
                <w:szCs w:val="18"/>
              </w:rPr>
              <w:t>PFOA</w:t>
            </w:r>
            <w:r w:rsidR="00193671" w:rsidRPr="00B3308E">
              <w:rPr>
                <w:b/>
                <w:noProof/>
                <w:sz w:val="18"/>
                <w:szCs w:val="18"/>
              </w:rPr>
              <w:t>,</w:t>
            </w:r>
            <w:r w:rsidRPr="00B3308E">
              <w:rPr>
                <w:b/>
                <w:noProof/>
                <w:sz w:val="18"/>
                <w:szCs w:val="18"/>
              </w:rPr>
              <w:t xml:space="preserve"> its salts and PFOA</w:t>
            </w:r>
            <w:r w:rsidR="0080700C">
              <w:rPr>
                <w:b/>
                <w:noProof/>
                <w:sz w:val="18"/>
                <w:szCs w:val="18"/>
              </w:rPr>
              <w:t>-</w:t>
            </w:r>
            <w:r w:rsidRPr="00B3308E">
              <w:rPr>
                <w:b/>
                <w:noProof/>
                <w:sz w:val="18"/>
                <w:szCs w:val="18"/>
              </w:rPr>
              <w:t>related compounds</w:t>
            </w:r>
            <w:r w:rsidR="00E41362" w:rsidRPr="00B3308E">
              <w:rPr>
                <w:b/>
                <w:noProof/>
                <w:sz w:val="18"/>
                <w:szCs w:val="18"/>
              </w:rPr>
              <w:t xml:space="preserve"> </w:t>
            </w:r>
            <w:r w:rsidRPr="00B3308E">
              <w:rPr>
                <w:b/>
                <w:noProof/>
                <w:sz w:val="18"/>
                <w:szCs w:val="18"/>
              </w:rPr>
              <w:t>(mg/kg)</w:t>
            </w:r>
          </w:p>
        </w:tc>
        <w:tc>
          <w:tcPr>
            <w:tcW w:w="1418" w:type="dxa"/>
            <w:tcBorders>
              <w:top w:val="single" w:sz="4" w:space="0" w:color="auto"/>
              <w:left w:val="single" w:sz="4" w:space="0" w:color="auto"/>
              <w:bottom w:val="single" w:sz="4" w:space="0" w:color="auto"/>
              <w:right w:val="single" w:sz="4" w:space="0" w:color="auto"/>
            </w:tcBorders>
            <w:vAlign w:val="center"/>
          </w:tcPr>
          <w:p w14:paraId="6D04E0ED" w14:textId="77777777" w:rsidR="008036F0" w:rsidRPr="00B3308E" w:rsidRDefault="008036F0" w:rsidP="00E41362">
            <w:pPr>
              <w:spacing w:after="0"/>
              <w:jc w:val="center"/>
              <w:rPr>
                <w:noProof/>
                <w:sz w:val="18"/>
                <w:szCs w:val="18"/>
              </w:rPr>
            </w:pPr>
            <w:r w:rsidRPr="00B3308E">
              <w:rPr>
                <w:noProof/>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14:paraId="6F35D550" w14:textId="77777777" w:rsidR="008036F0" w:rsidRPr="00B3308E" w:rsidRDefault="008036F0" w:rsidP="00E41362">
            <w:pPr>
              <w:spacing w:after="0"/>
              <w:jc w:val="left"/>
              <w:rPr>
                <w:noProof/>
                <w:sz w:val="18"/>
                <w:szCs w:val="18"/>
              </w:rPr>
            </w:pPr>
            <w:r w:rsidRPr="00B3308E">
              <w:rPr>
                <w:noProof/>
                <w:sz w:val="18"/>
                <w:szCs w:val="18"/>
              </w:rPr>
              <w:t xml:space="preserve">50  for PFOA and </w:t>
            </w:r>
            <w:r w:rsidR="00193671" w:rsidRPr="00B3308E">
              <w:rPr>
                <w:noProof/>
                <w:sz w:val="18"/>
                <w:szCs w:val="18"/>
              </w:rPr>
              <w:t xml:space="preserve">its </w:t>
            </w:r>
            <w:r w:rsidRPr="00B3308E">
              <w:rPr>
                <w:noProof/>
                <w:sz w:val="18"/>
                <w:szCs w:val="18"/>
              </w:rPr>
              <w:t>salts;</w:t>
            </w:r>
          </w:p>
          <w:p w14:paraId="7F454995" w14:textId="77777777" w:rsidR="008036F0" w:rsidRPr="00B3308E" w:rsidRDefault="008036F0" w:rsidP="00E41362">
            <w:pPr>
              <w:spacing w:after="0"/>
              <w:jc w:val="left"/>
              <w:rPr>
                <w:noProof/>
                <w:sz w:val="18"/>
                <w:szCs w:val="18"/>
              </w:rPr>
            </w:pPr>
            <w:r w:rsidRPr="00B3308E">
              <w:rPr>
                <w:noProof/>
                <w:sz w:val="18"/>
                <w:szCs w:val="18"/>
              </w:rPr>
              <w:t>2</w:t>
            </w:r>
            <w:r w:rsidR="00AE2F80" w:rsidRPr="00B3308E">
              <w:rPr>
                <w:noProof/>
                <w:sz w:val="18"/>
                <w:szCs w:val="18"/>
              </w:rPr>
              <w:t xml:space="preserve"> </w:t>
            </w:r>
            <w:r w:rsidRPr="00B3308E">
              <w:rPr>
                <w:noProof/>
                <w:sz w:val="18"/>
                <w:szCs w:val="18"/>
              </w:rPr>
              <w:t>000 for related compounds</w:t>
            </w:r>
          </w:p>
        </w:tc>
        <w:tc>
          <w:tcPr>
            <w:tcW w:w="2268" w:type="dxa"/>
            <w:tcBorders>
              <w:top w:val="single" w:sz="4" w:space="0" w:color="auto"/>
              <w:left w:val="single" w:sz="4" w:space="0" w:color="auto"/>
              <w:bottom w:val="single" w:sz="4" w:space="0" w:color="auto"/>
              <w:right w:val="single" w:sz="4" w:space="0" w:color="auto"/>
            </w:tcBorders>
            <w:vAlign w:val="center"/>
          </w:tcPr>
          <w:p w14:paraId="2024CC25" w14:textId="77777777" w:rsidR="008036F0" w:rsidRPr="00B3308E" w:rsidRDefault="008036F0" w:rsidP="00E41362">
            <w:pPr>
              <w:spacing w:after="0"/>
              <w:jc w:val="left"/>
              <w:rPr>
                <w:noProof/>
                <w:sz w:val="18"/>
                <w:szCs w:val="18"/>
              </w:rPr>
            </w:pPr>
            <w:r w:rsidRPr="00B3308E">
              <w:rPr>
                <w:noProof/>
                <w:sz w:val="18"/>
                <w:szCs w:val="18"/>
              </w:rPr>
              <w:t xml:space="preserve">0.025 for PFOA and </w:t>
            </w:r>
            <w:r w:rsidR="00193671" w:rsidRPr="00B3308E">
              <w:rPr>
                <w:noProof/>
                <w:sz w:val="18"/>
                <w:szCs w:val="18"/>
              </w:rPr>
              <w:t xml:space="preserve">its </w:t>
            </w:r>
            <w:r w:rsidRPr="00B3308E">
              <w:rPr>
                <w:noProof/>
                <w:sz w:val="18"/>
                <w:szCs w:val="18"/>
              </w:rPr>
              <w:t xml:space="preserve">salts; </w:t>
            </w:r>
          </w:p>
          <w:p w14:paraId="3EB87A63" w14:textId="77777777" w:rsidR="008036F0" w:rsidRPr="00B3308E" w:rsidRDefault="008036F0" w:rsidP="00E41362">
            <w:pPr>
              <w:spacing w:after="0"/>
              <w:jc w:val="left"/>
              <w:rPr>
                <w:noProof/>
                <w:sz w:val="18"/>
                <w:szCs w:val="18"/>
              </w:rPr>
            </w:pPr>
            <w:r w:rsidRPr="00B3308E">
              <w:rPr>
                <w:noProof/>
                <w:sz w:val="18"/>
                <w:szCs w:val="18"/>
              </w:rPr>
              <w:t>1 for related compounds</w:t>
            </w:r>
            <w:r w:rsidRPr="00B3308E">
              <w:rPr>
                <w:noProof/>
                <w:sz w:val="18"/>
                <w:szCs w:val="18"/>
                <w:vertAlign w:val="superscript"/>
              </w:rPr>
              <w:t>#</w:t>
            </w:r>
          </w:p>
        </w:tc>
      </w:tr>
      <w:tr w:rsidR="008036F0" w:rsidRPr="00B3308E" w14:paraId="551B5D96" w14:textId="77777777" w:rsidTr="00E41362">
        <w:trPr>
          <w:trHeight w:val="780"/>
        </w:trPr>
        <w:tc>
          <w:tcPr>
            <w:tcW w:w="2943" w:type="dxa"/>
            <w:tcBorders>
              <w:top w:val="single" w:sz="4" w:space="0" w:color="auto"/>
              <w:left w:val="single" w:sz="4" w:space="0" w:color="auto"/>
              <w:bottom w:val="single" w:sz="4" w:space="0" w:color="auto"/>
              <w:right w:val="single" w:sz="4" w:space="0" w:color="auto"/>
            </w:tcBorders>
            <w:vAlign w:val="center"/>
          </w:tcPr>
          <w:p w14:paraId="0AB39078" w14:textId="77777777" w:rsidR="008036F0" w:rsidRPr="00B3308E" w:rsidRDefault="008036F0" w:rsidP="00193671">
            <w:pPr>
              <w:spacing w:after="0"/>
              <w:jc w:val="left"/>
              <w:rPr>
                <w:b/>
                <w:noProof/>
                <w:sz w:val="18"/>
                <w:szCs w:val="18"/>
              </w:rPr>
            </w:pPr>
            <w:r w:rsidRPr="00B3308E">
              <w:rPr>
                <w:b/>
                <w:noProof/>
                <w:sz w:val="18"/>
                <w:szCs w:val="18"/>
              </w:rPr>
              <w:t>Dicofol (mg/kg)</w:t>
            </w:r>
          </w:p>
        </w:tc>
        <w:tc>
          <w:tcPr>
            <w:tcW w:w="1418" w:type="dxa"/>
            <w:tcBorders>
              <w:top w:val="single" w:sz="4" w:space="0" w:color="auto"/>
              <w:left w:val="single" w:sz="4" w:space="0" w:color="auto"/>
              <w:bottom w:val="single" w:sz="4" w:space="0" w:color="auto"/>
              <w:right w:val="single" w:sz="4" w:space="0" w:color="auto"/>
            </w:tcBorders>
            <w:vAlign w:val="center"/>
          </w:tcPr>
          <w:p w14:paraId="25B9EFC9" w14:textId="77777777" w:rsidR="008036F0" w:rsidRPr="00B3308E" w:rsidRDefault="008036F0" w:rsidP="00E41362">
            <w:pPr>
              <w:spacing w:after="0"/>
              <w:jc w:val="center"/>
              <w:rPr>
                <w:noProof/>
                <w:sz w:val="18"/>
                <w:szCs w:val="18"/>
              </w:rPr>
            </w:pPr>
            <w:r w:rsidRPr="00B3308E">
              <w:rPr>
                <w:noProof/>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14:paraId="6930C197" w14:textId="77777777" w:rsidR="008036F0" w:rsidRPr="00B3308E" w:rsidRDefault="008036F0" w:rsidP="00E41362">
            <w:pPr>
              <w:spacing w:after="0"/>
              <w:jc w:val="center"/>
              <w:rPr>
                <w:noProof/>
                <w:sz w:val="18"/>
                <w:szCs w:val="18"/>
              </w:rPr>
            </w:pPr>
            <w:r w:rsidRPr="00B3308E">
              <w:rPr>
                <w:noProof/>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0E7FBA51" w14:textId="77777777" w:rsidR="008036F0" w:rsidRPr="00B3308E" w:rsidRDefault="008036F0" w:rsidP="00E41362">
            <w:pPr>
              <w:spacing w:after="0"/>
              <w:jc w:val="center"/>
              <w:rPr>
                <w:noProof/>
                <w:sz w:val="18"/>
                <w:szCs w:val="18"/>
              </w:rPr>
            </w:pPr>
            <w:r w:rsidRPr="00B3308E">
              <w:rPr>
                <w:noProof/>
                <w:sz w:val="18"/>
                <w:szCs w:val="18"/>
              </w:rPr>
              <w:t>50</w:t>
            </w:r>
          </w:p>
        </w:tc>
      </w:tr>
      <w:tr w:rsidR="008036F0" w:rsidRPr="00B3308E" w14:paraId="08763FFE" w14:textId="77777777" w:rsidTr="00E41362">
        <w:trPr>
          <w:trHeight w:val="780"/>
        </w:trPr>
        <w:tc>
          <w:tcPr>
            <w:tcW w:w="2943" w:type="dxa"/>
            <w:tcBorders>
              <w:top w:val="single" w:sz="4" w:space="0" w:color="auto"/>
              <w:left w:val="single" w:sz="4" w:space="0" w:color="auto"/>
              <w:bottom w:val="single" w:sz="4" w:space="0" w:color="auto"/>
              <w:right w:val="single" w:sz="4" w:space="0" w:color="auto"/>
            </w:tcBorders>
            <w:vAlign w:val="center"/>
          </w:tcPr>
          <w:p w14:paraId="15E22B1F" w14:textId="77777777" w:rsidR="008036F0" w:rsidRPr="00B3308E" w:rsidRDefault="008036F0" w:rsidP="00193671">
            <w:pPr>
              <w:spacing w:after="0"/>
              <w:jc w:val="left"/>
              <w:rPr>
                <w:b/>
                <w:noProof/>
                <w:sz w:val="18"/>
                <w:szCs w:val="18"/>
              </w:rPr>
            </w:pPr>
            <w:r w:rsidRPr="00B3308E">
              <w:rPr>
                <w:b/>
                <w:noProof/>
                <w:sz w:val="18"/>
                <w:szCs w:val="18"/>
              </w:rPr>
              <w:t>Pentachlorophenol (PCP), its salts and esters</w:t>
            </w:r>
            <w:r w:rsidR="00E41362" w:rsidRPr="00B3308E">
              <w:rPr>
                <w:b/>
                <w:noProof/>
                <w:sz w:val="18"/>
                <w:szCs w:val="18"/>
              </w:rPr>
              <w:t xml:space="preserve"> </w:t>
            </w:r>
            <w:r w:rsidRPr="00B3308E">
              <w:rPr>
                <w:b/>
                <w:noProof/>
                <w:sz w:val="18"/>
                <w:szCs w:val="18"/>
              </w:rPr>
              <w:t>(mg/kg)</w:t>
            </w:r>
          </w:p>
        </w:tc>
        <w:tc>
          <w:tcPr>
            <w:tcW w:w="1418" w:type="dxa"/>
            <w:tcBorders>
              <w:top w:val="single" w:sz="4" w:space="0" w:color="auto"/>
              <w:left w:val="single" w:sz="4" w:space="0" w:color="auto"/>
              <w:bottom w:val="single" w:sz="4" w:space="0" w:color="auto"/>
              <w:right w:val="single" w:sz="4" w:space="0" w:color="auto"/>
            </w:tcBorders>
            <w:vAlign w:val="center"/>
          </w:tcPr>
          <w:p w14:paraId="209CFFC2" w14:textId="77777777" w:rsidR="008036F0" w:rsidRPr="00B3308E" w:rsidRDefault="008036F0" w:rsidP="00E41362">
            <w:pPr>
              <w:spacing w:after="0"/>
              <w:jc w:val="center"/>
              <w:rPr>
                <w:noProof/>
                <w:sz w:val="18"/>
                <w:szCs w:val="18"/>
              </w:rPr>
            </w:pPr>
            <w:r w:rsidRPr="00B3308E">
              <w:rPr>
                <w:noProof/>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14:paraId="420C717F" w14:textId="77777777" w:rsidR="008036F0" w:rsidRPr="00B3308E" w:rsidRDefault="008036F0" w:rsidP="00E41362">
            <w:pPr>
              <w:spacing w:after="0"/>
              <w:jc w:val="center"/>
              <w:rPr>
                <w:noProof/>
                <w:sz w:val="18"/>
                <w:szCs w:val="18"/>
              </w:rPr>
            </w:pPr>
            <w:r w:rsidRPr="00B3308E">
              <w:rPr>
                <w:noProof/>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726ADB91" w14:textId="77777777" w:rsidR="008036F0" w:rsidRPr="00B3308E" w:rsidRDefault="008036F0" w:rsidP="00E41362">
            <w:pPr>
              <w:spacing w:after="0"/>
              <w:jc w:val="center"/>
              <w:rPr>
                <w:noProof/>
                <w:sz w:val="18"/>
                <w:szCs w:val="18"/>
              </w:rPr>
            </w:pPr>
            <w:r w:rsidRPr="00B3308E">
              <w:rPr>
                <w:noProof/>
                <w:sz w:val="18"/>
                <w:szCs w:val="18"/>
              </w:rPr>
              <w:t>100</w:t>
            </w:r>
          </w:p>
        </w:tc>
      </w:tr>
      <w:tr w:rsidR="008036F0" w:rsidRPr="00B3308E" w14:paraId="1AF6CDE6" w14:textId="77777777" w:rsidTr="00E41362">
        <w:trPr>
          <w:trHeight w:val="780"/>
        </w:trPr>
        <w:tc>
          <w:tcPr>
            <w:tcW w:w="2943" w:type="dxa"/>
            <w:tcBorders>
              <w:top w:val="single" w:sz="4" w:space="0" w:color="auto"/>
              <w:left w:val="single" w:sz="4" w:space="0" w:color="auto"/>
              <w:bottom w:val="single" w:sz="4" w:space="0" w:color="auto"/>
              <w:right w:val="single" w:sz="4" w:space="0" w:color="auto"/>
            </w:tcBorders>
            <w:vAlign w:val="center"/>
          </w:tcPr>
          <w:p w14:paraId="3B819F8F" w14:textId="6C17A935" w:rsidR="008036F0" w:rsidRPr="00B3308E" w:rsidRDefault="008036F0" w:rsidP="00193671">
            <w:pPr>
              <w:spacing w:after="0"/>
              <w:jc w:val="left"/>
              <w:rPr>
                <w:b/>
                <w:noProof/>
                <w:sz w:val="18"/>
                <w:szCs w:val="18"/>
              </w:rPr>
            </w:pPr>
            <w:r w:rsidRPr="00B3308E">
              <w:rPr>
                <w:b/>
                <w:noProof/>
                <w:sz w:val="18"/>
                <w:szCs w:val="18"/>
              </w:rPr>
              <w:t xml:space="preserve">Sum of </w:t>
            </w:r>
            <w:r w:rsidR="0082383A">
              <w:rPr>
                <w:b/>
                <w:noProof/>
                <w:sz w:val="18"/>
                <w:szCs w:val="18"/>
              </w:rPr>
              <w:t xml:space="preserve">5 </w:t>
            </w:r>
            <w:r w:rsidRPr="00B3308E">
              <w:rPr>
                <w:b/>
                <w:noProof/>
                <w:sz w:val="18"/>
                <w:szCs w:val="18"/>
              </w:rPr>
              <w:t>PBDEs</w:t>
            </w:r>
            <w:r w:rsidR="00E41362" w:rsidRPr="00B3308E">
              <w:rPr>
                <w:b/>
                <w:noProof/>
                <w:sz w:val="18"/>
                <w:szCs w:val="18"/>
              </w:rPr>
              <w:t xml:space="preserve"> </w:t>
            </w:r>
            <w:r w:rsidRPr="00B3308E">
              <w:rPr>
                <w:b/>
                <w:noProof/>
                <w:sz w:val="18"/>
                <w:szCs w:val="18"/>
              </w:rPr>
              <w:t>(mg/kg)</w:t>
            </w:r>
          </w:p>
        </w:tc>
        <w:tc>
          <w:tcPr>
            <w:tcW w:w="1418" w:type="dxa"/>
            <w:tcBorders>
              <w:top w:val="single" w:sz="4" w:space="0" w:color="auto"/>
              <w:left w:val="single" w:sz="4" w:space="0" w:color="auto"/>
              <w:bottom w:val="single" w:sz="4" w:space="0" w:color="auto"/>
              <w:right w:val="single" w:sz="4" w:space="0" w:color="auto"/>
            </w:tcBorders>
            <w:vAlign w:val="center"/>
          </w:tcPr>
          <w:p w14:paraId="76D2F1D6" w14:textId="006E6621" w:rsidR="008036F0" w:rsidRPr="00B3308E" w:rsidRDefault="008036F0" w:rsidP="00E41362">
            <w:pPr>
              <w:spacing w:after="0"/>
              <w:jc w:val="center"/>
              <w:rPr>
                <w:noProof/>
                <w:sz w:val="18"/>
                <w:szCs w:val="18"/>
              </w:rPr>
            </w:pPr>
            <w:r w:rsidRPr="00B3308E">
              <w:rPr>
                <w:noProof/>
                <w:sz w:val="18"/>
                <w:szCs w:val="18"/>
              </w:rPr>
              <w:t>1</w:t>
            </w:r>
            <w:r w:rsidR="0080700C">
              <w:rPr>
                <w:noProof/>
                <w:sz w:val="18"/>
                <w:szCs w:val="18"/>
              </w:rPr>
              <w:t xml:space="preserve"> </w:t>
            </w:r>
            <w:r w:rsidRPr="00B3308E">
              <w:rPr>
                <w:noProof/>
                <w:sz w:val="18"/>
                <w:szCs w:val="18"/>
              </w:rPr>
              <w:t>000</w:t>
            </w:r>
          </w:p>
        </w:tc>
        <w:tc>
          <w:tcPr>
            <w:tcW w:w="2410" w:type="dxa"/>
            <w:tcBorders>
              <w:top w:val="single" w:sz="4" w:space="0" w:color="auto"/>
              <w:left w:val="single" w:sz="4" w:space="0" w:color="auto"/>
              <w:bottom w:val="single" w:sz="4" w:space="0" w:color="auto"/>
              <w:right w:val="single" w:sz="4" w:space="0" w:color="auto"/>
            </w:tcBorders>
            <w:vAlign w:val="center"/>
          </w:tcPr>
          <w:p w14:paraId="15948420" w14:textId="77777777" w:rsidR="008036F0" w:rsidRPr="00B3308E" w:rsidRDefault="008036F0" w:rsidP="00E41362">
            <w:pPr>
              <w:spacing w:after="0"/>
              <w:jc w:val="center"/>
              <w:rPr>
                <w:noProof/>
                <w:sz w:val="18"/>
                <w:szCs w:val="18"/>
              </w:rPr>
            </w:pPr>
            <w:r w:rsidRPr="00B3308E">
              <w:rPr>
                <w:noProof/>
                <w:sz w:val="18"/>
                <w:szCs w:val="18"/>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7D9D69F5" w14:textId="77777777" w:rsidR="008036F0" w:rsidRPr="00B3308E" w:rsidRDefault="008036F0" w:rsidP="00E41362">
            <w:pPr>
              <w:spacing w:after="0"/>
              <w:jc w:val="center"/>
              <w:rPr>
                <w:noProof/>
                <w:sz w:val="18"/>
                <w:szCs w:val="18"/>
              </w:rPr>
            </w:pPr>
            <w:r w:rsidRPr="00B3308E">
              <w:rPr>
                <w:noProof/>
                <w:sz w:val="18"/>
                <w:szCs w:val="18"/>
              </w:rPr>
              <w:t>200</w:t>
            </w:r>
          </w:p>
        </w:tc>
      </w:tr>
      <w:tr w:rsidR="008036F0" w:rsidRPr="00B3308E" w14:paraId="3A56D2F1" w14:textId="77777777" w:rsidTr="00E41362">
        <w:trPr>
          <w:trHeight w:val="780"/>
        </w:trPr>
        <w:tc>
          <w:tcPr>
            <w:tcW w:w="2943" w:type="dxa"/>
            <w:tcBorders>
              <w:top w:val="single" w:sz="4" w:space="0" w:color="auto"/>
              <w:left w:val="single" w:sz="4" w:space="0" w:color="auto"/>
              <w:bottom w:val="single" w:sz="4" w:space="0" w:color="auto"/>
              <w:right w:val="single" w:sz="4" w:space="0" w:color="auto"/>
            </w:tcBorders>
            <w:vAlign w:val="center"/>
          </w:tcPr>
          <w:p w14:paraId="0945A7A1" w14:textId="77777777" w:rsidR="008036F0" w:rsidRPr="00B3308E" w:rsidRDefault="008036F0" w:rsidP="00193671">
            <w:pPr>
              <w:spacing w:after="0"/>
              <w:jc w:val="left"/>
              <w:rPr>
                <w:b/>
                <w:noProof/>
                <w:sz w:val="18"/>
                <w:szCs w:val="18"/>
              </w:rPr>
            </w:pPr>
            <w:r w:rsidRPr="00B3308E">
              <w:rPr>
                <w:b/>
                <w:noProof/>
                <w:sz w:val="18"/>
                <w:szCs w:val="18"/>
              </w:rPr>
              <w:t>SCCPs (mg/kg)</w:t>
            </w:r>
          </w:p>
        </w:tc>
        <w:tc>
          <w:tcPr>
            <w:tcW w:w="1418" w:type="dxa"/>
            <w:tcBorders>
              <w:top w:val="single" w:sz="4" w:space="0" w:color="auto"/>
              <w:left w:val="single" w:sz="4" w:space="0" w:color="auto"/>
              <w:bottom w:val="single" w:sz="4" w:space="0" w:color="auto"/>
              <w:right w:val="single" w:sz="4" w:space="0" w:color="auto"/>
            </w:tcBorders>
            <w:vAlign w:val="center"/>
          </w:tcPr>
          <w:p w14:paraId="503C925F" w14:textId="2650AD3F" w:rsidR="008036F0" w:rsidRPr="00B3308E" w:rsidRDefault="008036F0" w:rsidP="00E41362">
            <w:pPr>
              <w:spacing w:after="0"/>
              <w:jc w:val="center"/>
              <w:rPr>
                <w:noProof/>
                <w:sz w:val="18"/>
                <w:szCs w:val="18"/>
              </w:rPr>
            </w:pPr>
            <w:r w:rsidRPr="00B3308E">
              <w:rPr>
                <w:noProof/>
                <w:sz w:val="18"/>
                <w:szCs w:val="18"/>
              </w:rPr>
              <w:t>10</w:t>
            </w:r>
            <w:r w:rsidR="0080700C">
              <w:rPr>
                <w:noProof/>
                <w:sz w:val="18"/>
                <w:szCs w:val="18"/>
              </w:rPr>
              <w:t xml:space="preserve"> </w:t>
            </w:r>
            <w:r w:rsidRPr="00B3308E">
              <w:rPr>
                <w:noProof/>
                <w:sz w:val="18"/>
                <w:szCs w:val="18"/>
              </w:rPr>
              <w:t>000</w:t>
            </w:r>
          </w:p>
        </w:tc>
        <w:tc>
          <w:tcPr>
            <w:tcW w:w="2410" w:type="dxa"/>
            <w:tcBorders>
              <w:top w:val="single" w:sz="4" w:space="0" w:color="auto"/>
              <w:left w:val="single" w:sz="4" w:space="0" w:color="auto"/>
              <w:bottom w:val="single" w:sz="4" w:space="0" w:color="auto"/>
              <w:right w:val="single" w:sz="4" w:space="0" w:color="auto"/>
            </w:tcBorders>
            <w:vAlign w:val="center"/>
          </w:tcPr>
          <w:p w14:paraId="3EC819E8" w14:textId="001318A4" w:rsidR="008036F0" w:rsidRPr="00B3308E" w:rsidRDefault="008036F0" w:rsidP="00E41362">
            <w:pPr>
              <w:spacing w:after="0"/>
              <w:jc w:val="center"/>
              <w:rPr>
                <w:noProof/>
                <w:sz w:val="18"/>
                <w:szCs w:val="18"/>
              </w:rPr>
            </w:pPr>
            <w:r w:rsidRPr="00B3308E">
              <w:rPr>
                <w:noProof/>
                <w:sz w:val="18"/>
                <w:szCs w:val="18"/>
              </w:rPr>
              <w:t>1</w:t>
            </w:r>
            <w:r w:rsidR="0080700C">
              <w:rPr>
                <w:noProof/>
                <w:sz w:val="18"/>
                <w:szCs w:val="18"/>
              </w:rPr>
              <w:t xml:space="preserve"> </w:t>
            </w:r>
            <w:r w:rsidRPr="00B3308E">
              <w:rPr>
                <w:noProof/>
                <w:sz w:val="18"/>
                <w:szCs w:val="18"/>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1D96B97E" w14:textId="77777777" w:rsidR="008036F0" w:rsidRPr="00B3308E" w:rsidRDefault="008036F0" w:rsidP="00E41362">
            <w:pPr>
              <w:spacing w:after="0"/>
              <w:jc w:val="center"/>
              <w:rPr>
                <w:noProof/>
                <w:sz w:val="18"/>
                <w:szCs w:val="18"/>
              </w:rPr>
            </w:pPr>
            <w:r w:rsidRPr="00B3308E">
              <w:rPr>
                <w:noProof/>
                <w:sz w:val="18"/>
                <w:szCs w:val="18"/>
              </w:rPr>
              <w:t>420</w:t>
            </w:r>
          </w:p>
        </w:tc>
      </w:tr>
      <w:tr w:rsidR="008036F0" w:rsidRPr="00B3308E" w14:paraId="2212837B" w14:textId="77777777" w:rsidTr="00E41362">
        <w:trPr>
          <w:trHeight w:val="628"/>
        </w:trPr>
        <w:tc>
          <w:tcPr>
            <w:tcW w:w="2943" w:type="dxa"/>
            <w:tcBorders>
              <w:top w:val="single" w:sz="4" w:space="0" w:color="auto"/>
              <w:left w:val="single" w:sz="4" w:space="0" w:color="auto"/>
              <w:bottom w:val="single" w:sz="4" w:space="0" w:color="auto"/>
              <w:right w:val="single" w:sz="4" w:space="0" w:color="auto"/>
            </w:tcBorders>
            <w:vAlign w:val="center"/>
            <w:hideMark/>
          </w:tcPr>
          <w:p w14:paraId="2FE73BEC" w14:textId="77777777" w:rsidR="008036F0" w:rsidRPr="00B3308E" w:rsidRDefault="008036F0" w:rsidP="00E41362">
            <w:pPr>
              <w:spacing w:after="0"/>
              <w:jc w:val="left"/>
              <w:rPr>
                <w:b/>
                <w:noProof/>
                <w:sz w:val="18"/>
                <w:szCs w:val="18"/>
              </w:rPr>
            </w:pPr>
            <w:r w:rsidRPr="00B3308E">
              <w:rPr>
                <w:b/>
                <w:noProof/>
                <w:sz w:val="18"/>
                <w:szCs w:val="18"/>
              </w:rPr>
              <w:t>HBCDD</w:t>
            </w:r>
            <w:r w:rsidR="00E41362" w:rsidRPr="00B3308E">
              <w:rPr>
                <w:b/>
                <w:noProof/>
                <w:sz w:val="18"/>
                <w:szCs w:val="18"/>
              </w:rPr>
              <w:t xml:space="preserve"> (</w:t>
            </w:r>
            <w:r w:rsidRPr="00B3308E">
              <w:rPr>
                <w:b/>
                <w:noProof/>
                <w:sz w:val="18"/>
                <w:szCs w:val="18"/>
              </w:rPr>
              <w:t>mg/kg)</w:t>
            </w:r>
          </w:p>
        </w:tc>
        <w:tc>
          <w:tcPr>
            <w:tcW w:w="1418" w:type="dxa"/>
            <w:tcBorders>
              <w:top w:val="single" w:sz="4" w:space="0" w:color="auto"/>
              <w:left w:val="single" w:sz="4" w:space="0" w:color="auto"/>
              <w:bottom w:val="single" w:sz="4" w:space="0" w:color="auto"/>
              <w:right w:val="single" w:sz="4" w:space="0" w:color="auto"/>
            </w:tcBorders>
            <w:vAlign w:val="center"/>
          </w:tcPr>
          <w:p w14:paraId="54F29471" w14:textId="77A506E1" w:rsidR="008036F0" w:rsidRPr="00B3308E" w:rsidRDefault="008036F0" w:rsidP="00E41362">
            <w:pPr>
              <w:spacing w:after="0"/>
              <w:jc w:val="center"/>
              <w:rPr>
                <w:noProof/>
                <w:sz w:val="18"/>
                <w:szCs w:val="18"/>
              </w:rPr>
            </w:pPr>
            <w:r w:rsidRPr="00B3308E">
              <w:rPr>
                <w:noProof/>
                <w:sz w:val="18"/>
                <w:szCs w:val="18"/>
              </w:rPr>
              <w:t>1</w:t>
            </w:r>
            <w:r w:rsidR="0080700C">
              <w:rPr>
                <w:noProof/>
                <w:sz w:val="18"/>
                <w:szCs w:val="18"/>
              </w:rPr>
              <w:t xml:space="preserve"> </w:t>
            </w:r>
            <w:r w:rsidRPr="00B3308E">
              <w:rPr>
                <w:noProof/>
                <w:sz w:val="18"/>
                <w:szCs w:val="18"/>
              </w:rPr>
              <w:t>000</w:t>
            </w:r>
          </w:p>
        </w:tc>
        <w:tc>
          <w:tcPr>
            <w:tcW w:w="2410" w:type="dxa"/>
            <w:tcBorders>
              <w:top w:val="single" w:sz="4" w:space="0" w:color="auto"/>
              <w:left w:val="single" w:sz="4" w:space="0" w:color="auto"/>
              <w:bottom w:val="single" w:sz="4" w:space="0" w:color="auto"/>
              <w:right w:val="single" w:sz="4" w:space="0" w:color="auto"/>
            </w:tcBorders>
            <w:vAlign w:val="center"/>
          </w:tcPr>
          <w:p w14:paraId="7935865E" w14:textId="77777777" w:rsidR="008036F0" w:rsidRPr="00B3308E" w:rsidRDefault="008036F0" w:rsidP="00E41362">
            <w:pPr>
              <w:spacing w:after="0"/>
              <w:jc w:val="center"/>
              <w:rPr>
                <w:noProof/>
                <w:sz w:val="18"/>
                <w:szCs w:val="18"/>
              </w:rPr>
            </w:pPr>
            <w:r w:rsidRPr="00B3308E">
              <w:rPr>
                <w:noProof/>
                <w:sz w:val="18"/>
                <w:szCs w:val="18"/>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1570C3C1" w14:textId="77777777" w:rsidR="008036F0" w:rsidRPr="00B3308E" w:rsidRDefault="008036F0" w:rsidP="00E41362">
            <w:pPr>
              <w:spacing w:after="0"/>
              <w:jc w:val="center"/>
              <w:rPr>
                <w:noProof/>
                <w:sz w:val="18"/>
                <w:szCs w:val="18"/>
              </w:rPr>
            </w:pPr>
            <w:r w:rsidRPr="00B3308E">
              <w:rPr>
                <w:noProof/>
                <w:sz w:val="18"/>
                <w:szCs w:val="18"/>
              </w:rPr>
              <w:t>100</w:t>
            </w:r>
          </w:p>
        </w:tc>
      </w:tr>
    </w:tbl>
    <w:p w14:paraId="3B4ABA49" w14:textId="61C69510" w:rsidR="008036F0" w:rsidRPr="00B3308E" w:rsidRDefault="008036F0" w:rsidP="008036F0">
      <w:pPr>
        <w:rPr>
          <w:rFonts w:eastAsia="Calibri"/>
          <w:i/>
          <w:noProof/>
          <w:sz w:val="20"/>
          <w:szCs w:val="20"/>
        </w:rPr>
      </w:pPr>
      <w:r w:rsidRPr="00B3308E">
        <w:rPr>
          <w:rFonts w:eastAsia="Calibri"/>
          <w:noProof/>
          <w:sz w:val="18"/>
          <w:szCs w:val="18"/>
        </w:rPr>
        <w:t>Note: No baseline value is available for PFOA, dicofol and PCP</w:t>
      </w:r>
      <w:r w:rsidR="0048749D">
        <w:rPr>
          <w:rFonts w:eastAsia="Calibri"/>
          <w:noProof/>
          <w:sz w:val="18"/>
          <w:szCs w:val="18"/>
        </w:rPr>
        <w:t>,</w:t>
      </w:r>
      <w:r w:rsidRPr="00B3308E">
        <w:rPr>
          <w:rFonts w:eastAsia="Calibri"/>
          <w:noProof/>
          <w:sz w:val="18"/>
          <w:szCs w:val="18"/>
        </w:rPr>
        <w:t xml:space="preserve"> given these are newly listed substances.</w:t>
      </w:r>
    </w:p>
    <w:p w14:paraId="3CD949A1" w14:textId="77777777" w:rsidR="008B55EB" w:rsidRPr="00B3308E" w:rsidRDefault="008B55EB" w:rsidP="008036F0">
      <w:pPr>
        <w:jc w:val="left"/>
        <w:rPr>
          <w:rFonts w:eastAsia="Calibri"/>
          <w:noProof/>
          <w:sz w:val="18"/>
          <w:szCs w:val="18"/>
        </w:rPr>
      </w:pPr>
    </w:p>
    <w:tbl>
      <w:tblPr>
        <w:tblStyle w:val="TableGrid12"/>
        <w:tblpPr w:leftFromText="180" w:rightFromText="180" w:vertAnchor="text" w:horzAnchor="margin" w:tblpX="74" w:tblpY="19"/>
        <w:tblW w:w="9039" w:type="dxa"/>
        <w:tblLayout w:type="fixed"/>
        <w:tblLook w:val="04A0" w:firstRow="1" w:lastRow="0" w:firstColumn="1" w:lastColumn="0" w:noHBand="0" w:noVBand="1"/>
      </w:tblPr>
      <w:tblGrid>
        <w:gridCol w:w="2376"/>
        <w:gridCol w:w="1168"/>
        <w:gridCol w:w="1276"/>
        <w:gridCol w:w="1809"/>
        <w:gridCol w:w="2410"/>
      </w:tblGrid>
      <w:tr w:rsidR="00E41362" w:rsidRPr="00B3308E" w14:paraId="227A1EE7" w14:textId="77777777" w:rsidTr="00E41362">
        <w:trPr>
          <w:trHeight w:val="841"/>
        </w:trPr>
        <w:tc>
          <w:tcPr>
            <w:tcW w:w="2376" w:type="dxa"/>
            <w:tcBorders>
              <w:top w:val="nil"/>
              <w:left w:val="nil"/>
              <w:bottom w:val="single" w:sz="4" w:space="0" w:color="auto"/>
              <w:right w:val="single" w:sz="4" w:space="0" w:color="auto"/>
            </w:tcBorders>
          </w:tcPr>
          <w:p w14:paraId="76EA676C" w14:textId="77777777" w:rsidR="008036F0" w:rsidRPr="00B3308E" w:rsidRDefault="001A0A03" w:rsidP="001A0A03">
            <w:pPr>
              <w:spacing w:after="0"/>
              <w:jc w:val="left"/>
              <w:rPr>
                <w:i/>
                <w:noProof/>
                <w:sz w:val="18"/>
                <w:szCs w:val="18"/>
                <w:u w:val="single"/>
              </w:rPr>
            </w:pPr>
            <w:r w:rsidRPr="00B3308E">
              <w:rPr>
                <w:b/>
                <w:i/>
                <w:noProof/>
                <w:sz w:val="18"/>
                <w:szCs w:val="18"/>
                <w:u w:val="single"/>
              </w:rPr>
              <w:t>Table 2</w:t>
            </w:r>
          </w:p>
        </w:tc>
        <w:tc>
          <w:tcPr>
            <w:tcW w:w="1168" w:type="dxa"/>
            <w:tcBorders>
              <w:top w:val="single" w:sz="4" w:space="0" w:color="auto"/>
              <w:left w:val="single" w:sz="4" w:space="0" w:color="auto"/>
              <w:bottom w:val="single" w:sz="4" w:space="0" w:color="auto"/>
              <w:right w:val="single" w:sz="4" w:space="0" w:color="auto"/>
            </w:tcBorders>
            <w:shd w:val="clear" w:color="auto" w:fill="C6D9F1"/>
            <w:vAlign w:val="center"/>
          </w:tcPr>
          <w:p w14:paraId="198E9472" w14:textId="77777777" w:rsidR="008036F0" w:rsidRPr="00B3308E" w:rsidRDefault="008036F0" w:rsidP="00E41362">
            <w:pPr>
              <w:spacing w:after="0"/>
              <w:jc w:val="center"/>
              <w:rPr>
                <w:b/>
                <w:noProof/>
                <w:sz w:val="18"/>
                <w:szCs w:val="18"/>
              </w:rPr>
            </w:pPr>
            <w:r w:rsidRPr="00B3308E">
              <w:rPr>
                <w:b/>
                <w:noProof/>
                <w:sz w:val="18"/>
                <w:szCs w:val="18"/>
              </w:rPr>
              <w:t>Option 1 (baseline)</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0DE196C9" w14:textId="77777777" w:rsidR="008036F0" w:rsidRPr="00B3308E" w:rsidRDefault="008036F0" w:rsidP="00E41362">
            <w:pPr>
              <w:spacing w:after="0"/>
              <w:jc w:val="center"/>
              <w:rPr>
                <w:b/>
                <w:noProof/>
                <w:sz w:val="18"/>
                <w:szCs w:val="18"/>
              </w:rPr>
            </w:pPr>
            <w:r w:rsidRPr="00B3308E">
              <w:rPr>
                <w:b/>
                <w:noProof/>
                <w:sz w:val="18"/>
                <w:szCs w:val="18"/>
              </w:rPr>
              <w:t>Option 2</w:t>
            </w:r>
          </w:p>
          <w:p w14:paraId="2262476E" w14:textId="77777777" w:rsidR="008036F0" w:rsidRPr="00B3308E" w:rsidRDefault="008036F0" w:rsidP="00E41362">
            <w:pPr>
              <w:spacing w:after="0"/>
              <w:jc w:val="center"/>
              <w:rPr>
                <w:b/>
                <w:noProof/>
                <w:sz w:val="18"/>
                <w:szCs w:val="18"/>
              </w:rPr>
            </w:pPr>
          </w:p>
        </w:tc>
        <w:tc>
          <w:tcPr>
            <w:tcW w:w="1809" w:type="dxa"/>
            <w:tcBorders>
              <w:top w:val="single" w:sz="4" w:space="0" w:color="auto"/>
              <w:left w:val="single" w:sz="4" w:space="0" w:color="auto"/>
              <w:bottom w:val="single" w:sz="4" w:space="0" w:color="auto"/>
              <w:right w:val="single" w:sz="4" w:space="0" w:color="auto"/>
            </w:tcBorders>
            <w:shd w:val="clear" w:color="auto" w:fill="C6D9F1"/>
            <w:vAlign w:val="center"/>
          </w:tcPr>
          <w:p w14:paraId="2F5B1975" w14:textId="77777777" w:rsidR="008036F0" w:rsidRPr="00B3308E" w:rsidRDefault="008036F0" w:rsidP="00E41362">
            <w:pPr>
              <w:spacing w:after="0"/>
              <w:jc w:val="center"/>
              <w:rPr>
                <w:b/>
                <w:noProof/>
                <w:sz w:val="18"/>
                <w:szCs w:val="18"/>
              </w:rPr>
            </w:pPr>
            <w:r w:rsidRPr="00B3308E">
              <w:rPr>
                <w:b/>
                <w:noProof/>
                <w:sz w:val="18"/>
                <w:szCs w:val="18"/>
              </w:rPr>
              <w:t>Option 3</w:t>
            </w:r>
          </w:p>
          <w:p w14:paraId="54EC76D1" w14:textId="77777777" w:rsidR="008036F0" w:rsidRPr="00B3308E" w:rsidRDefault="008036F0" w:rsidP="00E41362">
            <w:pPr>
              <w:spacing w:after="0"/>
              <w:jc w:val="center"/>
              <w:rPr>
                <w:b/>
                <w:noProof/>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6D9F1"/>
            <w:vAlign w:val="center"/>
          </w:tcPr>
          <w:p w14:paraId="0E971D8D" w14:textId="77777777" w:rsidR="008036F0" w:rsidRPr="00B3308E" w:rsidRDefault="008036F0" w:rsidP="00E41362">
            <w:pPr>
              <w:spacing w:after="0"/>
              <w:jc w:val="center"/>
              <w:rPr>
                <w:b/>
                <w:noProof/>
                <w:sz w:val="18"/>
                <w:szCs w:val="18"/>
              </w:rPr>
            </w:pPr>
            <w:r w:rsidRPr="00B3308E">
              <w:rPr>
                <w:b/>
                <w:noProof/>
                <w:sz w:val="18"/>
                <w:szCs w:val="18"/>
              </w:rPr>
              <w:t>Option 4</w:t>
            </w:r>
          </w:p>
          <w:p w14:paraId="565553BB" w14:textId="77777777" w:rsidR="008036F0" w:rsidRPr="00B3308E" w:rsidRDefault="008036F0" w:rsidP="00E41362">
            <w:pPr>
              <w:spacing w:after="0"/>
              <w:jc w:val="center"/>
              <w:rPr>
                <w:b/>
                <w:noProof/>
                <w:sz w:val="18"/>
                <w:szCs w:val="18"/>
              </w:rPr>
            </w:pPr>
          </w:p>
        </w:tc>
      </w:tr>
      <w:tr w:rsidR="008036F0" w:rsidRPr="00B3308E" w14:paraId="58C1625A" w14:textId="77777777" w:rsidTr="00E41362">
        <w:trPr>
          <w:trHeight w:val="588"/>
        </w:trPr>
        <w:tc>
          <w:tcPr>
            <w:tcW w:w="2376" w:type="dxa"/>
            <w:tcBorders>
              <w:top w:val="single" w:sz="4" w:space="0" w:color="auto"/>
              <w:left w:val="single" w:sz="4" w:space="0" w:color="auto"/>
              <w:bottom w:val="single" w:sz="4" w:space="0" w:color="auto"/>
              <w:right w:val="single" w:sz="4" w:space="0" w:color="auto"/>
            </w:tcBorders>
            <w:vAlign w:val="center"/>
            <w:hideMark/>
          </w:tcPr>
          <w:p w14:paraId="420041F5" w14:textId="4F376E9F" w:rsidR="008036F0" w:rsidRPr="00B3308E" w:rsidRDefault="008036F0" w:rsidP="00E41362">
            <w:pPr>
              <w:spacing w:after="0"/>
              <w:jc w:val="left"/>
              <w:rPr>
                <w:b/>
                <w:noProof/>
                <w:sz w:val="18"/>
                <w:szCs w:val="18"/>
              </w:rPr>
            </w:pPr>
            <w:r w:rsidRPr="00B3308E">
              <w:rPr>
                <w:b/>
                <w:noProof/>
                <w:sz w:val="18"/>
                <w:szCs w:val="18"/>
              </w:rPr>
              <w:t xml:space="preserve">Dioxins </w:t>
            </w:r>
            <w:r w:rsidR="00331C2F">
              <w:rPr>
                <w:b/>
                <w:noProof/>
                <w:sz w:val="18"/>
                <w:szCs w:val="18"/>
              </w:rPr>
              <w:t>and</w:t>
            </w:r>
            <w:r w:rsidRPr="00B3308E">
              <w:rPr>
                <w:b/>
                <w:noProof/>
                <w:sz w:val="18"/>
                <w:szCs w:val="18"/>
              </w:rPr>
              <w:t xml:space="preserve"> furans*</w:t>
            </w:r>
          </w:p>
          <w:p w14:paraId="1EEF3D21" w14:textId="77777777" w:rsidR="008036F0" w:rsidRPr="00B3308E" w:rsidRDefault="008036F0" w:rsidP="00E41362">
            <w:pPr>
              <w:spacing w:after="0"/>
              <w:jc w:val="left"/>
              <w:rPr>
                <w:b/>
                <w:noProof/>
                <w:sz w:val="18"/>
                <w:szCs w:val="18"/>
              </w:rPr>
            </w:pPr>
            <w:r w:rsidRPr="00B3308E">
              <w:rPr>
                <w:b/>
                <w:noProof/>
                <w:sz w:val="18"/>
                <w:szCs w:val="18"/>
              </w:rPr>
              <w:t>(mg/kg)</w:t>
            </w:r>
          </w:p>
        </w:tc>
        <w:tc>
          <w:tcPr>
            <w:tcW w:w="1168" w:type="dxa"/>
            <w:tcBorders>
              <w:top w:val="single" w:sz="4" w:space="0" w:color="auto"/>
              <w:left w:val="single" w:sz="4" w:space="0" w:color="auto"/>
              <w:bottom w:val="single" w:sz="4" w:space="0" w:color="auto"/>
              <w:right w:val="single" w:sz="4" w:space="0" w:color="auto"/>
            </w:tcBorders>
            <w:hideMark/>
          </w:tcPr>
          <w:p w14:paraId="5B08EEC2" w14:textId="77777777" w:rsidR="008036F0" w:rsidRPr="00B3308E" w:rsidRDefault="008036F0" w:rsidP="00E41362">
            <w:pPr>
              <w:spacing w:after="0"/>
              <w:jc w:val="left"/>
              <w:rPr>
                <w:noProof/>
                <w:sz w:val="18"/>
                <w:szCs w:val="18"/>
              </w:rPr>
            </w:pPr>
            <w:r w:rsidRPr="00B3308E">
              <w:rPr>
                <w:noProof/>
                <w:sz w:val="18"/>
                <w:szCs w:val="18"/>
              </w:rPr>
              <w:t>0.015</w:t>
            </w:r>
          </w:p>
        </w:tc>
        <w:tc>
          <w:tcPr>
            <w:tcW w:w="1276" w:type="dxa"/>
            <w:tcBorders>
              <w:top w:val="single" w:sz="4" w:space="0" w:color="auto"/>
              <w:left w:val="single" w:sz="4" w:space="0" w:color="auto"/>
              <w:bottom w:val="single" w:sz="4" w:space="0" w:color="auto"/>
              <w:right w:val="single" w:sz="4" w:space="0" w:color="auto"/>
            </w:tcBorders>
          </w:tcPr>
          <w:p w14:paraId="00BC652B" w14:textId="77777777" w:rsidR="008036F0" w:rsidRPr="00B3308E" w:rsidRDefault="008036F0" w:rsidP="00E41362">
            <w:pPr>
              <w:spacing w:after="0"/>
              <w:jc w:val="left"/>
              <w:rPr>
                <w:noProof/>
                <w:sz w:val="18"/>
                <w:szCs w:val="18"/>
              </w:rPr>
            </w:pPr>
            <w:r w:rsidRPr="00B3308E">
              <w:rPr>
                <w:noProof/>
                <w:sz w:val="18"/>
                <w:szCs w:val="18"/>
              </w:rPr>
              <w:t>0.010</w:t>
            </w:r>
          </w:p>
        </w:tc>
        <w:tc>
          <w:tcPr>
            <w:tcW w:w="1809" w:type="dxa"/>
            <w:tcBorders>
              <w:top w:val="single" w:sz="4" w:space="0" w:color="auto"/>
              <w:left w:val="single" w:sz="4" w:space="0" w:color="auto"/>
              <w:bottom w:val="single" w:sz="4" w:space="0" w:color="auto"/>
              <w:right w:val="single" w:sz="4" w:space="0" w:color="auto"/>
            </w:tcBorders>
          </w:tcPr>
          <w:p w14:paraId="5681CA2F" w14:textId="77777777" w:rsidR="008036F0" w:rsidRPr="00B3308E" w:rsidRDefault="008036F0" w:rsidP="00E41362">
            <w:pPr>
              <w:spacing w:after="0"/>
              <w:jc w:val="left"/>
              <w:rPr>
                <w:noProof/>
                <w:sz w:val="18"/>
                <w:szCs w:val="18"/>
              </w:rPr>
            </w:pPr>
            <w:r w:rsidRPr="00B3308E">
              <w:rPr>
                <w:noProof/>
                <w:sz w:val="18"/>
                <w:szCs w:val="18"/>
              </w:rPr>
              <w:t>0.005</w:t>
            </w:r>
            <w:r w:rsidRPr="00B3308E">
              <w:rPr>
                <w:noProof/>
                <w:sz w:val="18"/>
                <w:szCs w:val="18"/>
                <w:vertAlign w:val="superscript"/>
              </w:rPr>
              <w:t>+</w:t>
            </w:r>
            <w:r w:rsidR="00E41362" w:rsidRPr="00B3308E">
              <w:rPr>
                <w:noProof/>
                <w:sz w:val="18"/>
                <w:szCs w:val="18"/>
                <w:vertAlign w:val="superscript"/>
              </w:rPr>
              <w:t xml:space="preserve">   </w:t>
            </w:r>
            <w:r w:rsidRPr="00B3308E">
              <w:rPr>
                <w:noProof/>
                <w:sz w:val="18"/>
                <w:szCs w:val="18"/>
              </w:rPr>
              <w:t>(0.001)</w:t>
            </w:r>
          </w:p>
        </w:tc>
        <w:tc>
          <w:tcPr>
            <w:tcW w:w="2410" w:type="dxa"/>
            <w:tcBorders>
              <w:top w:val="single" w:sz="4" w:space="0" w:color="auto"/>
              <w:left w:val="single" w:sz="4" w:space="0" w:color="auto"/>
              <w:bottom w:val="single" w:sz="4" w:space="0" w:color="auto"/>
              <w:right w:val="single" w:sz="4" w:space="0" w:color="auto"/>
            </w:tcBorders>
            <w:hideMark/>
          </w:tcPr>
          <w:p w14:paraId="4C364351" w14:textId="77777777" w:rsidR="008036F0" w:rsidRPr="00B3308E" w:rsidRDefault="008036F0" w:rsidP="00E41362">
            <w:pPr>
              <w:spacing w:after="0"/>
              <w:jc w:val="left"/>
              <w:rPr>
                <w:noProof/>
                <w:sz w:val="18"/>
                <w:szCs w:val="18"/>
              </w:rPr>
            </w:pPr>
            <w:r w:rsidRPr="00B3308E">
              <w:rPr>
                <w:noProof/>
                <w:sz w:val="18"/>
                <w:szCs w:val="18"/>
              </w:rPr>
              <w:t>0.001</w:t>
            </w:r>
            <w:r w:rsidRPr="00B3308E">
              <w:rPr>
                <w:noProof/>
                <w:sz w:val="18"/>
                <w:szCs w:val="18"/>
                <w:vertAlign w:val="superscript"/>
              </w:rPr>
              <w:t>++</w:t>
            </w:r>
            <w:r w:rsidR="00E41362" w:rsidRPr="00B3308E">
              <w:rPr>
                <w:noProof/>
                <w:sz w:val="18"/>
                <w:szCs w:val="18"/>
                <w:vertAlign w:val="superscript"/>
              </w:rPr>
              <w:t xml:space="preserve">      </w:t>
            </w:r>
            <w:r w:rsidRPr="00B3308E">
              <w:rPr>
                <w:noProof/>
                <w:sz w:val="18"/>
                <w:szCs w:val="18"/>
              </w:rPr>
              <w:t>(0.00005)</w:t>
            </w:r>
          </w:p>
        </w:tc>
      </w:tr>
    </w:tbl>
    <w:p w14:paraId="0DE6EE11" w14:textId="1246C61C" w:rsidR="008036F0" w:rsidRPr="00B3308E" w:rsidRDefault="008036F0" w:rsidP="008036F0">
      <w:pPr>
        <w:rPr>
          <w:rFonts w:eastAsia="Calibri"/>
          <w:noProof/>
          <w:sz w:val="18"/>
          <w:szCs w:val="18"/>
        </w:rPr>
      </w:pPr>
      <w:r w:rsidRPr="00B3308E">
        <w:rPr>
          <w:rFonts w:eastAsia="Calibri"/>
          <w:noProof/>
          <w:sz w:val="18"/>
          <w:szCs w:val="18"/>
        </w:rPr>
        <w:t xml:space="preserve">*: The appropriateness of including dioxin-like PCBs in the group value for dioxins </w:t>
      </w:r>
      <w:r w:rsidR="00331C2F">
        <w:rPr>
          <w:rFonts w:eastAsia="Calibri"/>
          <w:noProof/>
          <w:sz w:val="18"/>
          <w:szCs w:val="18"/>
        </w:rPr>
        <w:t>and</w:t>
      </w:r>
      <w:r w:rsidRPr="00B3308E">
        <w:rPr>
          <w:rFonts w:eastAsia="Calibri"/>
          <w:noProof/>
          <w:sz w:val="18"/>
          <w:szCs w:val="18"/>
        </w:rPr>
        <w:t xml:space="preserve"> furans is also assessed.        </w:t>
      </w:r>
    </w:p>
    <w:p w14:paraId="6F47ADB5" w14:textId="4A768750" w:rsidR="008036F0" w:rsidRPr="00B3308E" w:rsidRDefault="008036F0" w:rsidP="008036F0">
      <w:pPr>
        <w:rPr>
          <w:rFonts w:eastAsia="Calibri"/>
          <w:noProof/>
          <w:sz w:val="18"/>
          <w:szCs w:val="18"/>
        </w:rPr>
      </w:pPr>
      <w:r w:rsidRPr="00B3308E">
        <w:rPr>
          <w:rFonts w:eastAsia="Calibri"/>
          <w:noProof/>
          <w:sz w:val="18"/>
          <w:szCs w:val="18"/>
        </w:rPr>
        <w:t xml:space="preserve">+/++: For dioxins and furans, Options 3 and 4 define a generally applicable value to all waste management operations. They each include a possible sub-option which would include an additional specific limit value in </w:t>
      </w:r>
      <w:r w:rsidR="00193671" w:rsidRPr="00B3308E">
        <w:rPr>
          <w:rFonts w:eastAsia="Calibri"/>
          <w:noProof/>
          <w:sz w:val="18"/>
          <w:szCs w:val="18"/>
        </w:rPr>
        <w:t>parenthesis</w:t>
      </w:r>
      <w:r w:rsidRPr="00B3308E">
        <w:rPr>
          <w:rFonts w:eastAsia="Calibri"/>
          <w:noProof/>
          <w:sz w:val="18"/>
          <w:szCs w:val="18"/>
        </w:rPr>
        <w:t xml:space="preserve"> that would apply only for application of waste on land. </w:t>
      </w:r>
    </w:p>
    <w:p w14:paraId="2BDFE70D" w14:textId="03810340" w:rsidR="002C147D" w:rsidRPr="00B3308E" w:rsidRDefault="00D9400B" w:rsidP="00404EF3">
      <w:pPr>
        <w:autoSpaceDE w:val="0"/>
        <w:autoSpaceDN w:val="0"/>
        <w:adjustRightInd w:val="0"/>
        <w:rPr>
          <w:noProof/>
          <w:szCs w:val="24"/>
        </w:rPr>
      </w:pPr>
      <w:r w:rsidRPr="00B3308E">
        <w:rPr>
          <w:noProof/>
          <w:szCs w:val="24"/>
        </w:rPr>
        <w:t xml:space="preserve">Following the assessment of the environmental, social and economic impact of the </w:t>
      </w:r>
      <w:r w:rsidR="00331C2F">
        <w:rPr>
          <w:noProof/>
          <w:szCs w:val="24"/>
        </w:rPr>
        <w:t>various</w:t>
      </w:r>
      <w:r w:rsidRPr="00B3308E">
        <w:rPr>
          <w:noProof/>
          <w:szCs w:val="24"/>
        </w:rPr>
        <w:t xml:space="preserve"> policy options considered for the Annex IV values for the </w:t>
      </w:r>
      <w:r w:rsidR="00331C2F">
        <w:rPr>
          <w:noProof/>
          <w:szCs w:val="24"/>
        </w:rPr>
        <w:t xml:space="preserve">relevant </w:t>
      </w:r>
      <w:r w:rsidRPr="00B3308E">
        <w:rPr>
          <w:noProof/>
          <w:szCs w:val="24"/>
        </w:rPr>
        <w:t xml:space="preserve">POP substances, the preferred options are highlighted in the table below. </w:t>
      </w:r>
    </w:p>
    <w:p w14:paraId="47AF9F96" w14:textId="740CE809" w:rsidR="00D9400B" w:rsidRPr="00B3308E" w:rsidRDefault="00D9400B" w:rsidP="00D9400B">
      <w:pPr>
        <w:pStyle w:val="Caption"/>
        <w:keepNext/>
        <w:ind w:left="-567" w:firstLine="567"/>
        <w:rPr>
          <w:b w:val="0"/>
          <w:i/>
          <w:noProof/>
          <w:lang w:val="en-GB"/>
        </w:rPr>
      </w:pPr>
      <w:r w:rsidRPr="00B3308E">
        <w:rPr>
          <w:i/>
          <w:noProof/>
          <w:lang w:val="en-GB"/>
        </w:rPr>
        <w:t>Table 3</w:t>
      </w:r>
      <w:r w:rsidRPr="00B3308E">
        <w:rPr>
          <w:b w:val="0"/>
          <w:i/>
          <w:noProof/>
          <w:lang w:val="en-GB"/>
        </w:rPr>
        <w:t xml:space="preserve">: Preferred option for Annex IV limits (shaded) </w:t>
      </w:r>
    </w:p>
    <w:tbl>
      <w:tblPr>
        <w:tblStyle w:val="HTG2"/>
        <w:tblW w:w="9072" w:type="dxa"/>
        <w:tblInd w:w="108" w:type="dxa"/>
        <w:tblLook w:val="04A0" w:firstRow="1" w:lastRow="0" w:firstColumn="1" w:lastColumn="0" w:noHBand="0" w:noVBand="1"/>
      </w:tblPr>
      <w:tblGrid>
        <w:gridCol w:w="1832"/>
        <w:gridCol w:w="1425"/>
        <w:gridCol w:w="1696"/>
        <w:gridCol w:w="3103"/>
        <w:gridCol w:w="1016"/>
      </w:tblGrid>
      <w:tr w:rsidR="00E815A8" w:rsidRPr="00B3308E" w14:paraId="67ADEEB7" w14:textId="77777777" w:rsidTr="00E815A8">
        <w:trPr>
          <w:cantSplit/>
          <w:trHeight w:val="699"/>
          <w:tblHeader/>
        </w:trPr>
        <w:tc>
          <w:tcPr>
            <w:tcW w:w="18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78A0A5F"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Substance</w:t>
            </w:r>
          </w:p>
        </w:tc>
        <w:tc>
          <w:tcPr>
            <w:tcW w:w="14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BC9FED"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 xml:space="preserve">Option 1 </w:t>
            </w:r>
          </w:p>
          <w:p w14:paraId="70501086"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Baseline</w:t>
            </w:r>
          </w:p>
        </w:tc>
        <w:tc>
          <w:tcPr>
            <w:tcW w:w="169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96E52E"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 xml:space="preserve">Option 2  </w:t>
            </w:r>
          </w:p>
        </w:tc>
        <w:tc>
          <w:tcPr>
            <w:tcW w:w="31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E30355"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 xml:space="preserve">Option 3 </w:t>
            </w:r>
          </w:p>
        </w:tc>
        <w:tc>
          <w:tcPr>
            <w:tcW w:w="101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03A3C1" w14:textId="77777777" w:rsidR="00D9400B" w:rsidRPr="00B3308E" w:rsidRDefault="00D9400B" w:rsidP="00AE2F80">
            <w:pPr>
              <w:spacing w:after="0"/>
              <w:jc w:val="center"/>
              <w:rPr>
                <w:rFonts w:eastAsia="Calibri"/>
                <w:b/>
                <w:bCs/>
                <w:noProof/>
                <w:sz w:val="18"/>
                <w:szCs w:val="18"/>
                <w:lang w:eastAsia="en-GB"/>
              </w:rPr>
            </w:pPr>
            <w:r w:rsidRPr="00B3308E">
              <w:rPr>
                <w:rFonts w:eastAsia="Calibri"/>
                <w:b/>
                <w:bCs/>
                <w:noProof/>
                <w:sz w:val="18"/>
                <w:szCs w:val="18"/>
                <w:lang w:eastAsia="en-GB"/>
              </w:rPr>
              <w:t>Option 4</w:t>
            </w:r>
          </w:p>
        </w:tc>
      </w:tr>
      <w:tr w:rsidR="00E815A8" w:rsidRPr="00B3308E" w14:paraId="64A2E208"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16ABC6E3"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PBDEs</w:t>
            </w:r>
          </w:p>
        </w:tc>
        <w:tc>
          <w:tcPr>
            <w:tcW w:w="1425" w:type="dxa"/>
            <w:tcBorders>
              <w:top w:val="single" w:sz="4" w:space="0" w:color="auto"/>
              <w:left w:val="single" w:sz="4" w:space="0" w:color="auto"/>
              <w:bottom w:val="single" w:sz="4" w:space="0" w:color="auto"/>
              <w:right w:val="single" w:sz="4" w:space="0" w:color="auto"/>
            </w:tcBorders>
            <w:hideMark/>
          </w:tcPr>
          <w:p w14:paraId="56F9B53A" w14:textId="437F84FB"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1</w:t>
            </w:r>
            <w:r w:rsidR="0080700C">
              <w:rPr>
                <w:rFonts w:eastAsia="Calibri"/>
                <w:noProof/>
                <w:sz w:val="18"/>
                <w:szCs w:val="18"/>
                <w:lang w:eastAsia="en-GB"/>
              </w:rPr>
              <w:t xml:space="preserve"> </w:t>
            </w:r>
            <w:r w:rsidRPr="00B3308E">
              <w:rPr>
                <w:rFonts w:eastAsia="Calibri"/>
                <w:noProof/>
                <w:sz w:val="18"/>
                <w:szCs w:val="18"/>
                <w:lang w:eastAsia="en-GB"/>
              </w:rPr>
              <w:t>000 mg/kg</w:t>
            </w:r>
          </w:p>
        </w:tc>
        <w:tc>
          <w:tcPr>
            <w:tcW w:w="1696" w:type="dxa"/>
            <w:tcBorders>
              <w:top w:val="single" w:sz="4" w:space="0" w:color="auto"/>
              <w:left w:val="single" w:sz="4" w:space="0" w:color="auto"/>
              <w:bottom w:val="single" w:sz="4" w:space="0" w:color="auto"/>
              <w:right w:val="single" w:sz="4" w:space="0" w:color="auto"/>
            </w:tcBorders>
            <w:hideMark/>
          </w:tcPr>
          <w:p w14:paraId="44AA45D7"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500 mg/kg</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34625CA" w14:textId="4954449C"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 xml:space="preserve">Initial implementation of </w:t>
            </w:r>
            <w:r w:rsidRPr="00B3308E">
              <w:rPr>
                <w:rFonts w:eastAsia="Calibri"/>
                <w:b/>
                <w:noProof/>
                <w:sz w:val="18"/>
                <w:szCs w:val="18"/>
                <w:lang w:eastAsia="en-GB"/>
              </w:rPr>
              <w:t>500 mg/kg</w:t>
            </w:r>
            <w:r w:rsidR="0080700C">
              <w:rPr>
                <w:rFonts w:eastAsia="Calibri"/>
                <w:noProof/>
                <w:sz w:val="18"/>
                <w:szCs w:val="18"/>
                <w:lang w:eastAsia="en-GB"/>
              </w:rPr>
              <w:t xml:space="preserve">, </w:t>
            </w:r>
            <w:r w:rsidRPr="00B3308E">
              <w:rPr>
                <w:rFonts w:eastAsia="Calibri"/>
                <w:noProof/>
                <w:sz w:val="18"/>
                <w:szCs w:val="18"/>
                <w:lang w:eastAsia="en-GB"/>
              </w:rPr>
              <w:t xml:space="preserve">followed by </w:t>
            </w:r>
            <w:r w:rsidRPr="00B3308E">
              <w:rPr>
                <w:rFonts w:eastAsia="Calibri"/>
                <w:b/>
                <w:noProof/>
                <w:sz w:val="18"/>
                <w:szCs w:val="18"/>
                <w:lang w:eastAsia="en-GB"/>
              </w:rPr>
              <w:t>reduction to 200 mg/kg</w:t>
            </w:r>
            <w:r w:rsidR="00064B8E">
              <w:rPr>
                <w:rStyle w:val="FootnoteReference"/>
                <w:rFonts w:eastAsia="Calibri"/>
                <w:b/>
                <w:noProof/>
                <w:sz w:val="18"/>
                <w:szCs w:val="18"/>
                <w:lang w:eastAsia="en-GB"/>
              </w:rPr>
              <w:footnoteReference w:id="15"/>
            </w:r>
            <w:r w:rsidRPr="00B3308E">
              <w:rPr>
                <w:rFonts w:eastAsia="Calibri"/>
                <w:b/>
                <w:noProof/>
                <w:sz w:val="18"/>
                <w:szCs w:val="18"/>
                <w:lang w:eastAsia="en-GB"/>
              </w:rPr>
              <w:t xml:space="preserve"> </w:t>
            </w:r>
            <w:r w:rsidR="0080700C">
              <w:rPr>
                <w:rFonts w:eastAsia="Calibri"/>
                <w:b/>
                <w:noProof/>
                <w:sz w:val="18"/>
                <w:szCs w:val="18"/>
                <w:lang w:eastAsia="en-GB"/>
              </w:rPr>
              <w:t xml:space="preserve">  </w:t>
            </w:r>
            <w:r w:rsidRPr="00B3308E">
              <w:rPr>
                <w:rFonts w:eastAsia="Calibri"/>
                <w:b/>
                <w:noProof/>
                <w:sz w:val="18"/>
                <w:szCs w:val="18"/>
                <w:lang w:eastAsia="en-GB"/>
              </w:rPr>
              <w:t>5 years after entry into application</w:t>
            </w:r>
            <w:r w:rsidRPr="00B3308E">
              <w:rPr>
                <w:rFonts w:eastAsia="Calibri"/>
                <w:noProof/>
                <w:sz w:val="18"/>
                <w:szCs w:val="18"/>
                <w:lang w:eastAsia="en-GB"/>
              </w:rPr>
              <w:t xml:space="preserve"> of initial limit</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AAAC"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 xml:space="preserve">N/A </w:t>
            </w:r>
          </w:p>
          <w:p w14:paraId="2AB45EBA"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(not applicable)</w:t>
            </w:r>
          </w:p>
        </w:tc>
      </w:tr>
      <w:tr w:rsidR="00E815A8" w:rsidRPr="00B3308E" w14:paraId="66A36EE7" w14:textId="77777777" w:rsidTr="00E815A8">
        <w:trPr>
          <w:cantSplit/>
          <w:trHeight w:val="522"/>
        </w:trPr>
        <w:tc>
          <w:tcPr>
            <w:tcW w:w="1832" w:type="dxa"/>
            <w:tcBorders>
              <w:top w:val="single" w:sz="4" w:space="0" w:color="auto"/>
              <w:left w:val="single" w:sz="4" w:space="0" w:color="auto"/>
              <w:bottom w:val="single" w:sz="4" w:space="0" w:color="auto"/>
              <w:right w:val="single" w:sz="4" w:space="0" w:color="auto"/>
            </w:tcBorders>
            <w:hideMark/>
          </w:tcPr>
          <w:p w14:paraId="57C62C4A"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HBCDD</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DF57C" w14:textId="1AB8949F"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1</w:t>
            </w:r>
            <w:r w:rsidR="0080700C">
              <w:rPr>
                <w:rFonts w:eastAsia="Calibri"/>
                <w:noProof/>
                <w:sz w:val="18"/>
                <w:szCs w:val="18"/>
                <w:lang w:eastAsia="en-GB"/>
              </w:rPr>
              <w:t xml:space="preserve"> </w:t>
            </w:r>
            <w:r w:rsidRPr="00B3308E">
              <w:rPr>
                <w:rFonts w:eastAsia="Calibri"/>
                <w:noProof/>
                <w:sz w:val="18"/>
                <w:szCs w:val="18"/>
                <w:lang w:eastAsia="en-GB"/>
              </w:rPr>
              <w:t>000 mg/kg</w:t>
            </w:r>
          </w:p>
        </w:tc>
        <w:tc>
          <w:tcPr>
            <w:tcW w:w="169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EDF97C0"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500 mg/kg</w:t>
            </w:r>
          </w:p>
        </w:tc>
        <w:tc>
          <w:tcPr>
            <w:tcW w:w="3103" w:type="dxa"/>
            <w:tcBorders>
              <w:top w:val="single" w:sz="4" w:space="0" w:color="auto"/>
              <w:left w:val="single" w:sz="4" w:space="0" w:color="auto"/>
              <w:bottom w:val="single" w:sz="4" w:space="0" w:color="auto"/>
              <w:right w:val="single" w:sz="4" w:space="0" w:color="auto"/>
            </w:tcBorders>
            <w:hideMark/>
          </w:tcPr>
          <w:p w14:paraId="32CD6456"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100 mg/kg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0AF1"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r w:rsidR="00E815A8" w:rsidRPr="00B3308E" w14:paraId="646CAB6F" w14:textId="77777777" w:rsidTr="00E815A8">
        <w:trPr>
          <w:cantSplit/>
          <w:trHeight w:val="789"/>
        </w:trPr>
        <w:tc>
          <w:tcPr>
            <w:tcW w:w="1832" w:type="dxa"/>
            <w:tcBorders>
              <w:top w:val="single" w:sz="4" w:space="0" w:color="auto"/>
              <w:left w:val="single" w:sz="4" w:space="0" w:color="auto"/>
              <w:bottom w:val="single" w:sz="4" w:space="0" w:color="auto"/>
              <w:right w:val="single" w:sz="4" w:space="0" w:color="auto"/>
            </w:tcBorders>
            <w:hideMark/>
          </w:tcPr>
          <w:p w14:paraId="26E28C54" w14:textId="23238299"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PCDD/Fs (dioxins and furans)</w:t>
            </w:r>
            <w:r w:rsidR="00F6470F" w:rsidRPr="00B3308E">
              <w:rPr>
                <w:rStyle w:val="FootnoteReference"/>
                <w:rFonts w:eastAsia="Calibri"/>
                <w:noProof/>
                <w:sz w:val="18"/>
                <w:szCs w:val="18"/>
                <w:lang w:eastAsia="en-GB"/>
              </w:rPr>
              <w:footnoteReference w:id="16"/>
            </w:r>
          </w:p>
        </w:tc>
        <w:tc>
          <w:tcPr>
            <w:tcW w:w="1425" w:type="dxa"/>
            <w:tcBorders>
              <w:top w:val="single" w:sz="4" w:space="0" w:color="auto"/>
              <w:left w:val="single" w:sz="4" w:space="0" w:color="auto"/>
              <w:bottom w:val="single" w:sz="4" w:space="0" w:color="auto"/>
              <w:right w:val="single" w:sz="4" w:space="0" w:color="auto"/>
            </w:tcBorders>
            <w:hideMark/>
          </w:tcPr>
          <w:p w14:paraId="5C2E4862"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0.015 mg TEQ/kg</w:t>
            </w:r>
          </w:p>
        </w:tc>
        <w:tc>
          <w:tcPr>
            <w:tcW w:w="1696" w:type="dxa"/>
            <w:tcBorders>
              <w:top w:val="single" w:sz="4" w:space="0" w:color="auto"/>
              <w:left w:val="single" w:sz="4" w:space="0" w:color="auto"/>
              <w:bottom w:val="single" w:sz="4" w:space="0" w:color="auto"/>
              <w:right w:val="single" w:sz="4" w:space="0" w:color="auto"/>
            </w:tcBorders>
            <w:hideMark/>
          </w:tcPr>
          <w:p w14:paraId="769BB795"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0.010 mg TEQ/kg</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DEC31E"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0.005 mg TEQ/kg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36A1"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0.001 mg TEQ/ kg</w:t>
            </w:r>
          </w:p>
        </w:tc>
      </w:tr>
      <w:tr w:rsidR="00E815A8" w:rsidRPr="00B3308E" w14:paraId="7FC9E7A1"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37F99F36" w14:textId="437492EE"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Dioxin-like PCBs</w:t>
            </w:r>
            <w:r w:rsidR="00F6470F" w:rsidRPr="00B3308E">
              <w:rPr>
                <w:rStyle w:val="FootnoteReference"/>
                <w:rFonts w:eastAsia="Calibri"/>
                <w:noProof/>
                <w:sz w:val="18"/>
                <w:szCs w:val="18"/>
                <w:lang w:eastAsia="en-GB"/>
              </w:rPr>
              <w:footnoteReference w:id="17"/>
            </w:r>
          </w:p>
        </w:tc>
        <w:tc>
          <w:tcPr>
            <w:tcW w:w="1425" w:type="dxa"/>
            <w:tcBorders>
              <w:top w:val="single" w:sz="4" w:space="0" w:color="auto"/>
              <w:left w:val="single" w:sz="4" w:space="0" w:color="auto"/>
              <w:bottom w:val="single" w:sz="4" w:space="0" w:color="auto"/>
              <w:right w:val="single" w:sz="4" w:space="0" w:color="auto"/>
            </w:tcBorders>
            <w:hideMark/>
          </w:tcPr>
          <w:p w14:paraId="7E5DA4F1" w14:textId="33FAC5F4"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 xml:space="preserve">No specific consideration of dl-PCBs </w:t>
            </w:r>
            <w:r w:rsidR="008928D0">
              <w:rPr>
                <w:rFonts w:eastAsia="Calibri"/>
                <w:noProof/>
                <w:sz w:val="18"/>
                <w:szCs w:val="18"/>
                <w:lang w:eastAsia="en-GB"/>
              </w:rPr>
              <w:t>(i</w:t>
            </w:r>
            <w:r w:rsidRPr="00B3308E">
              <w:rPr>
                <w:rFonts w:eastAsia="Calibri"/>
                <w:noProof/>
                <w:sz w:val="18"/>
                <w:szCs w:val="18"/>
                <w:lang w:eastAsia="en-GB"/>
              </w:rPr>
              <w:t>ncluded in existing total PCB limit of 50 mg/kg</w:t>
            </w:r>
            <w:r w:rsidR="008928D0">
              <w:rPr>
                <w:rFonts w:eastAsia="Calibri"/>
                <w:noProof/>
                <w:sz w:val="18"/>
                <w:szCs w:val="18"/>
                <w:lang w:eastAsia="en-GB"/>
              </w:rPr>
              <w:t>)</w:t>
            </w:r>
          </w:p>
        </w:tc>
        <w:tc>
          <w:tcPr>
            <w:tcW w:w="1696" w:type="dxa"/>
            <w:tcBorders>
              <w:top w:val="single" w:sz="4" w:space="0" w:color="auto"/>
              <w:left w:val="single" w:sz="4" w:space="0" w:color="auto"/>
              <w:bottom w:val="single" w:sz="4" w:space="0" w:color="auto"/>
              <w:right w:val="single" w:sz="4" w:space="0" w:color="auto"/>
            </w:tcBorders>
            <w:hideMark/>
          </w:tcPr>
          <w:p w14:paraId="698DB8F2"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Definition of a specific stand-alone limit for dl-PCBs</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CFCFE71" w14:textId="3688DDE2"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Inclusion of dl-PCBs in the limit for PCDD/Fs</w:t>
            </w:r>
          </w:p>
          <w:p w14:paraId="10BA2FC9"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(under PCDD/Fs Option 3 – 0.005 mg TEQ/kg)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51C7F9E0"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r w:rsidR="00E815A8" w:rsidRPr="00B3308E" w14:paraId="203D148F"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7FC802D8"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Short-chain chlorinated paraffins (SCCPs)</w:t>
            </w:r>
          </w:p>
        </w:tc>
        <w:tc>
          <w:tcPr>
            <w:tcW w:w="1425" w:type="dxa"/>
            <w:tcBorders>
              <w:top w:val="single" w:sz="4" w:space="0" w:color="auto"/>
              <w:left w:val="single" w:sz="4" w:space="0" w:color="auto"/>
              <w:bottom w:val="single" w:sz="4" w:space="0" w:color="auto"/>
              <w:right w:val="single" w:sz="4" w:space="0" w:color="auto"/>
            </w:tcBorders>
            <w:hideMark/>
          </w:tcPr>
          <w:p w14:paraId="3722264F" w14:textId="3BB50271"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10</w:t>
            </w:r>
            <w:r w:rsidR="0080700C">
              <w:rPr>
                <w:rFonts w:eastAsia="Calibri"/>
                <w:noProof/>
                <w:sz w:val="18"/>
                <w:szCs w:val="18"/>
                <w:lang w:eastAsia="en-GB"/>
              </w:rPr>
              <w:t xml:space="preserve"> </w:t>
            </w:r>
            <w:r w:rsidRPr="00B3308E">
              <w:rPr>
                <w:rFonts w:eastAsia="Calibri"/>
                <w:noProof/>
                <w:sz w:val="18"/>
                <w:szCs w:val="18"/>
                <w:lang w:eastAsia="en-GB"/>
              </w:rPr>
              <w:t>000 mg/kg</w:t>
            </w:r>
          </w:p>
        </w:tc>
        <w:tc>
          <w:tcPr>
            <w:tcW w:w="169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42478B2"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1,500 mg/kg</w:t>
            </w:r>
          </w:p>
        </w:tc>
        <w:tc>
          <w:tcPr>
            <w:tcW w:w="3103" w:type="dxa"/>
            <w:tcBorders>
              <w:top w:val="single" w:sz="4" w:space="0" w:color="auto"/>
              <w:left w:val="single" w:sz="4" w:space="0" w:color="auto"/>
              <w:bottom w:val="single" w:sz="4" w:space="0" w:color="auto"/>
              <w:right w:val="single" w:sz="4" w:space="0" w:color="auto"/>
            </w:tcBorders>
            <w:hideMark/>
          </w:tcPr>
          <w:p w14:paraId="76370FE4"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420 mg/kg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985C1"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r w:rsidR="00E815A8" w:rsidRPr="00B3308E" w14:paraId="22BEB33D"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624A6473"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PFOA, its salts and related compounds</w:t>
            </w:r>
          </w:p>
        </w:tc>
        <w:tc>
          <w:tcPr>
            <w:tcW w:w="1425" w:type="dxa"/>
            <w:tcBorders>
              <w:top w:val="single" w:sz="4" w:space="0" w:color="auto"/>
              <w:left w:val="single" w:sz="4" w:space="0" w:color="auto"/>
              <w:bottom w:val="single" w:sz="4" w:space="0" w:color="auto"/>
              <w:right w:val="single" w:sz="4" w:space="0" w:color="auto"/>
            </w:tcBorders>
            <w:hideMark/>
          </w:tcPr>
          <w:p w14:paraId="5AFC79F3"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No limits exist</w:t>
            </w:r>
          </w:p>
        </w:tc>
        <w:tc>
          <w:tcPr>
            <w:tcW w:w="1696" w:type="dxa"/>
            <w:tcBorders>
              <w:top w:val="single" w:sz="4" w:space="0" w:color="auto"/>
              <w:left w:val="single" w:sz="4" w:space="0" w:color="auto"/>
              <w:bottom w:val="single" w:sz="4" w:space="0" w:color="auto"/>
              <w:right w:val="single" w:sz="4" w:space="0" w:color="auto"/>
            </w:tcBorders>
            <w:hideMark/>
          </w:tcPr>
          <w:p w14:paraId="22DF47E1" w14:textId="2A2B6CA3"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 xml:space="preserve">50 mg/kg (PFOA </w:t>
            </w:r>
            <w:r w:rsidR="008928D0">
              <w:rPr>
                <w:rFonts w:eastAsia="Calibri"/>
                <w:noProof/>
                <w:sz w:val="18"/>
                <w:szCs w:val="18"/>
                <w:lang w:eastAsia="en-GB"/>
              </w:rPr>
              <w:t>and</w:t>
            </w:r>
            <w:r w:rsidRPr="00B3308E">
              <w:rPr>
                <w:rFonts w:eastAsia="Calibri"/>
                <w:noProof/>
                <w:sz w:val="18"/>
                <w:szCs w:val="18"/>
                <w:lang w:eastAsia="en-GB"/>
              </w:rPr>
              <w:t xml:space="preserve"> salts)</w:t>
            </w:r>
          </w:p>
          <w:p w14:paraId="6AD54C17" w14:textId="5EF37CE8"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2</w:t>
            </w:r>
            <w:r w:rsidR="0080700C">
              <w:rPr>
                <w:rFonts w:eastAsia="Calibri"/>
                <w:noProof/>
                <w:sz w:val="18"/>
                <w:szCs w:val="18"/>
                <w:lang w:eastAsia="en-GB"/>
              </w:rPr>
              <w:t xml:space="preserve"> </w:t>
            </w:r>
            <w:r w:rsidRPr="00B3308E">
              <w:rPr>
                <w:rFonts w:eastAsia="Calibri"/>
                <w:noProof/>
                <w:sz w:val="18"/>
                <w:szCs w:val="18"/>
                <w:lang w:eastAsia="en-GB"/>
              </w:rPr>
              <w:t>000 mg/kg (PFOA-related compounds)</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3D507E4" w14:textId="3E0BCC5D" w:rsidR="00D9400B" w:rsidRPr="00B3308E" w:rsidRDefault="00D9400B" w:rsidP="0080700C">
            <w:pPr>
              <w:spacing w:before="60"/>
              <w:jc w:val="center"/>
              <w:rPr>
                <w:rFonts w:eastAsia="Calibri"/>
                <w:b/>
                <w:noProof/>
                <w:sz w:val="18"/>
                <w:szCs w:val="18"/>
                <w:lang w:eastAsia="en-GB"/>
              </w:rPr>
            </w:pPr>
            <w:r w:rsidRPr="00B3308E">
              <w:rPr>
                <w:rFonts w:eastAsia="Calibri"/>
                <w:b/>
                <w:noProof/>
                <w:sz w:val="18"/>
                <w:szCs w:val="18"/>
                <w:lang w:eastAsia="en-GB"/>
              </w:rPr>
              <w:t>1 mg/kg for PFOA and salts and 40 mg/kg for PFOA</w:t>
            </w:r>
            <w:r w:rsidR="00A73479">
              <w:rPr>
                <w:rFonts w:eastAsia="Calibri"/>
                <w:b/>
                <w:noProof/>
                <w:sz w:val="18"/>
                <w:szCs w:val="18"/>
                <w:lang w:eastAsia="en-GB"/>
              </w:rPr>
              <w:t>-</w:t>
            </w:r>
            <w:r w:rsidRPr="00B3308E">
              <w:rPr>
                <w:rFonts w:eastAsia="Calibri"/>
                <w:b/>
                <w:noProof/>
                <w:sz w:val="18"/>
                <w:szCs w:val="18"/>
                <w:lang w:eastAsia="en-GB"/>
              </w:rPr>
              <w:t>related compounds</w:t>
            </w:r>
          </w:p>
          <w:p w14:paraId="6E9C8147"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[Note: The above value is proposed instead of the intially considered Option 3:</w:t>
            </w:r>
          </w:p>
          <w:p w14:paraId="05187DA1" w14:textId="65ABDDD4" w:rsidR="00D9400B" w:rsidRPr="00B3308E" w:rsidRDefault="00D9400B" w:rsidP="0080700C">
            <w:pPr>
              <w:spacing w:before="60"/>
              <w:ind w:left="30"/>
              <w:contextualSpacing/>
              <w:jc w:val="center"/>
              <w:rPr>
                <w:rFonts w:eastAsia="Calibri"/>
                <w:noProof/>
                <w:sz w:val="18"/>
                <w:szCs w:val="18"/>
                <w:lang w:eastAsia="en-GB"/>
              </w:rPr>
            </w:pPr>
            <w:r w:rsidRPr="00B3308E">
              <w:rPr>
                <w:rFonts w:eastAsia="Calibri"/>
                <w:noProof/>
                <w:sz w:val="18"/>
                <w:szCs w:val="18"/>
                <w:lang w:eastAsia="en-GB"/>
              </w:rPr>
              <w:t xml:space="preserve">0.025 mg/kg (PFOA </w:t>
            </w:r>
            <w:r w:rsidR="008928D0">
              <w:rPr>
                <w:rFonts w:eastAsia="Calibri"/>
                <w:noProof/>
                <w:sz w:val="18"/>
                <w:szCs w:val="18"/>
                <w:lang w:eastAsia="en-GB"/>
              </w:rPr>
              <w:t>and</w:t>
            </w:r>
            <w:r w:rsidRPr="00B3308E">
              <w:rPr>
                <w:rFonts w:eastAsia="Calibri"/>
                <w:noProof/>
                <w:sz w:val="18"/>
                <w:szCs w:val="18"/>
                <w:lang w:eastAsia="en-GB"/>
              </w:rPr>
              <w:t xml:space="preserve"> salts)</w:t>
            </w:r>
          </w:p>
          <w:p w14:paraId="17982E48"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1 mg/kg (PFOA-related compounds)]</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43AC0"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r w:rsidR="00E815A8" w:rsidRPr="00B3308E" w14:paraId="3907A716"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6080FCC6"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Pentachlorophenol (PCP)</w:t>
            </w:r>
            <w:r w:rsidR="00193671" w:rsidRPr="00B3308E">
              <w:rPr>
                <w:rFonts w:eastAsia="Calibri"/>
                <w:noProof/>
                <w:sz w:val="18"/>
                <w:szCs w:val="18"/>
                <w:lang w:eastAsia="en-GB"/>
              </w:rPr>
              <w:t>,</w:t>
            </w:r>
            <w:r w:rsidRPr="00B3308E">
              <w:rPr>
                <w:rFonts w:eastAsia="Calibri"/>
                <w:noProof/>
                <w:sz w:val="18"/>
                <w:szCs w:val="18"/>
                <w:lang w:eastAsia="en-GB"/>
              </w:rPr>
              <w:t xml:space="preserve"> its salts and esters</w:t>
            </w:r>
          </w:p>
        </w:tc>
        <w:tc>
          <w:tcPr>
            <w:tcW w:w="1425" w:type="dxa"/>
            <w:tcBorders>
              <w:top w:val="single" w:sz="4" w:space="0" w:color="auto"/>
              <w:left w:val="single" w:sz="4" w:space="0" w:color="auto"/>
              <w:bottom w:val="single" w:sz="4" w:space="0" w:color="auto"/>
              <w:right w:val="single" w:sz="4" w:space="0" w:color="auto"/>
            </w:tcBorders>
            <w:hideMark/>
          </w:tcPr>
          <w:p w14:paraId="4F6E2A0B"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No limit exists</w:t>
            </w:r>
          </w:p>
        </w:tc>
        <w:tc>
          <w:tcPr>
            <w:tcW w:w="1696" w:type="dxa"/>
            <w:tcBorders>
              <w:top w:val="single" w:sz="4" w:space="0" w:color="auto"/>
              <w:left w:val="single" w:sz="4" w:space="0" w:color="auto"/>
              <w:bottom w:val="single" w:sz="4" w:space="0" w:color="auto"/>
              <w:right w:val="single" w:sz="4" w:space="0" w:color="auto"/>
            </w:tcBorders>
            <w:hideMark/>
          </w:tcPr>
          <w:p w14:paraId="504FDA56"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277F620" w14:textId="77777777"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100 mg/kg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29FE24"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r w:rsidR="00E815A8" w:rsidRPr="00B3308E" w14:paraId="379A1CF1" w14:textId="77777777" w:rsidTr="00E815A8">
        <w:trPr>
          <w:cantSplit/>
        </w:trPr>
        <w:tc>
          <w:tcPr>
            <w:tcW w:w="1832" w:type="dxa"/>
            <w:tcBorders>
              <w:top w:val="single" w:sz="4" w:space="0" w:color="auto"/>
              <w:left w:val="single" w:sz="4" w:space="0" w:color="auto"/>
              <w:bottom w:val="single" w:sz="4" w:space="0" w:color="auto"/>
              <w:right w:val="single" w:sz="4" w:space="0" w:color="auto"/>
            </w:tcBorders>
            <w:hideMark/>
          </w:tcPr>
          <w:p w14:paraId="75A1C224" w14:textId="77777777" w:rsidR="00D9400B" w:rsidRPr="00B3308E" w:rsidRDefault="00D9400B" w:rsidP="0080700C">
            <w:pPr>
              <w:spacing w:before="60"/>
              <w:jc w:val="left"/>
              <w:rPr>
                <w:rFonts w:eastAsia="Calibri"/>
                <w:noProof/>
                <w:sz w:val="18"/>
                <w:szCs w:val="18"/>
                <w:lang w:eastAsia="en-GB"/>
              </w:rPr>
            </w:pPr>
            <w:r w:rsidRPr="00B3308E">
              <w:rPr>
                <w:rFonts w:eastAsia="Calibri"/>
                <w:noProof/>
                <w:sz w:val="18"/>
                <w:szCs w:val="18"/>
                <w:lang w:eastAsia="en-GB"/>
              </w:rPr>
              <w:t>Dicofol</w:t>
            </w:r>
          </w:p>
        </w:tc>
        <w:tc>
          <w:tcPr>
            <w:tcW w:w="1425" w:type="dxa"/>
            <w:tcBorders>
              <w:top w:val="single" w:sz="4" w:space="0" w:color="auto"/>
              <w:left w:val="single" w:sz="4" w:space="0" w:color="auto"/>
              <w:bottom w:val="single" w:sz="4" w:space="0" w:color="auto"/>
              <w:right w:val="single" w:sz="4" w:space="0" w:color="auto"/>
            </w:tcBorders>
            <w:hideMark/>
          </w:tcPr>
          <w:p w14:paraId="59A1E666"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No limit exists</w:t>
            </w:r>
          </w:p>
        </w:tc>
        <w:tc>
          <w:tcPr>
            <w:tcW w:w="1696" w:type="dxa"/>
            <w:tcBorders>
              <w:top w:val="single" w:sz="4" w:space="0" w:color="auto"/>
              <w:left w:val="single" w:sz="4" w:space="0" w:color="auto"/>
              <w:bottom w:val="single" w:sz="4" w:space="0" w:color="auto"/>
              <w:right w:val="single" w:sz="4" w:space="0" w:color="auto"/>
            </w:tcBorders>
            <w:hideMark/>
          </w:tcPr>
          <w:p w14:paraId="3310B2B1"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c>
          <w:tcPr>
            <w:tcW w:w="31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2A40FC3" w14:textId="0355DBDD" w:rsidR="00D9400B" w:rsidRPr="00B3308E" w:rsidRDefault="00D9400B" w:rsidP="0080700C">
            <w:pPr>
              <w:spacing w:before="60"/>
              <w:jc w:val="center"/>
              <w:rPr>
                <w:rFonts w:eastAsia="Calibri"/>
                <w:noProof/>
                <w:sz w:val="18"/>
                <w:szCs w:val="18"/>
                <w:lang w:eastAsia="en-GB"/>
              </w:rPr>
            </w:pPr>
            <w:r w:rsidRPr="00B3308E">
              <w:rPr>
                <w:rFonts w:eastAsia="Calibri"/>
                <w:noProof/>
                <w:sz w:val="18"/>
                <w:szCs w:val="18"/>
                <w:lang w:eastAsia="en-GB"/>
              </w:rPr>
              <w:t>50 mg/</w:t>
            </w:r>
            <w:r w:rsidR="0080700C">
              <w:rPr>
                <w:rFonts w:eastAsia="Calibri"/>
                <w:noProof/>
                <w:sz w:val="18"/>
                <w:szCs w:val="18"/>
                <w:lang w:eastAsia="en-GB"/>
              </w:rPr>
              <w:t>k</w:t>
            </w:r>
            <w:r w:rsidRPr="00B3308E">
              <w:rPr>
                <w:rFonts w:eastAsia="Calibri"/>
                <w:noProof/>
                <w:sz w:val="18"/>
                <w:szCs w:val="18"/>
                <w:lang w:eastAsia="en-GB"/>
              </w:rPr>
              <w:t>g</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AFD6F0E" w14:textId="77777777" w:rsidR="00D9400B" w:rsidRPr="00B3308E" w:rsidRDefault="00D9400B" w:rsidP="00AE2F80">
            <w:pPr>
              <w:spacing w:before="60"/>
              <w:jc w:val="center"/>
              <w:rPr>
                <w:rFonts w:eastAsia="Calibri"/>
                <w:noProof/>
                <w:sz w:val="18"/>
                <w:szCs w:val="18"/>
                <w:lang w:eastAsia="en-GB"/>
              </w:rPr>
            </w:pPr>
            <w:r w:rsidRPr="00B3308E">
              <w:rPr>
                <w:rFonts w:eastAsia="Calibri"/>
                <w:noProof/>
                <w:sz w:val="18"/>
                <w:szCs w:val="18"/>
                <w:lang w:eastAsia="en-GB"/>
              </w:rPr>
              <w:t>N/A</w:t>
            </w:r>
          </w:p>
        </w:tc>
      </w:tr>
    </w:tbl>
    <w:p w14:paraId="2E550D83" w14:textId="35BA0FBE" w:rsidR="00E815A8" w:rsidRPr="00B3308E" w:rsidRDefault="00E815A8" w:rsidP="00E815A8">
      <w:pPr>
        <w:autoSpaceDE w:val="0"/>
        <w:autoSpaceDN w:val="0"/>
        <w:adjustRightInd w:val="0"/>
        <w:rPr>
          <w:noProof/>
          <w:szCs w:val="24"/>
        </w:rPr>
      </w:pPr>
      <w:r w:rsidRPr="00B3308E">
        <w:rPr>
          <w:noProof/>
          <w:szCs w:val="24"/>
        </w:rPr>
        <w:t xml:space="preserve">In addition to the Annex IV values above, the impact assessment also considers, for the substances </w:t>
      </w:r>
      <w:r w:rsidR="00AE2F80" w:rsidRPr="00B3308E">
        <w:rPr>
          <w:noProof/>
          <w:szCs w:val="24"/>
        </w:rPr>
        <w:t>f</w:t>
      </w:r>
      <w:r w:rsidRPr="00B3308E">
        <w:rPr>
          <w:noProof/>
          <w:szCs w:val="24"/>
        </w:rPr>
        <w:t xml:space="preserve">or which a new listing is proposed, a single policy option representing a value to be included in Annex V of the Regulation. </w:t>
      </w:r>
      <w:r w:rsidR="0082383A">
        <w:rPr>
          <w:noProof/>
          <w:szCs w:val="24"/>
        </w:rPr>
        <w:t>For consistency, the substance decaBDE is also proposed to be included in</w:t>
      </w:r>
      <w:r w:rsidR="00520713">
        <w:rPr>
          <w:noProof/>
          <w:szCs w:val="24"/>
        </w:rPr>
        <w:t xml:space="preserve"> the limit value for the (listed) PBDEs.</w:t>
      </w:r>
      <w:r w:rsidR="0082383A">
        <w:rPr>
          <w:noProof/>
          <w:szCs w:val="24"/>
        </w:rPr>
        <w:t xml:space="preserve">  </w:t>
      </w:r>
      <w:r w:rsidRPr="00B3308E">
        <w:rPr>
          <w:rFonts w:eastAsia="Calibri"/>
          <w:noProof/>
          <w:szCs w:val="24"/>
        </w:rPr>
        <w:t xml:space="preserve">Annex V values are referred to in Article 7(4)(b) of the POPs Regulation and are also known as </w:t>
      </w:r>
      <w:r w:rsidR="0080700C">
        <w:rPr>
          <w:rFonts w:eastAsia="Calibri"/>
          <w:noProof/>
          <w:szCs w:val="24"/>
        </w:rPr>
        <w:t>‘</w:t>
      </w:r>
      <w:r w:rsidRPr="00B3308E">
        <w:rPr>
          <w:rFonts w:eastAsia="Calibri"/>
          <w:noProof/>
          <w:szCs w:val="24"/>
        </w:rPr>
        <w:t>maximum POP concentration limits</w:t>
      </w:r>
      <w:r w:rsidR="0080700C">
        <w:rPr>
          <w:rFonts w:eastAsia="Calibri"/>
          <w:noProof/>
          <w:szCs w:val="24"/>
        </w:rPr>
        <w:t>’</w:t>
      </w:r>
      <w:r w:rsidRPr="00B3308E">
        <w:rPr>
          <w:rFonts w:eastAsia="Calibri"/>
          <w:noProof/>
          <w:szCs w:val="24"/>
        </w:rPr>
        <w:t>.</w:t>
      </w:r>
    </w:p>
    <w:p w14:paraId="0FF42AC4" w14:textId="4BDBE8D0" w:rsidR="00E815A8" w:rsidRPr="00B3308E" w:rsidRDefault="00E815A8" w:rsidP="00E815A8">
      <w:pPr>
        <w:pStyle w:val="Caption"/>
        <w:keepNext/>
        <w:ind w:left="-567" w:firstLine="567"/>
        <w:rPr>
          <w:b w:val="0"/>
          <w:i/>
          <w:noProof/>
          <w:lang w:val="en-GB"/>
        </w:rPr>
      </w:pPr>
      <w:r w:rsidRPr="00B3308E">
        <w:rPr>
          <w:i/>
          <w:noProof/>
          <w:lang w:val="en-GB"/>
        </w:rPr>
        <w:t>Table 4</w:t>
      </w:r>
      <w:r w:rsidRPr="00B3308E">
        <w:rPr>
          <w:b w:val="0"/>
          <w:i/>
          <w:noProof/>
          <w:lang w:val="en-GB"/>
        </w:rPr>
        <w:t xml:space="preserve">: Proposed Annex V limit values  </w:t>
      </w:r>
    </w:p>
    <w:tbl>
      <w:tblPr>
        <w:tblStyle w:val="TableGrid"/>
        <w:tblW w:w="6663" w:type="dxa"/>
        <w:tblInd w:w="108" w:type="dxa"/>
        <w:tblLook w:val="04A0" w:firstRow="1" w:lastRow="0" w:firstColumn="1" w:lastColumn="0" w:noHBand="0" w:noVBand="1"/>
      </w:tblPr>
      <w:tblGrid>
        <w:gridCol w:w="1716"/>
        <w:gridCol w:w="4947"/>
      </w:tblGrid>
      <w:tr w:rsidR="00E815A8" w:rsidRPr="00B3308E" w14:paraId="241DC798" w14:textId="77777777" w:rsidTr="00E815A8">
        <w:trPr>
          <w:cantSplit/>
          <w:trHeight w:val="699"/>
          <w:tblHeader/>
        </w:trPr>
        <w:tc>
          <w:tcPr>
            <w:tcW w:w="1716" w:type="dxa"/>
            <w:shd w:val="clear" w:color="auto" w:fill="DAEEF3" w:themeFill="accent5" w:themeFillTint="33"/>
            <w:vAlign w:val="center"/>
          </w:tcPr>
          <w:p w14:paraId="25196251" w14:textId="77777777" w:rsidR="00E815A8" w:rsidRPr="00B3308E" w:rsidRDefault="00E815A8" w:rsidP="00AE2F80">
            <w:pPr>
              <w:jc w:val="center"/>
              <w:rPr>
                <w:b/>
                <w:bCs/>
                <w:noProof/>
                <w:sz w:val="18"/>
                <w:szCs w:val="18"/>
              </w:rPr>
            </w:pPr>
            <w:r w:rsidRPr="00B3308E">
              <w:rPr>
                <w:b/>
                <w:bCs/>
                <w:noProof/>
                <w:sz w:val="18"/>
                <w:szCs w:val="18"/>
              </w:rPr>
              <w:t>Substance</w:t>
            </w:r>
          </w:p>
        </w:tc>
        <w:tc>
          <w:tcPr>
            <w:tcW w:w="4947" w:type="dxa"/>
            <w:shd w:val="clear" w:color="auto" w:fill="DAEEF3" w:themeFill="accent5" w:themeFillTint="33"/>
            <w:vAlign w:val="center"/>
          </w:tcPr>
          <w:p w14:paraId="59DD9158" w14:textId="77777777" w:rsidR="00E815A8" w:rsidRPr="00B3308E" w:rsidRDefault="00E815A8" w:rsidP="00AE2F80">
            <w:pPr>
              <w:jc w:val="center"/>
              <w:rPr>
                <w:b/>
                <w:bCs/>
                <w:noProof/>
                <w:sz w:val="18"/>
                <w:szCs w:val="18"/>
              </w:rPr>
            </w:pPr>
            <w:r w:rsidRPr="00B3308E">
              <w:rPr>
                <w:b/>
                <w:bCs/>
                <w:noProof/>
                <w:sz w:val="18"/>
                <w:szCs w:val="18"/>
              </w:rPr>
              <w:t>Value</w:t>
            </w:r>
          </w:p>
        </w:tc>
      </w:tr>
      <w:tr w:rsidR="00E815A8" w:rsidRPr="00B3308E" w14:paraId="04F6B311" w14:textId="77777777" w:rsidTr="00E815A8">
        <w:trPr>
          <w:cantSplit/>
        </w:trPr>
        <w:tc>
          <w:tcPr>
            <w:tcW w:w="1716" w:type="dxa"/>
            <w:shd w:val="clear" w:color="auto" w:fill="auto"/>
          </w:tcPr>
          <w:p w14:paraId="257ED7E7" w14:textId="2781DD15" w:rsidR="00E815A8" w:rsidRPr="00B3308E" w:rsidRDefault="00E815A8" w:rsidP="00E815A8">
            <w:pPr>
              <w:spacing w:before="60"/>
              <w:jc w:val="left"/>
              <w:rPr>
                <w:noProof/>
                <w:sz w:val="18"/>
                <w:szCs w:val="18"/>
              </w:rPr>
            </w:pPr>
            <w:r w:rsidRPr="00B3308E">
              <w:rPr>
                <w:noProof/>
                <w:sz w:val="18"/>
                <w:szCs w:val="18"/>
              </w:rPr>
              <w:t>PBDEs</w:t>
            </w:r>
            <w:r w:rsidR="0082383A">
              <w:rPr>
                <w:noProof/>
                <w:sz w:val="18"/>
                <w:szCs w:val="18"/>
              </w:rPr>
              <w:t xml:space="preserve"> (including decaBDE)</w:t>
            </w:r>
          </w:p>
        </w:tc>
        <w:tc>
          <w:tcPr>
            <w:tcW w:w="4947" w:type="dxa"/>
            <w:shd w:val="clear" w:color="auto" w:fill="auto"/>
          </w:tcPr>
          <w:p w14:paraId="0E2D8FEA" w14:textId="230CB57C" w:rsidR="00E815A8" w:rsidRPr="00B3308E" w:rsidRDefault="00E815A8" w:rsidP="00E815A8">
            <w:pPr>
              <w:spacing w:before="60"/>
              <w:jc w:val="left"/>
              <w:rPr>
                <w:noProof/>
                <w:sz w:val="18"/>
                <w:szCs w:val="18"/>
              </w:rPr>
            </w:pPr>
            <w:r w:rsidRPr="00B3308E">
              <w:rPr>
                <w:noProof/>
                <w:sz w:val="18"/>
                <w:szCs w:val="18"/>
              </w:rPr>
              <w:t>10</w:t>
            </w:r>
            <w:r w:rsidR="0080700C">
              <w:rPr>
                <w:noProof/>
                <w:sz w:val="18"/>
                <w:szCs w:val="18"/>
              </w:rPr>
              <w:t xml:space="preserve"> </w:t>
            </w:r>
            <w:r w:rsidRPr="00B3308E">
              <w:rPr>
                <w:noProof/>
                <w:sz w:val="18"/>
                <w:szCs w:val="18"/>
              </w:rPr>
              <w:t>000 mg/</w:t>
            </w:r>
            <w:r w:rsidR="0080700C">
              <w:rPr>
                <w:noProof/>
                <w:sz w:val="18"/>
                <w:szCs w:val="18"/>
              </w:rPr>
              <w:t>k</w:t>
            </w:r>
            <w:r w:rsidRPr="00B3308E">
              <w:rPr>
                <w:noProof/>
                <w:sz w:val="18"/>
                <w:szCs w:val="18"/>
              </w:rPr>
              <w:t>g</w:t>
            </w:r>
          </w:p>
        </w:tc>
      </w:tr>
      <w:tr w:rsidR="00E815A8" w:rsidRPr="00B3308E" w14:paraId="38015C2A" w14:textId="77777777" w:rsidTr="00E815A8">
        <w:trPr>
          <w:cantSplit/>
        </w:trPr>
        <w:tc>
          <w:tcPr>
            <w:tcW w:w="1716" w:type="dxa"/>
            <w:shd w:val="clear" w:color="auto" w:fill="auto"/>
          </w:tcPr>
          <w:p w14:paraId="0740495A" w14:textId="77777777" w:rsidR="00E815A8" w:rsidRPr="00B3308E" w:rsidRDefault="00E815A8" w:rsidP="00E815A8">
            <w:pPr>
              <w:spacing w:before="60"/>
              <w:jc w:val="left"/>
              <w:rPr>
                <w:noProof/>
                <w:sz w:val="18"/>
                <w:szCs w:val="18"/>
              </w:rPr>
            </w:pPr>
            <w:r w:rsidRPr="00B3308E">
              <w:rPr>
                <w:noProof/>
                <w:sz w:val="18"/>
                <w:szCs w:val="18"/>
              </w:rPr>
              <w:t>PFOA, its salts and related compounds</w:t>
            </w:r>
          </w:p>
        </w:tc>
        <w:tc>
          <w:tcPr>
            <w:tcW w:w="4947" w:type="dxa"/>
            <w:shd w:val="clear" w:color="auto" w:fill="auto"/>
          </w:tcPr>
          <w:p w14:paraId="484AC1AF" w14:textId="399B0F85" w:rsidR="00E815A8" w:rsidRPr="00B3308E" w:rsidRDefault="00E815A8" w:rsidP="00E815A8">
            <w:pPr>
              <w:spacing w:before="60"/>
              <w:jc w:val="left"/>
              <w:rPr>
                <w:noProof/>
                <w:sz w:val="18"/>
                <w:szCs w:val="18"/>
              </w:rPr>
            </w:pPr>
            <w:r w:rsidRPr="00B3308E">
              <w:rPr>
                <w:noProof/>
                <w:sz w:val="18"/>
                <w:szCs w:val="18"/>
              </w:rPr>
              <w:t xml:space="preserve">50 mg/kg for PFOA </w:t>
            </w:r>
            <w:r w:rsidR="008928D0">
              <w:rPr>
                <w:noProof/>
                <w:sz w:val="18"/>
                <w:szCs w:val="18"/>
              </w:rPr>
              <w:t>and</w:t>
            </w:r>
            <w:r w:rsidRPr="00B3308E">
              <w:rPr>
                <w:noProof/>
                <w:sz w:val="18"/>
                <w:szCs w:val="18"/>
              </w:rPr>
              <w:t xml:space="preserve"> salts</w:t>
            </w:r>
          </w:p>
          <w:p w14:paraId="76F5350E" w14:textId="0CAF2102" w:rsidR="00E815A8" w:rsidRPr="00B3308E" w:rsidRDefault="00E815A8" w:rsidP="00E815A8">
            <w:pPr>
              <w:spacing w:before="60"/>
              <w:jc w:val="left"/>
              <w:rPr>
                <w:noProof/>
                <w:sz w:val="18"/>
                <w:szCs w:val="18"/>
              </w:rPr>
            </w:pPr>
            <w:r w:rsidRPr="00B3308E">
              <w:rPr>
                <w:noProof/>
                <w:sz w:val="18"/>
                <w:szCs w:val="18"/>
              </w:rPr>
              <w:t>2</w:t>
            </w:r>
            <w:r w:rsidR="0080700C">
              <w:rPr>
                <w:noProof/>
                <w:sz w:val="18"/>
                <w:szCs w:val="18"/>
              </w:rPr>
              <w:t xml:space="preserve"> </w:t>
            </w:r>
            <w:r w:rsidRPr="00B3308E">
              <w:rPr>
                <w:noProof/>
                <w:sz w:val="18"/>
                <w:szCs w:val="18"/>
              </w:rPr>
              <w:t xml:space="preserve">000 mg/kg for PFOA-related substances </w:t>
            </w:r>
          </w:p>
        </w:tc>
      </w:tr>
      <w:tr w:rsidR="00E815A8" w:rsidRPr="00B3308E" w14:paraId="30714EB4" w14:textId="77777777" w:rsidTr="00E815A8">
        <w:trPr>
          <w:cantSplit/>
        </w:trPr>
        <w:tc>
          <w:tcPr>
            <w:tcW w:w="1716" w:type="dxa"/>
            <w:shd w:val="clear" w:color="auto" w:fill="auto"/>
          </w:tcPr>
          <w:p w14:paraId="6F336C2C" w14:textId="77777777" w:rsidR="00E815A8" w:rsidRPr="00B3308E" w:rsidRDefault="00E815A8" w:rsidP="00E815A8">
            <w:pPr>
              <w:spacing w:before="60"/>
              <w:jc w:val="left"/>
              <w:rPr>
                <w:noProof/>
                <w:sz w:val="18"/>
                <w:szCs w:val="18"/>
              </w:rPr>
            </w:pPr>
            <w:r w:rsidRPr="00B3308E">
              <w:rPr>
                <w:noProof/>
                <w:sz w:val="18"/>
                <w:szCs w:val="18"/>
              </w:rPr>
              <w:t>Pentachlorophenol (PCP)</w:t>
            </w:r>
          </w:p>
        </w:tc>
        <w:tc>
          <w:tcPr>
            <w:tcW w:w="4947" w:type="dxa"/>
            <w:shd w:val="clear" w:color="auto" w:fill="auto"/>
          </w:tcPr>
          <w:p w14:paraId="22C9BD56" w14:textId="1EBF4C9E" w:rsidR="00E815A8" w:rsidRPr="00B3308E" w:rsidRDefault="00E815A8" w:rsidP="00E815A8">
            <w:pPr>
              <w:spacing w:before="60"/>
              <w:jc w:val="left"/>
              <w:rPr>
                <w:noProof/>
                <w:sz w:val="18"/>
                <w:szCs w:val="18"/>
              </w:rPr>
            </w:pPr>
            <w:r w:rsidRPr="00B3308E">
              <w:rPr>
                <w:noProof/>
                <w:sz w:val="18"/>
                <w:szCs w:val="18"/>
              </w:rPr>
              <w:t>1</w:t>
            </w:r>
            <w:r w:rsidR="0080700C">
              <w:rPr>
                <w:noProof/>
                <w:sz w:val="18"/>
                <w:szCs w:val="18"/>
              </w:rPr>
              <w:t xml:space="preserve"> </w:t>
            </w:r>
            <w:r w:rsidRPr="00B3308E">
              <w:rPr>
                <w:noProof/>
                <w:sz w:val="18"/>
                <w:szCs w:val="18"/>
              </w:rPr>
              <w:t>000 mg/kg</w:t>
            </w:r>
          </w:p>
        </w:tc>
      </w:tr>
      <w:tr w:rsidR="00E815A8" w:rsidRPr="00B3308E" w14:paraId="7A71E2BE" w14:textId="77777777" w:rsidTr="00E815A8">
        <w:trPr>
          <w:cantSplit/>
        </w:trPr>
        <w:tc>
          <w:tcPr>
            <w:tcW w:w="1716" w:type="dxa"/>
            <w:shd w:val="clear" w:color="auto" w:fill="auto"/>
          </w:tcPr>
          <w:p w14:paraId="05E52DA7" w14:textId="77777777" w:rsidR="00E815A8" w:rsidRPr="00B3308E" w:rsidRDefault="00E815A8" w:rsidP="00E815A8">
            <w:pPr>
              <w:spacing w:before="60"/>
              <w:jc w:val="left"/>
              <w:rPr>
                <w:noProof/>
                <w:sz w:val="18"/>
                <w:szCs w:val="18"/>
              </w:rPr>
            </w:pPr>
            <w:r w:rsidRPr="00B3308E">
              <w:rPr>
                <w:noProof/>
                <w:sz w:val="18"/>
                <w:szCs w:val="18"/>
              </w:rPr>
              <w:t>Dicofol</w:t>
            </w:r>
          </w:p>
        </w:tc>
        <w:tc>
          <w:tcPr>
            <w:tcW w:w="4947" w:type="dxa"/>
            <w:shd w:val="clear" w:color="auto" w:fill="auto"/>
          </w:tcPr>
          <w:p w14:paraId="4415267A" w14:textId="2BEB1693" w:rsidR="00E815A8" w:rsidRPr="00B3308E" w:rsidRDefault="00E815A8" w:rsidP="00E815A8">
            <w:pPr>
              <w:spacing w:before="60"/>
              <w:jc w:val="left"/>
              <w:rPr>
                <w:noProof/>
                <w:sz w:val="18"/>
                <w:szCs w:val="18"/>
              </w:rPr>
            </w:pPr>
            <w:r w:rsidRPr="00B3308E">
              <w:rPr>
                <w:noProof/>
                <w:sz w:val="18"/>
                <w:szCs w:val="18"/>
              </w:rPr>
              <w:t>5</w:t>
            </w:r>
            <w:r w:rsidR="0080700C">
              <w:rPr>
                <w:noProof/>
                <w:sz w:val="18"/>
                <w:szCs w:val="18"/>
              </w:rPr>
              <w:t xml:space="preserve"> </w:t>
            </w:r>
            <w:r w:rsidRPr="00B3308E">
              <w:rPr>
                <w:noProof/>
                <w:sz w:val="18"/>
                <w:szCs w:val="18"/>
              </w:rPr>
              <w:t>000 mg/kg</w:t>
            </w:r>
          </w:p>
        </w:tc>
      </w:tr>
    </w:tbl>
    <w:p w14:paraId="3410117A" w14:textId="150CC144" w:rsidR="008928D0" w:rsidRDefault="00361DAF" w:rsidP="006A6C43">
      <w:pPr>
        <w:autoSpaceDE w:val="0"/>
        <w:autoSpaceDN w:val="0"/>
        <w:adjustRightInd w:val="0"/>
        <w:rPr>
          <w:noProof/>
          <w:szCs w:val="24"/>
        </w:rPr>
      </w:pPr>
      <w:r w:rsidRPr="00B3308E">
        <w:rPr>
          <w:noProof/>
          <w:szCs w:val="24"/>
        </w:rPr>
        <w:t>The preferred policy options proposed are supported by the methodology described in section 5.2 and in Annex IV of the impact assessment report</w:t>
      </w:r>
      <w:r w:rsidR="008928D0">
        <w:rPr>
          <w:noProof/>
          <w:szCs w:val="24"/>
        </w:rPr>
        <w:t>. They</w:t>
      </w:r>
      <w:r w:rsidRPr="00B3308E">
        <w:rPr>
          <w:noProof/>
          <w:szCs w:val="24"/>
        </w:rPr>
        <w:t xml:space="preserve"> take into account the general objectives of protect</w:t>
      </w:r>
      <w:r w:rsidR="0080700C">
        <w:rPr>
          <w:noProof/>
          <w:szCs w:val="24"/>
        </w:rPr>
        <w:t>ing</w:t>
      </w:r>
      <w:r w:rsidRPr="00B3308E">
        <w:rPr>
          <w:noProof/>
          <w:szCs w:val="24"/>
        </w:rPr>
        <w:t xml:space="preserve"> human </w:t>
      </w:r>
      <w:r w:rsidR="00193671" w:rsidRPr="00B3308E">
        <w:rPr>
          <w:noProof/>
          <w:szCs w:val="24"/>
        </w:rPr>
        <w:t xml:space="preserve">health and the </w:t>
      </w:r>
      <w:r w:rsidRPr="00B3308E">
        <w:rPr>
          <w:noProof/>
          <w:szCs w:val="24"/>
        </w:rPr>
        <w:t xml:space="preserve">environment (as </w:t>
      </w:r>
      <w:r w:rsidR="0080700C">
        <w:rPr>
          <w:noProof/>
          <w:szCs w:val="24"/>
        </w:rPr>
        <w:t xml:space="preserve">an </w:t>
      </w:r>
      <w:r w:rsidRPr="00B3308E">
        <w:rPr>
          <w:noProof/>
          <w:szCs w:val="24"/>
        </w:rPr>
        <w:t xml:space="preserve">overarching objective), increased recycling </w:t>
      </w:r>
      <w:r w:rsidR="00193671" w:rsidRPr="00B3308E">
        <w:rPr>
          <w:noProof/>
          <w:szCs w:val="24"/>
        </w:rPr>
        <w:t xml:space="preserve">and </w:t>
      </w:r>
      <w:r w:rsidRPr="00B3308E">
        <w:rPr>
          <w:noProof/>
          <w:szCs w:val="24"/>
        </w:rPr>
        <w:t>uptake of secondary raw materials and contribut</w:t>
      </w:r>
      <w:r w:rsidR="0080700C">
        <w:rPr>
          <w:noProof/>
          <w:szCs w:val="24"/>
        </w:rPr>
        <w:t>ing</w:t>
      </w:r>
      <w:r w:rsidRPr="00B3308E">
        <w:rPr>
          <w:noProof/>
          <w:szCs w:val="24"/>
        </w:rPr>
        <w:t xml:space="preserve"> to </w:t>
      </w:r>
      <w:r w:rsidR="0080700C">
        <w:rPr>
          <w:noProof/>
          <w:szCs w:val="24"/>
        </w:rPr>
        <w:t xml:space="preserve">a reduction in </w:t>
      </w:r>
      <w:r w:rsidRPr="00B3308E">
        <w:rPr>
          <w:noProof/>
          <w:szCs w:val="24"/>
        </w:rPr>
        <w:t>greenhouse gas emissions (in support of the EU’s climat</w:t>
      </w:r>
      <w:r w:rsidR="0080700C">
        <w:rPr>
          <w:noProof/>
          <w:szCs w:val="24"/>
        </w:rPr>
        <w:t>e</w:t>
      </w:r>
      <w:r w:rsidRPr="00B3308E">
        <w:rPr>
          <w:noProof/>
          <w:szCs w:val="24"/>
        </w:rPr>
        <w:t xml:space="preserve"> objectives). </w:t>
      </w:r>
    </w:p>
    <w:p w14:paraId="7E149DB6" w14:textId="2D83CB04" w:rsidR="00361DAF" w:rsidRPr="00B3308E" w:rsidRDefault="00361DAF" w:rsidP="006A6C43">
      <w:pPr>
        <w:autoSpaceDE w:val="0"/>
        <w:autoSpaceDN w:val="0"/>
        <w:adjustRightInd w:val="0"/>
        <w:rPr>
          <w:noProof/>
          <w:szCs w:val="24"/>
        </w:rPr>
      </w:pPr>
      <w:r w:rsidRPr="00B3308E">
        <w:rPr>
          <w:noProof/>
          <w:szCs w:val="24"/>
        </w:rPr>
        <w:t xml:space="preserve">The proposed values for Annex V are </w:t>
      </w:r>
      <w:r w:rsidR="006A6C43" w:rsidRPr="00B3308E">
        <w:rPr>
          <w:noProof/>
          <w:szCs w:val="24"/>
        </w:rPr>
        <w:t xml:space="preserve">informed by the </w:t>
      </w:r>
      <w:r w:rsidR="00193671" w:rsidRPr="00B3308E">
        <w:rPr>
          <w:noProof/>
          <w:szCs w:val="24"/>
        </w:rPr>
        <w:t xml:space="preserve">results of applying the </w:t>
      </w:r>
      <w:r w:rsidR="006A6C43" w:rsidRPr="00B3308E">
        <w:rPr>
          <w:noProof/>
          <w:szCs w:val="24"/>
        </w:rPr>
        <w:t xml:space="preserve">methodology and </w:t>
      </w:r>
      <w:r w:rsidR="00193671" w:rsidRPr="00B3308E">
        <w:rPr>
          <w:noProof/>
          <w:szCs w:val="24"/>
        </w:rPr>
        <w:t xml:space="preserve">are </w:t>
      </w:r>
      <w:r w:rsidR="006A6C43" w:rsidRPr="00B3308E">
        <w:rPr>
          <w:noProof/>
          <w:szCs w:val="24"/>
        </w:rPr>
        <w:t xml:space="preserve">ultimately </w:t>
      </w:r>
      <w:r w:rsidRPr="00B3308E">
        <w:rPr>
          <w:noProof/>
          <w:szCs w:val="24"/>
        </w:rPr>
        <w:t xml:space="preserve">based on existing agreed Annex V values for similar substances. </w:t>
      </w:r>
    </w:p>
    <w:p w14:paraId="2347B87D" w14:textId="7BC664B6" w:rsidR="008D1C10" w:rsidRDefault="008D1C10" w:rsidP="00404EF3">
      <w:pPr>
        <w:autoSpaceDE w:val="0"/>
        <w:autoSpaceDN w:val="0"/>
        <w:adjustRightInd w:val="0"/>
        <w:rPr>
          <w:noProof/>
          <w:szCs w:val="24"/>
        </w:rPr>
      </w:pPr>
      <w:r w:rsidRPr="00A37336">
        <w:rPr>
          <w:noProof/>
          <w:szCs w:val="24"/>
        </w:rPr>
        <w:t>In addition to the substances listed above, the impact assessment has addressed an additional substance, perfluorohexane sulfonic acid (PFHxS). The POPs Review Committee operating under the Stockholm Convention adopted a decision recommending that the Conference of the Parties</w:t>
      </w:r>
      <w:r w:rsidR="002447DB" w:rsidRPr="00A37336">
        <w:rPr>
          <w:noProof/>
          <w:szCs w:val="24"/>
        </w:rPr>
        <w:t xml:space="preserve"> (COP)</w:t>
      </w:r>
      <w:r w:rsidRPr="00A37336">
        <w:rPr>
          <w:noProof/>
          <w:szCs w:val="24"/>
        </w:rPr>
        <w:t xml:space="preserve"> consider listing PFHxS, its salts and PFHxS</w:t>
      </w:r>
      <w:r w:rsidR="00B77108">
        <w:rPr>
          <w:noProof/>
          <w:szCs w:val="24"/>
        </w:rPr>
        <w:t>-related compounds</w:t>
      </w:r>
      <w:r w:rsidRPr="00A37336">
        <w:rPr>
          <w:noProof/>
          <w:szCs w:val="24"/>
        </w:rPr>
        <w:t xml:space="preserve"> in Annex A to the Convention without specific exemptions. Due to the COVID-19 pandemic, the decision for this inclusion, originally scheduled for July 2021, </w:t>
      </w:r>
      <w:r w:rsidR="002447DB" w:rsidRPr="00A37336">
        <w:rPr>
          <w:noProof/>
          <w:szCs w:val="24"/>
        </w:rPr>
        <w:t xml:space="preserve">was </w:t>
      </w:r>
      <w:r w:rsidRPr="00A37336">
        <w:rPr>
          <w:noProof/>
          <w:szCs w:val="24"/>
        </w:rPr>
        <w:t xml:space="preserve">delayed and is </w:t>
      </w:r>
      <w:r w:rsidR="002447DB" w:rsidRPr="00A37336">
        <w:rPr>
          <w:noProof/>
          <w:szCs w:val="24"/>
        </w:rPr>
        <w:t xml:space="preserve">now due </w:t>
      </w:r>
      <w:r w:rsidRPr="00A37336">
        <w:rPr>
          <w:noProof/>
          <w:szCs w:val="24"/>
        </w:rPr>
        <w:t>to take place in the face-to-face se</w:t>
      </w:r>
      <w:r w:rsidR="002447DB" w:rsidRPr="00A37336">
        <w:rPr>
          <w:noProof/>
          <w:szCs w:val="24"/>
        </w:rPr>
        <w:t xml:space="preserve">gment </w:t>
      </w:r>
      <w:r w:rsidRPr="00A37336">
        <w:rPr>
          <w:noProof/>
          <w:szCs w:val="24"/>
        </w:rPr>
        <w:t>of COP1</w:t>
      </w:r>
      <w:r w:rsidR="002447DB" w:rsidRPr="00A37336">
        <w:rPr>
          <w:noProof/>
          <w:szCs w:val="24"/>
        </w:rPr>
        <w:t>0</w:t>
      </w:r>
      <w:r w:rsidRPr="00A37336">
        <w:rPr>
          <w:noProof/>
          <w:szCs w:val="24"/>
        </w:rPr>
        <w:t xml:space="preserve"> </w:t>
      </w:r>
      <w:r w:rsidR="002447DB" w:rsidRPr="00A37336">
        <w:rPr>
          <w:noProof/>
          <w:szCs w:val="24"/>
        </w:rPr>
        <w:t xml:space="preserve">of the Stockholm Convention </w:t>
      </w:r>
      <w:r w:rsidRPr="00A37336">
        <w:rPr>
          <w:noProof/>
          <w:szCs w:val="24"/>
        </w:rPr>
        <w:t xml:space="preserve">planned for </w:t>
      </w:r>
      <w:r w:rsidR="002447DB" w:rsidRPr="00A37336">
        <w:rPr>
          <w:noProof/>
          <w:szCs w:val="24"/>
        </w:rPr>
        <w:t xml:space="preserve">6-17 </w:t>
      </w:r>
      <w:r w:rsidRPr="00A37336">
        <w:rPr>
          <w:noProof/>
          <w:szCs w:val="24"/>
        </w:rPr>
        <w:t>June 2022.</w:t>
      </w:r>
      <w:r w:rsidR="002447DB" w:rsidRPr="00A37336">
        <w:rPr>
          <w:noProof/>
          <w:szCs w:val="24"/>
        </w:rPr>
        <w:t xml:space="preserve"> Given PFHxS is not yet listed under the Convention, its listing under the POPs Regulation is currently not proposed. If such listing under the Convention takes place during the co-decision process its inclusion in the Regulation may be proposed based on the analysis carried out in the impact assessment.</w:t>
      </w:r>
    </w:p>
    <w:p w14:paraId="1AA77B79" w14:textId="77777777" w:rsidR="008D1C10" w:rsidRPr="00B3308E" w:rsidRDefault="008D1C10" w:rsidP="00404EF3">
      <w:pPr>
        <w:autoSpaceDE w:val="0"/>
        <w:autoSpaceDN w:val="0"/>
        <w:adjustRightInd w:val="0"/>
        <w:rPr>
          <w:noProof/>
          <w:szCs w:val="24"/>
        </w:rPr>
      </w:pPr>
    </w:p>
    <w:p w14:paraId="4D78C00D"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Regulatory fitness and simplification</w:t>
      </w:r>
    </w:p>
    <w:p w14:paraId="2C6C91F5" w14:textId="1FA77E32" w:rsidR="002C147D" w:rsidRPr="00B3308E" w:rsidRDefault="002C147D" w:rsidP="002C147D">
      <w:pPr>
        <w:rPr>
          <w:noProof/>
        </w:rPr>
      </w:pPr>
      <w:r w:rsidRPr="00B3308E">
        <w:rPr>
          <w:rFonts w:eastAsia="Times New Roman"/>
          <w:noProof/>
          <w:szCs w:val="24"/>
        </w:rPr>
        <w:t xml:space="preserve">No simplification measures were identified, </w:t>
      </w:r>
      <w:r w:rsidR="0080700C">
        <w:rPr>
          <w:rFonts w:eastAsia="Times New Roman"/>
          <w:noProof/>
          <w:szCs w:val="24"/>
        </w:rPr>
        <w:t>as</w:t>
      </w:r>
      <w:r w:rsidRPr="00B3308E">
        <w:rPr>
          <w:rFonts w:eastAsia="Times New Roman"/>
          <w:noProof/>
          <w:szCs w:val="24"/>
        </w:rPr>
        <w:t xml:space="preserve"> the POPs Regulation has recently gone through a recast exercise.</w:t>
      </w:r>
      <w:r w:rsidRPr="00B3308E">
        <w:rPr>
          <w:noProof/>
        </w:rPr>
        <w:t xml:space="preserve"> T</w:t>
      </w:r>
      <w:r w:rsidRPr="00B3308E">
        <w:rPr>
          <w:rFonts w:eastAsia="Times New Roman"/>
          <w:noProof/>
          <w:szCs w:val="24"/>
        </w:rPr>
        <w:t>he initiative is limited to setting values for specific substances in Annex</w:t>
      </w:r>
      <w:r w:rsidR="00212DDB" w:rsidRPr="00B3308E">
        <w:rPr>
          <w:rFonts w:eastAsia="Times New Roman"/>
          <w:noProof/>
          <w:szCs w:val="24"/>
        </w:rPr>
        <w:t>es</w:t>
      </w:r>
      <w:r w:rsidRPr="00B3308E">
        <w:rPr>
          <w:rFonts w:eastAsia="Times New Roman"/>
          <w:noProof/>
          <w:szCs w:val="24"/>
        </w:rPr>
        <w:t xml:space="preserve"> IV and V </w:t>
      </w:r>
      <w:r w:rsidR="00E23186" w:rsidRPr="00B3308E">
        <w:rPr>
          <w:rFonts w:eastAsia="Times New Roman"/>
          <w:noProof/>
          <w:szCs w:val="24"/>
        </w:rPr>
        <w:t>of the POPs Regul</w:t>
      </w:r>
      <w:r w:rsidR="00993105">
        <w:rPr>
          <w:rFonts w:eastAsia="Times New Roman"/>
          <w:noProof/>
          <w:szCs w:val="24"/>
        </w:rPr>
        <w:t>a</w:t>
      </w:r>
      <w:r w:rsidR="00E23186" w:rsidRPr="00B3308E">
        <w:rPr>
          <w:rFonts w:eastAsia="Times New Roman"/>
          <w:noProof/>
          <w:szCs w:val="24"/>
        </w:rPr>
        <w:t>tion; therefore, the proposal follows a strictly defined legal scope and format</w:t>
      </w:r>
      <w:r w:rsidRPr="00B3308E">
        <w:rPr>
          <w:rFonts w:eastAsia="Times New Roman"/>
          <w:noProof/>
          <w:szCs w:val="24"/>
        </w:rPr>
        <w:t xml:space="preserve">. </w:t>
      </w:r>
    </w:p>
    <w:p w14:paraId="5C2838AC"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Fundamental rights</w:t>
      </w:r>
    </w:p>
    <w:p w14:paraId="5FE00C7A" w14:textId="77851ED9" w:rsidR="0080700C" w:rsidRDefault="002C147D" w:rsidP="002C147D">
      <w:pPr>
        <w:pBdr>
          <w:top w:val="nil"/>
          <w:left w:val="nil"/>
          <w:bottom w:val="nil"/>
          <w:right w:val="nil"/>
          <w:between w:val="nil"/>
          <w:bar w:val="nil"/>
        </w:pBdr>
        <w:spacing w:before="0" w:after="240"/>
        <w:rPr>
          <w:noProof/>
        </w:rPr>
      </w:pPr>
      <w:r w:rsidRPr="00B3308E">
        <w:rPr>
          <w:noProof/>
        </w:rPr>
        <w:t>The unsound management of hazardous substances, particular</w:t>
      </w:r>
      <w:r w:rsidR="00FF5DF1">
        <w:rPr>
          <w:noProof/>
        </w:rPr>
        <w:t>ly</w:t>
      </w:r>
      <w:r w:rsidRPr="00B3308E">
        <w:rPr>
          <w:noProof/>
        </w:rPr>
        <w:t xml:space="preserve"> of </w:t>
      </w:r>
      <w:r w:rsidR="00FE3841" w:rsidRPr="00B3308E">
        <w:rPr>
          <w:noProof/>
        </w:rPr>
        <w:t>POPs</w:t>
      </w:r>
      <w:r w:rsidRPr="00B3308E">
        <w:rPr>
          <w:noProof/>
        </w:rPr>
        <w:t xml:space="preserve">, contributes to overall environmental pollution which may have serious effects on the right to life, the right to the integrity of the person, the right to fair and just working conditions and the right to </w:t>
      </w:r>
      <w:r w:rsidR="005E7A24" w:rsidRPr="00B3308E">
        <w:rPr>
          <w:noProof/>
        </w:rPr>
        <w:t>a healthy environment</w:t>
      </w:r>
      <w:r w:rsidRPr="00B3308E">
        <w:rPr>
          <w:noProof/>
        </w:rPr>
        <w:t xml:space="preserve">. </w:t>
      </w:r>
    </w:p>
    <w:p w14:paraId="0E130211" w14:textId="3BA7FA00" w:rsidR="002C147D" w:rsidRPr="00B3308E" w:rsidRDefault="002C147D" w:rsidP="002C147D">
      <w:pPr>
        <w:pBdr>
          <w:top w:val="nil"/>
          <w:left w:val="nil"/>
          <w:bottom w:val="nil"/>
          <w:right w:val="nil"/>
          <w:between w:val="nil"/>
          <w:bar w:val="nil"/>
        </w:pBdr>
        <w:spacing w:before="0" w:after="240"/>
        <w:rPr>
          <w:rFonts w:eastAsiaTheme="minorEastAsia"/>
          <w:noProof/>
          <w:szCs w:val="24"/>
          <w:lang w:eastAsia="en-GB"/>
        </w:rPr>
      </w:pPr>
      <w:r w:rsidRPr="00B3308E">
        <w:rPr>
          <w:noProof/>
        </w:rPr>
        <w:t xml:space="preserve">The POPs Regulation implements the provisions of the Stockholm Convention and the Protocol in the Union. Bearing in mind Principles 14 and 15 of the </w:t>
      </w:r>
      <w:r w:rsidRPr="00B3308E">
        <w:rPr>
          <w:noProof/>
          <w:lang w:eastAsia="en-GB"/>
        </w:rPr>
        <w:t>Rio Declaration on Environment and Development</w:t>
      </w:r>
      <w:r w:rsidRPr="00B3308E">
        <w:rPr>
          <w:noProof/>
        </w:rPr>
        <w:t xml:space="preserve">, the Regulation provides measures </w:t>
      </w:r>
      <w:r w:rsidRPr="00B3308E">
        <w:rPr>
          <w:rFonts w:eastAsiaTheme="minorEastAsia"/>
          <w:noProof/>
          <w:szCs w:val="24"/>
          <w:lang w:eastAsia="en-GB"/>
        </w:rPr>
        <w:t>to minimise</w:t>
      </w:r>
      <w:r w:rsidR="008928D0">
        <w:rPr>
          <w:rFonts w:eastAsiaTheme="minorEastAsia"/>
          <w:noProof/>
          <w:szCs w:val="24"/>
          <w:lang w:eastAsia="en-GB"/>
        </w:rPr>
        <w:t xml:space="preserve"> –</w:t>
      </w:r>
      <w:r w:rsidRPr="00B3308E">
        <w:rPr>
          <w:rFonts w:eastAsiaTheme="minorEastAsia"/>
          <w:noProof/>
          <w:szCs w:val="24"/>
          <w:lang w:eastAsia="en-GB"/>
        </w:rPr>
        <w:t xml:space="preserve"> </w:t>
      </w:r>
      <w:r w:rsidR="008928D0">
        <w:rPr>
          <w:rFonts w:eastAsiaTheme="minorEastAsia"/>
          <w:noProof/>
          <w:szCs w:val="24"/>
          <w:lang w:eastAsia="en-GB"/>
        </w:rPr>
        <w:t xml:space="preserve">and </w:t>
      </w:r>
      <w:r w:rsidRPr="00B3308E">
        <w:rPr>
          <w:rFonts w:eastAsiaTheme="minorEastAsia"/>
          <w:noProof/>
          <w:szCs w:val="24"/>
          <w:lang w:eastAsia="en-GB"/>
        </w:rPr>
        <w:t>with a view to eliminating</w:t>
      </w:r>
      <w:r w:rsidR="008928D0">
        <w:rPr>
          <w:rFonts w:eastAsiaTheme="minorEastAsia"/>
          <w:noProof/>
          <w:szCs w:val="24"/>
          <w:lang w:eastAsia="en-GB"/>
        </w:rPr>
        <w:t>,</w:t>
      </w:r>
      <w:r w:rsidRPr="00B3308E">
        <w:rPr>
          <w:rFonts w:eastAsiaTheme="minorEastAsia"/>
          <w:noProof/>
          <w:szCs w:val="24"/>
          <w:lang w:eastAsia="en-GB"/>
        </w:rPr>
        <w:t xml:space="preserve"> where feasible</w:t>
      </w:r>
      <w:r w:rsidR="008928D0">
        <w:rPr>
          <w:rFonts w:eastAsiaTheme="minorEastAsia"/>
          <w:noProof/>
          <w:szCs w:val="24"/>
          <w:lang w:eastAsia="en-GB"/>
        </w:rPr>
        <w:t>,</w:t>
      </w:r>
      <w:r w:rsidRPr="00B3308E">
        <w:rPr>
          <w:rFonts w:eastAsiaTheme="minorEastAsia"/>
          <w:noProof/>
          <w:szCs w:val="24"/>
          <w:lang w:eastAsia="en-GB"/>
        </w:rPr>
        <w:t xml:space="preserve"> as soon as possible</w:t>
      </w:r>
      <w:r w:rsidR="008928D0">
        <w:rPr>
          <w:rFonts w:eastAsiaTheme="minorEastAsia"/>
          <w:noProof/>
          <w:szCs w:val="24"/>
          <w:lang w:eastAsia="en-GB"/>
        </w:rPr>
        <w:t xml:space="preserve"> –</w:t>
      </w:r>
      <w:r w:rsidRPr="00B3308E">
        <w:rPr>
          <w:rFonts w:eastAsiaTheme="minorEastAsia"/>
          <w:noProof/>
          <w:szCs w:val="24"/>
          <w:lang w:eastAsia="en-GB"/>
        </w:rPr>
        <w:t xml:space="preserve"> releases of POPs</w:t>
      </w:r>
      <w:r w:rsidR="008928D0">
        <w:rPr>
          <w:rFonts w:eastAsiaTheme="minorEastAsia"/>
          <w:noProof/>
          <w:szCs w:val="24"/>
          <w:lang w:eastAsia="en-GB"/>
        </w:rPr>
        <w:t>. It also</w:t>
      </w:r>
      <w:r w:rsidRPr="00B3308E">
        <w:rPr>
          <w:rFonts w:eastAsiaTheme="minorEastAsia"/>
          <w:noProof/>
          <w:szCs w:val="24"/>
          <w:lang w:eastAsia="en-GB"/>
        </w:rPr>
        <w:t xml:space="preserve"> establishes provisions </w:t>
      </w:r>
      <w:r w:rsidR="008928D0">
        <w:rPr>
          <w:rFonts w:eastAsiaTheme="minorEastAsia"/>
          <w:noProof/>
          <w:szCs w:val="24"/>
          <w:lang w:eastAsia="en-GB"/>
        </w:rPr>
        <w:t>on</w:t>
      </w:r>
      <w:r w:rsidRPr="00B3308E">
        <w:rPr>
          <w:rFonts w:eastAsiaTheme="minorEastAsia"/>
          <w:noProof/>
          <w:szCs w:val="24"/>
          <w:lang w:eastAsia="en-GB"/>
        </w:rPr>
        <w:t xml:space="preserve"> waste consisting of, containing or contaminated by any of those substances.</w:t>
      </w:r>
    </w:p>
    <w:p w14:paraId="0A430904" w14:textId="2B28FC89" w:rsidR="002C147D" w:rsidRPr="00B3308E" w:rsidRDefault="002C147D" w:rsidP="002C147D">
      <w:pPr>
        <w:pBdr>
          <w:top w:val="nil"/>
          <w:left w:val="nil"/>
          <w:bottom w:val="nil"/>
          <w:right w:val="nil"/>
          <w:between w:val="nil"/>
          <w:bar w:val="nil"/>
        </w:pBdr>
        <w:spacing w:before="0" w:after="240"/>
        <w:rPr>
          <w:rFonts w:eastAsia="Arial Unicode MS"/>
          <w:noProof/>
        </w:rPr>
      </w:pPr>
      <w:r w:rsidRPr="00B3308E">
        <w:rPr>
          <w:rFonts w:eastAsiaTheme="minorEastAsia"/>
          <w:noProof/>
          <w:szCs w:val="24"/>
          <w:lang w:eastAsia="en-GB"/>
        </w:rPr>
        <w:t xml:space="preserve">The proposal amends Annexes IV and V of the POPs </w:t>
      </w:r>
      <w:r w:rsidRPr="00B3308E">
        <w:rPr>
          <w:noProof/>
        </w:rPr>
        <w:t>Regulation, enabling the Union to  adher</w:t>
      </w:r>
      <w:r w:rsidR="00AE2F80" w:rsidRPr="00B3308E">
        <w:rPr>
          <w:noProof/>
        </w:rPr>
        <w:t>e</w:t>
      </w:r>
      <w:r w:rsidRPr="00B3308E">
        <w:rPr>
          <w:noProof/>
        </w:rPr>
        <w:t xml:space="preserve"> to its commitments, </w:t>
      </w:r>
      <w:r w:rsidR="008928D0">
        <w:rPr>
          <w:noProof/>
        </w:rPr>
        <w:t>for</w:t>
      </w:r>
      <w:r w:rsidRPr="00B3308E">
        <w:rPr>
          <w:noProof/>
        </w:rPr>
        <w:t xml:space="preserve"> the substances </w:t>
      </w:r>
      <w:r w:rsidR="00FF5DF1">
        <w:rPr>
          <w:noProof/>
        </w:rPr>
        <w:t>with</w:t>
      </w:r>
      <w:r w:rsidRPr="00B3308E">
        <w:rPr>
          <w:noProof/>
        </w:rPr>
        <w:t xml:space="preserve">in </w:t>
      </w:r>
      <w:r w:rsidR="00FF5DF1">
        <w:rPr>
          <w:noProof/>
        </w:rPr>
        <w:t xml:space="preserve">the </w:t>
      </w:r>
      <w:r w:rsidRPr="00B3308E">
        <w:rPr>
          <w:noProof/>
        </w:rPr>
        <w:t xml:space="preserve">scope of the proposal, made by the Union under the </w:t>
      </w:r>
      <w:r w:rsidR="00FE3841" w:rsidRPr="00B3308E">
        <w:rPr>
          <w:noProof/>
        </w:rPr>
        <w:t xml:space="preserve">Stockholm </w:t>
      </w:r>
      <w:r w:rsidRPr="00B3308E">
        <w:rPr>
          <w:noProof/>
        </w:rPr>
        <w:t xml:space="preserve">Convention and </w:t>
      </w:r>
      <w:r w:rsidR="00FE3841" w:rsidRPr="00B3308E">
        <w:rPr>
          <w:noProof/>
        </w:rPr>
        <w:t xml:space="preserve">the </w:t>
      </w:r>
      <w:r w:rsidRPr="00B3308E">
        <w:rPr>
          <w:noProof/>
        </w:rPr>
        <w:t>Protocol.</w:t>
      </w:r>
    </w:p>
    <w:p w14:paraId="48BD92D4" w14:textId="77777777" w:rsidR="007D09E1" w:rsidRPr="00B3308E" w:rsidRDefault="007D09E1" w:rsidP="00194FA1">
      <w:pPr>
        <w:pStyle w:val="ManualHeading1"/>
        <w:rPr>
          <w:noProof/>
        </w:rPr>
      </w:pPr>
      <w:r w:rsidRPr="00B3308E">
        <w:rPr>
          <w:noProof/>
        </w:rPr>
        <w:t>4.</w:t>
      </w:r>
      <w:r w:rsidRPr="00B3308E">
        <w:rPr>
          <w:noProof/>
        </w:rPr>
        <w:tab/>
        <w:t>BUDGETARY IMPLICATIONS</w:t>
      </w:r>
    </w:p>
    <w:p w14:paraId="2BB6A795" w14:textId="77777777" w:rsidR="001652DA" w:rsidRPr="00B3308E" w:rsidRDefault="001652DA" w:rsidP="001652DA">
      <w:pPr>
        <w:rPr>
          <w:noProof/>
        </w:rPr>
      </w:pPr>
      <w:r w:rsidRPr="00B3308E">
        <w:rPr>
          <w:noProof/>
        </w:rPr>
        <w:t xml:space="preserve">The proposed measure </w:t>
      </w:r>
      <w:r w:rsidR="00FE3841" w:rsidRPr="00B3308E">
        <w:rPr>
          <w:noProof/>
        </w:rPr>
        <w:t>does not envisage</w:t>
      </w:r>
      <w:r w:rsidRPr="00B3308E">
        <w:rPr>
          <w:noProof/>
        </w:rPr>
        <w:t xml:space="preserve"> budgetary consequences for the European Commission. Consequently, </w:t>
      </w:r>
      <w:r w:rsidRPr="00B3308E">
        <w:rPr>
          <w:b/>
          <w:noProof/>
        </w:rPr>
        <w:t>a legislative financial statement is not provided</w:t>
      </w:r>
      <w:r w:rsidRPr="00B3308E">
        <w:rPr>
          <w:noProof/>
        </w:rPr>
        <w:t xml:space="preserve">. </w:t>
      </w:r>
    </w:p>
    <w:p w14:paraId="1947CD6F" w14:textId="77777777" w:rsidR="007D09E1" w:rsidRPr="00B3308E" w:rsidRDefault="007D09E1" w:rsidP="00194FA1">
      <w:pPr>
        <w:pStyle w:val="ManualHeading1"/>
        <w:rPr>
          <w:noProof/>
        </w:rPr>
      </w:pPr>
      <w:r w:rsidRPr="00B3308E">
        <w:rPr>
          <w:noProof/>
        </w:rPr>
        <w:t>5.</w:t>
      </w:r>
      <w:r w:rsidRPr="00B3308E">
        <w:rPr>
          <w:noProof/>
        </w:rPr>
        <w:tab/>
        <w:t>OTHER ELEMENTS</w:t>
      </w:r>
    </w:p>
    <w:p w14:paraId="72A0C7AE"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Implementation plans and monitoring, evaluation and reporting arrangements</w:t>
      </w:r>
    </w:p>
    <w:p w14:paraId="1D194C6F" w14:textId="27668BB9" w:rsidR="00F30847" w:rsidRPr="00B3308E" w:rsidRDefault="00F30847" w:rsidP="00F30847">
      <w:pPr>
        <w:rPr>
          <w:rFonts w:eastAsia="Times New Roman"/>
          <w:noProof/>
          <w:szCs w:val="24"/>
        </w:rPr>
      </w:pPr>
      <w:r w:rsidRPr="00B3308E">
        <w:rPr>
          <w:rFonts w:eastAsia="Times New Roman"/>
          <w:noProof/>
          <w:szCs w:val="24"/>
        </w:rPr>
        <w:t>Monitoring of the impact and effectiveness of the POPs Regulation, including its provisions regard</w:t>
      </w:r>
      <w:r w:rsidR="00FF5DF1">
        <w:rPr>
          <w:rFonts w:eastAsia="Times New Roman"/>
          <w:noProof/>
          <w:szCs w:val="24"/>
        </w:rPr>
        <w:t>ing</w:t>
      </w:r>
      <w:r w:rsidRPr="00B3308E">
        <w:rPr>
          <w:rFonts w:eastAsia="Times New Roman"/>
          <w:noProof/>
          <w:szCs w:val="24"/>
        </w:rPr>
        <w:t xml:space="preserve"> waste, is an existing obligation under the Regulation</w:t>
      </w:r>
      <w:r w:rsidR="008928D0">
        <w:rPr>
          <w:rFonts w:eastAsia="Times New Roman"/>
          <w:noProof/>
          <w:szCs w:val="24"/>
        </w:rPr>
        <w:t>;</w:t>
      </w:r>
      <w:r w:rsidRPr="00B3308E">
        <w:rPr>
          <w:rFonts w:eastAsia="Times New Roman"/>
          <w:noProof/>
          <w:szCs w:val="24"/>
        </w:rPr>
        <w:t xml:space="preserve"> consequently, no additional measures or mechanisms are envisaged in this proposal. Synthesis reports prepared by the Commission, based on Member State</w:t>
      </w:r>
      <w:r w:rsidR="00FF5DF1">
        <w:rPr>
          <w:rFonts w:eastAsia="Times New Roman"/>
          <w:noProof/>
          <w:szCs w:val="24"/>
        </w:rPr>
        <w:t>s’</w:t>
      </w:r>
      <w:r w:rsidRPr="00B3308E">
        <w:rPr>
          <w:rFonts w:eastAsia="Times New Roman"/>
          <w:noProof/>
          <w:szCs w:val="24"/>
        </w:rPr>
        <w:t xml:space="preserve"> reporting on the implementation of the POP Regulation</w:t>
      </w:r>
      <w:r w:rsidR="008928D0">
        <w:rPr>
          <w:rFonts w:eastAsia="Times New Roman"/>
          <w:noProof/>
          <w:szCs w:val="24"/>
        </w:rPr>
        <w:t>,</w:t>
      </w:r>
      <w:r w:rsidRPr="00B3308E">
        <w:rPr>
          <w:rFonts w:eastAsia="Times New Roman"/>
          <w:noProof/>
          <w:szCs w:val="24"/>
        </w:rPr>
        <w:t xml:space="preserve"> are published regularly</w:t>
      </w:r>
      <w:r w:rsidR="00F6470F" w:rsidRPr="00B3308E">
        <w:rPr>
          <w:rStyle w:val="FootnoteReference"/>
          <w:rFonts w:eastAsia="Times New Roman"/>
          <w:noProof/>
          <w:szCs w:val="24"/>
        </w:rPr>
        <w:footnoteReference w:id="18"/>
      </w:r>
      <w:r w:rsidRPr="00B3308E">
        <w:rPr>
          <w:rFonts w:eastAsia="Times New Roman"/>
          <w:noProof/>
          <w:szCs w:val="24"/>
        </w:rPr>
        <w:t xml:space="preserve">. </w:t>
      </w:r>
    </w:p>
    <w:p w14:paraId="6E95F94A"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Explanatory documents</w:t>
      </w:r>
    </w:p>
    <w:p w14:paraId="0A898A37" w14:textId="77777777" w:rsidR="0025444C" w:rsidRPr="00B3308E" w:rsidRDefault="0025444C" w:rsidP="0025444C">
      <w:pPr>
        <w:pBdr>
          <w:top w:val="nil"/>
          <w:left w:val="nil"/>
          <w:bottom w:val="nil"/>
          <w:right w:val="nil"/>
          <w:between w:val="nil"/>
          <w:bar w:val="nil"/>
        </w:pBdr>
        <w:rPr>
          <w:noProof/>
        </w:rPr>
      </w:pPr>
      <w:r w:rsidRPr="00B3308E">
        <w:rPr>
          <w:noProof/>
        </w:rPr>
        <w:t>As the legal instrument</w:t>
      </w:r>
      <w:r w:rsidR="00AE2F80" w:rsidRPr="00B3308E">
        <w:rPr>
          <w:noProof/>
        </w:rPr>
        <w:t xml:space="preserve"> proposed</w:t>
      </w:r>
      <w:r w:rsidRPr="00B3308E">
        <w:rPr>
          <w:noProof/>
        </w:rPr>
        <w:t xml:space="preserve"> is a Regulation</w:t>
      </w:r>
      <w:r w:rsidR="00AE2F80" w:rsidRPr="00B3308E">
        <w:rPr>
          <w:noProof/>
        </w:rPr>
        <w:t>,</w:t>
      </w:r>
      <w:r w:rsidRPr="00B3308E">
        <w:rPr>
          <w:noProof/>
        </w:rPr>
        <w:t xml:space="preserve"> which is directly applicable in the Member States, an explanatory document</w:t>
      </w:r>
      <w:r w:rsidR="00FE3841" w:rsidRPr="00B3308E">
        <w:rPr>
          <w:noProof/>
        </w:rPr>
        <w:t xml:space="preserve"> is not required</w:t>
      </w:r>
      <w:r w:rsidRPr="00B3308E">
        <w:rPr>
          <w:noProof/>
        </w:rPr>
        <w:t>.</w:t>
      </w:r>
    </w:p>
    <w:p w14:paraId="59881D0C" w14:textId="77777777" w:rsidR="007D09E1" w:rsidRPr="00B3308E" w:rsidRDefault="007D09E1" w:rsidP="00194FA1">
      <w:pPr>
        <w:pStyle w:val="ManualHeading2"/>
        <w:rPr>
          <w:rFonts w:eastAsia="Arial Unicode MS"/>
          <w:noProof/>
          <w:u w:color="000000"/>
          <w:bdr w:val="nil"/>
          <w:lang w:eastAsia="en-GB"/>
        </w:rPr>
      </w:pPr>
      <w:r w:rsidRPr="00B3308E">
        <w:rPr>
          <w:rFonts w:eastAsia="Arial Unicode MS"/>
          <w:noProof/>
          <w:u w:color="000000"/>
          <w:bdr w:val="nil"/>
          <w:lang w:eastAsia="en-GB"/>
        </w:rPr>
        <w:t>•</w:t>
      </w:r>
      <w:r w:rsidRPr="00B3308E">
        <w:rPr>
          <w:rFonts w:eastAsia="Arial Unicode MS"/>
          <w:noProof/>
          <w:u w:color="000000"/>
          <w:bdr w:val="nil"/>
          <w:lang w:eastAsia="en-GB"/>
        </w:rPr>
        <w:tab/>
        <w:t>Detailed explanation of the specific provisions of the proposal</w:t>
      </w:r>
    </w:p>
    <w:p w14:paraId="55CF309F" w14:textId="77777777" w:rsidR="0025444C" w:rsidRPr="00B3308E" w:rsidRDefault="0025444C" w:rsidP="0025444C">
      <w:pPr>
        <w:pBdr>
          <w:top w:val="nil"/>
          <w:left w:val="nil"/>
          <w:bottom w:val="nil"/>
          <w:right w:val="nil"/>
          <w:between w:val="nil"/>
          <w:bar w:val="nil"/>
        </w:pBdr>
        <w:ind w:left="284" w:firstLine="11"/>
        <w:rPr>
          <w:rFonts w:eastAsia="Arial Unicode MS"/>
          <w:noProof/>
          <w:color w:val="000000"/>
          <w:szCs w:val="24"/>
          <w:u w:color="000000"/>
          <w:bdr w:val="nil"/>
          <w:lang w:eastAsia="en-GB"/>
        </w:rPr>
      </w:pPr>
      <w:r w:rsidRPr="00B3308E">
        <w:rPr>
          <w:rFonts w:eastAsia="Arial Unicode MS"/>
          <w:b/>
          <w:noProof/>
          <w:color w:val="000000"/>
          <w:szCs w:val="24"/>
          <w:u w:color="000000"/>
          <w:bdr w:val="nil"/>
          <w:lang w:eastAsia="en-GB"/>
        </w:rPr>
        <w:t>Article 1</w:t>
      </w:r>
      <w:r w:rsidR="00F30847" w:rsidRPr="00B3308E">
        <w:rPr>
          <w:rFonts w:eastAsia="Arial Unicode MS"/>
          <w:noProof/>
          <w:color w:val="000000"/>
          <w:szCs w:val="24"/>
          <w:u w:color="000000"/>
          <w:bdr w:val="nil"/>
          <w:lang w:eastAsia="en-GB"/>
        </w:rPr>
        <w:t xml:space="preserve"> provides for the amendment of Annexes </w:t>
      </w:r>
      <w:r w:rsidR="00147F06" w:rsidRPr="00B3308E">
        <w:rPr>
          <w:rFonts w:eastAsia="Arial Unicode MS"/>
          <w:noProof/>
          <w:color w:val="000000"/>
          <w:szCs w:val="24"/>
          <w:u w:color="000000"/>
          <w:bdr w:val="nil"/>
          <w:lang w:eastAsia="en-GB"/>
        </w:rPr>
        <w:t>I</w:t>
      </w:r>
      <w:r w:rsidR="00F30847" w:rsidRPr="00B3308E">
        <w:rPr>
          <w:rFonts w:eastAsia="Arial Unicode MS"/>
          <w:noProof/>
          <w:color w:val="000000"/>
          <w:szCs w:val="24"/>
          <w:u w:color="000000"/>
          <w:bdr w:val="nil"/>
          <w:lang w:eastAsia="en-GB"/>
        </w:rPr>
        <w:t xml:space="preserve">V and V </w:t>
      </w:r>
      <w:r w:rsidR="00F30847" w:rsidRPr="00B3308E">
        <w:rPr>
          <w:noProof/>
        </w:rPr>
        <w:t>to Regulation (EU) 2019/1021</w:t>
      </w:r>
      <w:r w:rsidR="00FE3841" w:rsidRPr="00B3308E">
        <w:rPr>
          <w:noProof/>
        </w:rPr>
        <w:t>.</w:t>
      </w:r>
    </w:p>
    <w:p w14:paraId="088926BF" w14:textId="77777777" w:rsidR="0025444C" w:rsidRPr="00B3308E" w:rsidRDefault="0025444C" w:rsidP="0025444C">
      <w:pPr>
        <w:pBdr>
          <w:top w:val="nil"/>
          <w:left w:val="nil"/>
          <w:bottom w:val="nil"/>
          <w:right w:val="nil"/>
          <w:between w:val="nil"/>
          <w:bar w:val="nil"/>
        </w:pBdr>
        <w:ind w:left="284" w:firstLine="11"/>
        <w:rPr>
          <w:rFonts w:eastAsia="Arial Unicode MS"/>
          <w:noProof/>
          <w:color w:val="000000"/>
          <w:szCs w:val="24"/>
          <w:u w:color="000000"/>
          <w:bdr w:val="nil"/>
          <w:lang w:eastAsia="en-GB"/>
        </w:rPr>
      </w:pPr>
      <w:r w:rsidRPr="00B3308E">
        <w:rPr>
          <w:rFonts w:eastAsia="Arial Unicode MS"/>
          <w:b/>
          <w:noProof/>
          <w:color w:val="000000"/>
          <w:szCs w:val="24"/>
          <w:u w:color="000000"/>
          <w:bdr w:val="nil"/>
          <w:lang w:eastAsia="en-GB"/>
        </w:rPr>
        <w:t>Article 2</w:t>
      </w:r>
      <w:r w:rsidR="00F30847" w:rsidRPr="00B3308E">
        <w:rPr>
          <w:rFonts w:eastAsia="Arial Unicode MS"/>
          <w:noProof/>
          <w:color w:val="000000"/>
          <w:szCs w:val="24"/>
          <w:u w:color="000000"/>
          <w:bdr w:val="nil"/>
          <w:lang w:eastAsia="en-GB"/>
        </w:rPr>
        <w:t xml:space="preserve"> contains provisi</w:t>
      </w:r>
      <w:r w:rsidR="00147F06" w:rsidRPr="00B3308E">
        <w:rPr>
          <w:rFonts w:eastAsia="Arial Unicode MS"/>
          <w:noProof/>
          <w:color w:val="000000"/>
          <w:szCs w:val="24"/>
          <w:u w:color="000000"/>
          <w:bdr w:val="nil"/>
          <w:lang w:eastAsia="en-GB"/>
        </w:rPr>
        <w:t>ons</w:t>
      </w:r>
      <w:r w:rsidR="00F30847" w:rsidRPr="00B3308E">
        <w:rPr>
          <w:rFonts w:eastAsia="Arial Unicode MS"/>
          <w:noProof/>
          <w:color w:val="000000"/>
          <w:szCs w:val="24"/>
          <w:u w:color="000000"/>
          <w:bdr w:val="nil"/>
          <w:lang w:eastAsia="en-GB"/>
        </w:rPr>
        <w:t xml:space="preserve"> regarding the entry into force of the measure.</w:t>
      </w:r>
    </w:p>
    <w:p w14:paraId="10A01ED8" w14:textId="77777777" w:rsidR="007D09E1" w:rsidRPr="00B3308E" w:rsidRDefault="009D77FC" w:rsidP="009D77FC">
      <w:pPr>
        <w:pBdr>
          <w:top w:val="nil"/>
          <w:left w:val="nil"/>
          <w:bottom w:val="nil"/>
          <w:right w:val="nil"/>
          <w:between w:val="nil"/>
          <w:bar w:val="nil"/>
        </w:pBdr>
        <w:ind w:left="284" w:firstLine="11"/>
        <w:rPr>
          <w:rFonts w:eastAsia="Arial Unicode MS"/>
          <w:noProof/>
          <w:color w:val="000000"/>
          <w:szCs w:val="24"/>
          <w:u w:color="000000"/>
          <w:bdr w:val="nil"/>
          <w:lang w:eastAsia="en-GB"/>
        </w:rPr>
        <w:sectPr w:rsidR="007D09E1" w:rsidRPr="00B3308E" w:rsidSect="005E4779">
          <w:footerReference w:type="default" r:id="rId10"/>
          <w:footerReference w:type="first" r:id="rId11"/>
          <w:pgSz w:w="11907" w:h="16839"/>
          <w:pgMar w:top="1134" w:right="1417" w:bottom="1134" w:left="1417" w:header="709" w:footer="709" w:gutter="0"/>
          <w:cols w:space="708"/>
          <w:docGrid w:linePitch="360"/>
        </w:sectPr>
      </w:pPr>
      <w:r w:rsidRPr="00B3308E">
        <w:rPr>
          <w:rFonts w:eastAsia="Arial Unicode MS"/>
          <w:b/>
          <w:noProof/>
          <w:color w:val="000000"/>
          <w:szCs w:val="24"/>
          <w:u w:color="000000"/>
          <w:bdr w:val="nil"/>
          <w:lang w:eastAsia="en-GB"/>
        </w:rPr>
        <w:t xml:space="preserve">Annex </w:t>
      </w:r>
      <w:r w:rsidRPr="00B3308E">
        <w:rPr>
          <w:rFonts w:eastAsia="Arial Unicode MS"/>
          <w:noProof/>
          <w:color w:val="000000"/>
          <w:szCs w:val="24"/>
          <w:u w:color="000000"/>
          <w:bdr w:val="nil"/>
          <w:lang w:eastAsia="en-GB"/>
        </w:rPr>
        <w:t xml:space="preserve">contains specific provisions amending Annexes IV and V </w:t>
      </w:r>
      <w:r w:rsidRPr="00B3308E">
        <w:rPr>
          <w:noProof/>
        </w:rPr>
        <w:t>to Regulation (EU) 2019/1021.</w:t>
      </w:r>
    </w:p>
    <w:p w14:paraId="206D5704" w14:textId="5858F169" w:rsidR="003B5BF8" w:rsidRDefault="003B5BF8" w:rsidP="003B5BF8">
      <w:pPr>
        <w:pStyle w:val="Rfrenceinterinstitutionnelle"/>
        <w:rPr>
          <w:noProof/>
        </w:rPr>
      </w:pPr>
      <w:r w:rsidRPr="003B5BF8">
        <w:t>2021/0340 (COD)</w:t>
      </w:r>
    </w:p>
    <w:p w14:paraId="69CBF372" w14:textId="70EF1E61" w:rsidR="007D09E1" w:rsidRPr="00B3308E" w:rsidRDefault="002E68D8" w:rsidP="002E68D8">
      <w:pPr>
        <w:pStyle w:val="Statut"/>
        <w:rPr>
          <w:noProof/>
        </w:rPr>
      </w:pPr>
      <w:r w:rsidRPr="002E68D8">
        <w:rPr>
          <w:noProof/>
        </w:rPr>
        <w:t>Proposal for a</w:t>
      </w:r>
    </w:p>
    <w:p w14:paraId="50475858" w14:textId="2C0D7D5D" w:rsidR="007D09E1" w:rsidRPr="00B3308E" w:rsidRDefault="002E68D8" w:rsidP="002E68D8">
      <w:pPr>
        <w:pStyle w:val="Typedudocument"/>
        <w:rPr>
          <w:noProof/>
        </w:rPr>
      </w:pPr>
      <w:r w:rsidRPr="002E68D8">
        <w:rPr>
          <w:noProof/>
        </w:rPr>
        <w:t>REGULATION OF THE EUROPEAN PARLIAMENT AND OF THE COUNCIL</w:t>
      </w:r>
    </w:p>
    <w:p w14:paraId="5C151271" w14:textId="3A76B9BE" w:rsidR="00355AFA" w:rsidRPr="00B3308E" w:rsidRDefault="002E68D8" w:rsidP="002E68D8">
      <w:pPr>
        <w:pStyle w:val="Titreobjet"/>
        <w:rPr>
          <w:noProof/>
        </w:rPr>
      </w:pPr>
      <w:r w:rsidRPr="002E68D8">
        <w:rPr>
          <w:noProof/>
        </w:rPr>
        <w:t>amending Annexes IV and V to Regulation (EU) 2019/1021 of the European Parliament and of the Council on persistent organic pollutants</w:t>
      </w:r>
    </w:p>
    <w:p w14:paraId="2F715729" w14:textId="2E478095" w:rsidR="00322390" w:rsidRPr="00B3308E" w:rsidRDefault="002E68D8" w:rsidP="002E68D8">
      <w:pPr>
        <w:pStyle w:val="IntrtEEE"/>
        <w:rPr>
          <w:noProof/>
        </w:rPr>
      </w:pPr>
      <w:r w:rsidRPr="002E68D8">
        <w:rPr>
          <w:noProof/>
        </w:rPr>
        <w:t>(Text with EEA relevance)</w:t>
      </w:r>
    </w:p>
    <w:p w14:paraId="2A299F21" w14:textId="77777777" w:rsidR="00194FA1" w:rsidRPr="00B3308E" w:rsidRDefault="00194FA1" w:rsidP="00F6470F">
      <w:pPr>
        <w:pStyle w:val="Institutionquiagit"/>
        <w:rPr>
          <w:noProof/>
        </w:rPr>
      </w:pPr>
      <w:r w:rsidRPr="00B3308E">
        <w:rPr>
          <w:noProof/>
        </w:rPr>
        <w:t>THE EUROPEAN PARLIAMENT AND THE COUNCIL OF THE EUROPEAN UNION,</w:t>
      </w:r>
    </w:p>
    <w:p w14:paraId="19CA89A9" w14:textId="7F47F909" w:rsidR="00194FA1" w:rsidRPr="00B3308E" w:rsidRDefault="00194FA1" w:rsidP="00194FA1">
      <w:pPr>
        <w:rPr>
          <w:noProof/>
        </w:rPr>
      </w:pPr>
      <w:r w:rsidRPr="00B3308E">
        <w:rPr>
          <w:noProof/>
        </w:rPr>
        <w:t xml:space="preserve">Having regard to the Treaty on the Functioning of the European Union, and in particular Article </w:t>
      </w:r>
      <w:r w:rsidR="00D032E5" w:rsidRPr="00B3308E">
        <w:rPr>
          <w:noProof/>
        </w:rPr>
        <w:t>192</w:t>
      </w:r>
      <w:r w:rsidR="00D8013C">
        <w:rPr>
          <w:noProof/>
        </w:rPr>
        <w:t>(1)</w:t>
      </w:r>
      <w:r w:rsidRPr="00B3308E">
        <w:rPr>
          <w:noProof/>
        </w:rPr>
        <w:t xml:space="preserve"> thereof,</w:t>
      </w:r>
    </w:p>
    <w:p w14:paraId="0A0FD59D" w14:textId="77777777" w:rsidR="00194FA1" w:rsidRPr="00B3308E" w:rsidRDefault="00194FA1" w:rsidP="00194FA1">
      <w:pPr>
        <w:rPr>
          <w:noProof/>
        </w:rPr>
      </w:pPr>
      <w:r w:rsidRPr="00B3308E">
        <w:rPr>
          <w:noProof/>
        </w:rPr>
        <w:t>Having regard to the proposal from the European Commission,</w:t>
      </w:r>
    </w:p>
    <w:p w14:paraId="1C82AAE0" w14:textId="77777777" w:rsidR="00194FA1" w:rsidRPr="00B3308E" w:rsidRDefault="00194FA1" w:rsidP="00194FA1">
      <w:pPr>
        <w:rPr>
          <w:noProof/>
        </w:rPr>
      </w:pPr>
      <w:r w:rsidRPr="00B3308E">
        <w:rPr>
          <w:noProof/>
        </w:rPr>
        <w:t>After transmission of the draft legislative act to the national parliaments,</w:t>
      </w:r>
    </w:p>
    <w:p w14:paraId="5BE207C0" w14:textId="77777777" w:rsidR="00194FA1" w:rsidRPr="00B3308E" w:rsidRDefault="00194FA1" w:rsidP="00194FA1">
      <w:pPr>
        <w:rPr>
          <w:noProof/>
        </w:rPr>
      </w:pPr>
      <w:r w:rsidRPr="00B3308E">
        <w:rPr>
          <w:noProof/>
        </w:rPr>
        <w:t>Having regard to the opinion of the European Economic and Social Committee</w:t>
      </w:r>
      <w:r w:rsidRPr="00B3308E">
        <w:rPr>
          <w:rStyle w:val="FootnoteReference"/>
          <w:noProof/>
        </w:rPr>
        <w:footnoteReference w:id="19"/>
      </w:r>
      <w:r w:rsidRPr="00B3308E">
        <w:rPr>
          <w:noProof/>
        </w:rPr>
        <w:t xml:space="preserve">, </w:t>
      </w:r>
    </w:p>
    <w:p w14:paraId="09502952" w14:textId="77777777" w:rsidR="00194FA1" w:rsidRPr="00B3308E" w:rsidRDefault="00194FA1" w:rsidP="00194FA1">
      <w:pPr>
        <w:rPr>
          <w:noProof/>
        </w:rPr>
      </w:pPr>
      <w:r w:rsidRPr="00B3308E">
        <w:rPr>
          <w:noProof/>
        </w:rPr>
        <w:t>Having regard to the opinion of the Committee of the Regions</w:t>
      </w:r>
      <w:r w:rsidRPr="00B3308E">
        <w:rPr>
          <w:rStyle w:val="FootnoteReference"/>
          <w:noProof/>
        </w:rPr>
        <w:footnoteReference w:id="20"/>
      </w:r>
      <w:r w:rsidRPr="00B3308E">
        <w:rPr>
          <w:noProof/>
        </w:rPr>
        <w:t xml:space="preserve">, </w:t>
      </w:r>
    </w:p>
    <w:p w14:paraId="634DD6B9" w14:textId="77777777" w:rsidR="00194FA1" w:rsidRPr="00B3308E" w:rsidRDefault="00194FA1" w:rsidP="00194FA1">
      <w:pPr>
        <w:rPr>
          <w:noProof/>
        </w:rPr>
      </w:pPr>
      <w:r w:rsidRPr="00B3308E">
        <w:rPr>
          <w:noProof/>
        </w:rPr>
        <w:t>Acting in accordance with the ordinary legislative procedure,</w:t>
      </w:r>
    </w:p>
    <w:p w14:paraId="3C33704B" w14:textId="77777777" w:rsidR="00194FA1" w:rsidRPr="00B3308E" w:rsidRDefault="00194FA1" w:rsidP="00194FA1">
      <w:pPr>
        <w:rPr>
          <w:noProof/>
        </w:rPr>
      </w:pPr>
      <w:r w:rsidRPr="00B3308E">
        <w:rPr>
          <w:noProof/>
        </w:rPr>
        <w:t>Whereas:</w:t>
      </w:r>
    </w:p>
    <w:p w14:paraId="1C67B51B" w14:textId="2C073DE7" w:rsidR="00322390" w:rsidRPr="00B3308E" w:rsidRDefault="00254873" w:rsidP="00254873">
      <w:pPr>
        <w:pStyle w:val="ManualConsidrant"/>
        <w:rPr>
          <w:noProof/>
        </w:rPr>
      </w:pPr>
      <w:r w:rsidRPr="00254873">
        <w:t>(1)</w:t>
      </w:r>
      <w:r w:rsidRPr="00254873">
        <w:tab/>
      </w:r>
      <w:r w:rsidR="00322390" w:rsidRPr="00B3308E">
        <w:rPr>
          <w:noProof/>
          <w:lang w:eastAsia="en-GB"/>
        </w:rPr>
        <w:t xml:space="preserve">Regulation (EU) 2019/1021 </w:t>
      </w:r>
      <w:r w:rsidR="00BF6DB9" w:rsidRPr="00B3308E">
        <w:rPr>
          <w:noProof/>
        </w:rPr>
        <w:t>of the European Parliament and of the Council</w:t>
      </w:r>
      <w:r w:rsidR="00BF6DB9" w:rsidRPr="00B3308E">
        <w:rPr>
          <w:rStyle w:val="FootnoteReference"/>
          <w:noProof/>
        </w:rPr>
        <w:footnoteReference w:id="21"/>
      </w:r>
      <w:r w:rsidR="00BF6DB9" w:rsidRPr="00B3308E">
        <w:rPr>
          <w:noProof/>
        </w:rPr>
        <w:t xml:space="preserve"> on persistent organic pollutants </w:t>
      </w:r>
      <w:r w:rsidR="00322390" w:rsidRPr="00B3308E">
        <w:rPr>
          <w:noProof/>
          <w:lang w:eastAsia="en-GB"/>
        </w:rPr>
        <w:t xml:space="preserve">implements in the law of the Union the commitments set out in the Stockholm Convention on Persistent Organic Pollutants (hereinafter </w:t>
      </w:r>
      <w:r w:rsidR="00526587">
        <w:rPr>
          <w:noProof/>
          <w:lang w:eastAsia="en-GB"/>
        </w:rPr>
        <w:t>‘</w:t>
      </w:r>
      <w:r w:rsidR="00322390" w:rsidRPr="00B3308E">
        <w:rPr>
          <w:noProof/>
          <w:lang w:eastAsia="en-GB"/>
        </w:rPr>
        <w:t>the Convention</w:t>
      </w:r>
      <w:r w:rsidR="00526587">
        <w:rPr>
          <w:noProof/>
          <w:lang w:eastAsia="en-GB"/>
        </w:rPr>
        <w:t>’</w:t>
      </w:r>
      <w:r w:rsidR="00322390" w:rsidRPr="00B3308E">
        <w:rPr>
          <w:noProof/>
          <w:lang w:eastAsia="en-GB"/>
        </w:rPr>
        <w:t>) approved on behalf of the Community by Council Decision 2006/507/EC</w:t>
      </w:r>
      <w:r w:rsidR="00322390" w:rsidRPr="00B3308E">
        <w:rPr>
          <w:rStyle w:val="FootnoteReference"/>
          <w:noProof/>
        </w:rPr>
        <w:footnoteReference w:id="22"/>
      </w:r>
      <w:r w:rsidR="00322390" w:rsidRPr="00B3308E">
        <w:rPr>
          <w:noProof/>
          <w:lang w:eastAsia="en-GB"/>
        </w:rPr>
        <w:t>, and in the Protocol to the 1979 Convention on Long-Range Transboundary Air Pollution on Persistent Organic Pollutants approved on behalf of the Community by Council Decision 2004/259/EC</w:t>
      </w:r>
      <w:r w:rsidR="00322390" w:rsidRPr="00B3308E">
        <w:rPr>
          <w:rStyle w:val="FootnoteReference"/>
          <w:noProof/>
        </w:rPr>
        <w:footnoteReference w:id="23"/>
      </w:r>
      <w:r w:rsidR="00322390" w:rsidRPr="00B3308E">
        <w:rPr>
          <w:noProof/>
          <w:lang w:eastAsia="en-GB"/>
        </w:rPr>
        <w:t>.</w:t>
      </w:r>
    </w:p>
    <w:p w14:paraId="519B87B4" w14:textId="5B858334" w:rsidR="00DD4D33" w:rsidRPr="00B3308E" w:rsidRDefault="00254873" w:rsidP="00254873">
      <w:pPr>
        <w:pStyle w:val="ManualConsidrant"/>
        <w:rPr>
          <w:noProof/>
        </w:rPr>
      </w:pPr>
      <w:r w:rsidRPr="00254873">
        <w:t>(2)</w:t>
      </w:r>
      <w:r w:rsidRPr="00254873">
        <w:tab/>
      </w:r>
      <w:r w:rsidR="00D032E5" w:rsidRPr="00B3308E">
        <w:rPr>
          <w:noProof/>
        </w:rPr>
        <w:t>At the seventh meeting of the Conference of the Parties to the Convention, held from 4 to 15 May 2015, it was agreed to include pentachlorophenol</w:t>
      </w:r>
      <w:r w:rsidR="00DE4176" w:rsidRPr="00B3308E">
        <w:rPr>
          <w:noProof/>
        </w:rPr>
        <w:t>,</w:t>
      </w:r>
      <w:r w:rsidR="00D032E5" w:rsidRPr="00B3308E">
        <w:rPr>
          <w:noProof/>
        </w:rPr>
        <w:t xml:space="preserve"> its salts and esters (</w:t>
      </w:r>
      <w:r w:rsidR="00526587">
        <w:rPr>
          <w:noProof/>
        </w:rPr>
        <w:t>‘</w:t>
      </w:r>
      <w:r w:rsidR="00D032E5" w:rsidRPr="00B3308E">
        <w:rPr>
          <w:noProof/>
        </w:rPr>
        <w:t>pentachlorophenol</w:t>
      </w:r>
      <w:r w:rsidR="00526587">
        <w:rPr>
          <w:noProof/>
        </w:rPr>
        <w:t>’</w:t>
      </w:r>
      <w:r w:rsidR="00D032E5" w:rsidRPr="00B3308E">
        <w:rPr>
          <w:noProof/>
        </w:rPr>
        <w:t>) in Annex A to the Convention.</w:t>
      </w:r>
      <w:r w:rsidR="00A84B56" w:rsidRPr="00B3308E">
        <w:rPr>
          <w:noProof/>
        </w:rPr>
        <w:t xml:space="preserve"> </w:t>
      </w:r>
      <w:r w:rsidR="00D032E5" w:rsidRPr="00B3308E">
        <w:rPr>
          <w:noProof/>
        </w:rPr>
        <w:t xml:space="preserve">At the ninth meeting of the Conference of the Parties to the Convention, held from 29 April to 10 May 2019, it was agreed to include </w:t>
      </w:r>
      <w:r w:rsidR="00DD4D33" w:rsidRPr="00B3308E">
        <w:rPr>
          <w:noProof/>
        </w:rPr>
        <w:t xml:space="preserve">dicofol as well as perfluorooctanoic acid (PFOA), its salts and PFOA-related compounds </w:t>
      </w:r>
      <w:r w:rsidR="00D032E5" w:rsidRPr="00B3308E">
        <w:rPr>
          <w:noProof/>
        </w:rPr>
        <w:t>in Annex A to the Convention.</w:t>
      </w:r>
      <w:r w:rsidR="00DE4176" w:rsidRPr="00B3308E">
        <w:rPr>
          <w:noProof/>
        </w:rPr>
        <w:t xml:space="preserve"> </w:t>
      </w:r>
      <w:r w:rsidR="00D032E5" w:rsidRPr="00B3308E">
        <w:rPr>
          <w:noProof/>
        </w:rPr>
        <w:t>In view of th</w:t>
      </w:r>
      <w:r w:rsidR="002211A5">
        <w:rPr>
          <w:noProof/>
        </w:rPr>
        <w:t>o</w:t>
      </w:r>
      <w:r w:rsidR="00DE4176" w:rsidRPr="00B3308E">
        <w:rPr>
          <w:noProof/>
        </w:rPr>
        <w:t>se</w:t>
      </w:r>
      <w:r w:rsidR="00D032E5" w:rsidRPr="00B3308E">
        <w:rPr>
          <w:noProof/>
        </w:rPr>
        <w:t xml:space="preserve"> amendment</w:t>
      </w:r>
      <w:r w:rsidR="00DD4D33" w:rsidRPr="00B3308E">
        <w:rPr>
          <w:noProof/>
        </w:rPr>
        <w:t>s</w:t>
      </w:r>
      <w:r w:rsidR="00D032E5" w:rsidRPr="00B3308E">
        <w:rPr>
          <w:noProof/>
        </w:rPr>
        <w:t xml:space="preserve"> </w:t>
      </w:r>
      <w:r w:rsidR="009631A7" w:rsidRPr="00B3308E">
        <w:rPr>
          <w:noProof/>
        </w:rPr>
        <w:t>to</w:t>
      </w:r>
      <w:r w:rsidR="00D032E5" w:rsidRPr="00B3308E">
        <w:rPr>
          <w:noProof/>
        </w:rPr>
        <w:t xml:space="preserve"> the Convention</w:t>
      </w:r>
      <w:r w:rsidR="002211A5">
        <w:rPr>
          <w:noProof/>
        </w:rPr>
        <w:t xml:space="preserve"> </w:t>
      </w:r>
      <w:r w:rsidR="002211A5" w:rsidRPr="002211A5">
        <w:rPr>
          <w:noProof/>
        </w:rPr>
        <w:t>and to ensure that waste containing those substances is managed in accordance with the provisions of the Convention</w:t>
      </w:r>
      <w:r w:rsidR="00D032E5" w:rsidRPr="00B3308E">
        <w:rPr>
          <w:noProof/>
        </w:rPr>
        <w:t xml:space="preserve">, it is necessary to </w:t>
      </w:r>
      <w:r w:rsidR="008B2CAE" w:rsidRPr="00B3308E">
        <w:rPr>
          <w:noProof/>
        </w:rPr>
        <w:t xml:space="preserve">also </w:t>
      </w:r>
      <w:r w:rsidR="00D032E5" w:rsidRPr="00B3308E">
        <w:rPr>
          <w:noProof/>
        </w:rPr>
        <w:t xml:space="preserve">amend Annexes IV and V </w:t>
      </w:r>
      <w:r w:rsidR="009631A7" w:rsidRPr="00B3308E">
        <w:rPr>
          <w:noProof/>
        </w:rPr>
        <w:t>to</w:t>
      </w:r>
      <w:r w:rsidR="00D032E5" w:rsidRPr="00B3308E">
        <w:rPr>
          <w:noProof/>
        </w:rPr>
        <w:t xml:space="preserve"> Regulation </w:t>
      </w:r>
      <w:r w:rsidR="00EE4090" w:rsidRPr="00B3308E">
        <w:rPr>
          <w:noProof/>
        </w:rPr>
        <w:t>(EU) 2019/1021</w:t>
      </w:r>
      <w:r w:rsidR="002211A5">
        <w:rPr>
          <w:noProof/>
        </w:rPr>
        <w:t xml:space="preserve"> by</w:t>
      </w:r>
      <w:r w:rsidR="00D032E5" w:rsidRPr="00B3308E">
        <w:rPr>
          <w:noProof/>
        </w:rPr>
        <w:t xml:space="preserve"> including pentachlorophenol</w:t>
      </w:r>
      <w:r w:rsidR="00DD4D33" w:rsidRPr="00B3308E">
        <w:rPr>
          <w:noProof/>
        </w:rPr>
        <w:t>, dicofol and perfluorooctanoic acid (PFOA), its salts and PFOA-related compounds</w:t>
      </w:r>
      <w:r w:rsidR="00D032E5" w:rsidRPr="00B3308E">
        <w:rPr>
          <w:noProof/>
        </w:rPr>
        <w:t xml:space="preserve"> in the </w:t>
      </w:r>
      <w:r w:rsidR="00FC3DF0">
        <w:rPr>
          <w:noProof/>
        </w:rPr>
        <w:t>A</w:t>
      </w:r>
      <w:r w:rsidR="00D032E5" w:rsidRPr="00B3308E">
        <w:rPr>
          <w:noProof/>
        </w:rPr>
        <w:t>nnexes and indicating the</w:t>
      </w:r>
      <w:r w:rsidR="002211A5">
        <w:rPr>
          <w:noProof/>
        </w:rPr>
        <w:t>ir</w:t>
      </w:r>
      <w:r w:rsidR="00D032E5" w:rsidRPr="00B3308E">
        <w:rPr>
          <w:noProof/>
        </w:rPr>
        <w:t xml:space="preserve"> corresponding concentration limits</w:t>
      </w:r>
      <w:r w:rsidR="002211A5">
        <w:rPr>
          <w:noProof/>
        </w:rPr>
        <w:t xml:space="preserve">. </w:t>
      </w:r>
      <w:r w:rsidR="00DD4D33" w:rsidRPr="00B3308E">
        <w:rPr>
          <w:noProof/>
        </w:rPr>
        <w:t xml:space="preserve"> </w:t>
      </w:r>
    </w:p>
    <w:p w14:paraId="56B1D563" w14:textId="54083FD4" w:rsidR="00DD4D33" w:rsidRPr="00B3308E" w:rsidRDefault="00254873" w:rsidP="00254873">
      <w:pPr>
        <w:pStyle w:val="ManualConsidrant"/>
        <w:rPr>
          <w:noProof/>
        </w:rPr>
      </w:pPr>
      <w:r w:rsidRPr="00254873">
        <w:t>(3)</w:t>
      </w:r>
      <w:r w:rsidRPr="00254873">
        <w:tab/>
      </w:r>
      <w:r w:rsidR="00DD4D33" w:rsidRPr="00B3308E">
        <w:rPr>
          <w:noProof/>
        </w:rPr>
        <w:t xml:space="preserve">Pentachlorophenol </w:t>
      </w:r>
      <w:r w:rsidR="00473C72" w:rsidRPr="00B3308E">
        <w:rPr>
          <w:noProof/>
        </w:rPr>
        <w:t xml:space="preserve">had been </w:t>
      </w:r>
      <w:r w:rsidR="00EE4090" w:rsidRPr="00B3308E">
        <w:rPr>
          <w:noProof/>
        </w:rPr>
        <w:t>previously</w:t>
      </w:r>
      <w:r w:rsidR="00DD4D33" w:rsidRPr="00B3308E">
        <w:rPr>
          <w:noProof/>
        </w:rPr>
        <w:t xml:space="preserve"> listed in Annexes IV and V </w:t>
      </w:r>
      <w:r w:rsidR="00AD426B">
        <w:rPr>
          <w:noProof/>
        </w:rPr>
        <w:t>to</w:t>
      </w:r>
      <w:r w:rsidR="00DD4D33" w:rsidRPr="00B3308E">
        <w:rPr>
          <w:noProof/>
        </w:rPr>
        <w:t xml:space="preserve"> Regulation </w:t>
      </w:r>
      <w:r w:rsidR="00DD4D33" w:rsidRPr="00B3308E">
        <w:rPr>
          <w:rFonts w:eastAsia="Times New Roman"/>
          <w:noProof/>
          <w:lang w:eastAsia="en-GB"/>
        </w:rPr>
        <w:t>(EC) No 850/2004</w:t>
      </w:r>
      <w:r w:rsidR="00AD426B">
        <w:rPr>
          <w:rFonts w:eastAsia="Times New Roman"/>
          <w:noProof/>
          <w:lang w:eastAsia="en-GB"/>
        </w:rPr>
        <w:t xml:space="preserve"> </w:t>
      </w:r>
      <w:r w:rsidR="00AD426B">
        <w:rPr>
          <w:noProof/>
        </w:rPr>
        <w:t>of the European Parliament and of the Council</w:t>
      </w:r>
      <w:r w:rsidR="00943357" w:rsidRPr="00B3308E">
        <w:rPr>
          <w:rStyle w:val="FootnoteReference"/>
          <w:noProof/>
        </w:rPr>
        <w:footnoteReference w:id="24"/>
      </w:r>
      <w:r w:rsidR="00DD4D33" w:rsidRPr="00B3308E">
        <w:rPr>
          <w:noProof/>
        </w:rPr>
        <w:t xml:space="preserve"> by </w:t>
      </w:r>
      <w:r w:rsidR="00AD426B">
        <w:rPr>
          <w:noProof/>
        </w:rPr>
        <w:t xml:space="preserve">Commission </w:t>
      </w:r>
      <w:r w:rsidR="00DD4D33" w:rsidRPr="00B3308E">
        <w:rPr>
          <w:noProof/>
        </w:rPr>
        <w:t>Regulation (EU) 2019/636</w:t>
      </w:r>
      <w:r w:rsidR="00F6470F" w:rsidRPr="00B3308E">
        <w:rPr>
          <w:rStyle w:val="FootnoteReference"/>
          <w:noProof/>
        </w:rPr>
        <w:footnoteReference w:id="25"/>
      </w:r>
      <w:r w:rsidR="00DD4D33" w:rsidRPr="00B3308E">
        <w:rPr>
          <w:noProof/>
        </w:rPr>
        <w:t>, with an Annex IV value of 100 mg/kg and an Annex V value of 1</w:t>
      </w:r>
      <w:r w:rsidR="00526587">
        <w:rPr>
          <w:noProof/>
        </w:rPr>
        <w:t xml:space="preserve"> </w:t>
      </w:r>
      <w:r w:rsidR="00DD4D33" w:rsidRPr="00B3308E">
        <w:rPr>
          <w:noProof/>
        </w:rPr>
        <w:t xml:space="preserve">000 mg/kg. Regulation (EC) </w:t>
      </w:r>
      <w:r w:rsidR="00AD426B">
        <w:rPr>
          <w:noProof/>
        </w:rPr>
        <w:t xml:space="preserve">No </w:t>
      </w:r>
      <w:r w:rsidR="00DD4D33" w:rsidRPr="00B3308E">
        <w:rPr>
          <w:noProof/>
        </w:rPr>
        <w:t>850/2004 was repealed by Regulation (EU) 2019/1021</w:t>
      </w:r>
      <w:r w:rsidR="00473C72" w:rsidRPr="00B3308E">
        <w:rPr>
          <w:noProof/>
        </w:rPr>
        <w:t>,</w:t>
      </w:r>
      <w:r w:rsidR="00DD4D33" w:rsidRPr="00B3308E">
        <w:rPr>
          <w:noProof/>
        </w:rPr>
        <w:t xml:space="preserve"> but pentachlorophenol </w:t>
      </w:r>
      <w:r w:rsidR="008B2CAE" w:rsidRPr="00B3308E">
        <w:rPr>
          <w:noProof/>
        </w:rPr>
        <w:t xml:space="preserve">was </w:t>
      </w:r>
      <w:r w:rsidR="00DE4176" w:rsidRPr="00B3308E">
        <w:rPr>
          <w:noProof/>
        </w:rPr>
        <w:t>unintentionally omitted</w:t>
      </w:r>
      <w:r w:rsidR="005001F1" w:rsidRPr="00B3308E">
        <w:rPr>
          <w:noProof/>
        </w:rPr>
        <w:t xml:space="preserve"> </w:t>
      </w:r>
      <w:r w:rsidR="00DE4176" w:rsidRPr="00B3308E">
        <w:rPr>
          <w:noProof/>
        </w:rPr>
        <w:t>from</w:t>
      </w:r>
      <w:r w:rsidR="00DD4D33" w:rsidRPr="00B3308E">
        <w:rPr>
          <w:noProof/>
        </w:rPr>
        <w:t xml:space="preserve"> </w:t>
      </w:r>
      <w:r w:rsidR="005B2DED">
        <w:rPr>
          <w:noProof/>
        </w:rPr>
        <w:t>that Regulation.</w:t>
      </w:r>
      <w:r w:rsidR="00DD4D33" w:rsidRPr="00B3308E">
        <w:rPr>
          <w:noProof/>
        </w:rPr>
        <w:t xml:space="preserve"> </w:t>
      </w:r>
      <w:r w:rsidR="005B2DED">
        <w:rPr>
          <w:noProof/>
        </w:rPr>
        <w:t>I</w:t>
      </w:r>
      <w:r w:rsidR="00DD4D33" w:rsidRPr="00B3308E">
        <w:rPr>
          <w:noProof/>
        </w:rPr>
        <w:t xml:space="preserve">t is </w:t>
      </w:r>
      <w:r w:rsidR="005B2DED">
        <w:rPr>
          <w:noProof/>
        </w:rPr>
        <w:t xml:space="preserve">therefore </w:t>
      </w:r>
      <w:r w:rsidR="00DD4D33" w:rsidRPr="00B3308E">
        <w:rPr>
          <w:noProof/>
        </w:rPr>
        <w:t xml:space="preserve">necessary to amend Annexes IV and V </w:t>
      </w:r>
      <w:r w:rsidR="009631A7" w:rsidRPr="00B3308E">
        <w:rPr>
          <w:noProof/>
        </w:rPr>
        <w:t>to</w:t>
      </w:r>
      <w:r w:rsidR="00DD4D33" w:rsidRPr="00B3308E">
        <w:rPr>
          <w:noProof/>
        </w:rPr>
        <w:t xml:space="preserve"> Regulation (EU) 2019/1021 </w:t>
      </w:r>
      <w:r w:rsidR="00473C72" w:rsidRPr="00B3308E">
        <w:rPr>
          <w:noProof/>
        </w:rPr>
        <w:t>to include</w:t>
      </w:r>
      <w:r w:rsidR="00DD4D33" w:rsidRPr="00B3308E">
        <w:rPr>
          <w:noProof/>
        </w:rPr>
        <w:t xml:space="preserve"> </w:t>
      </w:r>
      <w:r w:rsidR="005B2DED">
        <w:rPr>
          <w:noProof/>
        </w:rPr>
        <w:t>pentachlorophenol.</w:t>
      </w:r>
    </w:p>
    <w:p w14:paraId="7F541E5D" w14:textId="2BCF8AB0" w:rsidR="00EE4090" w:rsidRPr="00B3308E" w:rsidRDefault="00254873" w:rsidP="00254873">
      <w:pPr>
        <w:pStyle w:val="ManualConsidrant"/>
        <w:rPr>
          <w:noProof/>
        </w:rPr>
      </w:pPr>
      <w:r w:rsidRPr="00254873">
        <w:t>(4)</w:t>
      </w:r>
      <w:r w:rsidRPr="00254873">
        <w:tab/>
      </w:r>
      <w:r w:rsidR="008B2CAE" w:rsidRPr="00B3308E">
        <w:rPr>
          <w:noProof/>
        </w:rPr>
        <w:t xml:space="preserve">Annexes IV and V </w:t>
      </w:r>
      <w:r w:rsidR="009631A7" w:rsidRPr="00B3308E">
        <w:rPr>
          <w:noProof/>
        </w:rPr>
        <w:t>to</w:t>
      </w:r>
      <w:r w:rsidR="008B2CAE" w:rsidRPr="00B3308E">
        <w:rPr>
          <w:noProof/>
        </w:rPr>
        <w:t xml:space="preserve"> </w:t>
      </w:r>
      <w:r w:rsidR="00EE4090" w:rsidRPr="00B3308E">
        <w:rPr>
          <w:noProof/>
        </w:rPr>
        <w:t xml:space="preserve">Regulation (EU) 2019/1021 already </w:t>
      </w:r>
      <w:r w:rsidR="008B2CAE" w:rsidRPr="00B3308E">
        <w:rPr>
          <w:noProof/>
        </w:rPr>
        <w:t>contain</w:t>
      </w:r>
      <w:r w:rsidR="005B2DED">
        <w:rPr>
          <w:noProof/>
        </w:rPr>
        <w:t xml:space="preserve"> concentration limits</w:t>
      </w:r>
      <w:r w:rsidR="00EE4090" w:rsidRPr="00B3308E">
        <w:rPr>
          <w:noProof/>
        </w:rPr>
        <w:t xml:space="preserve"> for the </w:t>
      </w:r>
      <w:r w:rsidR="003A194A" w:rsidRPr="00B3308E">
        <w:rPr>
          <w:noProof/>
        </w:rPr>
        <w:t xml:space="preserve">following </w:t>
      </w:r>
      <w:r w:rsidR="00EE4090" w:rsidRPr="00B3308E">
        <w:rPr>
          <w:noProof/>
        </w:rPr>
        <w:t xml:space="preserve">substances or substance groups: </w:t>
      </w:r>
      <w:r w:rsidR="003A194A" w:rsidRPr="00B3308E">
        <w:rPr>
          <w:noProof/>
        </w:rPr>
        <w:t xml:space="preserve">a) </w:t>
      </w:r>
      <w:r w:rsidR="00EE4090" w:rsidRPr="00B3308E">
        <w:rPr>
          <w:noProof/>
        </w:rPr>
        <w:t xml:space="preserve">the </w:t>
      </w:r>
      <w:r w:rsidR="003A194A" w:rsidRPr="00B3308E">
        <w:rPr>
          <w:noProof/>
        </w:rPr>
        <w:t>s</w:t>
      </w:r>
      <w:r w:rsidR="00EE4090" w:rsidRPr="00B3308E">
        <w:rPr>
          <w:noProof/>
        </w:rPr>
        <w:t>um of the concentrations of tetrabromodiphenyl ether, pentabromodiphenyl ether, hexabromodiphenyl ether, heptabromodiphenyl ether and decabromodiphenyl ether</w:t>
      </w:r>
      <w:r w:rsidR="003A194A" w:rsidRPr="00B3308E">
        <w:rPr>
          <w:noProof/>
        </w:rPr>
        <w:t xml:space="preserve"> (with the exception of the latter</w:t>
      </w:r>
      <w:r w:rsidR="00526587">
        <w:rPr>
          <w:noProof/>
        </w:rPr>
        <w:t>,</w:t>
      </w:r>
      <w:r w:rsidR="003A194A" w:rsidRPr="00B3308E">
        <w:rPr>
          <w:noProof/>
        </w:rPr>
        <w:t xml:space="preserve"> which is not listed in Annex V</w:t>
      </w:r>
      <w:r w:rsidR="005B2DED">
        <w:rPr>
          <w:noProof/>
        </w:rPr>
        <w:t xml:space="preserve"> to that Regulation</w:t>
      </w:r>
      <w:r w:rsidR="003A194A" w:rsidRPr="00B3308E">
        <w:rPr>
          <w:noProof/>
        </w:rPr>
        <w:t>); b)</w:t>
      </w:r>
      <w:r w:rsidR="00EE4090" w:rsidRPr="00B3308E">
        <w:rPr>
          <w:noProof/>
        </w:rPr>
        <w:t xml:space="preserve"> </w:t>
      </w:r>
      <w:r w:rsidR="003A194A" w:rsidRPr="00B3308E">
        <w:rPr>
          <w:noProof/>
        </w:rPr>
        <w:t xml:space="preserve">Hexabromocyclododecane; c) </w:t>
      </w:r>
      <w:r w:rsidR="00EE4090" w:rsidRPr="00B3308E">
        <w:rPr>
          <w:noProof/>
        </w:rPr>
        <w:t xml:space="preserve"> </w:t>
      </w:r>
      <w:r w:rsidR="003A194A" w:rsidRPr="00B3308E">
        <w:rPr>
          <w:noProof/>
        </w:rPr>
        <w:t>Alkanes C10-C13, chloro (short-chain chlorinated paraffins) (SCCPs); and d)</w:t>
      </w:r>
      <w:r w:rsidR="00EE4090" w:rsidRPr="00B3308E">
        <w:rPr>
          <w:noProof/>
        </w:rPr>
        <w:t xml:space="preserve"> </w:t>
      </w:r>
      <w:r w:rsidR="003A194A" w:rsidRPr="00B3308E">
        <w:rPr>
          <w:noProof/>
        </w:rPr>
        <w:t>Polychlorinated dibenzo-p-dioxins and dibenzofurans (PCDD/PCDF). Pursuant to Article 15(2) of Regulation</w:t>
      </w:r>
      <w:r w:rsidR="005B2DED">
        <w:rPr>
          <w:noProof/>
        </w:rPr>
        <w:t xml:space="preserve"> (EU) 2019/1021</w:t>
      </w:r>
      <w:r w:rsidR="003A194A" w:rsidRPr="00B3308E">
        <w:rPr>
          <w:noProof/>
        </w:rPr>
        <w:t xml:space="preserve">, it is appropriate to amend the </w:t>
      </w:r>
      <w:r w:rsidR="005B2DED">
        <w:rPr>
          <w:noProof/>
        </w:rPr>
        <w:t xml:space="preserve">concentration </w:t>
      </w:r>
      <w:r w:rsidR="003A194A" w:rsidRPr="00B3308E">
        <w:rPr>
          <w:noProof/>
        </w:rPr>
        <w:t>limit</w:t>
      </w:r>
      <w:r w:rsidR="005B2DED">
        <w:rPr>
          <w:noProof/>
        </w:rPr>
        <w:t>s</w:t>
      </w:r>
      <w:r w:rsidR="003A194A" w:rsidRPr="00B3308E">
        <w:rPr>
          <w:noProof/>
        </w:rPr>
        <w:t xml:space="preserve"> </w:t>
      </w:r>
      <w:r w:rsidR="00473C72" w:rsidRPr="00B3308E">
        <w:rPr>
          <w:noProof/>
        </w:rPr>
        <w:t xml:space="preserve">in Annex IV </w:t>
      </w:r>
      <w:r w:rsidR="003A194A" w:rsidRPr="00B3308E">
        <w:rPr>
          <w:noProof/>
        </w:rPr>
        <w:t>for th</w:t>
      </w:r>
      <w:r w:rsidR="005B2DED">
        <w:rPr>
          <w:noProof/>
        </w:rPr>
        <w:t>o</w:t>
      </w:r>
      <w:r w:rsidR="003A194A" w:rsidRPr="00B3308E">
        <w:rPr>
          <w:noProof/>
        </w:rPr>
        <w:t>se substances to adapt the</w:t>
      </w:r>
      <w:r w:rsidR="008B2CAE" w:rsidRPr="00B3308E">
        <w:rPr>
          <w:noProof/>
        </w:rPr>
        <w:t xml:space="preserve">ir limit values </w:t>
      </w:r>
      <w:r w:rsidR="003A194A" w:rsidRPr="00B3308E">
        <w:rPr>
          <w:noProof/>
        </w:rPr>
        <w:t xml:space="preserve">to scientific and technical progress. </w:t>
      </w:r>
      <w:r w:rsidR="00F15656">
        <w:rPr>
          <w:noProof/>
        </w:rPr>
        <w:t>To be</w:t>
      </w:r>
      <w:r w:rsidR="008E6166" w:rsidRPr="00B3308E">
        <w:rPr>
          <w:noProof/>
        </w:rPr>
        <w:t xml:space="preserve"> consisten</w:t>
      </w:r>
      <w:r w:rsidR="00F15656">
        <w:rPr>
          <w:noProof/>
        </w:rPr>
        <w:t>t</w:t>
      </w:r>
      <w:r w:rsidR="008E6166" w:rsidRPr="00B3308E">
        <w:rPr>
          <w:noProof/>
        </w:rPr>
        <w:t xml:space="preserve"> with the list of </w:t>
      </w:r>
      <w:r w:rsidR="008E6166" w:rsidRPr="00B3308E">
        <w:rPr>
          <w:rFonts w:eastAsia="Times New Roman"/>
          <w:noProof/>
          <w:color w:val="212121"/>
          <w:szCs w:val="24"/>
          <w:lang w:eastAsia="en-GB"/>
        </w:rPr>
        <w:t>polybrominated diphenyl ethers (PBDEs) listed in Annex IV</w:t>
      </w:r>
      <w:r w:rsidR="005B2DED">
        <w:rPr>
          <w:rFonts w:eastAsia="Times New Roman"/>
          <w:noProof/>
          <w:color w:val="212121"/>
          <w:szCs w:val="24"/>
          <w:lang w:eastAsia="en-GB"/>
        </w:rPr>
        <w:t xml:space="preserve"> to </w:t>
      </w:r>
      <w:r w:rsidR="005B2DED" w:rsidRPr="00B3308E">
        <w:rPr>
          <w:noProof/>
        </w:rPr>
        <w:t>Regulation</w:t>
      </w:r>
      <w:r w:rsidR="005B2DED">
        <w:rPr>
          <w:noProof/>
        </w:rPr>
        <w:t xml:space="preserve"> (EU) 2019/1021</w:t>
      </w:r>
      <w:r w:rsidR="008E6166" w:rsidRPr="00B3308E">
        <w:rPr>
          <w:rFonts w:eastAsia="Times New Roman"/>
          <w:noProof/>
          <w:color w:val="212121"/>
          <w:szCs w:val="24"/>
          <w:lang w:eastAsia="en-GB"/>
        </w:rPr>
        <w:t xml:space="preserve">, the substance decabromodiphenyl ether </w:t>
      </w:r>
      <w:r w:rsidR="005B2DED">
        <w:rPr>
          <w:rFonts w:eastAsia="Times New Roman"/>
          <w:noProof/>
          <w:color w:val="212121"/>
          <w:szCs w:val="24"/>
          <w:lang w:eastAsia="en-GB"/>
        </w:rPr>
        <w:t>should</w:t>
      </w:r>
      <w:r w:rsidR="008E6166" w:rsidRPr="00B3308E">
        <w:rPr>
          <w:rFonts w:eastAsia="Times New Roman"/>
          <w:noProof/>
          <w:color w:val="212121"/>
          <w:szCs w:val="24"/>
          <w:lang w:eastAsia="en-GB"/>
        </w:rPr>
        <w:t xml:space="preserve"> be included among the PBDEs listed in the third column of Annex V</w:t>
      </w:r>
      <w:r w:rsidR="005B2DED">
        <w:rPr>
          <w:rFonts w:eastAsia="Times New Roman"/>
          <w:noProof/>
          <w:color w:val="212121"/>
          <w:szCs w:val="24"/>
          <w:lang w:eastAsia="en-GB"/>
        </w:rPr>
        <w:t xml:space="preserve"> to that Regulation</w:t>
      </w:r>
      <w:r w:rsidR="008E6166" w:rsidRPr="00B3308E">
        <w:rPr>
          <w:rFonts w:eastAsia="Times New Roman"/>
          <w:noProof/>
          <w:color w:val="212121"/>
          <w:szCs w:val="24"/>
          <w:lang w:eastAsia="en-GB"/>
        </w:rPr>
        <w:t xml:space="preserve">. </w:t>
      </w:r>
    </w:p>
    <w:p w14:paraId="66B8B2E6" w14:textId="23771E3B" w:rsidR="00E90E6D" w:rsidRPr="00B3308E" w:rsidRDefault="00254873" w:rsidP="00254873">
      <w:pPr>
        <w:pStyle w:val="ManualConsidrant"/>
        <w:rPr>
          <w:noProof/>
        </w:rPr>
      </w:pPr>
      <w:r w:rsidRPr="00254873">
        <w:t>(5)</w:t>
      </w:r>
      <w:r w:rsidRPr="00254873">
        <w:tab/>
      </w:r>
      <w:r w:rsidR="00473C72" w:rsidRPr="00B3308E">
        <w:rPr>
          <w:noProof/>
        </w:rPr>
        <w:t xml:space="preserve">Considering that a subgroup of </w:t>
      </w:r>
      <w:r w:rsidR="003A6BF6">
        <w:rPr>
          <w:noProof/>
        </w:rPr>
        <w:t>12</w:t>
      </w:r>
      <w:r w:rsidR="00473C72" w:rsidRPr="00B3308E">
        <w:rPr>
          <w:noProof/>
        </w:rPr>
        <w:t xml:space="preserve"> PCB congeners</w:t>
      </w:r>
      <w:r w:rsidR="006F75A9" w:rsidRPr="00B3308E">
        <w:rPr>
          <w:rStyle w:val="FootnoteReference"/>
          <w:noProof/>
        </w:rPr>
        <w:footnoteReference w:id="26"/>
      </w:r>
      <w:r w:rsidR="00473C72" w:rsidRPr="00B3308E">
        <w:rPr>
          <w:noProof/>
        </w:rPr>
        <w:t>, known as dioxin-like PCBs</w:t>
      </w:r>
      <w:r w:rsidR="009A2AF7" w:rsidRPr="00B3308E">
        <w:rPr>
          <w:noProof/>
        </w:rPr>
        <w:t xml:space="preserve"> (dl-PCBs)</w:t>
      </w:r>
      <w:r w:rsidR="00473C72" w:rsidRPr="00B3308E">
        <w:rPr>
          <w:noProof/>
        </w:rPr>
        <w:t xml:space="preserve">, have </w:t>
      </w:r>
      <w:r w:rsidR="00E90E6D" w:rsidRPr="00B3308E">
        <w:rPr>
          <w:noProof/>
        </w:rPr>
        <w:t xml:space="preserve">toxicological </w:t>
      </w:r>
      <w:r w:rsidR="00473C72" w:rsidRPr="00B3308E">
        <w:rPr>
          <w:noProof/>
        </w:rPr>
        <w:t xml:space="preserve">properties that closely resemble those of </w:t>
      </w:r>
      <w:r w:rsidR="00EE0625">
        <w:rPr>
          <w:noProof/>
        </w:rPr>
        <w:t>PCDD/PCDF</w:t>
      </w:r>
      <w:r w:rsidR="00473C72" w:rsidRPr="00B3308E">
        <w:rPr>
          <w:noProof/>
        </w:rPr>
        <w:t xml:space="preserve">, and </w:t>
      </w:r>
      <w:r w:rsidR="009A2AF7" w:rsidRPr="00B3308E">
        <w:rPr>
          <w:noProof/>
        </w:rPr>
        <w:t>to take into account the aggregated effect of all dioxin-like compounds listed in Regulation</w:t>
      </w:r>
      <w:r w:rsidR="00EE0625">
        <w:rPr>
          <w:noProof/>
        </w:rPr>
        <w:t xml:space="preserve"> </w:t>
      </w:r>
      <w:r w:rsidR="00EE0625" w:rsidRPr="00EE0625">
        <w:rPr>
          <w:noProof/>
        </w:rPr>
        <w:t>(EU) 2019/1021</w:t>
      </w:r>
      <w:r w:rsidR="00473C72" w:rsidRPr="00B3308E">
        <w:rPr>
          <w:noProof/>
        </w:rPr>
        <w:t>, it is appropriate to</w:t>
      </w:r>
      <w:r w:rsidR="00604591" w:rsidRPr="00B3308E">
        <w:rPr>
          <w:noProof/>
        </w:rPr>
        <w:t xml:space="preserve"> include d</w:t>
      </w:r>
      <w:r w:rsidR="00EE0625">
        <w:rPr>
          <w:noProof/>
        </w:rPr>
        <w:t>l-PCBs</w:t>
      </w:r>
      <w:r w:rsidR="00604591" w:rsidRPr="00B3308E">
        <w:rPr>
          <w:noProof/>
        </w:rPr>
        <w:t xml:space="preserve"> within the </w:t>
      </w:r>
      <w:r w:rsidR="00FF5DF1">
        <w:rPr>
          <w:noProof/>
        </w:rPr>
        <w:t xml:space="preserve">existing </w:t>
      </w:r>
      <w:r w:rsidR="00604591" w:rsidRPr="00B3308E">
        <w:rPr>
          <w:noProof/>
        </w:rPr>
        <w:t xml:space="preserve">group entry for </w:t>
      </w:r>
      <w:r w:rsidR="00EE0625" w:rsidRPr="00344099">
        <w:rPr>
          <w:noProof/>
        </w:rPr>
        <w:t>PCDD/PCDF</w:t>
      </w:r>
      <w:r w:rsidR="00EE0625">
        <w:rPr>
          <w:noProof/>
        </w:rPr>
        <w:t xml:space="preserve"> </w:t>
      </w:r>
      <w:r w:rsidR="00604591" w:rsidRPr="00B3308E">
        <w:rPr>
          <w:noProof/>
        </w:rPr>
        <w:t xml:space="preserve">in Annexes IV and V </w:t>
      </w:r>
      <w:r w:rsidR="009631A7" w:rsidRPr="00B3308E">
        <w:rPr>
          <w:noProof/>
        </w:rPr>
        <w:t>to</w:t>
      </w:r>
      <w:r w:rsidR="00604591" w:rsidRPr="00B3308E">
        <w:rPr>
          <w:noProof/>
        </w:rPr>
        <w:t xml:space="preserve"> Regulation</w:t>
      </w:r>
      <w:r w:rsidR="00EE0625">
        <w:rPr>
          <w:noProof/>
        </w:rPr>
        <w:t xml:space="preserve"> </w:t>
      </w:r>
      <w:r w:rsidR="00EE0625" w:rsidRPr="00B3308E">
        <w:rPr>
          <w:noProof/>
        </w:rPr>
        <w:t>(EU) 2019/1021</w:t>
      </w:r>
      <w:r w:rsidR="00604591" w:rsidRPr="00B3308E">
        <w:rPr>
          <w:noProof/>
        </w:rPr>
        <w:t>.</w:t>
      </w:r>
      <w:r w:rsidR="00473C72" w:rsidRPr="00B3308E">
        <w:rPr>
          <w:noProof/>
        </w:rPr>
        <w:t xml:space="preserve"> </w:t>
      </w:r>
      <w:r w:rsidR="0010218E" w:rsidRPr="00B3308E">
        <w:rPr>
          <w:noProof/>
        </w:rPr>
        <w:t>The list of toxic equivalency factor</w:t>
      </w:r>
      <w:r w:rsidR="0010218E" w:rsidRPr="00B3308E" w:rsidDel="00D511EC">
        <w:rPr>
          <w:noProof/>
        </w:rPr>
        <w:t xml:space="preserve"> </w:t>
      </w:r>
      <w:r w:rsidR="0010218E" w:rsidRPr="00B3308E">
        <w:rPr>
          <w:noProof/>
        </w:rPr>
        <w:t xml:space="preserve">values in </w:t>
      </w:r>
      <w:r w:rsidR="00EE0625">
        <w:rPr>
          <w:noProof/>
        </w:rPr>
        <w:t>P</w:t>
      </w:r>
      <w:r w:rsidR="0010218E" w:rsidRPr="00B3308E">
        <w:rPr>
          <w:noProof/>
        </w:rPr>
        <w:t xml:space="preserve">art 2 of Annex V </w:t>
      </w:r>
      <w:r w:rsidR="00EE0625">
        <w:rPr>
          <w:noProof/>
        </w:rPr>
        <w:t xml:space="preserve">to that Regulation </w:t>
      </w:r>
      <w:r w:rsidR="0010218E" w:rsidRPr="00B3308E">
        <w:rPr>
          <w:noProof/>
        </w:rPr>
        <w:t xml:space="preserve">should also be amended to introduce the corresponding values for the individual </w:t>
      </w:r>
      <w:r w:rsidR="00EE0625">
        <w:rPr>
          <w:noProof/>
        </w:rPr>
        <w:t>dl-</w:t>
      </w:r>
      <w:r w:rsidR="0010218E" w:rsidRPr="00B3308E">
        <w:rPr>
          <w:noProof/>
        </w:rPr>
        <w:t>PCB congeners</w:t>
      </w:r>
      <w:r w:rsidR="00212DDB" w:rsidRPr="00B3308E">
        <w:rPr>
          <w:noProof/>
        </w:rPr>
        <w:t>.</w:t>
      </w:r>
    </w:p>
    <w:p w14:paraId="5577988E" w14:textId="37F740A0" w:rsidR="00D032E5" w:rsidRDefault="00254873" w:rsidP="00254873">
      <w:pPr>
        <w:pStyle w:val="ManualConsidrant"/>
        <w:rPr>
          <w:noProof/>
        </w:rPr>
      </w:pPr>
      <w:r w:rsidRPr="00254873">
        <w:t>(6)</w:t>
      </w:r>
      <w:r w:rsidRPr="00254873">
        <w:tab/>
      </w:r>
      <w:r w:rsidR="00D032E5" w:rsidRPr="00B3308E">
        <w:rPr>
          <w:noProof/>
        </w:rPr>
        <w:t xml:space="preserve">The proposed concentration limits in Annexes IV and V to </w:t>
      </w:r>
      <w:r w:rsidR="00EE4090" w:rsidRPr="00B3308E">
        <w:rPr>
          <w:noProof/>
        </w:rPr>
        <w:t xml:space="preserve">Regulation (EU) 2019/1021 </w:t>
      </w:r>
      <w:r w:rsidR="00D032E5" w:rsidRPr="00B3308E">
        <w:rPr>
          <w:noProof/>
        </w:rPr>
        <w:t xml:space="preserve">have been set applying the same methodology that was used </w:t>
      </w:r>
      <w:r w:rsidR="00FF5DF1">
        <w:rPr>
          <w:noProof/>
        </w:rPr>
        <w:t>to</w:t>
      </w:r>
      <w:r w:rsidR="00D032E5" w:rsidRPr="00B3308E">
        <w:rPr>
          <w:noProof/>
        </w:rPr>
        <w:t xml:space="preserve"> establish the </w:t>
      </w:r>
      <w:r w:rsidR="00EE0625">
        <w:rPr>
          <w:noProof/>
        </w:rPr>
        <w:t xml:space="preserve">concentration </w:t>
      </w:r>
      <w:r w:rsidR="00D032E5" w:rsidRPr="00B3308E">
        <w:rPr>
          <w:noProof/>
        </w:rPr>
        <w:t>limit</w:t>
      </w:r>
      <w:r w:rsidR="00EE0625">
        <w:rPr>
          <w:noProof/>
        </w:rPr>
        <w:t>s</w:t>
      </w:r>
      <w:r w:rsidR="00D032E5" w:rsidRPr="00B3308E">
        <w:rPr>
          <w:noProof/>
        </w:rPr>
        <w:t xml:space="preserve"> in previous amendments of Annexes IV and V</w:t>
      </w:r>
      <w:r w:rsidR="00EE0625">
        <w:rPr>
          <w:noProof/>
        </w:rPr>
        <w:t xml:space="preserve"> to </w:t>
      </w:r>
      <w:r w:rsidR="00EE0625" w:rsidRPr="00B3308E">
        <w:rPr>
          <w:noProof/>
        </w:rPr>
        <w:t>Regulation (EC)</w:t>
      </w:r>
      <w:r w:rsidR="00EE0625">
        <w:rPr>
          <w:noProof/>
        </w:rPr>
        <w:t xml:space="preserve"> No</w:t>
      </w:r>
      <w:r w:rsidR="00EE0625" w:rsidRPr="00B3308E">
        <w:rPr>
          <w:noProof/>
        </w:rPr>
        <w:t xml:space="preserve"> 850/2004</w:t>
      </w:r>
      <w:r w:rsidR="00D032E5" w:rsidRPr="00B3308E">
        <w:rPr>
          <w:noProof/>
        </w:rPr>
        <w:t xml:space="preserve">. The proposed concentration limits </w:t>
      </w:r>
      <w:r w:rsidR="00EE0625">
        <w:rPr>
          <w:noProof/>
        </w:rPr>
        <w:t xml:space="preserve">should </w:t>
      </w:r>
      <w:r w:rsidR="0044311B" w:rsidRPr="00B3308E">
        <w:rPr>
          <w:noProof/>
        </w:rPr>
        <w:t>achieve the objective of</w:t>
      </w:r>
      <w:r w:rsidR="00D032E5" w:rsidRPr="00B3308E">
        <w:rPr>
          <w:noProof/>
        </w:rPr>
        <w:t xml:space="preserve"> </w:t>
      </w:r>
      <w:r w:rsidR="00FF5DF1">
        <w:rPr>
          <w:noProof/>
        </w:rPr>
        <w:t xml:space="preserve">a </w:t>
      </w:r>
      <w:r w:rsidR="00D032E5" w:rsidRPr="00B3308E">
        <w:rPr>
          <w:noProof/>
        </w:rPr>
        <w:t xml:space="preserve">high level of protection of human health and the environment </w:t>
      </w:r>
      <w:r w:rsidR="0045128D">
        <w:rPr>
          <w:noProof/>
        </w:rPr>
        <w:t xml:space="preserve">associated to </w:t>
      </w:r>
      <w:r w:rsidR="00D032E5" w:rsidRPr="00B3308E">
        <w:rPr>
          <w:noProof/>
        </w:rPr>
        <w:t xml:space="preserve"> the destruction or irreversible transformation of </w:t>
      </w:r>
      <w:r w:rsidR="00EE4090" w:rsidRPr="00B3308E">
        <w:rPr>
          <w:noProof/>
        </w:rPr>
        <w:t>the substances concerned</w:t>
      </w:r>
      <w:r w:rsidR="00112414" w:rsidRPr="00B3308E">
        <w:rPr>
          <w:noProof/>
        </w:rPr>
        <w:t>.</w:t>
      </w:r>
      <w:r w:rsidR="00604591" w:rsidRPr="00B3308E">
        <w:rPr>
          <w:noProof/>
        </w:rPr>
        <w:t xml:space="preserve"> Th</w:t>
      </w:r>
      <w:r w:rsidR="00EE0625">
        <w:rPr>
          <w:noProof/>
        </w:rPr>
        <w:t>o</w:t>
      </w:r>
      <w:r w:rsidR="009A2AF7" w:rsidRPr="00B3308E">
        <w:rPr>
          <w:noProof/>
        </w:rPr>
        <w:t>se</w:t>
      </w:r>
      <w:r w:rsidR="00604591" w:rsidRPr="00B3308E">
        <w:rPr>
          <w:noProof/>
        </w:rPr>
        <w:t xml:space="preserve"> limits </w:t>
      </w:r>
      <w:r w:rsidR="00EE0625">
        <w:rPr>
          <w:noProof/>
        </w:rPr>
        <w:t xml:space="preserve">should </w:t>
      </w:r>
      <w:r w:rsidR="00604591" w:rsidRPr="00B3308E">
        <w:rPr>
          <w:noProof/>
        </w:rPr>
        <w:t xml:space="preserve">also take into consideration </w:t>
      </w:r>
      <w:r w:rsidR="007A4FCC" w:rsidRPr="00B3308E">
        <w:rPr>
          <w:noProof/>
        </w:rPr>
        <w:t xml:space="preserve">the </w:t>
      </w:r>
      <w:r w:rsidR="00604591" w:rsidRPr="00B3308E">
        <w:rPr>
          <w:noProof/>
        </w:rPr>
        <w:t>broader policy objective</w:t>
      </w:r>
      <w:r w:rsidR="007A4FCC" w:rsidRPr="00B3308E">
        <w:rPr>
          <w:noProof/>
        </w:rPr>
        <w:t xml:space="preserve"> </w:t>
      </w:r>
      <w:r w:rsidR="00FF5DF1">
        <w:rPr>
          <w:noProof/>
        </w:rPr>
        <w:t>of</w:t>
      </w:r>
      <w:r w:rsidR="007A4FCC" w:rsidRPr="00B3308E">
        <w:rPr>
          <w:noProof/>
        </w:rPr>
        <w:t xml:space="preserve"> achiev</w:t>
      </w:r>
      <w:r w:rsidR="00FF5DF1">
        <w:rPr>
          <w:noProof/>
        </w:rPr>
        <w:t>ing</w:t>
      </w:r>
      <w:r w:rsidR="007A4FCC" w:rsidRPr="00B3308E">
        <w:rPr>
          <w:noProof/>
        </w:rPr>
        <w:t xml:space="preserve"> a climate</w:t>
      </w:r>
      <w:r w:rsidR="00FF5DF1">
        <w:rPr>
          <w:noProof/>
        </w:rPr>
        <w:t>-</w:t>
      </w:r>
      <w:r w:rsidR="007A4FCC" w:rsidRPr="00B3308E">
        <w:rPr>
          <w:noProof/>
        </w:rPr>
        <w:t>neutral and circular economy,</w:t>
      </w:r>
      <w:r w:rsidR="00604591" w:rsidRPr="00B3308E">
        <w:rPr>
          <w:noProof/>
        </w:rPr>
        <w:t xml:space="preserve"> enshrined in the </w:t>
      </w:r>
      <w:r w:rsidR="007A4FCC" w:rsidRPr="00B3308E">
        <w:rPr>
          <w:noProof/>
        </w:rPr>
        <w:t>European Green Deal</w:t>
      </w:r>
      <w:r w:rsidR="003301B5">
        <w:rPr>
          <w:rStyle w:val="FootnoteReference"/>
          <w:noProof/>
        </w:rPr>
        <w:footnoteReference w:id="27"/>
      </w:r>
      <w:r w:rsidR="007A4FCC" w:rsidRPr="00B3308E">
        <w:rPr>
          <w:noProof/>
        </w:rPr>
        <w:t xml:space="preserve">. </w:t>
      </w:r>
      <w:r w:rsidR="00604591" w:rsidRPr="00B3308E">
        <w:rPr>
          <w:noProof/>
        </w:rPr>
        <w:t xml:space="preserve"> </w:t>
      </w:r>
    </w:p>
    <w:p w14:paraId="0D440B95" w14:textId="53066902" w:rsidR="003301B5" w:rsidRDefault="00254873" w:rsidP="00254873">
      <w:pPr>
        <w:pStyle w:val="ManualConsidrant"/>
        <w:rPr>
          <w:noProof/>
        </w:rPr>
      </w:pPr>
      <w:r w:rsidRPr="00254873">
        <w:t>(7)</w:t>
      </w:r>
      <w:r w:rsidRPr="00254873">
        <w:tab/>
      </w:r>
      <w:r w:rsidR="003301B5" w:rsidRPr="00B3308E">
        <w:rPr>
          <w:noProof/>
        </w:rPr>
        <w:t>Regulation (EU) 2019/1021</w:t>
      </w:r>
      <w:r w:rsidR="003301B5">
        <w:rPr>
          <w:noProof/>
        </w:rPr>
        <w:t xml:space="preserve"> should therefore be amended accordingly.</w:t>
      </w:r>
    </w:p>
    <w:p w14:paraId="682469FB" w14:textId="3329509D" w:rsidR="00D032E5" w:rsidRPr="00B3308E" w:rsidRDefault="00254873" w:rsidP="00254873">
      <w:pPr>
        <w:pStyle w:val="ManualConsidrant"/>
        <w:rPr>
          <w:noProof/>
        </w:rPr>
      </w:pPr>
      <w:r w:rsidRPr="00254873">
        <w:t>(8)</w:t>
      </w:r>
      <w:r w:rsidRPr="00254873">
        <w:tab/>
      </w:r>
      <w:r w:rsidR="00D032E5" w:rsidRPr="00B3308E">
        <w:rPr>
          <w:noProof/>
        </w:rPr>
        <w:t>It is appropriate to provide for a sufficient period of time to allow companies and competent authorities to adapt to the new requirements</w:t>
      </w:r>
      <w:r w:rsidR="00BF6DB9" w:rsidRPr="00B3308E">
        <w:rPr>
          <w:noProof/>
        </w:rPr>
        <w:t>.</w:t>
      </w:r>
    </w:p>
    <w:p w14:paraId="5802BFB0" w14:textId="77777777" w:rsidR="007D09E1" w:rsidRPr="00B3308E" w:rsidRDefault="007D09E1" w:rsidP="00194FA1">
      <w:pPr>
        <w:pStyle w:val="Formuledadoption"/>
        <w:rPr>
          <w:noProof/>
        </w:rPr>
      </w:pPr>
      <w:r w:rsidRPr="00B3308E">
        <w:rPr>
          <w:noProof/>
        </w:rPr>
        <w:t>HAVE ADOPTED THIS REGULATION:</w:t>
      </w:r>
    </w:p>
    <w:p w14:paraId="7C80A64A" w14:textId="77777777" w:rsidR="00322390" w:rsidRPr="00B3308E" w:rsidRDefault="00322390" w:rsidP="00322390">
      <w:pPr>
        <w:pStyle w:val="Titrearticle"/>
        <w:rPr>
          <w:noProof/>
        </w:rPr>
      </w:pPr>
    </w:p>
    <w:p w14:paraId="6E785F8A" w14:textId="77777777" w:rsidR="00194FA1" w:rsidRPr="00B3308E" w:rsidRDefault="00194FA1" w:rsidP="00194FA1">
      <w:pPr>
        <w:pStyle w:val="Titrearticle"/>
        <w:rPr>
          <w:noProof/>
        </w:rPr>
      </w:pPr>
      <w:bookmarkStart w:id="1" w:name="_Toc45722794"/>
      <w:r w:rsidRPr="00B3308E">
        <w:rPr>
          <w:noProof/>
        </w:rPr>
        <w:t>Article 1</w:t>
      </w:r>
      <w:r w:rsidRPr="00B3308E">
        <w:rPr>
          <w:noProof/>
        </w:rPr>
        <w:br/>
      </w:r>
      <w:bookmarkEnd w:id="1"/>
    </w:p>
    <w:p w14:paraId="1AF61850" w14:textId="77777777" w:rsidR="00271551" w:rsidRPr="00B3308E" w:rsidRDefault="00271551" w:rsidP="006F75A9">
      <w:pPr>
        <w:rPr>
          <w:noProof/>
        </w:rPr>
      </w:pPr>
      <w:r w:rsidRPr="00B3308E">
        <w:rPr>
          <w:noProof/>
        </w:rPr>
        <w:t xml:space="preserve">Annexes IV and V to Regulation (EU) 2019/1021 are amended in accordance with the Annex to this Regulation.  </w:t>
      </w:r>
    </w:p>
    <w:p w14:paraId="6E0F6D2E" w14:textId="77777777" w:rsidR="00194FA1" w:rsidRPr="00B3308E" w:rsidRDefault="00194FA1" w:rsidP="00194FA1">
      <w:pPr>
        <w:pStyle w:val="Titrearticle"/>
        <w:rPr>
          <w:noProof/>
        </w:rPr>
      </w:pPr>
      <w:bookmarkStart w:id="2" w:name="_Toc45722795"/>
      <w:r w:rsidRPr="00B3308E">
        <w:rPr>
          <w:noProof/>
        </w:rPr>
        <w:t>Article 2</w:t>
      </w:r>
      <w:r w:rsidRPr="00B3308E">
        <w:rPr>
          <w:noProof/>
        </w:rPr>
        <w:br/>
      </w:r>
      <w:bookmarkEnd w:id="2"/>
    </w:p>
    <w:p w14:paraId="60DC7FC9" w14:textId="77777777" w:rsidR="00271551" w:rsidRPr="00B3308E" w:rsidRDefault="00271551" w:rsidP="00271551">
      <w:pPr>
        <w:rPr>
          <w:noProof/>
        </w:rPr>
      </w:pPr>
      <w:bookmarkStart w:id="3" w:name="_Toc45722796"/>
      <w:r w:rsidRPr="00B3308E">
        <w:rPr>
          <w:noProof/>
        </w:rPr>
        <w:t xml:space="preserve">This Regulation shall enter into force on the twentieth day following that of its publication in the </w:t>
      </w:r>
      <w:r w:rsidRPr="00B3308E">
        <w:rPr>
          <w:i/>
          <w:noProof/>
        </w:rPr>
        <w:t>Official Journal of the European Union</w:t>
      </w:r>
      <w:r w:rsidRPr="00B3308E">
        <w:rPr>
          <w:noProof/>
        </w:rPr>
        <w:t>.</w:t>
      </w:r>
    </w:p>
    <w:p w14:paraId="061F2873" w14:textId="13291DAC" w:rsidR="00CA5939" w:rsidRPr="00B3308E" w:rsidRDefault="00212DDB" w:rsidP="00271551">
      <w:pPr>
        <w:rPr>
          <w:noProof/>
        </w:rPr>
      </w:pPr>
      <w:r w:rsidRPr="00B3308E">
        <w:rPr>
          <w:noProof/>
        </w:rPr>
        <w:t xml:space="preserve">This Regulation </w:t>
      </w:r>
      <w:r w:rsidR="006F73B0" w:rsidRPr="00B3308E">
        <w:rPr>
          <w:noProof/>
        </w:rPr>
        <w:t>shall apply from [</w:t>
      </w:r>
      <w:r w:rsidR="003301B5" w:rsidRPr="0048328E">
        <w:rPr>
          <w:i/>
          <w:noProof/>
        </w:rPr>
        <w:t>OP, please introduce the date of</w:t>
      </w:r>
      <w:r w:rsidR="003301B5">
        <w:rPr>
          <w:noProof/>
        </w:rPr>
        <w:t xml:space="preserve"> </w:t>
      </w:r>
      <w:r w:rsidR="006F73B0" w:rsidRPr="00B3308E">
        <w:rPr>
          <w:i/>
          <w:noProof/>
        </w:rPr>
        <w:t xml:space="preserve">6 months after publication in the </w:t>
      </w:r>
      <w:r w:rsidRPr="00B3308E">
        <w:rPr>
          <w:i/>
          <w:noProof/>
        </w:rPr>
        <w:t>Official Journal of the European Union</w:t>
      </w:r>
      <w:r w:rsidR="006F73B0" w:rsidRPr="00B3308E">
        <w:rPr>
          <w:noProof/>
        </w:rPr>
        <w:t xml:space="preserve">]. </w:t>
      </w:r>
    </w:p>
    <w:p w14:paraId="745F82DD" w14:textId="670D85B4" w:rsidR="00C83053" w:rsidRPr="00B3308E" w:rsidRDefault="00DA02FE" w:rsidP="000009C0">
      <w:pPr>
        <w:rPr>
          <w:noProof/>
        </w:rPr>
      </w:pPr>
      <w:r w:rsidRPr="00B3308E">
        <w:rPr>
          <w:noProof/>
        </w:rPr>
        <w:t xml:space="preserve"> </w:t>
      </w:r>
      <w:r w:rsidR="000009C0" w:rsidRPr="00B3308E">
        <w:rPr>
          <w:rFonts w:eastAsia="Times New Roman"/>
          <w:noProof/>
          <w:color w:val="000000"/>
          <w:szCs w:val="24"/>
          <w:lang w:eastAsia="en-GB"/>
        </w:rPr>
        <w:t xml:space="preserve"> </w:t>
      </w:r>
    </w:p>
    <w:bookmarkEnd w:id="3"/>
    <w:p w14:paraId="0F2C563E" w14:textId="389C0A3B" w:rsidR="00D24718" w:rsidRPr="00B3308E" w:rsidRDefault="00D24718" w:rsidP="00D24718">
      <w:pPr>
        <w:pStyle w:val="Applicationdirecte"/>
        <w:rPr>
          <w:noProof/>
        </w:rPr>
      </w:pPr>
      <w:r w:rsidRPr="00B3308E">
        <w:rPr>
          <w:noProof/>
        </w:rPr>
        <w:t>This Regulation shall be binding in its entirety and directly applicable in all Member States.</w:t>
      </w:r>
    </w:p>
    <w:p w14:paraId="32F5490A" w14:textId="3A985AC6" w:rsidR="00D24718" w:rsidRPr="00B3308E" w:rsidRDefault="00906733" w:rsidP="005416B6">
      <w:pPr>
        <w:pStyle w:val="Fait"/>
        <w:rPr>
          <w:noProof/>
        </w:rPr>
      </w:pPr>
      <w:r w:rsidRPr="00906733">
        <w:t>Done at Brussels,</w:t>
      </w:r>
    </w:p>
    <w:p w14:paraId="06FFC72C" w14:textId="77777777" w:rsidR="00D24718" w:rsidRPr="00B3308E" w:rsidRDefault="00D24718" w:rsidP="005416B6">
      <w:pPr>
        <w:pStyle w:val="Institutionquisigne"/>
        <w:rPr>
          <w:noProof/>
        </w:rPr>
      </w:pPr>
      <w:r w:rsidRPr="00B3308E">
        <w:rPr>
          <w:noProof/>
        </w:rPr>
        <w:t>For the European Parliament</w:t>
      </w:r>
      <w:r w:rsidRPr="00B3308E">
        <w:rPr>
          <w:noProof/>
        </w:rPr>
        <w:tab/>
        <w:t>For the Council</w:t>
      </w:r>
    </w:p>
    <w:p w14:paraId="1D88A1DA" w14:textId="77777777" w:rsidR="007D09E1" w:rsidRPr="00B3308E" w:rsidRDefault="00D24718" w:rsidP="007D09E1">
      <w:pPr>
        <w:pStyle w:val="Personnequisigne"/>
        <w:rPr>
          <w:noProof/>
        </w:rPr>
      </w:pPr>
      <w:r w:rsidRPr="00B3308E">
        <w:rPr>
          <w:noProof/>
        </w:rPr>
        <w:t>The President</w:t>
      </w:r>
      <w:r w:rsidRPr="00B3308E">
        <w:rPr>
          <w:noProof/>
        </w:rPr>
        <w:tab/>
        <w:t>The President</w:t>
      </w:r>
      <w:r w:rsidR="00540F7F" w:rsidRPr="00B3308E">
        <w:rPr>
          <w:noProof/>
        </w:rPr>
        <w:t xml:space="preserve"> </w:t>
      </w:r>
    </w:p>
    <w:sectPr w:rsidR="007D09E1" w:rsidRPr="00B3308E" w:rsidSect="005E4779">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7D473" w14:textId="77777777" w:rsidR="00837E9F" w:rsidRDefault="00837E9F" w:rsidP="007D09E1">
      <w:pPr>
        <w:spacing w:before="0" w:after="0"/>
      </w:pPr>
      <w:r>
        <w:separator/>
      </w:r>
    </w:p>
  </w:endnote>
  <w:endnote w:type="continuationSeparator" w:id="0">
    <w:p w14:paraId="09759A57" w14:textId="77777777" w:rsidR="00837E9F" w:rsidRDefault="00837E9F" w:rsidP="007D09E1">
      <w:pPr>
        <w:spacing w:before="0" w:after="0"/>
      </w:pPr>
      <w:r>
        <w:continuationSeparator/>
      </w:r>
    </w:p>
  </w:endnote>
  <w:endnote w:type="continuationNotice" w:id="1">
    <w:p w14:paraId="69438409" w14:textId="77777777" w:rsidR="00837E9F" w:rsidRDefault="00837E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3102" w14:textId="30144C95" w:rsidR="0071029D" w:rsidRPr="005E4779" w:rsidRDefault="005E4779" w:rsidP="005E4779">
    <w:pPr>
      <w:pStyle w:val="Footer"/>
      <w:rPr>
        <w:rFonts w:ascii="Arial" w:hAnsi="Arial" w:cs="Arial"/>
        <w:b/>
        <w:sz w:val="48"/>
      </w:rPr>
    </w:pPr>
    <w:r w:rsidRPr="005E4779">
      <w:rPr>
        <w:rFonts w:ascii="Arial" w:hAnsi="Arial" w:cs="Arial"/>
        <w:b/>
        <w:sz w:val="48"/>
      </w:rPr>
      <w:t>EN</w:t>
    </w:r>
    <w:r w:rsidRPr="005E4779">
      <w:rPr>
        <w:rFonts w:ascii="Arial" w:hAnsi="Arial" w:cs="Arial"/>
        <w:b/>
        <w:sz w:val="48"/>
      </w:rPr>
      <w:tab/>
    </w:r>
    <w:r w:rsidRPr="005E4779">
      <w:rPr>
        <w:rFonts w:ascii="Arial" w:hAnsi="Arial" w:cs="Arial"/>
        <w:b/>
        <w:sz w:val="48"/>
      </w:rPr>
      <w:tab/>
    </w:r>
    <w:r w:rsidRPr="005E4779">
      <w:tab/>
    </w:r>
    <w:r w:rsidRPr="005E477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6239" w14:textId="1A5CDC6E" w:rsidR="005E4779" w:rsidRPr="005E4779" w:rsidRDefault="005E4779" w:rsidP="005E4779">
    <w:pPr>
      <w:pStyle w:val="Footer"/>
      <w:rPr>
        <w:rFonts w:ascii="Arial" w:hAnsi="Arial" w:cs="Arial"/>
        <w:b/>
        <w:sz w:val="48"/>
      </w:rPr>
    </w:pPr>
    <w:r w:rsidRPr="005E4779">
      <w:rPr>
        <w:rFonts w:ascii="Arial" w:hAnsi="Arial" w:cs="Arial"/>
        <w:b/>
        <w:sz w:val="48"/>
      </w:rPr>
      <w:t>EN</w:t>
    </w:r>
    <w:r w:rsidRPr="005E4779">
      <w:rPr>
        <w:rFonts w:ascii="Arial" w:hAnsi="Arial" w:cs="Arial"/>
        <w:b/>
        <w:sz w:val="48"/>
      </w:rPr>
      <w:tab/>
    </w:r>
    <w:r>
      <w:fldChar w:fldCharType="begin"/>
    </w:r>
    <w:r>
      <w:instrText xml:space="preserve"> PAGE  \* MERGEFORMAT </w:instrText>
    </w:r>
    <w:r>
      <w:fldChar w:fldCharType="separate"/>
    </w:r>
    <w:r w:rsidR="005416B6">
      <w:rPr>
        <w:noProof/>
      </w:rPr>
      <w:t>12</w:t>
    </w:r>
    <w:r>
      <w:fldChar w:fldCharType="end"/>
    </w:r>
    <w:r>
      <w:tab/>
    </w:r>
    <w:r w:rsidRPr="005E4779">
      <w:tab/>
    </w:r>
    <w:r w:rsidRPr="005E477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CDA4" w14:textId="77777777" w:rsidR="005E4779" w:rsidRPr="005E4779" w:rsidRDefault="005E4779" w:rsidP="005E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394E" w14:textId="77777777" w:rsidR="00837E9F" w:rsidRDefault="00837E9F" w:rsidP="007D09E1">
      <w:pPr>
        <w:spacing w:before="0" w:after="0"/>
      </w:pPr>
      <w:r>
        <w:separator/>
      </w:r>
    </w:p>
  </w:footnote>
  <w:footnote w:type="continuationSeparator" w:id="0">
    <w:p w14:paraId="0910D6A5" w14:textId="77777777" w:rsidR="00837E9F" w:rsidRDefault="00837E9F" w:rsidP="007D09E1">
      <w:pPr>
        <w:spacing w:before="0" w:after="0"/>
      </w:pPr>
      <w:r>
        <w:continuationSeparator/>
      </w:r>
    </w:p>
  </w:footnote>
  <w:footnote w:type="continuationNotice" w:id="1">
    <w:p w14:paraId="3F2FF5FB" w14:textId="77777777" w:rsidR="00837E9F" w:rsidRDefault="00837E9F">
      <w:pPr>
        <w:spacing w:before="0" w:after="0"/>
      </w:pPr>
    </w:p>
  </w:footnote>
  <w:footnote w:id="2">
    <w:p w14:paraId="7D91BCBB" w14:textId="765576E9" w:rsidR="00F302F1" w:rsidRDefault="00F302F1" w:rsidP="00FF1898">
      <w:pPr>
        <w:pStyle w:val="FootnoteText"/>
      </w:pPr>
      <w:r>
        <w:rPr>
          <w:rStyle w:val="FootnoteReference"/>
        </w:rPr>
        <w:footnoteRef/>
      </w:r>
      <w:r>
        <w:tab/>
        <w:t xml:space="preserve">Regulation (EU) 2019/1021 of the European Parliament and of the Council of 20 June 2019 on persistent organic pollutants (recast) (OJ L 169, </w:t>
      </w:r>
      <w:r w:rsidR="00B77108">
        <w:t>25</w:t>
      </w:r>
      <w:r>
        <w:t>.6.2019, p. 45).</w:t>
      </w:r>
    </w:p>
  </w:footnote>
  <w:footnote w:id="3">
    <w:p w14:paraId="5B023EE1" w14:textId="77777777" w:rsidR="00F302F1" w:rsidRDefault="00F302F1" w:rsidP="00FF1898">
      <w:pPr>
        <w:pStyle w:val="FootnoteText"/>
      </w:pPr>
      <w:r>
        <w:rPr>
          <w:rStyle w:val="FootnoteReference"/>
        </w:rPr>
        <w:footnoteRef/>
      </w:r>
      <w:r>
        <w:tab/>
        <w:t>Council Decision 2006/507/EC of 14 October 2004 concerning the conclusion, on behalf of the European Community, of the Stockholm Convention on Persistent Organic Pollutants (OJ L 209, 31.7.2006, p. 1).</w:t>
      </w:r>
    </w:p>
  </w:footnote>
  <w:footnote w:id="4">
    <w:p w14:paraId="00331BC7" w14:textId="77777777" w:rsidR="00F302F1" w:rsidRDefault="00F302F1" w:rsidP="00FF1898">
      <w:pPr>
        <w:pStyle w:val="FootnoteText"/>
      </w:pPr>
      <w:r>
        <w:rPr>
          <w:rStyle w:val="FootnoteReference"/>
        </w:rPr>
        <w:footnoteRef/>
      </w:r>
      <w:r>
        <w:tab/>
        <w:t>Council Decision 2004/259/EC of 19 February 2004 concerning the conclusion, on behalf of the European Community, of the Protocol to the 1979 Convention on Long-Range Transboundary Air Pollution on Persistent Organic Pollutants (OJ L 81, 19.3.2004, p. 35).</w:t>
      </w:r>
    </w:p>
  </w:footnote>
  <w:footnote w:id="5">
    <w:p w14:paraId="7DD26955" w14:textId="149B8EC3" w:rsidR="00F302F1" w:rsidRPr="009543D9" w:rsidRDefault="00F302F1">
      <w:pPr>
        <w:pStyle w:val="FootnoteText"/>
        <w:rPr>
          <w:lang w:val="en-US"/>
        </w:rPr>
      </w:pPr>
      <w:r w:rsidRPr="00803A65">
        <w:rPr>
          <w:rStyle w:val="FootnoteReference"/>
        </w:rPr>
        <w:footnoteRef/>
      </w:r>
      <w:r>
        <w:rPr>
          <w:lang w:val="en-US"/>
        </w:rPr>
        <w:tab/>
      </w:r>
      <w:r>
        <w:t>Regulation (EU) No 649/2012 of the European Parliament and of the Council of 4 July 2012 concerning the export and import of hazardous chemicals (OJ L 201, 27.7.2012, p. 60).</w:t>
      </w:r>
    </w:p>
  </w:footnote>
  <w:footnote w:id="6">
    <w:p w14:paraId="062DE07F" w14:textId="6E25D649" w:rsidR="00F302F1" w:rsidRPr="009543D9" w:rsidRDefault="00F302F1">
      <w:pPr>
        <w:pStyle w:val="FootnoteText"/>
        <w:rPr>
          <w:lang w:val="en-US"/>
        </w:rPr>
      </w:pPr>
      <w:r w:rsidRPr="00803A65">
        <w:rPr>
          <w:rStyle w:val="FootnoteReference"/>
        </w:rPr>
        <w:footnoteRef/>
      </w:r>
      <w:r>
        <w:rPr>
          <w:lang w:val="en-US"/>
        </w:rPr>
        <w:tab/>
      </w:r>
      <w:r w:rsidRPr="003D1086">
        <w:t>COM(2020) 667 final</w:t>
      </w:r>
    </w:p>
  </w:footnote>
  <w:footnote w:id="7">
    <w:p w14:paraId="27EA4336" w14:textId="153F002E" w:rsidR="00F302F1" w:rsidRPr="00B0748E" w:rsidRDefault="00F302F1">
      <w:pPr>
        <w:pStyle w:val="FootnoteText"/>
        <w:rPr>
          <w:lang w:val="en-US"/>
        </w:rPr>
      </w:pPr>
      <w:r w:rsidRPr="00803A65">
        <w:rPr>
          <w:rStyle w:val="FootnoteReference"/>
        </w:rPr>
        <w:footnoteRef/>
      </w:r>
      <w:r>
        <w:rPr>
          <w:lang w:val="en-US"/>
        </w:rPr>
        <w:tab/>
      </w:r>
      <w:r w:rsidRPr="00B0748E">
        <w:t>COM(2019) 640 final</w:t>
      </w:r>
    </w:p>
  </w:footnote>
  <w:footnote w:id="8">
    <w:p w14:paraId="18A9B773" w14:textId="0E3E7853" w:rsidR="00F302F1" w:rsidRPr="00B0748E" w:rsidRDefault="00F302F1">
      <w:pPr>
        <w:pStyle w:val="FootnoteText"/>
        <w:rPr>
          <w:lang w:val="en-US"/>
        </w:rPr>
      </w:pPr>
      <w:r w:rsidRPr="00803A65">
        <w:rPr>
          <w:rStyle w:val="FootnoteReference"/>
        </w:rPr>
        <w:footnoteRef/>
      </w:r>
      <w:r>
        <w:rPr>
          <w:lang w:val="en-US"/>
        </w:rPr>
        <w:tab/>
      </w:r>
      <w:r w:rsidRPr="00B0748E">
        <w:t>COM(2020) 98 final</w:t>
      </w:r>
    </w:p>
  </w:footnote>
  <w:footnote w:id="9">
    <w:p w14:paraId="789068D5" w14:textId="04A3FB16" w:rsidR="00F302F1" w:rsidRPr="00B0748E" w:rsidRDefault="00F302F1">
      <w:pPr>
        <w:pStyle w:val="FootnoteText"/>
        <w:rPr>
          <w:lang w:val="en-US"/>
        </w:rPr>
      </w:pPr>
      <w:r w:rsidRPr="00803A65">
        <w:rPr>
          <w:rStyle w:val="FootnoteReference"/>
        </w:rPr>
        <w:footnoteRef/>
      </w:r>
      <w:r>
        <w:rPr>
          <w:lang w:val="en-US"/>
        </w:rPr>
        <w:tab/>
      </w:r>
      <w:r w:rsidRPr="00B0748E">
        <w:t>COM(2021) 400 final</w:t>
      </w:r>
    </w:p>
  </w:footnote>
  <w:footnote w:id="10">
    <w:p w14:paraId="44E94B77" w14:textId="1F0A3CF7" w:rsidR="00F302F1" w:rsidRPr="0091037E" w:rsidRDefault="00F302F1">
      <w:pPr>
        <w:pStyle w:val="FootnoteText"/>
        <w:rPr>
          <w:lang w:val="en-US"/>
        </w:rPr>
      </w:pPr>
      <w:r w:rsidRPr="00803A65">
        <w:rPr>
          <w:rStyle w:val="FootnoteReference"/>
        </w:rPr>
        <w:footnoteRef/>
      </w:r>
      <w:r>
        <w:rPr>
          <w:lang w:val="en-US"/>
        </w:rPr>
        <w:tab/>
      </w:r>
      <w:r w:rsidRPr="008260D2">
        <w:rPr>
          <w:sz w:val="18"/>
          <w:szCs w:val="18"/>
        </w:rPr>
        <w:t>COM(2018) 32</w:t>
      </w:r>
    </w:p>
  </w:footnote>
  <w:footnote w:id="11">
    <w:p w14:paraId="3C6796D8" w14:textId="4A9A2DA8" w:rsidR="00F302F1" w:rsidRPr="0091037E" w:rsidRDefault="00F302F1">
      <w:pPr>
        <w:pStyle w:val="FootnoteText"/>
        <w:rPr>
          <w:lang w:val="en-US"/>
        </w:rPr>
      </w:pPr>
      <w:r w:rsidRPr="00803A65">
        <w:rPr>
          <w:rStyle w:val="FootnoteReference"/>
        </w:rPr>
        <w:footnoteRef/>
      </w:r>
      <w:r>
        <w:rPr>
          <w:lang w:val="en-US"/>
        </w:rPr>
        <w:tab/>
      </w:r>
      <w:hyperlink r:id="rId1" w:history="1">
        <w:r w:rsidRPr="0091037E">
          <w:rPr>
            <w:rStyle w:val="Hyperlink"/>
            <w:sz w:val="18"/>
            <w:szCs w:val="18"/>
            <w:lang w:val="en-US"/>
          </w:rPr>
          <w:t>https://ec.europa.eu/info/sites/info/files/summary-report-public-consultation-chemical-product-waste-legilsation.pdf</w:t>
        </w:r>
      </w:hyperlink>
      <w:r w:rsidRPr="0091037E">
        <w:rPr>
          <w:lang w:val="en-US"/>
        </w:rPr>
        <w:tab/>
      </w:r>
    </w:p>
  </w:footnote>
  <w:footnote w:id="12">
    <w:p w14:paraId="1A6334D3" w14:textId="32AF33E9" w:rsidR="00F302F1" w:rsidRPr="008911E5" w:rsidRDefault="00F302F1">
      <w:pPr>
        <w:pStyle w:val="FootnoteText"/>
        <w:rPr>
          <w:lang w:val="en-US"/>
        </w:rPr>
      </w:pPr>
      <w:r w:rsidRPr="00803A65">
        <w:rPr>
          <w:rStyle w:val="FootnoteReference"/>
        </w:rPr>
        <w:footnoteRef/>
      </w:r>
      <w:r>
        <w:rPr>
          <w:lang w:val="en-US"/>
        </w:rPr>
        <w:tab/>
      </w:r>
      <w:r w:rsidRPr="0093346B">
        <w:rPr>
          <w:sz w:val="18"/>
          <w:szCs w:val="18"/>
        </w:rPr>
        <w:t>As explained in section 3.1</w:t>
      </w:r>
      <w:r>
        <w:rPr>
          <w:sz w:val="18"/>
          <w:szCs w:val="18"/>
        </w:rPr>
        <w:t xml:space="preserve"> of the impact assessment report,</w:t>
      </w:r>
      <w:r w:rsidRPr="0093346B">
        <w:rPr>
          <w:sz w:val="18"/>
          <w:szCs w:val="18"/>
        </w:rPr>
        <w:t xml:space="preserve"> this is </w:t>
      </w:r>
      <w:r>
        <w:rPr>
          <w:sz w:val="18"/>
          <w:szCs w:val="18"/>
        </w:rPr>
        <w:t xml:space="preserve">a purely hypothetical ‘business-as-usual’ policy option, as such listing is mandatory and </w:t>
      </w:r>
      <w:r w:rsidRPr="0093346B">
        <w:rPr>
          <w:sz w:val="18"/>
          <w:szCs w:val="18"/>
        </w:rPr>
        <w:t>not listing these substances in Annex IV would not enable the EU to meet its obligation to ensure environmentally sound management of POP</w:t>
      </w:r>
      <w:r>
        <w:rPr>
          <w:sz w:val="18"/>
          <w:szCs w:val="18"/>
        </w:rPr>
        <w:t xml:space="preserve"> waste</w:t>
      </w:r>
      <w:r w:rsidRPr="0093346B">
        <w:rPr>
          <w:sz w:val="18"/>
          <w:szCs w:val="18"/>
        </w:rPr>
        <w:t xml:space="preserve">.   </w:t>
      </w:r>
    </w:p>
  </w:footnote>
  <w:footnote w:id="13">
    <w:p w14:paraId="5DDE4819" w14:textId="1F4ABD5B" w:rsidR="00F302F1" w:rsidRPr="00F6470F" w:rsidRDefault="00F302F1">
      <w:pPr>
        <w:pStyle w:val="FootnoteText"/>
        <w:rPr>
          <w:lang w:val="en-US"/>
        </w:rPr>
      </w:pPr>
      <w:r w:rsidRPr="00803A65">
        <w:rPr>
          <w:rStyle w:val="FootnoteReference"/>
        </w:rPr>
        <w:footnoteRef/>
      </w:r>
      <w:r>
        <w:rPr>
          <w:lang w:val="en-US"/>
        </w:rPr>
        <w:tab/>
      </w:r>
      <w:r w:rsidRPr="007B5336">
        <w:rPr>
          <w:sz w:val="18"/>
          <w:szCs w:val="18"/>
        </w:rPr>
        <w:t>N</w:t>
      </w:r>
      <w:r>
        <w:rPr>
          <w:sz w:val="18"/>
          <w:szCs w:val="18"/>
        </w:rPr>
        <w:t>o</w:t>
      </w:r>
      <w:r w:rsidRPr="007B5336">
        <w:rPr>
          <w:sz w:val="18"/>
          <w:szCs w:val="18"/>
        </w:rPr>
        <w:t>te that</w:t>
      </w:r>
      <w:r>
        <w:rPr>
          <w:sz w:val="18"/>
          <w:szCs w:val="18"/>
        </w:rPr>
        <w:t xml:space="preserve">, for dioxin-like PCBs, the assessment focuses on their integration into the limit value for dioxins and furans. </w:t>
      </w:r>
      <w:r w:rsidRPr="007B5336">
        <w:rPr>
          <w:sz w:val="18"/>
          <w:szCs w:val="18"/>
        </w:rPr>
        <w:t xml:space="preserve"> </w:t>
      </w:r>
    </w:p>
  </w:footnote>
  <w:footnote w:id="14">
    <w:p w14:paraId="01840D1B" w14:textId="6FAA8287" w:rsidR="00F302F1" w:rsidRPr="00F6470F" w:rsidRDefault="00F302F1">
      <w:pPr>
        <w:pStyle w:val="FootnoteText"/>
        <w:rPr>
          <w:lang w:val="en-US"/>
        </w:rPr>
      </w:pPr>
      <w:r w:rsidRPr="00803A65">
        <w:rPr>
          <w:rStyle w:val="FootnoteReference"/>
        </w:rPr>
        <w:footnoteRef/>
      </w:r>
      <w:r>
        <w:rPr>
          <w:lang w:val="en-US"/>
        </w:rPr>
        <w:tab/>
      </w:r>
      <w:r>
        <w:rPr>
          <w:sz w:val="18"/>
          <w:szCs w:val="18"/>
        </w:rPr>
        <w:t>Current baseline values in Annex IV of the POPs Regulation.</w:t>
      </w:r>
    </w:p>
  </w:footnote>
  <w:footnote w:id="15">
    <w:p w14:paraId="40D90092" w14:textId="377C8082" w:rsidR="00064B8E" w:rsidRPr="00064B8E" w:rsidRDefault="00064B8E">
      <w:pPr>
        <w:pStyle w:val="FootnoteText"/>
        <w:rPr>
          <w:sz w:val="18"/>
          <w:szCs w:val="18"/>
        </w:rPr>
      </w:pPr>
      <w:r>
        <w:rPr>
          <w:rStyle w:val="FootnoteReference"/>
        </w:rPr>
        <w:footnoteRef/>
      </w:r>
      <w:r w:rsidRPr="00064B8E">
        <w:tab/>
      </w:r>
      <w:r w:rsidRPr="00064B8E">
        <w:rPr>
          <w:sz w:val="18"/>
          <w:szCs w:val="18"/>
        </w:rPr>
        <w:t>Or the value for the sum of listed PBDEs in Annex I, for mixtures or articles, if this is higher</w:t>
      </w:r>
      <w:r>
        <w:rPr>
          <w:sz w:val="18"/>
          <w:szCs w:val="18"/>
        </w:rPr>
        <w:t xml:space="preserve"> at that time</w:t>
      </w:r>
      <w:r w:rsidRPr="00064B8E">
        <w:rPr>
          <w:sz w:val="18"/>
          <w:szCs w:val="18"/>
        </w:rPr>
        <w:t>.</w:t>
      </w:r>
    </w:p>
  </w:footnote>
  <w:footnote w:id="16">
    <w:p w14:paraId="12DD4B37" w14:textId="40DAAA59" w:rsidR="00F302F1" w:rsidRPr="00F6470F" w:rsidRDefault="00F302F1">
      <w:pPr>
        <w:pStyle w:val="FootnoteText"/>
        <w:rPr>
          <w:lang w:val="en-US"/>
        </w:rPr>
      </w:pPr>
      <w:r w:rsidRPr="00803A65">
        <w:rPr>
          <w:rStyle w:val="FootnoteReference"/>
        </w:rPr>
        <w:footnoteRef/>
      </w:r>
      <w:r>
        <w:rPr>
          <w:lang w:val="en-US"/>
        </w:rPr>
        <w:tab/>
      </w:r>
      <w:r>
        <w:rPr>
          <w:sz w:val="18"/>
          <w:szCs w:val="18"/>
        </w:rPr>
        <w:t xml:space="preserve">Sub-options 3 and 4, which </w:t>
      </w:r>
      <w:r>
        <w:rPr>
          <w:sz w:val="18"/>
          <w:szCs w:val="18"/>
          <w:lang w:val="en-US"/>
        </w:rPr>
        <w:t xml:space="preserve">include an additional specific lower value for waste applied on land, have been considered and not retained due to their disproportionate impact and considerations regarding the appropriateness of the instrument (other dedicated legislation seems more appropriate). See section 5.2 of </w:t>
      </w:r>
      <w:r w:rsidR="00B77108">
        <w:rPr>
          <w:sz w:val="18"/>
          <w:szCs w:val="18"/>
          <w:lang w:val="en-US"/>
        </w:rPr>
        <w:t>the impact assessment report</w:t>
      </w:r>
      <w:r>
        <w:rPr>
          <w:sz w:val="18"/>
          <w:szCs w:val="18"/>
          <w:lang w:val="en-US"/>
        </w:rPr>
        <w:t>.</w:t>
      </w:r>
      <w:r w:rsidRPr="00F6470F">
        <w:rPr>
          <w:lang w:val="en-US"/>
        </w:rPr>
        <w:tab/>
      </w:r>
    </w:p>
  </w:footnote>
  <w:footnote w:id="17">
    <w:p w14:paraId="4176BC4D" w14:textId="45A1834F" w:rsidR="00F302F1" w:rsidRPr="00F6470F" w:rsidRDefault="00F302F1">
      <w:pPr>
        <w:pStyle w:val="FootnoteText"/>
        <w:rPr>
          <w:lang w:val="en-US"/>
        </w:rPr>
      </w:pPr>
      <w:r w:rsidRPr="00803A65">
        <w:rPr>
          <w:rStyle w:val="FootnoteReference"/>
        </w:rPr>
        <w:footnoteRef/>
      </w:r>
      <w:r>
        <w:rPr>
          <w:lang w:val="en-US"/>
        </w:rPr>
        <w:tab/>
      </w:r>
      <w:r>
        <w:rPr>
          <w:sz w:val="18"/>
          <w:szCs w:val="18"/>
        </w:rPr>
        <w:t>Options 2 and 3 do not represent numerical values but different approaches to setting a limit for dl-PCBs.</w:t>
      </w:r>
    </w:p>
  </w:footnote>
  <w:footnote w:id="18">
    <w:p w14:paraId="4C853259" w14:textId="42C915ED" w:rsidR="00F302F1" w:rsidRPr="00F6470F" w:rsidRDefault="00F302F1">
      <w:pPr>
        <w:pStyle w:val="FootnoteText"/>
        <w:rPr>
          <w:lang w:val="en-US"/>
        </w:rPr>
      </w:pPr>
      <w:r w:rsidRPr="00803A65">
        <w:rPr>
          <w:rStyle w:val="FootnoteReference"/>
        </w:rPr>
        <w:footnoteRef/>
      </w:r>
      <w:r>
        <w:rPr>
          <w:lang w:val="en-US"/>
        </w:rPr>
        <w:tab/>
      </w:r>
      <w:hyperlink r:id="rId2" w:history="1">
        <w:r w:rsidRPr="00F6470F">
          <w:rPr>
            <w:rStyle w:val="Hyperlink"/>
            <w:sz w:val="18"/>
            <w:szCs w:val="18"/>
            <w:lang w:val="en-US"/>
          </w:rPr>
          <w:t>https://ec.europa.eu/environment/chemicals/international_conventions/index_en.htm</w:t>
        </w:r>
      </w:hyperlink>
    </w:p>
  </w:footnote>
  <w:footnote w:id="19">
    <w:p w14:paraId="67478E7B" w14:textId="4A45E075" w:rsidR="00F302F1" w:rsidRPr="00DD4D33" w:rsidRDefault="00F302F1" w:rsidP="00194FA1">
      <w:pPr>
        <w:pStyle w:val="FootnoteText"/>
        <w:ind w:left="426" w:hanging="426"/>
      </w:pPr>
      <w:r w:rsidRPr="008935D6">
        <w:rPr>
          <w:rStyle w:val="FootnoteReference"/>
        </w:rPr>
        <w:footnoteRef/>
      </w:r>
      <w:r w:rsidRPr="00DD4D33">
        <w:tab/>
        <w:t xml:space="preserve">OJ C </w:t>
      </w:r>
      <w:r w:rsidR="006A5584" w:rsidRPr="00DD4D33">
        <w:t>, , p. .</w:t>
      </w:r>
    </w:p>
  </w:footnote>
  <w:footnote w:id="20">
    <w:p w14:paraId="3F31FA79" w14:textId="5D16CBBF" w:rsidR="00F302F1" w:rsidRPr="00D20C43" w:rsidRDefault="00F302F1" w:rsidP="00194FA1">
      <w:pPr>
        <w:pStyle w:val="FootnoteText"/>
        <w:ind w:left="426" w:hanging="426"/>
        <w:rPr>
          <w:lang w:val="en-IE"/>
        </w:rPr>
      </w:pPr>
      <w:r w:rsidRPr="008935D6">
        <w:rPr>
          <w:rStyle w:val="FootnoteReference"/>
        </w:rPr>
        <w:footnoteRef/>
      </w:r>
      <w:r w:rsidR="006A5584">
        <w:rPr>
          <w:lang w:val="en-IE"/>
        </w:rPr>
        <w:tab/>
        <w:t xml:space="preserve">OJ C </w:t>
      </w:r>
      <w:r w:rsidR="006A5584" w:rsidRPr="00DD4D33">
        <w:t>, , p. .</w:t>
      </w:r>
    </w:p>
  </w:footnote>
  <w:footnote w:id="21">
    <w:p w14:paraId="7B62BC1C" w14:textId="14FE84B5" w:rsidR="00F302F1" w:rsidRDefault="00F302F1" w:rsidP="00BF6DB9">
      <w:pPr>
        <w:pStyle w:val="FootnoteText"/>
      </w:pPr>
      <w:r>
        <w:rPr>
          <w:rStyle w:val="FootnoteReference"/>
        </w:rPr>
        <w:footnoteRef/>
      </w:r>
      <w:r>
        <w:tab/>
        <w:t xml:space="preserve">Regulation (EU) 2019/1021 of the European Parliament and of the Council of 20 June 2019 on persistent organic pollutants (recast) (OJ L 169, </w:t>
      </w:r>
      <w:r w:rsidR="00B77108">
        <w:t>25</w:t>
      </w:r>
      <w:r>
        <w:t>.6.2019, p. 45).</w:t>
      </w:r>
    </w:p>
  </w:footnote>
  <w:footnote w:id="22">
    <w:p w14:paraId="15D77B4E" w14:textId="77777777" w:rsidR="00F302F1" w:rsidRPr="000B32F0" w:rsidRDefault="00F302F1" w:rsidP="00322390">
      <w:pPr>
        <w:pStyle w:val="FootnoteText"/>
      </w:pPr>
      <w:r w:rsidRPr="00434E8D">
        <w:rPr>
          <w:rStyle w:val="FootnoteReference"/>
        </w:rPr>
        <w:footnoteRef/>
      </w:r>
      <w:r w:rsidRPr="00376D56">
        <w:rPr>
          <w:iCs/>
        </w:rPr>
        <w:tab/>
        <w:t xml:space="preserve">Council Decision </w:t>
      </w:r>
      <w:r>
        <w:rPr>
          <w:iCs/>
        </w:rPr>
        <w:t xml:space="preserve">2006/507/EC </w:t>
      </w:r>
      <w:r w:rsidRPr="00376D56">
        <w:rPr>
          <w:iCs/>
        </w:rPr>
        <w:t>of 14 October 2004 concerning the conclusion, on behalf of the European Community, of the Stockholm Convention on Persistent Organic Pollutants</w:t>
      </w:r>
      <w:r>
        <w:rPr>
          <w:iCs/>
        </w:rPr>
        <w:t xml:space="preserve"> (</w:t>
      </w:r>
      <w:r w:rsidRPr="000B32F0">
        <w:t>OJ L 209, 31.7.2006, p. 1</w:t>
      </w:r>
      <w:r>
        <w:t>)</w:t>
      </w:r>
      <w:r w:rsidRPr="000B32F0">
        <w:t>.</w:t>
      </w:r>
    </w:p>
  </w:footnote>
  <w:footnote w:id="23">
    <w:p w14:paraId="06A22001" w14:textId="77777777" w:rsidR="00F302F1" w:rsidRPr="001F0212" w:rsidRDefault="00F302F1" w:rsidP="00322390">
      <w:pPr>
        <w:pStyle w:val="FootnoteText"/>
      </w:pPr>
      <w:r w:rsidRPr="00434E8D">
        <w:rPr>
          <w:rStyle w:val="FootnoteReference"/>
        </w:rPr>
        <w:footnoteRef/>
      </w:r>
      <w:r w:rsidRPr="001F0212">
        <w:tab/>
        <w:t>Council Decision 259/2004</w:t>
      </w:r>
      <w:r w:rsidRPr="009F2F9E">
        <w:rPr>
          <w:iCs/>
        </w:rPr>
        <w:t>/EC</w:t>
      </w:r>
      <w:r w:rsidRPr="001F0212">
        <w:rPr>
          <w:iCs/>
        </w:rPr>
        <w:t xml:space="preserve"> of 19 February 2004 concerning the conclusion, on behalf of the European Community, of the Protocol to the 1979 Convention on Long Range Transboundary Air Pollution on Persistent Organic Pollutants </w:t>
      </w:r>
      <w:r>
        <w:rPr>
          <w:iCs/>
        </w:rPr>
        <w:t>(</w:t>
      </w:r>
      <w:r w:rsidRPr="001F0212">
        <w:rPr>
          <w:iCs/>
        </w:rPr>
        <w:t>OJ L 81, 19.0</w:t>
      </w:r>
      <w:r>
        <w:rPr>
          <w:iCs/>
        </w:rPr>
        <w:t>3</w:t>
      </w:r>
      <w:r w:rsidRPr="001F0212">
        <w:rPr>
          <w:iCs/>
        </w:rPr>
        <w:t>.2004, p. 35</w:t>
      </w:r>
      <w:r>
        <w:rPr>
          <w:iCs/>
        </w:rPr>
        <w:t>)</w:t>
      </w:r>
      <w:r w:rsidRPr="001F0212">
        <w:rPr>
          <w:iCs/>
        </w:rPr>
        <w:t>.</w:t>
      </w:r>
    </w:p>
  </w:footnote>
  <w:footnote w:id="24">
    <w:p w14:paraId="14B2707A" w14:textId="3F5A46C5" w:rsidR="00F302F1" w:rsidRDefault="00F302F1" w:rsidP="00943357">
      <w:pPr>
        <w:pStyle w:val="FootnoteText"/>
      </w:pPr>
      <w:r>
        <w:rPr>
          <w:rStyle w:val="FootnoteReference"/>
        </w:rPr>
        <w:footnoteRef/>
      </w:r>
      <w:r>
        <w:tab/>
        <w:t>Regulation (EC) No 850/2004 of the European Parliament and of the Council of 29 April 2004 on persistent organic pollutants and amending Directive 79/117/EEC (OJ L 158, 30.4.2004, p. 7).</w:t>
      </w:r>
    </w:p>
  </w:footnote>
  <w:footnote w:id="25">
    <w:p w14:paraId="3861E357" w14:textId="0559D8B9" w:rsidR="00F302F1" w:rsidRPr="00F6470F" w:rsidRDefault="00F302F1">
      <w:pPr>
        <w:pStyle w:val="FootnoteText"/>
        <w:rPr>
          <w:lang w:val="en-US"/>
        </w:rPr>
      </w:pPr>
      <w:r>
        <w:rPr>
          <w:rStyle w:val="FootnoteReference"/>
        </w:rPr>
        <w:footnoteRef/>
      </w:r>
      <w:r w:rsidRPr="00F6470F">
        <w:rPr>
          <w:lang w:val="en-US"/>
        </w:rPr>
        <w:tab/>
      </w:r>
      <w:r w:rsidRPr="00943357">
        <w:t>C</w:t>
      </w:r>
      <w:r>
        <w:t>ommission Regulation</w:t>
      </w:r>
      <w:r w:rsidRPr="00943357">
        <w:t xml:space="preserve"> (EU) 2019/636 of 23 April 2019 amending Annexes IV and V to Regulation (EC) No 850/2004 of the European Parliament and of the Council on persistent organic pollutants</w:t>
      </w:r>
      <w:r>
        <w:t xml:space="preserve"> (OJ L 109, 24.4.2019, p. 6).</w:t>
      </w:r>
    </w:p>
  </w:footnote>
  <w:footnote w:id="26">
    <w:p w14:paraId="03C6345A" w14:textId="0914688E" w:rsidR="00F302F1" w:rsidRPr="006F75A9" w:rsidRDefault="00F302F1">
      <w:pPr>
        <w:pStyle w:val="FootnoteText"/>
        <w:rPr>
          <w:lang w:val="en-US"/>
        </w:rPr>
      </w:pPr>
      <w:r>
        <w:rPr>
          <w:rStyle w:val="FootnoteReference"/>
        </w:rPr>
        <w:footnoteRef/>
      </w:r>
      <w:r w:rsidRPr="006F75A9">
        <w:rPr>
          <w:lang w:val="en-US"/>
        </w:rPr>
        <w:tab/>
      </w:r>
      <w:r w:rsidRPr="006F75A9">
        <w:rPr>
          <w:sz w:val="18"/>
          <w:szCs w:val="18"/>
          <w:lang w:val="en-US"/>
        </w:rPr>
        <w:t>PCB-77, PCB-81, PCB-105, PCB-114, PCB-118, PCB-123, PCB-126, PCB-156, PCB-157, PCB-167, PCB-169 and PCB 189</w:t>
      </w:r>
      <w:r>
        <w:rPr>
          <w:sz w:val="18"/>
          <w:szCs w:val="18"/>
          <w:lang w:val="en-US"/>
        </w:rPr>
        <w:t>.</w:t>
      </w:r>
    </w:p>
  </w:footnote>
  <w:footnote w:id="27">
    <w:p w14:paraId="283CAD02" w14:textId="41111A4F" w:rsidR="003301B5" w:rsidRPr="0091433A" w:rsidRDefault="003301B5">
      <w:pPr>
        <w:pStyle w:val="FootnoteText"/>
        <w:rPr>
          <w:lang w:val="es-ES"/>
        </w:rPr>
      </w:pPr>
      <w:r>
        <w:rPr>
          <w:rStyle w:val="FootnoteReference"/>
        </w:rPr>
        <w:footnoteRef/>
      </w:r>
      <w:r>
        <w:rPr>
          <w:lang w:val="es-ES"/>
        </w:rPr>
        <w:tab/>
      </w:r>
      <w:r>
        <w:t xml:space="preserve">COM(2019) 640 final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C410405A"/>
    <w:lvl w:ilvl="0">
      <w:start w:val="1"/>
      <w:numFmt w:val="lowerLetter"/>
      <w:lvlText w:val="(%1)"/>
      <w:lvlJc w:val="left"/>
      <w:pPr>
        <w:ind w:left="360" w:hanging="360"/>
      </w:pPr>
      <w:rPr>
        <w:rFonts w:hint="default"/>
      </w:rPr>
    </w:lvl>
    <w:lvl w:ilvl="1">
      <w:start w:val="1"/>
      <w:numFmt w:val="lowerLetter"/>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7638E9"/>
    <w:multiLevelType w:val="hybridMultilevel"/>
    <w:tmpl w:val="1E2AB872"/>
    <w:lvl w:ilvl="0" w:tplc="148A42B0">
      <w:start w:val="1"/>
      <w:numFmt w:val="lowerLetter"/>
      <w:pStyle w:val="1NumPar"/>
      <w:lvlText w:val="(%1)"/>
      <w:lvlJc w:val="left"/>
      <w:pPr>
        <w:ind w:left="1570" w:hanging="360"/>
      </w:pPr>
      <w:rPr>
        <w:rFonts w:hint="default"/>
      </w:rPr>
    </w:lvl>
    <w:lvl w:ilvl="1" w:tplc="BE0E9DC2">
      <w:start w:val="5"/>
      <w:numFmt w:val="bullet"/>
      <w:lvlText w:val="-"/>
      <w:lvlJc w:val="left"/>
      <w:pPr>
        <w:ind w:left="2290" w:hanging="360"/>
      </w:pPr>
      <w:rPr>
        <w:rFonts w:ascii="Times New Roman" w:eastAsia="Verdana" w:hAnsi="Times New Roman" w:cs="Times New Roman" w:hint="default"/>
      </w:rPr>
    </w:lvl>
    <w:lvl w:ilvl="2" w:tplc="804A39F4">
      <w:start w:val="1"/>
      <w:numFmt w:val="lowerRoman"/>
      <w:lvlText w:val="%3)"/>
      <w:lvlJc w:val="left"/>
      <w:pPr>
        <w:ind w:left="3550" w:hanging="720"/>
      </w:pPr>
      <w:rPr>
        <w:rFonts w:hint="default"/>
      </w:rPr>
    </w:lvl>
    <w:lvl w:ilvl="3" w:tplc="148A42B0">
      <w:start w:val="1"/>
      <w:numFmt w:val="lowerLetter"/>
      <w:lvlText w:val="(%4)"/>
      <w:lvlJc w:val="left"/>
      <w:pPr>
        <w:ind w:left="3730" w:hanging="360"/>
      </w:pPr>
      <w:rPr>
        <w:rFonts w:hint="default"/>
      </w:r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15:restartNumberingAfterBreak="0">
    <w:nsid w:val="7F3A3085"/>
    <w:multiLevelType w:val="multilevel"/>
    <w:tmpl w:val="2A989518"/>
    <w:styleLink w:val="Style1"/>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32"/>
  </w:num>
  <w:num w:numId="17">
    <w:abstractNumId w:val="8"/>
  </w:num>
  <w:num w:numId="18">
    <w:abstractNumId w:val="7"/>
  </w:num>
  <w:num w:numId="19">
    <w:abstractNumId w:val="31"/>
    <w:lvlOverride w:ilvl="0">
      <w:startOverride w:val="1"/>
    </w:lvlOverride>
  </w:num>
  <w:num w:numId="20">
    <w:abstractNumId w:val="22"/>
    <w:lvlOverride w:ilvl="0">
      <w:startOverride w:val="1"/>
    </w:lvlOverride>
  </w:num>
  <w:num w:numId="21">
    <w:abstractNumId w:val="24"/>
  </w:num>
  <w:num w:numId="22">
    <w:abstractNumId w:val="13"/>
  </w:num>
  <w:num w:numId="23">
    <w:abstractNumId w:val="27"/>
  </w:num>
  <w:num w:numId="24">
    <w:abstractNumId w:val="6"/>
  </w:num>
  <w:num w:numId="25">
    <w:abstractNumId w:val="14"/>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6"/>
  </w:num>
  <w:num w:numId="34">
    <w:abstractNumId w:val="15"/>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de-DE"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20 17:09:2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0"/>
    <w:docVar w:name="DQCResult_StructureCheck" w:val="0;0"/>
    <w:docVar w:name="DQCResult_SuperfluousWhitespace" w:val="0;33"/>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1C8E746B-248D-48A0-B9DD-351FE26B23F6"/>
    <w:docVar w:name="LW_COVERPAGE_TYPE" w:val="1"/>
    <w:docVar w:name="LW_CROSSREFERENCE" w:val="{SEC(2021) 379 final} - {SWD(2021) 299 final} - {SWD(2021) 300 final} - {SWD(2021) 301 final}"/>
    <w:docVar w:name="LW_DocType" w:val="COM"/>
    <w:docVar w:name="LW_EMISSION" w:val="28.10.2021"/>
    <w:docVar w:name="LW_EMISSION_ISODATE" w:val="2021-10-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0"/>
    <w:docVar w:name="LW_REF.II.NEW.CP_YEAR" w:val="2021"/>
    <w:docVar w:name="LW_REF.INST.NEW" w:val="COM"/>
    <w:docVar w:name="LW_REF.INST.NEW_ADOPTED" w:val="final"/>
    <w:docVar w:name="LW_REF.INST.NEW_TEXT" w:val="(2021) 6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Annexes IV and V to Regulation (EU) 2019/1021 of the European Parliament and of the Council on persistent organic pollutants"/>
    <w:docVar w:name="LW_TYPE.DOC.CP" w:val="REGULATION OF THE EUROPEAN PARLIAMENT AND OF THE COUNCIL"/>
    <w:docVar w:name="LwApiVersions" w:val="LW4CoDe 1.23.1.0; LW 8.0, Build 20210728"/>
  </w:docVars>
  <w:rsids>
    <w:rsidRoot w:val="007D09E1"/>
    <w:rsid w:val="000006AF"/>
    <w:rsid w:val="0000093F"/>
    <w:rsid w:val="000009C0"/>
    <w:rsid w:val="0000120D"/>
    <w:rsid w:val="00001474"/>
    <w:rsid w:val="0000158B"/>
    <w:rsid w:val="00001FF5"/>
    <w:rsid w:val="000024C6"/>
    <w:rsid w:val="00002B49"/>
    <w:rsid w:val="00003FCE"/>
    <w:rsid w:val="00004551"/>
    <w:rsid w:val="000048E8"/>
    <w:rsid w:val="00004C60"/>
    <w:rsid w:val="00005CC9"/>
    <w:rsid w:val="00006689"/>
    <w:rsid w:val="00006ABB"/>
    <w:rsid w:val="0001069F"/>
    <w:rsid w:val="00010962"/>
    <w:rsid w:val="00011985"/>
    <w:rsid w:val="00011EE1"/>
    <w:rsid w:val="0001262A"/>
    <w:rsid w:val="00012FA6"/>
    <w:rsid w:val="0001365F"/>
    <w:rsid w:val="00013787"/>
    <w:rsid w:val="000141DD"/>
    <w:rsid w:val="000144C5"/>
    <w:rsid w:val="00014DAF"/>
    <w:rsid w:val="00014DD8"/>
    <w:rsid w:val="00015688"/>
    <w:rsid w:val="00015AC6"/>
    <w:rsid w:val="00016CBE"/>
    <w:rsid w:val="00017268"/>
    <w:rsid w:val="000219C9"/>
    <w:rsid w:val="00021AD0"/>
    <w:rsid w:val="0002237E"/>
    <w:rsid w:val="0002286C"/>
    <w:rsid w:val="00022B83"/>
    <w:rsid w:val="00022D02"/>
    <w:rsid w:val="00023233"/>
    <w:rsid w:val="00023F09"/>
    <w:rsid w:val="00024028"/>
    <w:rsid w:val="00024173"/>
    <w:rsid w:val="0002441C"/>
    <w:rsid w:val="00026B7A"/>
    <w:rsid w:val="00030B90"/>
    <w:rsid w:val="0003198C"/>
    <w:rsid w:val="0003465F"/>
    <w:rsid w:val="0003495C"/>
    <w:rsid w:val="000354A0"/>
    <w:rsid w:val="00035906"/>
    <w:rsid w:val="0004173E"/>
    <w:rsid w:val="00041DF6"/>
    <w:rsid w:val="00044582"/>
    <w:rsid w:val="00044E6C"/>
    <w:rsid w:val="0004568B"/>
    <w:rsid w:val="00046092"/>
    <w:rsid w:val="00046479"/>
    <w:rsid w:val="00046B93"/>
    <w:rsid w:val="000470E4"/>
    <w:rsid w:val="00047355"/>
    <w:rsid w:val="00047FB4"/>
    <w:rsid w:val="0005101C"/>
    <w:rsid w:val="00051CB8"/>
    <w:rsid w:val="00051EC9"/>
    <w:rsid w:val="00052909"/>
    <w:rsid w:val="00055131"/>
    <w:rsid w:val="0005542A"/>
    <w:rsid w:val="000564BE"/>
    <w:rsid w:val="00056A39"/>
    <w:rsid w:val="0005732D"/>
    <w:rsid w:val="00057A7A"/>
    <w:rsid w:val="00057C0E"/>
    <w:rsid w:val="000600DA"/>
    <w:rsid w:val="00060221"/>
    <w:rsid w:val="00060B21"/>
    <w:rsid w:val="0006108B"/>
    <w:rsid w:val="00061566"/>
    <w:rsid w:val="0006157F"/>
    <w:rsid w:val="00061823"/>
    <w:rsid w:val="00062F22"/>
    <w:rsid w:val="00064B8E"/>
    <w:rsid w:val="00064C1E"/>
    <w:rsid w:val="00065529"/>
    <w:rsid w:val="00065704"/>
    <w:rsid w:val="000659D6"/>
    <w:rsid w:val="00065A67"/>
    <w:rsid w:val="000668E1"/>
    <w:rsid w:val="00070B9F"/>
    <w:rsid w:val="00071345"/>
    <w:rsid w:val="00071537"/>
    <w:rsid w:val="00072CCF"/>
    <w:rsid w:val="00073689"/>
    <w:rsid w:val="0007462F"/>
    <w:rsid w:val="00075D1C"/>
    <w:rsid w:val="0007670B"/>
    <w:rsid w:val="00076CA8"/>
    <w:rsid w:val="000774A4"/>
    <w:rsid w:val="00077A6A"/>
    <w:rsid w:val="00077D0B"/>
    <w:rsid w:val="00077D73"/>
    <w:rsid w:val="00080FA4"/>
    <w:rsid w:val="0008141D"/>
    <w:rsid w:val="000824F3"/>
    <w:rsid w:val="00083661"/>
    <w:rsid w:val="00083F08"/>
    <w:rsid w:val="000858EC"/>
    <w:rsid w:val="000860AA"/>
    <w:rsid w:val="000865BF"/>
    <w:rsid w:val="00086EA3"/>
    <w:rsid w:val="0008723B"/>
    <w:rsid w:val="00087622"/>
    <w:rsid w:val="00087F56"/>
    <w:rsid w:val="00090124"/>
    <w:rsid w:val="00090213"/>
    <w:rsid w:val="000905B3"/>
    <w:rsid w:val="00090F8A"/>
    <w:rsid w:val="0009101A"/>
    <w:rsid w:val="00092188"/>
    <w:rsid w:val="00092E51"/>
    <w:rsid w:val="000934F7"/>
    <w:rsid w:val="00093ABF"/>
    <w:rsid w:val="00093E5A"/>
    <w:rsid w:val="000943D4"/>
    <w:rsid w:val="00095472"/>
    <w:rsid w:val="0009547E"/>
    <w:rsid w:val="00095ADA"/>
    <w:rsid w:val="00095D2C"/>
    <w:rsid w:val="00095F04"/>
    <w:rsid w:val="0009641B"/>
    <w:rsid w:val="000A0487"/>
    <w:rsid w:val="000A1FD5"/>
    <w:rsid w:val="000A226A"/>
    <w:rsid w:val="000A4CB3"/>
    <w:rsid w:val="000A5F0F"/>
    <w:rsid w:val="000A645E"/>
    <w:rsid w:val="000A6BAC"/>
    <w:rsid w:val="000A7517"/>
    <w:rsid w:val="000A758F"/>
    <w:rsid w:val="000A7828"/>
    <w:rsid w:val="000A7ACB"/>
    <w:rsid w:val="000A7C42"/>
    <w:rsid w:val="000B2E55"/>
    <w:rsid w:val="000B3505"/>
    <w:rsid w:val="000B36AF"/>
    <w:rsid w:val="000B391B"/>
    <w:rsid w:val="000B3AA0"/>
    <w:rsid w:val="000B3CA8"/>
    <w:rsid w:val="000B3E37"/>
    <w:rsid w:val="000B460F"/>
    <w:rsid w:val="000B5B82"/>
    <w:rsid w:val="000B7589"/>
    <w:rsid w:val="000B7EEA"/>
    <w:rsid w:val="000C0D88"/>
    <w:rsid w:val="000C1FB2"/>
    <w:rsid w:val="000C241D"/>
    <w:rsid w:val="000C3C3E"/>
    <w:rsid w:val="000C3DF1"/>
    <w:rsid w:val="000C4E00"/>
    <w:rsid w:val="000C4F36"/>
    <w:rsid w:val="000C4FB8"/>
    <w:rsid w:val="000C59CA"/>
    <w:rsid w:val="000C64CF"/>
    <w:rsid w:val="000C65AF"/>
    <w:rsid w:val="000C6AC7"/>
    <w:rsid w:val="000C6DDD"/>
    <w:rsid w:val="000C72E3"/>
    <w:rsid w:val="000C7953"/>
    <w:rsid w:val="000D060D"/>
    <w:rsid w:val="000D132E"/>
    <w:rsid w:val="000D1A73"/>
    <w:rsid w:val="000D1F7C"/>
    <w:rsid w:val="000D2A41"/>
    <w:rsid w:val="000D2BA0"/>
    <w:rsid w:val="000D2D5B"/>
    <w:rsid w:val="000D3476"/>
    <w:rsid w:val="000D4512"/>
    <w:rsid w:val="000D4A16"/>
    <w:rsid w:val="000D4C0F"/>
    <w:rsid w:val="000D55FD"/>
    <w:rsid w:val="000D5BA2"/>
    <w:rsid w:val="000D63C2"/>
    <w:rsid w:val="000D6CA3"/>
    <w:rsid w:val="000D7D92"/>
    <w:rsid w:val="000E0BC1"/>
    <w:rsid w:val="000E13D1"/>
    <w:rsid w:val="000E198E"/>
    <w:rsid w:val="000E1B47"/>
    <w:rsid w:val="000E39E5"/>
    <w:rsid w:val="000E4399"/>
    <w:rsid w:val="000E4AF3"/>
    <w:rsid w:val="000E51BF"/>
    <w:rsid w:val="000E52F6"/>
    <w:rsid w:val="000E5CA4"/>
    <w:rsid w:val="000E6041"/>
    <w:rsid w:val="000E6BF8"/>
    <w:rsid w:val="000E7D09"/>
    <w:rsid w:val="000E7F43"/>
    <w:rsid w:val="000F0404"/>
    <w:rsid w:val="000F0BBE"/>
    <w:rsid w:val="000F0DB5"/>
    <w:rsid w:val="000F101B"/>
    <w:rsid w:val="000F14D3"/>
    <w:rsid w:val="000F1920"/>
    <w:rsid w:val="000F21EE"/>
    <w:rsid w:val="000F2340"/>
    <w:rsid w:val="000F2BC6"/>
    <w:rsid w:val="000F3D15"/>
    <w:rsid w:val="000F43FF"/>
    <w:rsid w:val="000F45E9"/>
    <w:rsid w:val="000F4A64"/>
    <w:rsid w:val="000F4B26"/>
    <w:rsid w:val="000F599B"/>
    <w:rsid w:val="000F5FC7"/>
    <w:rsid w:val="000F61C7"/>
    <w:rsid w:val="000F646A"/>
    <w:rsid w:val="000F6C59"/>
    <w:rsid w:val="000F6D9E"/>
    <w:rsid w:val="000F6E16"/>
    <w:rsid w:val="001007FC"/>
    <w:rsid w:val="00100ECD"/>
    <w:rsid w:val="0010164D"/>
    <w:rsid w:val="001016A9"/>
    <w:rsid w:val="00101E35"/>
    <w:rsid w:val="0010218E"/>
    <w:rsid w:val="00102253"/>
    <w:rsid w:val="001030D4"/>
    <w:rsid w:val="0010332B"/>
    <w:rsid w:val="00103C62"/>
    <w:rsid w:val="001043A0"/>
    <w:rsid w:val="00105411"/>
    <w:rsid w:val="00106137"/>
    <w:rsid w:val="00106979"/>
    <w:rsid w:val="001078C2"/>
    <w:rsid w:val="00107C31"/>
    <w:rsid w:val="00107D86"/>
    <w:rsid w:val="00107F8A"/>
    <w:rsid w:val="00110CD5"/>
    <w:rsid w:val="00110ECB"/>
    <w:rsid w:val="0011212C"/>
    <w:rsid w:val="00112414"/>
    <w:rsid w:val="00112754"/>
    <w:rsid w:val="0011288D"/>
    <w:rsid w:val="00112F09"/>
    <w:rsid w:val="00112F81"/>
    <w:rsid w:val="00113070"/>
    <w:rsid w:val="00113CD2"/>
    <w:rsid w:val="001143BF"/>
    <w:rsid w:val="00115CE0"/>
    <w:rsid w:val="00115D71"/>
    <w:rsid w:val="00116718"/>
    <w:rsid w:val="0011766C"/>
    <w:rsid w:val="0012054A"/>
    <w:rsid w:val="00120765"/>
    <w:rsid w:val="00120D2D"/>
    <w:rsid w:val="0012173F"/>
    <w:rsid w:val="0012192C"/>
    <w:rsid w:val="001232A0"/>
    <w:rsid w:val="001238C8"/>
    <w:rsid w:val="00124489"/>
    <w:rsid w:val="0012626E"/>
    <w:rsid w:val="00126299"/>
    <w:rsid w:val="00127B91"/>
    <w:rsid w:val="00130E8C"/>
    <w:rsid w:val="00131323"/>
    <w:rsid w:val="0013142C"/>
    <w:rsid w:val="00131572"/>
    <w:rsid w:val="00132491"/>
    <w:rsid w:val="00134074"/>
    <w:rsid w:val="0013420D"/>
    <w:rsid w:val="0013423D"/>
    <w:rsid w:val="00134345"/>
    <w:rsid w:val="0013507B"/>
    <w:rsid w:val="0013574F"/>
    <w:rsid w:val="001361E4"/>
    <w:rsid w:val="0013631B"/>
    <w:rsid w:val="0014044C"/>
    <w:rsid w:val="00140530"/>
    <w:rsid w:val="001411D8"/>
    <w:rsid w:val="001416D1"/>
    <w:rsid w:val="001419FB"/>
    <w:rsid w:val="00141EEB"/>
    <w:rsid w:val="0014265D"/>
    <w:rsid w:val="0014340C"/>
    <w:rsid w:val="00143A74"/>
    <w:rsid w:val="00143CFC"/>
    <w:rsid w:val="00144F4A"/>
    <w:rsid w:val="0014534F"/>
    <w:rsid w:val="00145E0E"/>
    <w:rsid w:val="0014707A"/>
    <w:rsid w:val="00147802"/>
    <w:rsid w:val="00147A81"/>
    <w:rsid w:val="00147EF5"/>
    <w:rsid w:val="00147F06"/>
    <w:rsid w:val="001502D5"/>
    <w:rsid w:val="00151692"/>
    <w:rsid w:val="0015198B"/>
    <w:rsid w:val="00152C85"/>
    <w:rsid w:val="00152FA3"/>
    <w:rsid w:val="0015306E"/>
    <w:rsid w:val="00153791"/>
    <w:rsid w:val="00154CAA"/>
    <w:rsid w:val="0015530C"/>
    <w:rsid w:val="00155ADC"/>
    <w:rsid w:val="001560A3"/>
    <w:rsid w:val="00157680"/>
    <w:rsid w:val="001600A9"/>
    <w:rsid w:val="00160B1F"/>
    <w:rsid w:val="00161AA1"/>
    <w:rsid w:val="00161C39"/>
    <w:rsid w:val="00162158"/>
    <w:rsid w:val="00162348"/>
    <w:rsid w:val="00162998"/>
    <w:rsid w:val="00162C80"/>
    <w:rsid w:val="00162DDD"/>
    <w:rsid w:val="00164E9F"/>
    <w:rsid w:val="001652DA"/>
    <w:rsid w:val="00165499"/>
    <w:rsid w:val="00166896"/>
    <w:rsid w:val="001670B5"/>
    <w:rsid w:val="0017034B"/>
    <w:rsid w:val="001708C3"/>
    <w:rsid w:val="001708DE"/>
    <w:rsid w:val="00170CAA"/>
    <w:rsid w:val="001718B6"/>
    <w:rsid w:val="00171BDB"/>
    <w:rsid w:val="001723B9"/>
    <w:rsid w:val="00172756"/>
    <w:rsid w:val="001735F8"/>
    <w:rsid w:val="0017535B"/>
    <w:rsid w:val="0017540A"/>
    <w:rsid w:val="001755B2"/>
    <w:rsid w:val="0017560B"/>
    <w:rsid w:val="001758A6"/>
    <w:rsid w:val="001760D6"/>
    <w:rsid w:val="00177F7C"/>
    <w:rsid w:val="00180CE8"/>
    <w:rsid w:val="00181860"/>
    <w:rsid w:val="0018241C"/>
    <w:rsid w:val="001824FB"/>
    <w:rsid w:val="00183E83"/>
    <w:rsid w:val="0018457C"/>
    <w:rsid w:val="0018488C"/>
    <w:rsid w:val="00184E9D"/>
    <w:rsid w:val="00185139"/>
    <w:rsid w:val="00190C09"/>
    <w:rsid w:val="0019222C"/>
    <w:rsid w:val="00192A36"/>
    <w:rsid w:val="00192C0C"/>
    <w:rsid w:val="00193671"/>
    <w:rsid w:val="00194019"/>
    <w:rsid w:val="001941B1"/>
    <w:rsid w:val="001942AE"/>
    <w:rsid w:val="001949B5"/>
    <w:rsid w:val="00194FA1"/>
    <w:rsid w:val="001953D8"/>
    <w:rsid w:val="001957ED"/>
    <w:rsid w:val="00196347"/>
    <w:rsid w:val="00196D8F"/>
    <w:rsid w:val="0019745B"/>
    <w:rsid w:val="00197A37"/>
    <w:rsid w:val="001A0A03"/>
    <w:rsid w:val="001A1117"/>
    <w:rsid w:val="001A2068"/>
    <w:rsid w:val="001A2158"/>
    <w:rsid w:val="001A22F1"/>
    <w:rsid w:val="001A2732"/>
    <w:rsid w:val="001A3E42"/>
    <w:rsid w:val="001A4643"/>
    <w:rsid w:val="001A46D1"/>
    <w:rsid w:val="001A4DD7"/>
    <w:rsid w:val="001A4E4D"/>
    <w:rsid w:val="001A4E8B"/>
    <w:rsid w:val="001A511B"/>
    <w:rsid w:val="001A73D8"/>
    <w:rsid w:val="001A7BAA"/>
    <w:rsid w:val="001A7D6E"/>
    <w:rsid w:val="001B1279"/>
    <w:rsid w:val="001B33BD"/>
    <w:rsid w:val="001B4D72"/>
    <w:rsid w:val="001B5AD2"/>
    <w:rsid w:val="001B6079"/>
    <w:rsid w:val="001B61C4"/>
    <w:rsid w:val="001C0DA1"/>
    <w:rsid w:val="001C175E"/>
    <w:rsid w:val="001C1827"/>
    <w:rsid w:val="001C1AB3"/>
    <w:rsid w:val="001C1DC0"/>
    <w:rsid w:val="001C1EF6"/>
    <w:rsid w:val="001C2816"/>
    <w:rsid w:val="001C39E8"/>
    <w:rsid w:val="001C3FF9"/>
    <w:rsid w:val="001C48A6"/>
    <w:rsid w:val="001C598C"/>
    <w:rsid w:val="001C59CF"/>
    <w:rsid w:val="001C5B14"/>
    <w:rsid w:val="001C5B7F"/>
    <w:rsid w:val="001C5F8E"/>
    <w:rsid w:val="001C6066"/>
    <w:rsid w:val="001C6670"/>
    <w:rsid w:val="001C6A1E"/>
    <w:rsid w:val="001C7993"/>
    <w:rsid w:val="001C7B36"/>
    <w:rsid w:val="001C7BEB"/>
    <w:rsid w:val="001D0C21"/>
    <w:rsid w:val="001D13AF"/>
    <w:rsid w:val="001D1A63"/>
    <w:rsid w:val="001D2C9A"/>
    <w:rsid w:val="001D2E70"/>
    <w:rsid w:val="001D304B"/>
    <w:rsid w:val="001D3840"/>
    <w:rsid w:val="001D4014"/>
    <w:rsid w:val="001D4959"/>
    <w:rsid w:val="001D5886"/>
    <w:rsid w:val="001D5FC3"/>
    <w:rsid w:val="001D6C5C"/>
    <w:rsid w:val="001D6CED"/>
    <w:rsid w:val="001D78FA"/>
    <w:rsid w:val="001E00C1"/>
    <w:rsid w:val="001E0567"/>
    <w:rsid w:val="001E0C4A"/>
    <w:rsid w:val="001E1429"/>
    <w:rsid w:val="001E219B"/>
    <w:rsid w:val="001E2DF2"/>
    <w:rsid w:val="001E2ED6"/>
    <w:rsid w:val="001E4362"/>
    <w:rsid w:val="001E45F0"/>
    <w:rsid w:val="001E46FA"/>
    <w:rsid w:val="001E5FFB"/>
    <w:rsid w:val="001E6644"/>
    <w:rsid w:val="001E7002"/>
    <w:rsid w:val="001E747F"/>
    <w:rsid w:val="001E7A4F"/>
    <w:rsid w:val="001E7B55"/>
    <w:rsid w:val="001E7DF1"/>
    <w:rsid w:val="001F0131"/>
    <w:rsid w:val="001F1B02"/>
    <w:rsid w:val="001F399B"/>
    <w:rsid w:val="001F3EA6"/>
    <w:rsid w:val="001F3EF7"/>
    <w:rsid w:val="001F41D2"/>
    <w:rsid w:val="001F46E4"/>
    <w:rsid w:val="001F50A3"/>
    <w:rsid w:val="001F54A6"/>
    <w:rsid w:val="001F57CC"/>
    <w:rsid w:val="001F66D4"/>
    <w:rsid w:val="001F6BEF"/>
    <w:rsid w:val="001F7432"/>
    <w:rsid w:val="0020007E"/>
    <w:rsid w:val="00200EC0"/>
    <w:rsid w:val="00200ECE"/>
    <w:rsid w:val="0020127A"/>
    <w:rsid w:val="00201633"/>
    <w:rsid w:val="002016C4"/>
    <w:rsid w:val="0020227E"/>
    <w:rsid w:val="00202D4B"/>
    <w:rsid w:val="0020365B"/>
    <w:rsid w:val="002037F9"/>
    <w:rsid w:val="002040DB"/>
    <w:rsid w:val="00204860"/>
    <w:rsid w:val="00204A82"/>
    <w:rsid w:val="002050A1"/>
    <w:rsid w:val="00206BAB"/>
    <w:rsid w:val="002070E1"/>
    <w:rsid w:val="00207D0A"/>
    <w:rsid w:val="00207D5C"/>
    <w:rsid w:val="002101BA"/>
    <w:rsid w:val="002103DB"/>
    <w:rsid w:val="00210BB2"/>
    <w:rsid w:val="002116C1"/>
    <w:rsid w:val="002117BB"/>
    <w:rsid w:val="002119DE"/>
    <w:rsid w:val="00212DDB"/>
    <w:rsid w:val="00212EC1"/>
    <w:rsid w:val="00214371"/>
    <w:rsid w:val="00214A45"/>
    <w:rsid w:val="00214F42"/>
    <w:rsid w:val="00214FC6"/>
    <w:rsid w:val="00215FC1"/>
    <w:rsid w:val="00220EF0"/>
    <w:rsid w:val="002211A5"/>
    <w:rsid w:val="002220DE"/>
    <w:rsid w:val="002224C2"/>
    <w:rsid w:val="002227BA"/>
    <w:rsid w:val="00222B7C"/>
    <w:rsid w:val="00222E21"/>
    <w:rsid w:val="00223639"/>
    <w:rsid w:val="002238A1"/>
    <w:rsid w:val="00223FCD"/>
    <w:rsid w:val="0022410F"/>
    <w:rsid w:val="00230615"/>
    <w:rsid w:val="002315E1"/>
    <w:rsid w:val="002317FC"/>
    <w:rsid w:val="00231E89"/>
    <w:rsid w:val="00232147"/>
    <w:rsid w:val="0023247E"/>
    <w:rsid w:val="00232759"/>
    <w:rsid w:val="00232C04"/>
    <w:rsid w:val="002330FD"/>
    <w:rsid w:val="00234694"/>
    <w:rsid w:val="002347D8"/>
    <w:rsid w:val="002353D5"/>
    <w:rsid w:val="0023593B"/>
    <w:rsid w:val="00235AF2"/>
    <w:rsid w:val="002363DB"/>
    <w:rsid w:val="002364F8"/>
    <w:rsid w:val="00237E4E"/>
    <w:rsid w:val="002406D0"/>
    <w:rsid w:val="00240A96"/>
    <w:rsid w:val="0024139D"/>
    <w:rsid w:val="0024173A"/>
    <w:rsid w:val="00242462"/>
    <w:rsid w:val="002429D3"/>
    <w:rsid w:val="002438A7"/>
    <w:rsid w:val="002447DB"/>
    <w:rsid w:val="00244D44"/>
    <w:rsid w:val="0024527B"/>
    <w:rsid w:val="002455C6"/>
    <w:rsid w:val="00245823"/>
    <w:rsid w:val="00245EAB"/>
    <w:rsid w:val="0024614C"/>
    <w:rsid w:val="002470FC"/>
    <w:rsid w:val="00247284"/>
    <w:rsid w:val="00247EF8"/>
    <w:rsid w:val="002509C3"/>
    <w:rsid w:val="00250DC4"/>
    <w:rsid w:val="002510BE"/>
    <w:rsid w:val="0025122B"/>
    <w:rsid w:val="0025180D"/>
    <w:rsid w:val="00251874"/>
    <w:rsid w:val="00251BC4"/>
    <w:rsid w:val="00251D40"/>
    <w:rsid w:val="00252425"/>
    <w:rsid w:val="00252670"/>
    <w:rsid w:val="0025444C"/>
    <w:rsid w:val="00254873"/>
    <w:rsid w:val="00256D2D"/>
    <w:rsid w:val="002570B0"/>
    <w:rsid w:val="00260A9A"/>
    <w:rsid w:val="00261334"/>
    <w:rsid w:val="00261C6A"/>
    <w:rsid w:val="00262A6D"/>
    <w:rsid w:val="0026336F"/>
    <w:rsid w:val="00263E69"/>
    <w:rsid w:val="00264075"/>
    <w:rsid w:val="00265F5E"/>
    <w:rsid w:val="00266251"/>
    <w:rsid w:val="0026638A"/>
    <w:rsid w:val="002663BE"/>
    <w:rsid w:val="002664D4"/>
    <w:rsid w:val="00266824"/>
    <w:rsid w:val="0026748A"/>
    <w:rsid w:val="002676B4"/>
    <w:rsid w:val="002677AA"/>
    <w:rsid w:val="002701D6"/>
    <w:rsid w:val="00270F9A"/>
    <w:rsid w:val="00271551"/>
    <w:rsid w:val="00272E20"/>
    <w:rsid w:val="002730CB"/>
    <w:rsid w:val="002731A5"/>
    <w:rsid w:val="0027344C"/>
    <w:rsid w:val="002742AC"/>
    <w:rsid w:val="00274C50"/>
    <w:rsid w:val="002753CE"/>
    <w:rsid w:val="00276AFD"/>
    <w:rsid w:val="002770C3"/>
    <w:rsid w:val="002774D6"/>
    <w:rsid w:val="00277AFD"/>
    <w:rsid w:val="00277DB3"/>
    <w:rsid w:val="00280246"/>
    <w:rsid w:val="00282A8E"/>
    <w:rsid w:val="00283368"/>
    <w:rsid w:val="00283D3E"/>
    <w:rsid w:val="00283D98"/>
    <w:rsid w:val="00283E95"/>
    <w:rsid w:val="00284457"/>
    <w:rsid w:val="00285F11"/>
    <w:rsid w:val="00286DDA"/>
    <w:rsid w:val="00287774"/>
    <w:rsid w:val="0029133F"/>
    <w:rsid w:val="00291A1D"/>
    <w:rsid w:val="0029263D"/>
    <w:rsid w:val="00292B7B"/>
    <w:rsid w:val="00292BBD"/>
    <w:rsid w:val="00293046"/>
    <w:rsid w:val="00293969"/>
    <w:rsid w:val="00294B35"/>
    <w:rsid w:val="00294D7F"/>
    <w:rsid w:val="00295063"/>
    <w:rsid w:val="00295E23"/>
    <w:rsid w:val="00295FB4"/>
    <w:rsid w:val="00296772"/>
    <w:rsid w:val="00297FA7"/>
    <w:rsid w:val="002A28D9"/>
    <w:rsid w:val="002A293C"/>
    <w:rsid w:val="002A2B3D"/>
    <w:rsid w:val="002A2C01"/>
    <w:rsid w:val="002A312E"/>
    <w:rsid w:val="002A440D"/>
    <w:rsid w:val="002A4CE4"/>
    <w:rsid w:val="002A4DD3"/>
    <w:rsid w:val="002A4E85"/>
    <w:rsid w:val="002A5DDE"/>
    <w:rsid w:val="002A6825"/>
    <w:rsid w:val="002A6F39"/>
    <w:rsid w:val="002A7C15"/>
    <w:rsid w:val="002B0256"/>
    <w:rsid w:val="002B036A"/>
    <w:rsid w:val="002B08D3"/>
    <w:rsid w:val="002B0D82"/>
    <w:rsid w:val="002B0DC9"/>
    <w:rsid w:val="002B1B43"/>
    <w:rsid w:val="002B1E82"/>
    <w:rsid w:val="002B3C0F"/>
    <w:rsid w:val="002B4065"/>
    <w:rsid w:val="002B4CE2"/>
    <w:rsid w:val="002B568A"/>
    <w:rsid w:val="002B6C4B"/>
    <w:rsid w:val="002C0965"/>
    <w:rsid w:val="002C1284"/>
    <w:rsid w:val="002C136A"/>
    <w:rsid w:val="002C147D"/>
    <w:rsid w:val="002C1879"/>
    <w:rsid w:val="002C18FE"/>
    <w:rsid w:val="002C2020"/>
    <w:rsid w:val="002C238F"/>
    <w:rsid w:val="002C393C"/>
    <w:rsid w:val="002C3C6F"/>
    <w:rsid w:val="002C3EC7"/>
    <w:rsid w:val="002C4371"/>
    <w:rsid w:val="002C441F"/>
    <w:rsid w:val="002C4A76"/>
    <w:rsid w:val="002C594A"/>
    <w:rsid w:val="002C64FF"/>
    <w:rsid w:val="002C660C"/>
    <w:rsid w:val="002C6C69"/>
    <w:rsid w:val="002C7A36"/>
    <w:rsid w:val="002C7F62"/>
    <w:rsid w:val="002D0974"/>
    <w:rsid w:val="002D1034"/>
    <w:rsid w:val="002D137E"/>
    <w:rsid w:val="002D2A23"/>
    <w:rsid w:val="002D4783"/>
    <w:rsid w:val="002D4DCB"/>
    <w:rsid w:val="002D512E"/>
    <w:rsid w:val="002D61A5"/>
    <w:rsid w:val="002E003F"/>
    <w:rsid w:val="002E00D4"/>
    <w:rsid w:val="002E01FB"/>
    <w:rsid w:val="002E0529"/>
    <w:rsid w:val="002E0761"/>
    <w:rsid w:val="002E0F91"/>
    <w:rsid w:val="002E14F1"/>
    <w:rsid w:val="002E1B04"/>
    <w:rsid w:val="002E20EB"/>
    <w:rsid w:val="002E2154"/>
    <w:rsid w:val="002E2CBC"/>
    <w:rsid w:val="002E2FA6"/>
    <w:rsid w:val="002E2FA9"/>
    <w:rsid w:val="002E2FDB"/>
    <w:rsid w:val="002E3287"/>
    <w:rsid w:val="002E38C2"/>
    <w:rsid w:val="002E3B77"/>
    <w:rsid w:val="002E4D97"/>
    <w:rsid w:val="002E4DC0"/>
    <w:rsid w:val="002E511F"/>
    <w:rsid w:val="002E529C"/>
    <w:rsid w:val="002E5810"/>
    <w:rsid w:val="002E5E86"/>
    <w:rsid w:val="002E68D8"/>
    <w:rsid w:val="002E7472"/>
    <w:rsid w:val="002E7496"/>
    <w:rsid w:val="002E79EE"/>
    <w:rsid w:val="002E7B1E"/>
    <w:rsid w:val="002F00D9"/>
    <w:rsid w:val="002F05B6"/>
    <w:rsid w:val="002F113B"/>
    <w:rsid w:val="002F160A"/>
    <w:rsid w:val="002F3249"/>
    <w:rsid w:val="002F3756"/>
    <w:rsid w:val="002F37B8"/>
    <w:rsid w:val="002F3A18"/>
    <w:rsid w:val="002F3A20"/>
    <w:rsid w:val="002F4083"/>
    <w:rsid w:val="002F422A"/>
    <w:rsid w:val="002F4CD6"/>
    <w:rsid w:val="002F5033"/>
    <w:rsid w:val="002F5289"/>
    <w:rsid w:val="002F6926"/>
    <w:rsid w:val="002F6DD4"/>
    <w:rsid w:val="00302CFA"/>
    <w:rsid w:val="0030386F"/>
    <w:rsid w:val="0030602D"/>
    <w:rsid w:val="003075AB"/>
    <w:rsid w:val="00307C93"/>
    <w:rsid w:val="003114F8"/>
    <w:rsid w:val="00312861"/>
    <w:rsid w:val="003129C6"/>
    <w:rsid w:val="003136F0"/>
    <w:rsid w:val="00314DA9"/>
    <w:rsid w:val="00315120"/>
    <w:rsid w:val="00315E0D"/>
    <w:rsid w:val="003167C8"/>
    <w:rsid w:val="00316AF5"/>
    <w:rsid w:val="00316B2B"/>
    <w:rsid w:val="003177EC"/>
    <w:rsid w:val="00317A34"/>
    <w:rsid w:val="003206D7"/>
    <w:rsid w:val="00320D3E"/>
    <w:rsid w:val="00320E77"/>
    <w:rsid w:val="0032107A"/>
    <w:rsid w:val="003217A0"/>
    <w:rsid w:val="00321955"/>
    <w:rsid w:val="00321C4F"/>
    <w:rsid w:val="00322390"/>
    <w:rsid w:val="00322A04"/>
    <w:rsid w:val="00323167"/>
    <w:rsid w:val="00323800"/>
    <w:rsid w:val="0032620E"/>
    <w:rsid w:val="00326887"/>
    <w:rsid w:val="00326FC6"/>
    <w:rsid w:val="003301B5"/>
    <w:rsid w:val="00330F6A"/>
    <w:rsid w:val="003311D3"/>
    <w:rsid w:val="00331242"/>
    <w:rsid w:val="00331728"/>
    <w:rsid w:val="00331C2F"/>
    <w:rsid w:val="00332626"/>
    <w:rsid w:val="00333B6C"/>
    <w:rsid w:val="00333BBC"/>
    <w:rsid w:val="003345A3"/>
    <w:rsid w:val="003361C1"/>
    <w:rsid w:val="00336358"/>
    <w:rsid w:val="0033661A"/>
    <w:rsid w:val="003367C5"/>
    <w:rsid w:val="00336BDE"/>
    <w:rsid w:val="003402FA"/>
    <w:rsid w:val="00340CA2"/>
    <w:rsid w:val="00345BBF"/>
    <w:rsid w:val="003468F2"/>
    <w:rsid w:val="00346CA5"/>
    <w:rsid w:val="00347099"/>
    <w:rsid w:val="003478F5"/>
    <w:rsid w:val="00350481"/>
    <w:rsid w:val="0035080E"/>
    <w:rsid w:val="00350CCE"/>
    <w:rsid w:val="00351037"/>
    <w:rsid w:val="00351096"/>
    <w:rsid w:val="00351F2E"/>
    <w:rsid w:val="00352533"/>
    <w:rsid w:val="00352E07"/>
    <w:rsid w:val="00352EE5"/>
    <w:rsid w:val="00353190"/>
    <w:rsid w:val="003534E2"/>
    <w:rsid w:val="00353B94"/>
    <w:rsid w:val="00353D26"/>
    <w:rsid w:val="00353EC8"/>
    <w:rsid w:val="00353F4D"/>
    <w:rsid w:val="003541C4"/>
    <w:rsid w:val="00354DFF"/>
    <w:rsid w:val="00355386"/>
    <w:rsid w:val="0035545D"/>
    <w:rsid w:val="00355673"/>
    <w:rsid w:val="00355AFA"/>
    <w:rsid w:val="00360C46"/>
    <w:rsid w:val="00360D85"/>
    <w:rsid w:val="00360E0E"/>
    <w:rsid w:val="0036196D"/>
    <w:rsid w:val="00361DAF"/>
    <w:rsid w:val="0036267F"/>
    <w:rsid w:val="003627DB"/>
    <w:rsid w:val="003631BF"/>
    <w:rsid w:val="00363898"/>
    <w:rsid w:val="00364E67"/>
    <w:rsid w:val="0036559B"/>
    <w:rsid w:val="00365B62"/>
    <w:rsid w:val="003664DE"/>
    <w:rsid w:val="00366FE1"/>
    <w:rsid w:val="0036758D"/>
    <w:rsid w:val="00367D06"/>
    <w:rsid w:val="003704AD"/>
    <w:rsid w:val="003704E1"/>
    <w:rsid w:val="00370594"/>
    <w:rsid w:val="0037179A"/>
    <w:rsid w:val="00371FEC"/>
    <w:rsid w:val="0037267D"/>
    <w:rsid w:val="003728E5"/>
    <w:rsid w:val="0037295D"/>
    <w:rsid w:val="00373DC6"/>
    <w:rsid w:val="00375E31"/>
    <w:rsid w:val="00375FB9"/>
    <w:rsid w:val="0037640B"/>
    <w:rsid w:val="00376E22"/>
    <w:rsid w:val="00377285"/>
    <w:rsid w:val="00377738"/>
    <w:rsid w:val="00381CD2"/>
    <w:rsid w:val="0038350C"/>
    <w:rsid w:val="003837E0"/>
    <w:rsid w:val="00383B11"/>
    <w:rsid w:val="003847D3"/>
    <w:rsid w:val="0038506A"/>
    <w:rsid w:val="003852AB"/>
    <w:rsid w:val="00385591"/>
    <w:rsid w:val="0038578D"/>
    <w:rsid w:val="0038588B"/>
    <w:rsid w:val="00385DD2"/>
    <w:rsid w:val="00387AEB"/>
    <w:rsid w:val="0039088B"/>
    <w:rsid w:val="0039275E"/>
    <w:rsid w:val="00392954"/>
    <w:rsid w:val="00393235"/>
    <w:rsid w:val="0039372F"/>
    <w:rsid w:val="00393E2A"/>
    <w:rsid w:val="00394C91"/>
    <w:rsid w:val="00394D18"/>
    <w:rsid w:val="003972B3"/>
    <w:rsid w:val="003979B5"/>
    <w:rsid w:val="003A0683"/>
    <w:rsid w:val="003A0BDB"/>
    <w:rsid w:val="003A13E0"/>
    <w:rsid w:val="003A18EA"/>
    <w:rsid w:val="003A194A"/>
    <w:rsid w:val="003A2139"/>
    <w:rsid w:val="003A2316"/>
    <w:rsid w:val="003A2763"/>
    <w:rsid w:val="003A2BE0"/>
    <w:rsid w:val="003A3591"/>
    <w:rsid w:val="003A3BB3"/>
    <w:rsid w:val="003A6BF6"/>
    <w:rsid w:val="003A71B0"/>
    <w:rsid w:val="003A7DA1"/>
    <w:rsid w:val="003B004D"/>
    <w:rsid w:val="003B02EE"/>
    <w:rsid w:val="003B199F"/>
    <w:rsid w:val="003B1C37"/>
    <w:rsid w:val="003B1D48"/>
    <w:rsid w:val="003B24B8"/>
    <w:rsid w:val="003B30DB"/>
    <w:rsid w:val="003B320A"/>
    <w:rsid w:val="003B33C7"/>
    <w:rsid w:val="003B3DDC"/>
    <w:rsid w:val="003B46C4"/>
    <w:rsid w:val="003B46EE"/>
    <w:rsid w:val="003B4AC9"/>
    <w:rsid w:val="003B4DEC"/>
    <w:rsid w:val="003B5971"/>
    <w:rsid w:val="003B5B1C"/>
    <w:rsid w:val="003B5BF8"/>
    <w:rsid w:val="003B6246"/>
    <w:rsid w:val="003B6DD4"/>
    <w:rsid w:val="003B7591"/>
    <w:rsid w:val="003B7CB4"/>
    <w:rsid w:val="003C0180"/>
    <w:rsid w:val="003C0206"/>
    <w:rsid w:val="003C04B6"/>
    <w:rsid w:val="003C0C0C"/>
    <w:rsid w:val="003C0D59"/>
    <w:rsid w:val="003C0FC8"/>
    <w:rsid w:val="003C13D6"/>
    <w:rsid w:val="003C2D36"/>
    <w:rsid w:val="003C3723"/>
    <w:rsid w:val="003C4811"/>
    <w:rsid w:val="003C52F6"/>
    <w:rsid w:val="003C56B7"/>
    <w:rsid w:val="003C5B5F"/>
    <w:rsid w:val="003C63CF"/>
    <w:rsid w:val="003C66C1"/>
    <w:rsid w:val="003C76DE"/>
    <w:rsid w:val="003D0B16"/>
    <w:rsid w:val="003D0EAB"/>
    <w:rsid w:val="003D0F46"/>
    <w:rsid w:val="003D1086"/>
    <w:rsid w:val="003D2106"/>
    <w:rsid w:val="003D2798"/>
    <w:rsid w:val="003D2ADA"/>
    <w:rsid w:val="003D2EB6"/>
    <w:rsid w:val="003D310C"/>
    <w:rsid w:val="003D3944"/>
    <w:rsid w:val="003D4BA1"/>
    <w:rsid w:val="003D54D6"/>
    <w:rsid w:val="003D58D7"/>
    <w:rsid w:val="003D6516"/>
    <w:rsid w:val="003D6931"/>
    <w:rsid w:val="003D78EE"/>
    <w:rsid w:val="003D7B72"/>
    <w:rsid w:val="003E12FF"/>
    <w:rsid w:val="003E172A"/>
    <w:rsid w:val="003E2904"/>
    <w:rsid w:val="003E35D6"/>
    <w:rsid w:val="003E3E3B"/>
    <w:rsid w:val="003E519B"/>
    <w:rsid w:val="003E56E8"/>
    <w:rsid w:val="003E6946"/>
    <w:rsid w:val="003E7417"/>
    <w:rsid w:val="003E7C91"/>
    <w:rsid w:val="003F13BD"/>
    <w:rsid w:val="003F1FC0"/>
    <w:rsid w:val="003F2645"/>
    <w:rsid w:val="003F2910"/>
    <w:rsid w:val="003F29A9"/>
    <w:rsid w:val="003F2B41"/>
    <w:rsid w:val="003F2F3E"/>
    <w:rsid w:val="003F3216"/>
    <w:rsid w:val="003F3B9B"/>
    <w:rsid w:val="003F55CD"/>
    <w:rsid w:val="003F5F1B"/>
    <w:rsid w:val="003F6906"/>
    <w:rsid w:val="003F6E47"/>
    <w:rsid w:val="003F7265"/>
    <w:rsid w:val="004008E5"/>
    <w:rsid w:val="004009EC"/>
    <w:rsid w:val="00401280"/>
    <w:rsid w:val="00401C4B"/>
    <w:rsid w:val="004022AE"/>
    <w:rsid w:val="00403C78"/>
    <w:rsid w:val="004046EC"/>
    <w:rsid w:val="0040475F"/>
    <w:rsid w:val="00404E4D"/>
    <w:rsid w:val="00404EF3"/>
    <w:rsid w:val="00405464"/>
    <w:rsid w:val="0040612C"/>
    <w:rsid w:val="00406CF1"/>
    <w:rsid w:val="0041067D"/>
    <w:rsid w:val="00410B31"/>
    <w:rsid w:val="00410F69"/>
    <w:rsid w:val="0041109E"/>
    <w:rsid w:val="00411D14"/>
    <w:rsid w:val="00412021"/>
    <w:rsid w:val="00412325"/>
    <w:rsid w:val="00412512"/>
    <w:rsid w:val="0041286E"/>
    <w:rsid w:val="00412CE7"/>
    <w:rsid w:val="0041334D"/>
    <w:rsid w:val="00413427"/>
    <w:rsid w:val="00413C67"/>
    <w:rsid w:val="0041403D"/>
    <w:rsid w:val="0041496D"/>
    <w:rsid w:val="00414B66"/>
    <w:rsid w:val="00414C2D"/>
    <w:rsid w:val="004154C3"/>
    <w:rsid w:val="004157FD"/>
    <w:rsid w:val="00416157"/>
    <w:rsid w:val="004161EF"/>
    <w:rsid w:val="00416794"/>
    <w:rsid w:val="00416831"/>
    <w:rsid w:val="0042010B"/>
    <w:rsid w:val="00421253"/>
    <w:rsid w:val="004219ED"/>
    <w:rsid w:val="00421A55"/>
    <w:rsid w:val="00421D83"/>
    <w:rsid w:val="00422626"/>
    <w:rsid w:val="00423261"/>
    <w:rsid w:val="004236E0"/>
    <w:rsid w:val="00423C02"/>
    <w:rsid w:val="00424602"/>
    <w:rsid w:val="0042546D"/>
    <w:rsid w:val="00425504"/>
    <w:rsid w:val="00425EB9"/>
    <w:rsid w:val="004264A3"/>
    <w:rsid w:val="004267ED"/>
    <w:rsid w:val="00426F79"/>
    <w:rsid w:val="00427136"/>
    <w:rsid w:val="00427FD2"/>
    <w:rsid w:val="004302EE"/>
    <w:rsid w:val="00430751"/>
    <w:rsid w:val="004308AD"/>
    <w:rsid w:val="00430B7C"/>
    <w:rsid w:val="00430DBA"/>
    <w:rsid w:val="00430F59"/>
    <w:rsid w:val="00431198"/>
    <w:rsid w:val="004325F6"/>
    <w:rsid w:val="00433469"/>
    <w:rsid w:val="0043355B"/>
    <w:rsid w:val="00433686"/>
    <w:rsid w:val="004342D5"/>
    <w:rsid w:val="00434603"/>
    <w:rsid w:val="00435429"/>
    <w:rsid w:val="00435F7F"/>
    <w:rsid w:val="004361AF"/>
    <w:rsid w:val="00436E1F"/>
    <w:rsid w:val="00436F45"/>
    <w:rsid w:val="00437C34"/>
    <w:rsid w:val="00437DDA"/>
    <w:rsid w:val="00437EE3"/>
    <w:rsid w:val="0044007F"/>
    <w:rsid w:val="00440CCB"/>
    <w:rsid w:val="0044100B"/>
    <w:rsid w:val="004415B6"/>
    <w:rsid w:val="00441A67"/>
    <w:rsid w:val="0044311B"/>
    <w:rsid w:val="00443414"/>
    <w:rsid w:val="00444FDB"/>
    <w:rsid w:val="004453FA"/>
    <w:rsid w:val="0044572B"/>
    <w:rsid w:val="00446EC6"/>
    <w:rsid w:val="004477A8"/>
    <w:rsid w:val="00450A0E"/>
    <w:rsid w:val="00451047"/>
    <w:rsid w:val="0045128D"/>
    <w:rsid w:val="00451759"/>
    <w:rsid w:val="00452233"/>
    <w:rsid w:val="00452489"/>
    <w:rsid w:val="00452598"/>
    <w:rsid w:val="0045286F"/>
    <w:rsid w:val="00452C43"/>
    <w:rsid w:val="00452D26"/>
    <w:rsid w:val="0045384F"/>
    <w:rsid w:val="00453EF5"/>
    <w:rsid w:val="004547DE"/>
    <w:rsid w:val="004551D7"/>
    <w:rsid w:val="00455AC0"/>
    <w:rsid w:val="00456E4B"/>
    <w:rsid w:val="004575B9"/>
    <w:rsid w:val="00457B48"/>
    <w:rsid w:val="00457C13"/>
    <w:rsid w:val="00460313"/>
    <w:rsid w:val="00462624"/>
    <w:rsid w:val="0046271F"/>
    <w:rsid w:val="0046274E"/>
    <w:rsid w:val="0046282D"/>
    <w:rsid w:val="00462BD6"/>
    <w:rsid w:val="004631C1"/>
    <w:rsid w:val="004633EA"/>
    <w:rsid w:val="00463811"/>
    <w:rsid w:val="00463B64"/>
    <w:rsid w:val="004649E7"/>
    <w:rsid w:val="0046522F"/>
    <w:rsid w:val="00465533"/>
    <w:rsid w:val="00466508"/>
    <w:rsid w:val="004706F1"/>
    <w:rsid w:val="00472C8F"/>
    <w:rsid w:val="00472CBC"/>
    <w:rsid w:val="00473093"/>
    <w:rsid w:val="00473C72"/>
    <w:rsid w:val="004746C2"/>
    <w:rsid w:val="00474731"/>
    <w:rsid w:val="00475CAD"/>
    <w:rsid w:val="00475DC7"/>
    <w:rsid w:val="00476AA5"/>
    <w:rsid w:val="00480071"/>
    <w:rsid w:val="0048016B"/>
    <w:rsid w:val="0048154C"/>
    <w:rsid w:val="00481EF2"/>
    <w:rsid w:val="004828C7"/>
    <w:rsid w:val="004829CF"/>
    <w:rsid w:val="00482D23"/>
    <w:rsid w:val="004831C4"/>
    <w:rsid w:val="00484206"/>
    <w:rsid w:val="0048432F"/>
    <w:rsid w:val="00485243"/>
    <w:rsid w:val="00486D93"/>
    <w:rsid w:val="004871CC"/>
    <w:rsid w:val="0048749D"/>
    <w:rsid w:val="00491401"/>
    <w:rsid w:val="00491809"/>
    <w:rsid w:val="004921E2"/>
    <w:rsid w:val="00492C0B"/>
    <w:rsid w:val="00492CC5"/>
    <w:rsid w:val="00493478"/>
    <w:rsid w:val="004944FB"/>
    <w:rsid w:val="00494B47"/>
    <w:rsid w:val="00495052"/>
    <w:rsid w:val="00496ED6"/>
    <w:rsid w:val="004A0EC2"/>
    <w:rsid w:val="004A1130"/>
    <w:rsid w:val="004A1AD2"/>
    <w:rsid w:val="004A23F2"/>
    <w:rsid w:val="004A2CE4"/>
    <w:rsid w:val="004A2D00"/>
    <w:rsid w:val="004A39E9"/>
    <w:rsid w:val="004A3D5B"/>
    <w:rsid w:val="004A4735"/>
    <w:rsid w:val="004A4C4B"/>
    <w:rsid w:val="004A4EBE"/>
    <w:rsid w:val="004A4F7C"/>
    <w:rsid w:val="004A5196"/>
    <w:rsid w:val="004A56F5"/>
    <w:rsid w:val="004A5A07"/>
    <w:rsid w:val="004A5EA1"/>
    <w:rsid w:val="004A7D0C"/>
    <w:rsid w:val="004A7EC8"/>
    <w:rsid w:val="004B0042"/>
    <w:rsid w:val="004B009D"/>
    <w:rsid w:val="004B1504"/>
    <w:rsid w:val="004B28FC"/>
    <w:rsid w:val="004B2C67"/>
    <w:rsid w:val="004B36AE"/>
    <w:rsid w:val="004B386D"/>
    <w:rsid w:val="004B3B25"/>
    <w:rsid w:val="004B42BC"/>
    <w:rsid w:val="004B42E0"/>
    <w:rsid w:val="004B4C95"/>
    <w:rsid w:val="004B55E8"/>
    <w:rsid w:val="004B59D2"/>
    <w:rsid w:val="004B5A2C"/>
    <w:rsid w:val="004B6673"/>
    <w:rsid w:val="004B7BA5"/>
    <w:rsid w:val="004B7E1A"/>
    <w:rsid w:val="004C07F2"/>
    <w:rsid w:val="004C0E25"/>
    <w:rsid w:val="004C1897"/>
    <w:rsid w:val="004C1A7F"/>
    <w:rsid w:val="004C439D"/>
    <w:rsid w:val="004C4FB3"/>
    <w:rsid w:val="004C60B7"/>
    <w:rsid w:val="004C6699"/>
    <w:rsid w:val="004C6FEC"/>
    <w:rsid w:val="004C7BFB"/>
    <w:rsid w:val="004D074F"/>
    <w:rsid w:val="004D2363"/>
    <w:rsid w:val="004D329C"/>
    <w:rsid w:val="004D342C"/>
    <w:rsid w:val="004D3D35"/>
    <w:rsid w:val="004D3D8C"/>
    <w:rsid w:val="004D3FE4"/>
    <w:rsid w:val="004D5E71"/>
    <w:rsid w:val="004D6321"/>
    <w:rsid w:val="004D6323"/>
    <w:rsid w:val="004D6B48"/>
    <w:rsid w:val="004D7331"/>
    <w:rsid w:val="004D7593"/>
    <w:rsid w:val="004D76C5"/>
    <w:rsid w:val="004D77BF"/>
    <w:rsid w:val="004D7831"/>
    <w:rsid w:val="004E03E6"/>
    <w:rsid w:val="004E0BFB"/>
    <w:rsid w:val="004E0F21"/>
    <w:rsid w:val="004E1A7B"/>
    <w:rsid w:val="004E1A80"/>
    <w:rsid w:val="004E28C2"/>
    <w:rsid w:val="004E304E"/>
    <w:rsid w:val="004E325D"/>
    <w:rsid w:val="004E3379"/>
    <w:rsid w:val="004E51FC"/>
    <w:rsid w:val="004E5899"/>
    <w:rsid w:val="004E5C3C"/>
    <w:rsid w:val="004E6BF0"/>
    <w:rsid w:val="004E71C6"/>
    <w:rsid w:val="004E782F"/>
    <w:rsid w:val="004F10F4"/>
    <w:rsid w:val="004F19FD"/>
    <w:rsid w:val="004F1C6F"/>
    <w:rsid w:val="004F26D0"/>
    <w:rsid w:val="004F4878"/>
    <w:rsid w:val="004F62EA"/>
    <w:rsid w:val="00500030"/>
    <w:rsid w:val="005001F1"/>
    <w:rsid w:val="00500281"/>
    <w:rsid w:val="005008A4"/>
    <w:rsid w:val="00501801"/>
    <w:rsid w:val="00501D34"/>
    <w:rsid w:val="0050206E"/>
    <w:rsid w:val="005021F9"/>
    <w:rsid w:val="00502799"/>
    <w:rsid w:val="005027B4"/>
    <w:rsid w:val="00502997"/>
    <w:rsid w:val="00503006"/>
    <w:rsid w:val="00503195"/>
    <w:rsid w:val="00503A32"/>
    <w:rsid w:val="00503BC8"/>
    <w:rsid w:val="00504117"/>
    <w:rsid w:val="005047E0"/>
    <w:rsid w:val="00505001"/>
    <w:rsid w:val="0050511C"/>
    <w:rsid w:val="005053E2"/>
    <w:rsid w:val="0050544A"/>
    <w:rsid w:val="00505F98"/>
    <w:rsid w:val="00505FA7"/>
    <w:rsid w:val="00506605"/>
    <w:rsid w:val="0050660F"/>
    <w:rsid w:val="005067EE"/>
    <w:rsid w:val="005068DC"/>
    <w:rsid w:val="00506E41"/>
    <w:rsid w:val="005071B2"/>
    <w:rsid w:val="00507934"/>
    <w:rsid w:val="0051234A"/>
    <w:rsid w:val="005135CF"/>
    <w:rsid w:val="005148F1"/>
    <w:rsid w:val="005149FA"/>
    <w:rsid w:val="0051503F"/>
    <w:rsid w:val="005155A9"/>
    <w:rsid w:val="00515A16"/>
    <w:rsid w:val="00515AD2"/>
    <w:rsid w:val="00516C7F"/>
    <w:rsid w:val="00516F9B"/>
    <w:rsid w:val="00517989"/>
    <w:rsid w:val="005206C4"/>
    <w:rsid w:val="00520713"/>
    <w:rsid w:val="0052205E"/>
    <w:rsid w:val="005220BD"/>
    <w:rsid w:val="00522239"/>
    <w:rsid w:val="0052300E"/>
    <w:rsid w:val="005240B2"/>
    <w:rsid w:val="005252E2"/>
    <w:rsid w:val="005254A2"/>
    <w:rsid w:val="005256B0"/>
    <w:rsid w:val="00525A60"/>
    <w:rsid w:val="00525C6C"/>
    <w:rsid w:val="00526587"/>
    <w:rsid w:val="00526AAF"/>
    <w:rsid w:val="00527299"/>
    <w:rsid w:val="00527B0E"/>
    <w:rsid w:val="00527B38"/>
    <w:rsid w:val="00530067"/>
    <w:rsid w:val="005304CB"/>
    <w:rsid w:val="0053083A"/>
    <w:rsid w:val="00530A5F"/>
    <w:rsid w:val="005343F1"/>
    <w:rsid w:val="00534551"/>
    <w:rsid w:val="0053481F"/>
    <w:rsid w:val="00536448"/>
    <w:rsid w:val="005378C0"/>
    <w:rsid w:val="00540505"/>
    <w:rsid w:val="00540F7F"/>
    <w:rsid w:val="0054113F"/>
    <w:rsid w:val="00541233"/>
    <w:rsid w:val="005416B6"/>
    <w:rsid w:val="00541762"/>
    <w:rsid w:val="0054238F"/>
    <w:rsid w:val="00543772"/>
    <w:rsid w:val="00543AF3"/>
    <w:rsid w:val="00543D73"/>
    <w:rsid w:val="00545D6A"/>
    <w:rsid w:val="00545ED3"/>
    <w:rsid w:val="005470B8"/>
    <w:rsid w:val="005471A4"/>
    <w:rsid w:val="00547BC5"/>
    <w:rsid w:val="00547DE7"/>
    <w:rsid w:val="00547FF1"/>
    <w:rsid w:val="005504FD"/>
    <w:rsid w:val="005512E1"/>
    <w:rsid w:val="00551502"/>
    <w:rsid w:val="00553113"/>
    <w:rsid w:val="00554FDB"/>
    <w:rsid w:val="00556B03"/>
    <w:rsid w:val="00557336"/>
    <w:rsid w:val="00560044"/>
    <w:rsid w:val="00560B51"/>
    <w:rsid w:val="00560F58"/>
    <w:rsid w:val="00562944"/>
    <w:rsid w:val="00562A60"/>
    <w:rsid w:val="00562E9D"/>
    <w:rsid w:val="00564333"/>
    <w:rsid w:val="00565011"/>
    <w:rsid w:val="0056654A"/>
    <w:rsid w:val="005701E8"/>
    <w:rsid w:val="0057065E"/>
    <w:rsid w:val="00571200"/>
    <w:rsid w:val="005725D3"/>
    <w:rsid w:val="00573142"/>
    <w:rsid w:val="0057345A"/>
    <w:rsid w:val="005734A5"/>
    <w:rsid w:val="005746B4"/>
    <w:rsid w:val="00574DA8"/>
    <w:rsid w:val="00575763"/>
    <w:rsid w:val="00576827"/>
    <w:rsid w:val="00576A3E"/>
    <w:rsid w:val="00577F34"/>
    <w:rsid w:val="00580BE1"/>
    <w:rsid w:val="00581788"/>
    <w:rsid w:val="00581E0B"/>
    <w:rsid w:val="00582750"/>
    <w:rsid w:val="00583574"/>
    <w:rsid w:val="00583602"/>
    <w:rsid w:val="00583E74"/>
    <w:rsid w:val="00584DDD"/>
    <w:rsid w:val="00585217"/>
    <w:rsid w:val="00585E97"/>
    <w:rsid w:val="0058606F"/>
    <w:rsid w:val="0058639D"/>
    <w:rsid w:val="005867B1"/>
    <w:rsid w:val="0058750C"/>
    <w:rsid w:val="00587D13"/>
    <w:rsid w:val="00590197"/>
    <w:rsid w:val="005905D5"/>
    <w:rsid w:val="00590869"/>
    <w:rsid w:val="00590BAF"/>
    <w:rsid w:val="00590DD6"/>
    <w:rsid w:val="00592A1C"/>
    <w:rsid w:val="00592E50"/>
    <w:rsid w:val="005932BA"/>
    <w:rsid w:val="00593D9B"/>
    <w:rsid w:val="0059466C"/>
    <w:rsid w:val="00594AAA"/>
    <w:rsid w:val="00595954"/>
    <w:rsid w:val="0059650C"/>
    <w:rsid w:val="0059717D"/>
    <w:rsid w:val="00597B72"/>
    <w:rsid w:val="00597DC6"/>
    <w:rsid w:val="00597E95"/>
    <w:rsid w:val="005A1E2E"/>
    <w:rsid w:val="005A2194"/>
    <w:rsid w:val="005A2702"/>
    <w:rsid w:val="005A2C4C"/>
    <w:rsid w:val="005A3CFE"/>
    <w:rsid w:val="005A6CC0"/>
    <w:rsid w:val="005A7929"/>
    <w:rsid w:val="005A7D32"/>
    <w:rsid w:val="005A7D57"/>
    <w:rsid w:val="005A7FDD"/>
    <w:rsid w:val="005B051F"/>
    <w:rsid w:val="005B0B96"/>
    <w:rsid w:val="005B0EB8"/>
    <w:rsid w:val="005B1956"/>
    <w:rsid w:val="005B2DAB"/>
    <w:rsid w:val="005B2DED"/>
    <w:rsid w:val="005B317C"/>
    <w:rsid w:val="005B41B3"/>
    <w:rsid w:val="005B46CF"/>
    <w:rsid w:val="005B4A6F"/>
    <w:rsid w:val="005B5B63"/>
    <w:rsid w:val="005B64CE"/>
    <w:rsid w:val="005B682A"/>
    <w:rsid w:val="005B6ECF"/>
    <w:rsid w:val="005B7611"/>
    <w:rsid w:val="005B7631"/>
    <w:rsid w:val="005C0690"/>
    <w:rsid w:val="005C0C50"/>
    <w:rsid w:val="005C27C6"/>
    <w:rsid w:val="005C28EE"/>
    <w:rsid w:val="005C2957"/>
    <w:rsid w:val="005C29BF"/>
    <w:rsid w:val="005C2DD9"/>
    <w:rsid w:val="005C3088"/>
    <w:rsid w:val="005C320B"/>
    <w:rsid w:val="005C371B"/>
    <w:rsid w:val="005C3826"/>
    <w:rsid w:val="005C3B13"/>
    <w:rsid w:val="005C440B"/>
    <w:rsid w:val="005C4A91"/>
    <w:rsid w:val="005C4D8C"/>
    <w:rsid w:val="005C734A"/>
    <w:rsid w:val="005C7661"/>
    <w:rsid w:val="005C7E2E"/>
    <w:rsid w:val="005D0894"/>
    <w:rsid w:val="005D0A3C"/>
    <w:rsid w:val="005D1463"/>
    <w:rsid w:val="005D2AB8"/>
    <w:rsid w:val="005D321F"/>
    <w:rsid w:val="005D32C9"/>
    <w:rsid w:val="005D4C77"/>
    <w:rsid w:val="005D4E15"/>
    <w:rsid w:val="005D53DF"/>
    <w:rsid w:val="005D6089"/>
    <w:rsid w:val="005D6A89"/>
    <w:rsid w:val="005D7D50"/>
    <w:rsid w:val="005E0303"/>
    <w:rsid w:val="005E0399"/>
    <w:rsid w:val="005E05AA"/>
    <w:rsid w:val="005E05D4"/>
    <w:rsid w:val="005E0EA7"/>
    <w:rsid w:val="005E10BA"/>
    <w:rsid w:val="005E1D83"/>
    <w:rsid w:val="005E2245"/>
    <w:rsid w:val="005E2C9B"/>
    <w:rsid w:val="005E2F1B"/>
    <w:rsid w:val="005E34D1"/>
    <w:rsid w:val="005E4779"/>
    <w:rsid w:val="005E5ADE"/>
    <w:rsid w:val="005E6013"/>
    <w:rsid w:val="005E7330"/>
    <w:rsid w:val="005E74BF"/>
    <w:rsid w:val="005E750D"/>
    <w:rsid w:val="005E79FE"/>
    <w:rsid w:val="005E7A24"/>
    <w:rsid w:val="005E7AC1"/>
    <w:rsid w:val="005F0AE2"/>
    <w:rsid w:val="005F0BFF"/>
    <w:rsid w:val="005F17CE"/>
    <w:rsid w:val="005F17FC"/>
    <w:rsid w:val="005F3F19"/>
    <w:rsid w:val="005F3FBD"/>
    <w:rsid w:val="005F43FC"/>
    <w:rsid w:val="005F4B01"/>
    <w:rsid w:val="005F5403"/>
    <w:rsid w:val="005F6159"/>
    <w:rsid w:val="005F66D1"/>
    <w:rsid w:val="005F676E"/>
    <w:rsid w:val="005F683B"/>
    <w:rsid w:val="005F69E4"/>
    <w:rsid w:val="006000D7"/>
    <w:rsid w:val="00600276"/>
    <w:rsid w:val="006007C1"/>
    <w:rsid w:val="006009A0"/>
    <w:rsid w:val="00600D0C"/>
    <w:rsid w:val="00601A5C"/>
    <w:rsid w:val="006027CD"/>
    <w:rsid w:val="00602CD4"/>
    <w:rsid w:val="00603C40"/>
    <w:rsid w:val="00604591"/>
    <w:rsid w:val="00604626"/>
    <w:rsid w:val="00607124"/>
    <w:rsid w:val="00607938"/>
    <w:rsid w:val="00607C02"/>
    <w:rsid w:val="0061018C"/>
    <w:rsid w:val="0061052B"/>
    <w:rsid w:val="0061067A"/>
    <w:rsid w:val="0061090E"/>
    <w:rsid w:val="00610B37"/>
    <w:rsid w:val="00610C9F"/>
    <w:rsid w:val="00612F17"/>
    <w:rsid w:val="006139AC"/>
    <w:rsid w:val="0061492E"/>
    <w:rsid w:val="006155F9"/>
    <w:rsid w:val="00615F44"/>
    <w:rsid w:val="006162A6"/>
    <w:rsid w:val="0061753B"/>
    <w:rsid w:val="00617728"/>
    <w:rsid w:val="00617814"/>
    <w:rsid w:val="00617DAF"/>
    <w:rsid w:val="006205AF"/>
    <w:rsid w:val="006207A0"/>
    <w:rsid w:val="00621119"/>
    <w:rsid w:val="0062111D"/>
    <w:rsid w:val="006214DE"/>
    <w:rsid w:val="0062172A"/>
    <w:rsid w:val="00621EB5"/>
    <w:rsid w:val="00622100"/>
    <w:rsid w:val="00622759"/>
    <w:rsid w:val="006241B3"/>
    <w:rsid w:val="006243F8"/>
    <w:rsid w:val="0062457E"/>
    <w:rsid w:val="006247F7"/>
    <w:rsid w:val="00624BF9"/>
    <w:rsid w:val="0062563D"/>
    <w:rsid w:val="00625CDE"/>
    <w:rsid w:val="00627C38"/>
    <w:rsid w:val="00627E31"/>
    <w:rsid w:val="00631032"/>
    <w:rsid w:val="00631283"/>
    <w:rsid w:val="006312EC"/>
    <w:rsid w:val="006319D2"/>
    <w:rsid w:val="00631B08"/>
    <w:rsid w:val="006322FC"/>
    <w:rsid w:val="00632424"/>
    <w:rsid w:val="00633EFC"/>
    <w:rsid w:val="006344C6"/>
    <w:rsid w:val="006346E0"/>
    <w:rsid w:val="00635887"/>
    <w:rsid w:val="006400BF"/>
    <w:rsid w:val="00640802"/>
    <w:rsid w:val="0064235B"/>
    <w:rsid w:val="0064358F"/>
    <w:rsid w:val="00643807"/>
    <w:rsid w:val="006438D6"/>
    <w:rsid w:val="006439AB"/>
    <w:rsid w:val="0064468F"/>
    <w:rsid w:val="00644758"/>
    <w:rsid w:val="00645789"/>
    <w:rsid w:val="00645949"/>
    <w:rsid w:val="00645D93"/>
    <w:rsid w:val="00646A5D"/>
    <w:rsid w:val="00646AC4"/>
    <w:rsid w:val="00646FDC"/>
    <w:rsid w:val="0064767D"/>
    <w:rsid w:val="00647876"/>
    <w:rsid w:val="00650825"/>
    <w:rsid w:val="00651142"/>
    <w:rsid w:val="00651EF7"/>
    <w:rsid w:val="006533F5"/>
    <w:rsid w:val="00654F58"/>
    <w:rsid w:val="0065590C"/>
    <w:rsid w:val="0065715A"/>
    <w:rsid w:val="006574E0"/>
    <w:rsid w:val="006603B1"/>
    <w:rsid w:val="00660E9C"/>
    <w:rsid w:val="00660F00"/>
    <w:rsid w:val="0066182B"/>
    <w:rsid w:val="00661EED"/>
    <w:rsid w:val="00661F38"/>
    <w:rsid w:val="0066224D"/>
    <w:rsid w:val="006633FB"/>
    <w:rsid w:val="006636D6"/>
    <w:rsid w:val="00664002"/>
    <w:rsid w:val="00664594"/>
    <w:rsid w:val="00665277"/>
    <w:rsid w:val="0066648E"/>
    <w:rsid w:val="0066757E"/>
    <w:rsid w:val="006675F0"/>
    <w:rsid w:val="00667A54"/>
    <w:rsid w:val="0067095B"/>
    <w:rsid w:val="00670C47"/>
    <w:rsid w:val="00670F12"/>
    <w:rsid w:val="00672A01"/>
    <w:rsid w:val="0067318A"/>
    <w:rsid w:val="00673A38"/>
    <w:rsid w:val="00674A63"/>
    <w:rsid w:val="00674DC4"/>
    <w:rsid w:val="00674F95"/>
    <w:rsid w:val="0067620F"/>
    <w:rsid w:val="006778BF"/>
    <w:rsid w:val="0068026C"/>
    <w:rsid w:val="00680AE5"/>
    <w:rsid w:val="006812EF"/>
    <w:rsid w:val="006813C6"/>
    <w:rsid w:val="0068193F"/>
    <w:rsid w:val="00681BA9"/>
    <w:rsid w:val="00682732"/>
    <w:rsid w:val="0068299D"/>
    <w:rsid w:val="006829A1"/>
    <w:rsid w:val="00682E4F"/>
    <w:rsid w:val="00683858"/>
    <w:rsid w:val="0068438A"/>
    <w:rsid w:val="00684991"/>
    <w:rsid w:val="00686088"/>
    <w:rsid w:val="00686B06"/>
    <w:rsid w:val="00687AD0"/>
    <w:rsid w:val="00687BE1"/>
    <w:rsid w:val="006903B9"/>
    <w:rsid w:val="00691F35"/>
    <w:rsid w:val="00693228"/>
    <w:rsid w:val="00693A8C"/>
    <w:rsid w:val="00693EF9"/>
    <w:rsid w:val="006942AB"/>
    <w:rsid w:val="00694519"/>
    <w:rsid w:val="00694E70"/>
    <w:rsid w:val="00695135"/>
    <w:rsid w:val="00696117"/>
    <w:rsid w:val="0069642D"/>
    <w:rsid w:val="0069760B"/>
    <w:rsid w:val="006A02D4"/>
    <w:rsid w:val="006A10CD"/>
    <w:rsid w:val="006A19C0"/>
    <w:rsid w:val="006A19DC"/>
    <w:rsid w:val="006A1C53"/>
    <w:rsid w:val="006A2923"/>
    <w:rsid w:val="006A29F7"/>
    <w:rsid w:val="006A2F87"/>
    <w:rsid w:val="006A34DC"/>
    <w:rsid w:val="006A3A21"/>
    <w:rsid w:val="006A3A89"/>
    <w:rsid w:val="006A49E7"/>
    <w:rsid w:val="006A4B06"/>
    <w:rsid w:val="006A5584"/>
    <w:rsid w:val="006A64D4"/>
    <w:rsid w:val="006A684E"/>
    <w:rsid w:val="006A6C43"/>
    <w:rsid w:val="006A7362"/>
    <w:rsid w:val="006A76BA"/>
    <w:rsid w:val="006B0773"/>
    <w:rsid w:val="006B0987"/>
    <w:rsid w:val="006B17E2"/>
    <w:rsid w:val="006B2136"/>
    <w:rsid w:val="006B302D"/>
    <w:rsid w:val="006B30D5"/>
    <w:rsid w:val="006B33B5"/>
    <w:rsid w:val="006B3C44"/>
    <w:rsid w:val="006B41CD"/>
    <w:rsid w:val="006B4229"/>
    <w:rsid w:val="006B4829"/>
    <w:rsid w:val="006B54DE"/>
    <w:rsid w:val="006B658B"/>
    <w:rsid w:val="006B6879"/>
    <w:rsid w:val="006B7C40"/>
    <w:rsid w:val="006C04C8"/>
    <w:rsid w:val="006C0500"/>
    <w:rsid w:val="006C06AC"/>
    <w:rsid w:val="006C1048"/>
    <w:rsid w:val="006C10BD"/>
    <w:rsid w:val="006C17B7"/>
    <w:rsid w:val="006C1832"/>
    <w:rsid w:val="006C26AA"/>
    <w:rsid w:val="006C2708"/>
    <w:rsid w:val="006C325E"/>
    <w:rsid w:val="006C36D8"/>
    <w:rsid w:val="006C3B7C"/>
    <w:rsid w:val="006C3D6B"/>
    <w:rsid w:val="006C6A94"/>
    <w:rsid w:val="006C6EAE"/>
    <w:rsid w:val="006D0A2B"/>
    <w:rsid w:val="006D0F96"/>
    <w:rsid w:val="006D1072"/>
    <w:rsid w:val="006D2306"/>
    <w:rsid w:val="006D2B5D"/>
    <w:rsid w:val="006D328B"/>
    <w:rsid w:val="006D3437"/>
    <w:rsid w:val="006D4355"/>
    <w:rsid w:val="006D497B"/>
    <w:rsid w:val="006D4AA3"/>
    <w:rsid w:val="006D5B9C"/>
    <w:rsid w:val="006D60C5"/>
    <w:rsid w:val="006D7817"/>
    <w:rsid w:val="006E038C"/>
    <w:rsid w:val="006E0CCD"/>
    <w:rsid w:val="006E1564"/>
    <w:rsid w:val="006E2015"/>
    <w:rsid w:val="006E23AC"/>
    <w:rsid w:val="006E23B3"/>
    <w:rsid w:val="006E2FB3"/>
    <w:rsid w:val="006E37BB"/>
    <w:rsid w:val="006E3953"/>
    <w:rsid w:val="006E3CDA"/>
    <w:rsid w:val="006E4106"/>
    <w:rsid w:val="006E462D"/>
    <w:rsid w:val="006E4F70"/>
    <w:rsid w:val="006E558E"/>
    <w:rsid w:val="006E5E9F"/>
    <w:rsid w:val="006E619C"/>
    <w:rsid w:val="006E6291"/>
    <w:rsid w:val="006E6C19"/>
    <w:rsid w:val="006F0196"/>
    <w:rsid w:val="006F0C8A"/>
    <w:rsid w:val="006F193B"/>
    <w:rsid w:val="006F1B6F"/>
    <w:rsid w:val="006F1D7C"/>
    <w:rsid w:val="006F212E"/>
    <w:rsid w:val="006F34E5"/>
    <w:rsid w:val="006F58AE"/>
    <w:rsid w:val="006F66E9"/>
    <w:rsid w:val="006F73B0"/>
    <w:rsid w:val="006F75A9"/>
    <w:rsid w:val="006F79B3"/>
    <w:rsid w:val="006F7CE9"/>
    <w:rsid w:val="006F7F1C"/>
    <w:rsid w:val="007000D1"/>
    <w:rsid w:val="0070122B"/>
    <w:rsid w:val="0070128F"/>
    <w:rsid w:val="00701408"/>
    <w:rsid w:val="00701B31"/>
    <w:rsid w:val="0070275E"/>
    <w:rsid w:val="00702DFE"/>
    <w:rsid w:val="00703D97"/>
    <w:rsid w:val="00704618"/>
    <w:rsid w:val="0070465B"/>
    <w:rsid w:val="00704677"/>
    <w:rsid w:val="007064A7"/>
    <w:rsid w:val="00706DFD"/>
    <w:rsid w:val="00707F85"/>
    <w:rsid w:val="007100EE"/>
    <w:rsid w:val="0071029D"/>
    <w:rsid w:val="00710B2E"/>
    <w:rsid w:val="00712158"/>
    <w:rsid w:val="00712759"/>
    <w:rsid w:val="00713C1E"/>
    <w:rsid w:val="00715104"/>
    <w:rsid w:val="00715368"/>
    <w:rsid w:val="00715C6F"/>
    <w:rsid w:val="00716082"/>
    <w:rsid w:val="007167C1"/>
    <w:rsid w:val="00717BBD"/>
    <w:rsid w:val="00717F16"/>
    <w:rsid w:val="007203BD"/>
    <w:rsid w:val="00720BAA"/>
    <w:rsid w:val="007215CE"/>
    <w:rsid w:val="00722B1D"/>
    <w:rsid w:val="0072338A"/>
    <w:rsid w:val="00723C4B"/>
    <w:rsid w:val="0072442C"/>
    <w:rsid w:val="00725D7D"/>
    <w:rsid w:val="007266D2"/>
    <w:rsid w:val="00726A85"/>
    <w:rsid w:val="0072746A"/>
    <w:rsid w:val="007304C6"/>
    <w:rsid w:val="00730F44"/>
    <w:rsid w:val="007310E1"/>
    <w:rsid w:val="007314DE"/>
    <w:rsid w:val="007317A0"/>
    <w:rsid w:val="0073192D"/>
    <w:rsid w:val="00731B35"/>
    <w:rsid w:val="007323A7"/>
    <w:rsid w:val="0073290E"/>
    <w:rsid w:val="00733903"/>
    <w:rsid w:val="007340DA"/>
    <w:rsid w:val="00734DD9"/>
    <w:rsid w:val="00735261"/>
    <w:rsid w:val="00735FD4"/>
    <w:rsid w:val="00737212"/>
    <w:rsid w:val="00737DBB"/>
    <w:rsid w:val="00740047"/>
    <w:rsid w:val="007401E4"/>
    <w:rsid w:val="0074061E"/>
    <w:rsid w:val="00740C78"/>
    <w:rsid w:val="00741E12"/>
    <w:rsid w:val="00742264"/>
    <w:rsid w:val="0074275F"/>
    <w:rsid w:val="00742BBF"/>
    <w:rsid w:val="00743666"/>
    <w:rsid w:val="0074396C"/>
    <w:rsid w:val="00745093"/>
    <w:rsid w:val="007451EC"/>
    <w:rsid w:val="00745B4E"/>
    <w:rsid w:val="00746724"/>
    <w:rsid w:val="00746E4A"/>
    <w:rsid w:val="00746EAA"/>
    <w:rsid w:val="00747B1B"/>
    <w:rsid w:val="00747FA0"/>
    <w:rsid w:val="007529DD"/>
    <w:rsid w:val="00754EEE"/>
    <w:rsid w:val="00755826"/>
    <w:rsid w:val="0075630A"/>
    <w:rsid w:val="00757136"/>
    <w:rsid w:val="007577E6"/>
    <w:rsid w:val="00757D39"/>
    <w:rsid w:val="007602CF"/>
    <w:rsid w:val="007604F4"/>
    <w:rsid w:val="00760A1F"/>
    <w:rsid w:val="00761098"/>
    <w:rsid w:val="007610B2"/>
    <w:rsid w:val="00761F8C"/>
    <w:rsid w:val="00761F9F"/>
    <w:rsid w:val="007621B1"/>
    <w:rsid w:val="0076257C"/>
    <w:rsid w:val="00762730"/>
    <w:rsid w:val="00764776"/>
    <w:rsid w:val="007647CF"/>
    <w:rsid w:val="0076491E"/>
    <w:rsid w:val="00764A0E"/>
    <w:rsid w:val="00764C1D"/>
    <w:rsid w:val="00766904"/>
    <w:rsid w:val="00766DAD"/>
    <w:rsid w:val="007700B8"/>
    <w:rsid w:val="0077179E"/>
    <w:rsid w:val="0077265C"/>
    <w:rsid w:val="007729C2"/>
    <w:rsid w:val="00773999"/>
    <w:rsid w:val="00773D34"/>
    <w:rsid w:val="00774614"/>
    <w:rsid w:val="00775589"/>
    <w:rsid w:val="007757EB"/>
    <w:rsid w:val="00776286"/>
    <w:rsid w:val="00776460"/>
    <w:rsid w:val="00777FA1"/>
    <w:rsid w:val="007816A8"/>
    <w:rsid w:val="0078241B"/>
    <w:rsid w:val="007826EE"/>
    <w:rsid w:val="00782A02"/>
    <w:rsid w:val="0078310D"/>
    <w:rsid w:val="00784FE2"/>
    <w:rsid w:val="00784FED"/>
    <w:rsid w:val="00785961"/>
    <w:rsid w:val="00785FDE"/>
    <w:rsid w:val="00786288"/>
    <w:rsid w:val="00786471"/>
    <w:rsid w:val="007868DF"/>
    <w:rsid w:val="007871CE"/>
    <w:rsid w:val="007875EE"/>
    <w:rsid w:val="007879C9"/>
    <w:rsid w:val="00792297"/>
    <w:rsid w:val="0079256F"/>
    <w:rsid w:val="007925A4"/>
    <w:rsid w:val="00792CD8"/>
    <w:rsid w:val="00792EB9"/>
    <w:rsid w:val="0079363E"/>
    <w:rsid w:val="007941C3"/>
    <w:rsid w:val="0079452A"/>
    <w:rsid w:val="00794CBF"/>
    <w:rsid w:val="007952D8"/>
    <w:rsid w:val="0079581F"/>
    <w:rsid w:val="00795EB3"/>
    <w:rsid w:val="0079753C"/>
    <w:rsid w:val="00797A68"/>
    <w:rsid w:val="007A0261"/>
    <w:rsid w:val="007A1130"/>
    <w:rsid w:val="007A124D"/>
    <w:rsid w:val="007A178B"/>
    <w:rsid w:val="007A1D03"/>
    <w:rsid w:val="007A273B"/>
    <w:rsid w:val="007A2896"/>
    <w:rsid w:val="007A36C9"/>
    <w:rsid w:val="007A3969"/>
    <w:rsid w:val="007A4A28"/>
    <w:rsid w:val="007A4F17"/>
    <w:rsid w:val="007A4FCC"/>
    <w:rsid w:val="007A5A1E"/>
    <w:rsid w:val="007A5FF8"/>
    <w:rsid w:val="007A66A3"/>
    <w:rsid w:val="007A7D41"/>
    <w:rsid w:val="007B0F65"/>
    <w:rsid w:val="007B1342"/>
    <w:rsid w:val="007B2604"/>
    <w:rsid w:val="007B43BB"/>
    <w:rsid w:val="007B4D23"/>
    <w:rsid w:val="007B634C"/>
    <w:rsid w:val="007B6633"/>
    <w:rsid w:val="007B689C"/>
    <w:rsid w:val="007B6B84"/>
    <w:rsid w:val="007B6DB7"/>
    <w:rsid w:val="007B73F3"/>
    <w:rsid w:val="007B76C0"/>
    <w:rsid w:val="007B793E"/>
    <w:rsid w:val="007C06F6"/>
    <w:rsid w:val="007C0AC8"/>
    <w:rsid w:val="007C0E51"/>
    <w:rsid w:val="007C2382"/>
    <w:rsid w:val="007C24AF"/>
    <w:rsid w:val="007C2DBF"/>
    <w:rsid w:val="007C41B8"/>
    <w:rsid w:val="007C45BB"/>
    <w:rsid w:val="007C4A7B"/>
    <w:rsid w:val="007C5C7F"/>
    <w:rsid w:val="007C62D1"/>
    <w:rsid w:val="007C69A7"/>
    <w:rsid w:val="007C6A0B"/>
    <w:rsid w:val="007D09E1"/>
    <w:rsid w:val="007D3319"/>
    <w:rsid w:val="007D33B9"/>
    <w:rsid w:val="007D380A"/>
    <w:rsid w:val="007D3EBF"/>
    <w:rsid w:val="007D42C6"/>
    <w:rsid w:val="007D431B"/>
    <w:rsid w:val="007D4BA9"/>
    <w:rsid w:val="007D4CD5"/>
    <w:rsid w:val="007D6BAA"/>
    <w:rsid w:val="007D7566"/>
    <w:rsid w:val="007D76BC"/>
    <w:rsid w:val="007E04EB"/>
    <w:rsid w:val="007E0BA3"/>
    <w:rsid w:val="007E0F2F"/>
    <w:rsid w:val="007E124D"/>
    <w:rsid w:val="007E2B41"/>
    <w:rsid w:val="007E2BEE"/>
    <w:rsid w:val="007E3013"/>
    <w:rsid w:val="007E448C"/>
    <w:rsid w:val="007E4695"/>
    <w:rsid w:val="007E4E53"/>
    <w:rsid w:val="007E5177"/>
    <w:rsid w:val="007E60F0"/>
    <w:rsid w:val="007E6D1F"/>
    <w:rsid w:val="007E7172"/>
    <w:rsid w:val="007E7366"/>
    <w:rsid w:val="007E7900"/>
    <w:rsid w:val="007F0300"/>
    <w:rsid w:val="007F06FE"/>
    <w:rsid w:val="007F1460"/>
    <w:rsid w:val="007F1732"/>
    <w:rsid w:val="007F256E"/>
    <w:rsid w:val="007F2B40"/>
    <w:rsid w:val="007F3511"/>
    <w:rsid w:val="007F3A5B"/>
    <w:rsid w:val="007F45A9"/>
    <w:rsid w:val="007F4E2A"/>
    <w:rsid w:val="007F535D"/>
    <w:rsid w:val="007F6F98"/>
    <w:rsid w:val="007F785A"/>
    <w:rsid w:val="00801AAC"/>
    <w:rsid w:val="0080237C"/>
    <w:rsid w:val="008036F0"/>
    <w:rsid w:val="008038D7"/>
    <w:rsid w:val="00803A65"/>
    <w:rsid w:val="00803B95"/>
    <w:rsid w:val="008041B7"/>
    <w:rsid w:val="008041C1"/>
    <w:rsid w:val="00804E3C"/>
    <w:rsid w:val="008055C8"/>
    <w:rsid w:val="00805622"/>
    <w:rsid w:val="00805624"/>
    <w:rsid w:val="0080600B"/>
    <w:rsid w:val="00806428"/>
    <w:rsid w:val="008069B7"/>
    <w:rsid w:val="0080700C"/>
    <w:rsid w:val="00807164"/>
    <w:rsid w:val="0081097D"/>
    <w:rsid w:val="00810D9D"/>
    <w:rsid w:val="00810FB0"/>
    <w:rsid w:val="00811FCC"/>
    <w:rsid w:val="00812057"/>
    <w:rsid w:val="00812B04"/>
    <w:rsid w:val="00814268"/>
    <w:rsid w:val="0081792D"/>
    <w:rsid w:val="00817D38"/>
    <w:rsid w:val="008200BA"/>
    <w:rsid w:val="00820906"/>
    <w:rsid w:val="00820FA9"/>
    <w:rsid w:val="00821A4E"/>
    <w:rsid w:val="008226DA"/>
    <w:rsid w:val="00822B58"/>
    <w:rsid w:val="00822C09"/>
    <w:rsid w:val="0082383A"/>
    <w:rsid w:val="00823EC9"/>
    <w:rsid w:val="00824939"/>
    <w:rsid w:val="008261B0"/>
    <w:rsid w:val="008261C2"/>
    <w:rsid w:val="00826C7E"/>
    <w:rsid w:val="00827740"/>
    <w:rsid w:val="0083077B"/>
    <w:rsid w:val="008309C4"/>
    <w:rsid w:val="0083102E"/>
    <w:rsid w:val="008317FB"/>
    <w:rsid w:val="00831E36"/>
    <w:rsid w:val="00832797"/>
    <w:rsid w:val="00832B11"/>
    <w:rsid w:val="00832ED1"/>
    <w:rsid w:val="00833736"/>
    <w:rsid w:val="0083387B"/>
    <w:rsid w:val="00833B7B"/>
    <w:rsid w:val="0083482E"/>
    <w:rsid w:val="00834C69"/>
    <w:rsid w:val="00834D20"/>
    <w:rsid w:val="00835A32"/>
    <w:rsid w:val="00836F9F"/>
    <w:rsid w:val="00837450"/>
    <w:rsid w:val="00837E9F"/>
    <w:rsid w:val="00837FF5"/>
    <w:rsid w:val="00840D5A"/>
    <w:rsid w:val="00841BD9"/>
    <w:rsid w:val="00841F3E"/>
    <w:rsid w:val="00843B71"/>
    <w:rsid w:val="00844941"/>
    <w:rsid w:val="00847817"/>
    <w:rsid w:val="00847ACA"/>
    <w:rsid w:val="00847B32"/>
    <w:rsid w:val="008507E9"/>
    <w:rsid w:val="00850E7A"/>
    <w:rsid w:val="00850F8E"/>
    <w:rsid w:val="008511C1"/>
    <w:rsid w:val="00851452"/>
    <w:rsid w:val="00853C52"/>
    <w:rsid w:val="008541F3"/>
    <w:rsid w:val="00854B51"/>
    <w:rsid w:val="00856DF7"/>
    <w:rsid w:val="00857131"/>
    <w:rsid w:val="008571A1"/>
    <w:rsid w:val="0085734B"/>
    <w:rsid w:val="00857D2A"/>
    <w:rsid w:val="00857E69"/>
    <w:rsid w:val="00860EB9"/>
    <w:rsid w:val="00861062"/>
    <w:rsid w:val="0086180F"/>
    <w:rsid w:val="00862BBD"/>
    <w:rsid w:val="00864203"/>
    <w:rsid w:val="00864840"/>
    <w:rsid w:val="008649DD"/>
    <w:rsid w:val="00866417"/>
    <w:rsid w:val="008666A0"/>
    <w:rsid w:val="00866A78"/>
    <w:rsid w:val="00867771"/>
    <w:rsid w:val="00867DA5"/>
    <w:rsid w:val="00870662"/>
    <w:rsid w:val="00871928"/>
    <w:rsid w:val="00871B98"/>
    <w:rsid w:val="00873248"/>
    <w:rsid w:val="00873CD7"/>
    <w:rsid w:val="00873DC6"/>
    <w:rsid w:val="008749D1"/>
    <w:rsid w:val="00875B0C"/>
    <w:rsid w:val="00875C05"/>
    <w:rsid w:val="00875C25"/>
    <w:rsid w:val="0087601A"/>
    <w:rsid w:val="00876319"/>
    <w:rsid w:val="008771D7"/>
    <w:rsid w:val="00877D35"/>
    <w:rsid w:val="00880426"/>
    <w:rsid w:val="00880D15"/>
    <w:rsid w:val="0088118B"/>
    <w:rsid w:val="00881A78"/>
    <w:rsid w:val="0088286C"/>
    <w:rsid w:val="00883237"/>
    <w:rsid w:val="00884CE1"/>
    <w:rsid w:val="00884DEF"/>
    <w:rsid w:val="008851A9"/>
    <w:rsid w:val="00885F4A"/>
    <w:rsid w:val="00886029"/>
    <w:rsid w:val="008863CD"/>
    <w:rsid w:val="00886CE7"/>
    <w:rsid w:val="0088742F"/>
    <w:rsid w:val="00887615"/>
    <w:rsid w:val="00887800"/>
    <w:rsid w:val="00887D98"/>
    <w:rsid w:val="00887DB7"/>
    <w:rsid w:val="0089092A"/>
    <w:rsid w:val="008911E5"/>
    <w:rsid w:val="00891E08"/>
    <w:rsid w:val="008928D0"/>
    <w:rsid w:val="008935D6"/>
    <w:rsid w:val="00894072"/>
    <w:rsid w:val="008949D6"/>
    <w:rsid w:val="00896A24"/>
    <w:rsid w:val="00896BB7"/>
    <w:rsid w:val="0089760B"/>
    <w:rsid w:val="0089792C"/>
    <w:rsid w:val="008A0ACA"/>
    <w:rsid w:val="008A0CD8"/>
    <w:rsid w:val="008A0F24"/>
    <w:rsid w:val="008A126A"/>
    <w:rsid w:val="008A18DE"/>
    <w:rsid w:val="008A25E2"/>
    <w:rsid w:val="008A270E"/>
    <w:rsid w:val="008A3CA7"/>
    <w:rsid w:val="008A57BE"/>
    <w:rsid w:val="008A70C4"/>
    <w:rsid w:val="008A7308"/>
    <w:rsid w:val="008A743D"/>
    <w:rsid w:val="008A7A2B"/>
    <w:rsid w:val="008B0245"/>
    <w:rsid w:val="008B0672"/>
    <w:rsid w:val="008B0A25"/>
    <w:rsid w:val="008B1623"/>
    <w:rsid w:val="008B1990"/>
    <w:rsid w:val="008B199F"/>
    <w:rsid w:val="008B1C22"/>
    <w:rsid w:val="008B2129"/>
    <w:rsid w:val="008B2959"/>
    <w:rsid w:val="008B2CAE"/>
    <w:rsid w:val="008B2E65"/>
    <w:rsid w:val="008B4666"/>
    <w:rsid w:val="008B55EB"/>
    <w:rsid w:val="008B5AAC"/>
    <w:rsid w:val="008B5B30"/>
    <w:rsid w:val="008B5C4D"/>
    <w:rsid w:val="008B60A8"/>
    <w:rsid w:val="008B60C8"/>
    <w:rsid w:val="008B6DD2"/>
    <w:rsid w:val="008B7E8B"/>
    <w:rsid w:val="008C1266"/>
    <w:rsid w:val="008C2DBD"/>
    <w:rsid w:val="008C2E12"/>
    <w:rsid w:val="008C4175"/>
    <w:rsid w:val="008C47D2"/>
    <w:rsid w:val="008C4991"/>
    <w:rsid w:val="008C4E93"/>
    <w:rsid w:val="008C5044"/>
    <w:rsid w:val="008C5335"/>
    <w:rsid w:val="008C54B9"/>
    <w:rsid w:val="008C56F1"/>
    <w:rsid w:val="008C578A"/>
    <w:rsid w:val="008C5DA7"/>
    <w:rsid w:val="008C5DAB"/>
    <w:rsid w:val="008C6E12"/>
    <w:rsid w:val="008C7222"/>
    <w:rsid w:val="008D0539"/>
    <w:rsid w:val="008D0890"/>
    <w:rsid w:val="008D152D"/>
    <w:rsid w:val="008D16C2"/>
    <w:rsid w:val="008D1805"/>
    <w:rsid w:val="008D1C10"/>
    <w:rsid w:val="008D1FE8"/>
    <w:rsid w:val="008D245E"/>
    <w:rsid w:val="008D3117"/>
    <w:rsid w:val="008D3EE1"/>
    <w:rsid w:val="008D4A8D"/>
    <w:rsid w:val="008D5328"/>
    <w:rsid w:val="008D5D79"/>
    <w:rsid w:val="008E01E5"/>
    <w:rsid w:val="008E0225"/>
    <w:rsid w:val="008E2861"/>
    <w:rsid w:val="008E34D8"/>
    <w:rsid w:val="008E3A48"/>
    <w:rsid w:val="008E4217"/>
    <w:rsid w:val="008E4519"/>
    <w:rsid w:val="008E462E"/>
    <w:rsid w:val="008E49C3"/>
    <w:rsid w:val="008E4ED2"/>
    <w:rsid w:val="008E5FEA"/>
    <w:rsid w:val="008E6166"/>
    <w:rsid w:val="008E70E6"/>
    <w:rsid w:val="008F0B84"/>
    <w:rsid w:val="008F1AFD"/>
    <w:rsid w:val="008F214A"/>
    <w:rsid w:val="008F2632"/>
    <w:rsid w:val="008F5643"/>
    <w:rsid w:val="008F61F4"/>
    <w:rsid w:val="008F7C49"/>
    <w:rsid w:val="008F7E0E"/>
    <w:rsid w:val="008F7E22"/>
    <w:rsid w:val="00900974"/>
    <w:rsid w:val="00900D0C"/>
    <w:rsid w:val="00901EFF"/>
    <w:rsid w:val="009022EB"/>
    <w:rsid w:val="00903072"/>
    <w:rsid w:val="00903265"/>
    <w:rsid w:val="009036F7"/>
    <w:rsid w:val="00903B8C"/>
    <w:rsid w:val="00903F22"/>
    <w:rsid w:val="0090502A"/>
    <w:rsid w:val="009062F5"/>
    <w:rsid w:val="00906542"/>
    <w:rsid w:val="00906733"/>
    <w:rsid w:val="0090675B"/>
    <w:rsid w:val="0090782E"/>
    <w:rsid w:val="00910163"/>
    <w:rsid w:val="0091037E"/>
    <w:rsid w:val="00910829"/>
    <w:rsid w:val="009112E5"/>
    <w:rsid w:val="00911D1A"/>
    <w:rsid w:val="00912210"/>
    <w:rsid w:val="00912F2F"/>
    <w:rsid w:val="009138D6"/>
    <w:rsid w:val="00913B0E"/>
    <w:rsid w:val="009142B9"/>
    <w:rsid w:val="0091433A"/>
    <w:rsid w:val="00914791"/>
    <w:rsid w:val="009149DA"/>
    <w:rsid w:val="00914F97"/>
    <w:rsid w:val="00914FAC"/>
    <w:rsid w:val="00915E41"/>
    <w:rsid w:val="0091690C"/>
    <w:rsid w:val="00916DAE"/>
    <w:rsid w:val="00917228"/>
    <w:rsid w:val="00917B56"/>
    <w:rsid w:val="00917C80"/>
    <w:rsid w:val="009207B0"/>
    <w:rsid w:val="009211D7"/>
    <w:rsid w:val="00921B67"/>
    <w:rsid w:val="009221A4"/>
    <w:rsid w:val="00922A64"/>
    <w:rsid w:val="00923551"/>
    <w:rsid w:val="009239F6"/>
    <w:rsid w:val="00924246"/>
    <w:rsid w:val="00925712"/>
    <w:rsid w:val="009258A7"/>
    <w:rsid w:val="00925B43"/>
    <w:rsid w:val="00925DD6"/>
    <w:rsid w:val="00925F2E"/>
    <w:rsid w:val="00926025"/>
    <w:rsid w:val="00926FA0"/>
    <w:rsid w:val="00930760"/>
    <w:rsid w:val="00931190"/>
    <w:rsid w:val="009328EC"/>
    <w:rsid w:val="00933380"/>
    <w:rsid w:val="009333C7"/>
    <w:rsid w:val="00935503"/>
    <w:rsid w:val="00935C2E"/>
    <w:rsid w:val="00936B64"/>
    <w:rsid w:val="00936BFD"/>
    <w:rsid w:val="00936C53"/>
    <w:rsid w:val="00937C63"/>
    <w:rsid w:val="00940EE3"/>
    <w:rsid w:val="00941D10"/>
    <w:rsid w:val="009422BE"/>
    <w:rsid w:val="00942E5F"/>
    <w:rsid w:val="0094305B"/>
    <w:rsid w:val="00943357"/>
    <w:rsid w:val="00943A0E"/>
    <w:rsid w:val="00943A74"/>
    <w:rsid w:val="00944A4A"/>
    <w:rsid w:val="0094514D"/>
    <w:rsid w:val="009464E8"/>
    <w:rsid w:val="009467BE"/>
    <w:rsid w:val="00946B3E"/>
    <w:rsid w:val="00946FEB"/>
    <w:rsid w:val="00947BB2"/>
    <w:rsid w:val="00950022"/>
    <w:rsid w:val="0095057F"/>
    <w:rsid w:val="00950AD5"/>
    <w:rsid w:val="009510BD"/>
    <w:rsid w:val="00951518"/>
    <w:rsid w:val="0095190D"/>
    <w:rsid w:val="009519EE"/>
    <w:rsid w:val="00951EBA"/>
    <w:rsid w:val="0095235E"/>
    <w:rsid w:val="009526B3"/>
    <w:rsid w:val="0095272C"/>
    <w:rsid w:val="00952F4E"/>
    <w:rsid w:val="00954364"/>
    <w:rsid w:val="009543D9"/>
    <w:rsid w:val="009543FF"/>
    <w:rsid w:val="0095479A"/>
    <w:rsid w:val="00955DF8"/>
    <w:rsid w:val="00956310"/>
    <w:rsid w:val="0095672B"/>
    <w:rsid w:val="00956A3F"/>
    <w:rsid w:val="009575BF"/>
    <w:rsid w:val="00957A6F"/>
    <w:rsid w:val="00957BBE"/>
    <w:rsid w:val="00960700"/>
    <w:rsid w:val="009607EC"/>
    <w:rsid w:val="0096097F"/>
    <w:rsid w:val="00960A21"/>
    <w:rsid w:val="00961749"/>
    <w:rsid w:val="009631A7"/>
    <w:rsid w:val="00963FC8"/>
    <w:rsid w:val="00964222"/>
    <w:rsid w:val="0096472F"/>
    <w:rsid w:val="00964A17"/>
    <w:rsid w:val="00966E89"/>
    <w:rsid w:val="00966F9B"/>
    <w:rsid w:val="00970DAB"/>
    <w:rsid w:val="00970EFF"/>
    <w:rsid w:val="009711CB"/>
    <w:rsid w:val="0097175E"/>
    <w:rsid w:val="009729DC"/>
    <w:rsid w:val="00972C5E"/>
    <w:rsid w:val="00973BF5"/>
    <w:rsid w:val="009741DC"/>
    <w:rsid w:val="00974569"/>
    <w:rsid w:val="009749EB"/>
    <w:rsid w:val="00975393"/>
    <w:rsid w:val="00975462"/>
    <w:rsid w:val="009755E2"/>
    <w:rsid w:val="009757E7"/>
    <w:rsid w:val="009765DB"/>
    <w:rsid w:val="00976A1F"/>
    <w:rsid w:val="0098240F"/>
    <w:rsid w:val="00983704"/>
    <w:rsid w:val="009838CF"/>
    <w:rsid w:val="00985367"/>
    <w:rsid w:val="00985E87"/>
    <w:rsid w:val="00986042"/>
    <w:rsid w:val="009864C4"/>
    <w:rsid w:val="00986B33"/>
    <w:rsid w:val="00987280"/>
    <w:rsid w:val="00987858"/>
    <w:rsid w:val="00987AD5"/>
    <w:rsid w:val="00987E5F"/>
    <w:rsid w:val="0099040C"/>
    <w:rsid w:val="0099152F"/>
    <w:rsid w:val="00991F68"/>
    <w:rsid w:val="00992800"/>
    <w:rsid w:val="0099286D"/>
    <w:rsid w:val="00992BC7"/>
    <w:rsid w:val="00992CFD"/>
    <w:rsid w:val="00992F24"/>
    <w:rsid w:val="00993105"/>
    <w:rsid w:val="00993582"/>
    <w:rsid w:val="0099375F"/>
    <w:rsid w:val="00994DBC"/>
    <w:rsid w:val="00995108"/>
    <w:rsid w:val="00995C3C"/>
    <w:rsid w:val="00995ED3"/>
    <w:rsid w:val="00996529"/>
    <w:rsid w:val="009A0285"/>
    <w:rsid w:val="009A1B0E"/>
    <w:rsid w:val="009A2326"/>
    <w:rsid w:val="009A2AF7"/>
    <w:rsid w:val="009A3148"/>
    <w:rsid w:val="009A32F5"/>
    <w:rsid w:val="009A4483"/>
    <w:rsid w:val="009A5851"/>
    <w:rsid w:val="009A5895"/>
    <w:rsid w:val="009A5E6A"/>
    <w:rsid w:val="009A7046"/>
    <w:rsid w:val="009A773B"/>
    <w:rsid w:val="009B09F2"/>
    <w:rsid w:val="009B0A7C"/>
    <w:rsid w:val="009B18E0"/>
    <w:rsid w:val="009B1A8C"/>
    <w:rsid w:val="009B1C5B"/>
    <w:rsid w:val="009B1CD1"/>
    <w:rsid w:val="009B1D1D"/>
    <w:rsid w:val="009B223E"/>
    <w:rsid w:val="009B2A40"/>
    <w:rsid w:val="009B2ADD"/>
    <w:rsid w:val="009B2C48"/>
    <w:rsid w:val="009B3997"/>
    <w:rsid w:val="009B44A4"/>
    <w:rsid w:val="009B46DB"/>
    <w:rsid w:val="009B5117"/>
    <w:rsid w:val="009B64A9"/>
    <w:rsid w:val="009B6EDB"/>
    <w:rsid w:val="009B7138"/>
    <w:rsid w:val="009B72FE"/>
    <w:rsid w:val="009B78F5"/>
    <w:rsid w:val="009C04D2"/>
    <w:rsid w:val="009C050E"/>
    <w:rsid w:val="009C1221"/>
    <w:rsid w:val="009C1CA9"/>
    <w:rsid w:val="009C2667"/>
    <w:rsid w:val="009C2EB8"/>
    <w:rsid w:val="009C54F8"/>
    <w:rsid w:val="009C6050"/>
    <w:rsid w:val="009C619C"/>
    <w:rsid w:val="009C665E"/>
    <w:rsid w:val="009C7745"/>
    <w:rsid w:val="009C7C2C"/>
    <w:rsid w:val="009D02AE"/>
    <w:rsid w:val="009D0C8E"/>
    <w:rsid w:val="009D0EEC"/>
    <w:rsid w:val="009D1E35"/>
    <w:rsid w:val="009D288B"/>
    <w:rsid w:val="009D3DF2"/>
    <w:rsid w:val="009D44D6"/>
    <w:rsid w:val="009D52AB"/>
    <w:rsid w:val="009D54E1"/>
    <w:rsid w:val="009D587C"/>
    <w:rsid w:val="009D65F2"/>
    <w:rsid w:val="009D68D3"/>
    <w:rsid w:val="009D6C42"/>
    <w:rsid w:val="009D6EDA"/>
    <w:rsid w:val="009D7122"/>
    <w:rsid w:val="009D75D3"/>
    <w:rsid w:val="009D77FC"/>
    <w:rsid w:val="009D79F5"/>
    <w:rsid w:val="009D7D53"/>
    <w:rsid w:val="009E112D"/>
    <w:rsid w:val="009E2FCE"/>
    <w:rsid w:val="009E5DA4"/>
    <w:rsid w:val="009E633F"/>
    <w:rsid w:val="009E7108"/>
    <w:rsid w:val="009E7550"/>
    <w:rsid w:val="009E7651"/>
    <w:rsid w:val="009E77A8"/>
    <w:rsid w:val="009E77C0"/>
    <w:rsid w:val="009E7A94"/>
    <w:rsid w:val="009E7C9B"/>
    <w:rsid w:val="009E7FE7"/>
    <w:rsid w:val="009F0369"/>
    <w:rsid w:val="009F17F2"/>
    <w:rsid w:val="009F1DE5"/>
    <w:rsid w:val="009F2A35"/>
    <w:rsid w:val="009F2B74"/>
    <w:rsid w:val="009F3393"/>
    <w:rsid w:val="009F3806"/>
    <w:rsid w:val="009F66B8"/>
    <w:rsid w:val="00A01DD4"/>
    <w:rsid w:val="00A02414"/>
    <w:rsid w:val="00A02F11"/>
    <w:rsid w:val="00A04CF1"/>
    <w:rsid w:val="00A05050"/>
    <w:rsid w:val="00A054F0"/>
    <w:rsid w:val="00A064A3"/>
    <w:rsid w:val="00A065C9"/>
    <w:rsid w:val="00A10075"/>
    <w:rsid w:val="00A103F8"/>
    <w:rsid w:val="00A111DD"/>
    <w:rsid w:val="00A11FFE"/>
    <w:rsid w:val="00A12735"/>
    <w:rsid w:val="00A1294B"/>
    <w:rsid w:val="00A1331A"/>
    <w:rsid w:val="00A1394F"/>
    <w:rsid w:val="00A13F73"/>
    <w:rsid w:val="00A149F1"/>
    <w:rsid w:val="00A151D2"/>
    <w:rsid w:val="00A15998"/>
    <w:rsid w:val="00A1659E"/>
    <w:rsid w:val="00A16697"/>
    <w:rsid w:val="00A173D1"/>
    <w:rsid w:val="00A17441"/>
    <w:rsid w:val="00A1773F"/>
    <w:rsid w:val="00A17793"/>
    <w:rsid w:val="00A1787B"/>
    <w:rsid w:val="00A20546"/>
    <w:rsid w:val="00A21683"/>
    <w:rsid w:val="00A22D85"/>
    <w:rsid w:val="00A230DF"/>
    <w:rsid w:val="00A2345F"/>
    <w:rsid w:val="00A23883"/>
    <w:rsid w:val="00A24AC2"/>
    <w:rsid w:val="00A24AC7"/>
    <w:rsid w:val="00A27539"/>
    <w:rsid w:val="00A27A8E"/>
    <w:rsid w:val="00A305AB"/>
    <w:rsid w:val="00A305BE"/>
    <w:rsid w:val="00A307B8"/>
    <w:rsid w:val="00A31111"/>
    <w:rsid w:val="00A31442"/>
    <w:rsid w:val="00A3165A"/>
    <w:rsid w:val="00A31D7B"/>
    <w:rsid w:val="00A32A0D"/>
    <w:rsid w:val="00A32A4A"/>
    <w:rsid w:val="00A335E2"/>
    <w:rsid w:val="00A336EA"/>
    <w:rsid w:val="00A3420A"/>
    <w:rsid w:val="00A347E3"/>
    <w:rsid w:val="00A349CB"/>
    <w:rsid w:val="00A35923"/>
    <w:rsid w:val="00A36125"/>
    <w:rsid w:val="00A36352"/>
    <w:rsid w:val="00A372E7"/>
    <w:rsid w:val="00A37336"/>
    <w:rsid w:val="00A3785D"/>
    <w:rsid w:val="00A40F97"/>
    <w:rsid w:val="00A4130C"/>
    <w:rsid w:val="00A41894"/>
    <w:rsid w:val="00A43A13"/>
    <w:rsid w:val="00A447C2"/>
    <w:rsid w:val="00A44A34"/>
    <w:rsid w:val="00A452F0"/>
    <w:rsid w:val="00A4613D"/>
    <w:rsid w:val="00A46322"/>
    <w:rsid w:val="00A46344"/>
    <w:rsid w:val="00A47BA9"/>
    <w:rsid w:val="00A5038A"/>
    <w:rsid w:val="00A52A1D"/>
    <w:rsid w:val="00A54073"/>
    <w:rsid w:val="00A56991"/>
    <w:rsid w:val="00A56D51"/>
    <w:rsid w:val="00A57162"/>
    <w:rsid w:val="00A574B8"/>
    <w:rsid w:val="00A60CCF"/>
    <w:rsid w:val="00A61E9F"/>
    <w:rsid w:val="00A624ED"/>
    <w:rsid w:val="00A624FE"/>
    <w:rsid w:val="00A6285A"/>
    <w:rsid w:val="00A62885"/>
    <w:rsid w:val="00A62887"/>
    <w:rsid w:val="00A629AF"/>
    <w:rsid w:val="00A63316"/>
    <w:rsid w:val="00A639E6"/>
    <w:rsid w:val="00A647CF"/>
    <w:rsid w:val="00A64ED7"/>
    <w:rsid w:val="00A70408"/>
    <w:rsid w:val="00A7062D"/>
    <w:rsid w:val="00A70769"/>
    <w:rsid w:val="00A719AB"/>
    <w:rsid w:val="00A71FD7"/>
    <w:rsid w:val="00A7237B"/>
    <w:rsid w:val="00A723BF"/>
    <w:rsid w:val="00A72A28"/>
    <w:rsid w:val="00A72B89"/>
    <w:rsid w:val="00A72C2A"/>
    <w:rsid w:val="00A73479"/>
    <w:rsid w:val="00A73DA4"/>
    <w:rsid w:val="00A74246"/>
    <w:rsid w:val="00A742BD"/>
    <w:rsid w:val="00A752D6"/>
    <w:rsid w:val="00A766A1"/>
    <w:rsid w:val="00A76906"/>
    <w:rsid w:val="00A76AC3"/>
    <w:rsid w:val="00A77409"/>
    <w:rsid w:val="00A776A1"/>
    <w:rsid w:val="00A77846"/>
    <w:rsid w:val="00A77966"/>
    <w:rsid w:val="00A802CF"/>
    <w:rsid w:val="00A80483"/>
    <w:rsid w:val="00A8119F"/>
    <w:rsid w:val="00A81648"/>
    <w:rsid w:val="00A81846"/>
    <w:rsid w:val="00A818ED"/>
    <w:rsid w:val="00A81922"/>
    <w:rsid w:val="00A820E0"/>
    <w:rsid w:val="00A8221E"/>
    <w:rsid w:val="00A82832"/>
    <w:rsid w:val="00A8340F"/>
    <w:rsid w:val="00A834CA"/>
    <w:rsid w:val="00A834E4"/>
    <w:rsid w:val="00A83A11"/>
    <w:rsid w:val="00A83A2A"/>
    <w:rsid w:val="00A83C54"/>
    <w:rsid w:val="00A84B56"/>
    <w:rsid w:val="00A85129"/>
    <w:rsid w:val="00A852EC"/>
    <w:rsid w:val="00A86026"/>
    <w:rsid w:val="00A86B44"/>
    <w:rsid w:val="00A8713B"/>
    <w:rsid w:val="00A873B0"/>
    <w:rsid w:val="00A87471"/>
    <w:rsid w:val="00A8767A"/>
    <w:rsid w:val="00A915C1"/>
    <w:rsid w:val="00A9176C"/>
    <w:rsid w:val="00A9190A"/>
    <w:rsid w:val="00A934C9"/>
    <w:rsid w:val="00A9386F"/>
    <w:rsid w:val="00A938AA"/>
    <w:rsid w:val="00A93D25"/>
    <w:rsid w:val="00A943BA"/>
    <w:rsid w:val="00A953B6"/>
    <w:rsid w:val="00A95E0B"/>
    <w:rsid w:val="00A95E68"/>
    <w:rsid w:val="00A96F03"/>
    <w:rsid w:val="00AA0BD6"/>
    <w:rsid w:val="00AA115C"/>
    <w:rsid w:val="00AA1642"/>
    <w:rsid w:val="00AA1687"/>
    <w:rsid w:val="00AA2943"/>
    <w:rsid w:val="00AA30F9"/>
    <w:rsid w:val="00AA3328"/>
    <w:rsid w:val="00AA3A26"/>
    <w:rsid w:val="00AA45CB"/>
    <w:rsid w:val="00AA5E71"/>
    <w:rsid w:val="00AA5EC5"/>
    <w:rsid w:val="00AA7A07"/>
    <w:rsid w:val="00AB1981"/>
    <w:rsid w:val="00AB392A"/>
    <w:rsid w:val="00AB3CCB"/>
    <w:rsid w:val="00AB5383"/>
    <w:rsid w:val="00AB5496"/>
    <w:rsid w:val="00AB55BF"/>
    <w:rsid w:val="00AB6346"/>
    <w:rsid w:val="00AB65B6"/>
    <w:rsid w:val="00AB6B77"/>
    <w:rsid w:val="00AB7295"/>
    <w:rsid w:val="00AB763A"/>
    <w:rsid w:val="00AB773B"/>
    <w:rsid w:val="00AB7888"/>
    <w:rsid w:val="00AC0024"/>
    <w:rsid w:val="00AC108A"/>
    <w:rsid w:val="00AC1665"/>
    <w:rsid w:val="00AC1F59"/>
    <w:rsid w:val="00AC207F"/>
    <w:rsid w:val="00AC25B6"/>
    <w:rsid w:val="00AC283D"/>
    <w:rsid w:val="00AC2943"/>
    <w:rsid w:val="00AC391B"/>
    <w:rsid w:val="00AC4E16"/>
    <w:rsid w:val="00AC4FC9"/>
    <w:rsid w:val="00AC50F1"/>
    <w:rsid w:val="00AC5A08"/>
    <w:rsid w:val="00AC5F7C"/>
    <w:rsid w:val="00AC6D47"/>
    <w:rsid w:val="00AC6E8A"/>
    <w:rsid w:val="00AC719D"/>
    <w:rsid w:val="00AD121B"/>
    <w:rsid w:val="00AD142C"/>
    <w:rsid w:val="00AD1E21"/>
    <w:rsid w:val="00AD21CF"/>
    <w:rsid w:val="00AD23DC"/>
    <w:rsid w:val="00AD2DAC"/>
    <w:rsid w:val="00AD3AEC"/>
    <w:rsid w:val="00AD3FA5"/>
    <w:rsid w:val="00AD426B"/>
    <w:rsid w:val="00AE05B3"/>
    <w:rsid w:val="00AE1298"/>
    <w:rsid w:val="00AE1C84"/>
    <w:rsid w:val="00AE20B4"/>
    <w:rsid w:val="00AE29DF"/>
    <w:rsid w:val="00AE2F80"/>
    <w:rsid w:val="00AE350C"/>
    <w:rsid w:val="00AE3850"/>
    <w:rsid w:val="00AE39CE"/>
    <w:rsid w:val="00AE3D43"/>
    <w:rsid w:val="00AE4959"/>
    <w:rsid w:val="00AE5F2D"/>
    <w:rsid w:val="00AE6E23"/>
    <w:rsid w:val="00AE7229"/>
    <w:rsid w:val="00AE743D"/>
    <w:rsid w:val="00AF0966"/>
    <w:rsid w:val="00AF0E60"/>
    <w:rsid w:val="00AF1AF7"/>
    <w:rsid w:val="00AF24FC"/>
    <w:rsid w:val="00AF2B4D"/>
    <w:rsid w:val="00AF31D2"/>
    <w:rsid w:val="00AF35D3"/>
    <w:rsid w:val="00AF4BBF"/>
    <w:rsid w:val="00AF62ED"/>
    <w:rsid w:val="00AF6483"/>
    <w:rsid w:val="00AF6F17"/>
    <w:rsid w:val="00AF767F"/>
    <w:rsid w:val="00B00A29"/>
    <w:rsid w:val="00B00B30"/>
    <w:rsid w:val="00B01719"/>
    <w:rsid w:val="00B01C6C"/>
    <w:rsid w:val="00B027AD"/>
    <w:rsid w:val="00B02FCD"/>
    <w:rsid w:val="00B03EBA"/>
    <w:rsid w:val="00B048BF"/>
    <w:rsid w:val="00B04FF3"/>
    <w:rsid w:val="00B05084"/>
    <w:rsid w:val="00B050E7"/>
    <w:rsid w:val="00B05BF0"/>
    <w:rsid w:val="00B05C45"/>
    <w:rsid w:val="00B05D97"/>
    <w:rsid w:val="00B06A2E"/>
    <w:rsid w:val="00B073A5"/>
    <w:rsid w:val="00B0748E"/>
    <w:rsid w:val="00B077BD"/>
    <w:rsid w:val="00B07DBF"/>
    <w:rsid w:val="00B10904"/>
    <w:rsid w:val="00B10B62"/>
    <w:rsid w:val="00B11845"/>
    <w:rsid w:val="00B11B06"/>
    <w:rsid w:val="00B12256"/>
    <w:rsid w:val="00B12375"/>
    <w:rsid w:val="00B12778"/>
    <w:rsid w:val="00B12A84"/>
    <w:rsid w:val="00B1458A"/>
    <w:rsid w:val="00B1466E"/>
    <w:rsid w:val="00B148D1"/>
    <w:rsid w:val="00B1624F"/>
    <w:rsid w:val="00B17850"/>
    <w:rsid w:val="00B179E6"/>
    <w:rsid w:val="00B17CC2"/>
    <w:rsid w:val="00B17DB5"/>
    <w:rsid w:val="00B20E11"/>
    <w:rsid w:val="00B211F9"/>
    <w:rsid w:val="00B21293"/>
    <w:rsid w:val="00B21EE4"/>
    <w:rsid w:val="00B21F37"/>
    <w:rsid w:val="00B22C94"/>
    <w:rsid w:val="00B23963"/>
    <w:rsid w:val="00B2440D"/>
    <w:rsid w:val="00B2593A"/>
    <w:rsid w:val="00B27D11"/>
    <w:rsid w:val="00B314DD"/>
    <w:rsid w:val="00B31890"/>
    <w:rsid w:val="00B32B5D"/>
    <w:rsid w:val="00B3301D"/>
    <w:rsid w:val="00B3308E"/>
    <w:rsid w:val="00B3342F"/>
    <w:rsid w:val="00B336B8"/>
    <w:rsid w:val="00B33D5A"/>
    <w:rsid w:val="00B33E7D"/>
    <w:rsid w:val="00B33F86"/>
    <w:rsid w:val="00B344E0"/>
    <w:rsid w:val="00B349B9"/>
    <w:rsid w:val="00B34DA9"/>
    <w:rsid w:val="00B34E4B"/>
    <w:rsid w:val="00B351DB"/>
    <w:rsid w:val="00B35A34"/>
    <w:rsid w:val="00B35C4D"/>
    <w:rsid w:val="00B360FD"/>
    <w:rsid w:val="00B37A80"/>
    <w:rsid w:val="00B37EE4"/>
    <w:rsid w:val="00B37FFA"/>
    <w:rsid w:val="00B40646"/>
    <w:rsid w:val="00B40803"/>
    <w:rsid w:val="00B409F9"/>
    <w:rsid w:val="00B42ABE"/>
    <w:rsid w:val="00B42D7F"/>
    <w:rsid w:val="00B42D94"/>
    <w:rsid w:val="00B442C7"/>
    <w:rsid w:val="00B442DA"/>
    <w:rsid w:val="00B4443A"/>
    <w:rsid w:val="00B44671"/>
    <w:rsid w:val="00B44EA2"/>
    <w:rsid w:val="00B45207"/>
    <w:rsid w:val="00B458CF"/>
    <w:rsid w:val="00B462A4"/>
    <w:rsid w:val="00B462D0"/>
    <w:rsid w:val="00B47DBA"/>
    <w:rsid w:val="00B502E1"/>
    <w:rsid w:val="00B5067D"/>
    <w:rsid w:val="00B5111F"/>
    <w:rsid w:val="00B51600"/>
    <w:rsid w:val="00B51BDB"/>
    <w:rsid w:val="00B52A9E"/>
    <w:rsid w:val="00B53707"/>
    <w:rsid w:val="00B5387B"/>
    <w:rsid w:val="00B53BDB"/>
    <w:rsid w:val="00B54012"/>
    <w:rsid w:val="00B544D1"/>
    <w:rsid w:val="00B5473A"/>
    <w:rsid w:val="00B54FC5"/>
    <w:rsid w:val="00B55A37"/>
    <w:rsid w:val="00B5615D"/>
    <w:rsid w:val="00B5631C"/>
    <w:rsid w:val="00B567CC"/>
    <w:rsid w:val="00B57027"/>
    <w:rsid w:val="00B57AD5"/>
    <w:rsid w:val="00B60289"/>
    <w:rsid w:val="00B61373"/>
    <w:rsid w:val="00B616AF"/>
    <w:rsid w:val="00B61AF8"/>
    <w:rsid w:val="00B61FFA"/>
    <w:rsid w:val="00B62A58"/>
    <w:rsid w:val="00B62FA3"/>
    <w:rsid w:val="00B642C7"/>
    <w:rsid w:val="00B65062"/>
    <w:rsid w:val="00B6586B"/>
    <w:rsid w:val="00B670E2"/>
    <w:rsid w:val="00B6788E"/>
    <w:rsid w:val="00B70383"/>
    <w:rsid w:val="00B71626"/>
    <w:rsid w:val="00B73906"/>
    <w:rsid w:val="00B73D44"/>
    <w:rsid w:val="00B74BB5"/>
    <w:rsid w:val="00B75591"/>
    <w:rsid w:val="00B756A2"/>
    <w:rsid w:val="00B76A90"/>
    <w:rsid w:val="00B77108"/>
    <w:rsid w:val="00B77C12"/>
    <w:rsid w:val="00B800CA"/>
    <w:rsid w:val="00B80533"/>
    <w:rsid w:val="00B80B18"/>
    <w:rsid w:val="00B81744"/>
    <w:rsid w:val="00B81E1C"/>
    <w:rsid w:val="00B81E22"/>
    <w:rsid w:val="00B825E1"/>
    <w:rsid w:val="00B8287E"/>
    <w:rsid w:val="00B82D5E"/>
    <w:rsid w:val="00B836B3"/>
    <w:rsid w:val="00B83C37"/>
    <w:rsid w:val="00B83FC5"/>
    <w:rsid w:val="00B85698"/>
    <w:rsid w:val="00B8598F"/>
    <w:rsid w:val="00B8690C"/>
    <w:rsid w:val="00B86C65"/>
    <w:rsid w:val="00B86F7A"/>
    <w:rsid w:val="00B873EE"/>
    <w:rsid w:val="00B8753E"/>
    <w:rsid w:val="00B87A08"/>
    <w:rsid w:val="00B902AC"/>
    <w:rsid w:val="00B902BA"/>
    <w:rsid w:val="00B905C8"/>
    <w:rsid w:val="00B90ED4"/>
    <w:rsid w:val="00B9112E"/>
    <w:rsid w:val="00B91CBA"/>
    <w:rsid w:val="00B926A3"/>
    <w:rsid w:val="00B92E66"/>
    <w:rsid w:val="00B936A9"/>
    <w:rsid w:val="00B9384F"/>
    <w:rsid w:val="00B93C5D"/>
    <w:rsid w:val="00B93F6C"/>
    <w:rsid w:val="00B96862"/>
    <w:rsid w:val="00B970A0"/>
    <w:rsid w:val="00B970F0"/>
    <w:rsid w:val="00BA0333"/>
    <w:rsid w:val="00BA1D19"/>
    <w:rsid w:val="00BA1DFF"/>
    <w:rsid w:val="00BA2131"/>
    <w:rsid w:val="00BA2143"/>
    <w:rsid w:val="00BA2ACE"/>
    <w:rsid w:val="00BA2E9F"/>
    <w:rsid w:val="00BA3709"/>
    <w:rsid w:val="00BA484C"/>
    <w:rsid w:val="00BA5680"/>
    <w:rsid w:val="00BA5B83"/>
    <w:rsid w:val="00BA677B"/>
    <w:rsid w:val="00BA67FD"/>
    <w:rsid w:val="00BA6EEC"/>
    <w:rsid w:val="00BA7B5C"/>
    <w:rsid w:val="00BB0BA5"/>
    <w:rsid w:val="00BB0F3B"/>
    <w:rsid w:val="00BB1302"/>
    <w:rsid w:val="00BB1E4B"/>
    <w:rsid w:val="00BB35C9"/>
    <w:rsid w:val="00BB37B9"/>
    <w:rsid w:val="00BB3805"/>
    <w:rsid w:val="00BB3ACA"/>
    <w:rsid w:val="00BB3C65"/>
    <w:rsid w:val="00BB4F65"/>
    <w:rsid w:val="00BB543A"/>
    <w:rsid w:val="00BB5AF9"/>
    <w:rsid w:val="00BB5E95"/>
    <w:rsid w:val="00BB6C61"/>
    <w:rsid w:val="00BB6C83"/>
    <w:rsid w:val="00BC0CF1"/>
    <w:rsid w:val="00BC2088"/>
    <w:rsid w:val="00BC231C"/>
    <w:rsid w:val="00BC2728"/>
    <w:rsid w:val="00BC2D37"/>
    <w:rsid w:val="00BC37DA"/>
    <w:rsid w:val="00BC37DE"/>
    <w:rsid w:val="00BC54A9"/>
    <w:rsid w:val="00BC5732"/>
    <w:rsid w:val="00BC63D6"/>
    <w:rsid w:val="00BC6AF2"/>
    <w:rsid w:val="00BC77FB"/>
    <w:rsid w:val="00BD0026"/>
    <w:rsid w:val="00BD0DAC"/>
    <w:rsid w:val="00BD0E14"/>
    <w:rsid w:val="00BD143C"/>
    <w:rsid w:val="00BD27AE"/>
    <w:rsid w:val="00BD28A7"/>
    <w:rsid w:val="00BD3497"/>
    <w:rsid w:val="00BD35E9"/>
    <w:rsid w:val="00BD4532"/>
    <w:rsid w:val="00BD4736"/>
    <w:rsid w:val="00BD4C6E"/>
    <w:rsid w:val="00BD5986"/>
    <w:rsid w:val="00BD5BD8"/>
    <w:rsid w:val="00BD613E"/>
    <w:rsid w:val="00BD6527"/>
    <w:rsid w:val="00BD6797"/>
    <w:rsid w:val="00BD7315"/>
    <w:rsid w:val="00BD7C28"/>
    <w:rsid w:val="00BD7E0D"/>
    <w:rsid w:val="00BD7F70"/>
    <w:rsid w:val="00BE0066"/>
    <w:rsid w:val="00BE0952"/>
    <w:rsid w:val="00BE246D"/>
    <w:rsid w:val="00BE2EF6"/>
    <w:rsid w:val="00BE3618"/>
    <w:rsid w:val="00BE361E"/>
    <w:rsid w:val="00BE3A58"/>
    <w:rsid w:val="00BE3B15"/>
    <w:rsid w:val="00BE444C"/>
    <w:rsid w:val="00BE4B34"/>
    <w:rsid w:val="00BE4CA7"/>
    <w:rsid w:val="00BE5882"/>
    <w:rsid w:val="00BE589E"/>
    <w:rsid w:val="00BE5BCF"/>
    <w:rsid w:val="00BE5E91"/>
    <w:rsid w:val="00BE6321"/>
    <w:rsid w:val="00BE691D"/>
    <w:rsid w:val="00BE6E83"/>
    <w:rsid w:val="00BE7A88"/>
    <w:rsid w:val="00BF10A7"/>
    <w:rsid w:val="00BF17AA"/>
    <w:rsid w:val="00BF1A46"/>
    <w:rsid w:val="00BF1ACD"/>
    <w:rsid w:val="00BF1C8C"/>
    <w:rsid w:val="00BF20F2"/>
    <w:rsid w:val="00BF2820"/>
    <w:rsid w:val="00BF2C9D"/>
    <w:rsid w:val="00BF34EB"/>
    <w:rsid w:val="00BF3B26"/>
    <w:rsid w:val="00BF3BF6"/>
    <w:rsid w:val="00BF48EB"/>
    <w:rsid w:val="00BF6BCF"/>
    <w:rsid w:val="00BF6DB9"/>
    <w:rsid w:val="00BF78C9"/>
    <w:rsid w:val="00C00015"/>
    <w:rsid w:val="00C00778"/>
    <w:rsid w:val="00C00FAB"/>
    <w:rsid w:val="00C0143D"/>
    <w:rsid w:val="00C01A57"/>
    <w:rsid w:val="00C01E2B"/>
    <w:rsid w:val="00C01E30"/>
    <w:rsid w:val="00C0216C"/>
    <w:rsid w:val="00C02E03"/>
    <w:rsid w:val="00C04096"/>
    <w:rsid w:val="00C04178"/>
    <w:rsid w:val="00C042E4"/>
    <w:rsid w:val="00C0435C"/>
    <w:rsid w:val="00C061DB"/>
    <w:rsid w:val="00C06A4B"/>
    <w:rsid w:val="00C06AA7"/>
    <w:rsid w:val="00C079F8"/>
    <w:rsid w:val="00C07B74"/>
    <w:rsid w:val="00C103D0"/>
    <w:rsid w:val="00C1057C"/>
    <w:rsid w:val="00C10FF5"/>
    <w:rsid w:val="00C12128"/>
    <w:rsid w:val="00C1363E"/>
    <w:rsid w:val="00C14153"/>
    <w:rsid w:val="00C146A7"/>
    <w:rsid w:val="00C14C66"/>
    <w:rsid w:val="00C15223"/>
    <w:rsid w:val="00C15930"/>
    <w:rsid w:val="00C15D18"/>
    <w:rsid w:val="00C162F3"/>
    <w:rsid w:val="00C164CD"/>
    <w:rsid w:val="00C169AE"/>
    <w:rsid w:val="00C16F83"/>
    <w:rsid w:val="00C17244"/>
    <w:rsid w:val="00C178A4"/>
    <w:rsid w:val="00C2033A"/>
    <w:rsid w:val="00C20452"/>
    <w:rsid w:val="00C20DCB"/>
    <w:rsid w:val="00C2266E"/>
    <w:rsid w:val="00C23344"/>
    <w:rsid w:val="00C236F9"/>
    <w:rsid w:val="00C23C98"/>
    <w:rsid w:val="00C24404"/>
    <w:rsid w:val="00C24556"/>
    <w:rsid w:val="00C250C0"/>
    <w:rsid w:val="00C25310"/>
    <w:rsid w:val="00C26357"/>
    <w:rsid w:val="00C27FC5"/>
    <w:rsid w:val="00C31077"/>
    <w:rsid w:val="00C3112D"/>
    <w:rsid w:val="00C322A9"/>
    <w:rsid w:val="00C3235D"/>
    <w:rsid w:val="00C32BA8"/>
    <w:rsid w:val="00C335E0"/>
    <w:rsid w:val="00C33A3C"/>
    <w:rsid w:val="00C33DE1"/>
    <w:rsid w:val="00C34094"/>
    <w:rsid w:val="00C34F5D"/>
    <w:rsid w:val="00C3517C"/>
    <w:rsid w:val="00C35595"/>
    <w:rsid w:val="00C35873"/>
    <w:rsid w:val="00C3670E"/>
    <w:rsid w:val="00C37188"/>
    <w:rsid w:val="00C40828"/>
    <w:rsid w:val="00C41037"/>
    <w:rsid w:val="00C4131C"/>
    <w:rsid w:val="00C43B46"/>
    <w:rsid w:val="00C43CEE"/>
    <w:rsid w:val="00C4413C"/>
    <w:rsid w:val="00C44991"/>
    <w:rsid w:val="00C453C8"/>
    <w:rsid w:val="00C453E8"/>
    <w:rsid w:val="00C456A4"/>
    <w:rsid w:val="00C46298"/>
    <w:rsid w:val="00C46B6D"/>
    <w:rsid w:val="00C47DA4"/>
    <w:rsid w:val="00C5014E"/>
    <w:rsid w:val="00C52B48"/>
    <w:rsid w:val="00C52CAC"/>
    <w:rsid w:val="00C538A8"/>
    <w:rsid w:val="00C555E7"/>
    <w:rsid w:val="00C56351"/>
    <w:rsid w:val="00C56C51"/>
    <w:rsid w:val="00C56CB6"/>
    <w:rsid w:val="00C56E2E"/>
    <w:rsid w:val="00C60087"/>
    <w:rsid w:val="00C61726"/>
    <w:rsid w:val="00C61ABF"/>
    <w:rsid w:val="00C61EB4"/>
    <w:rsid w:val="00C62136"/>
    <w:rsid w:val="00C63067"/>
    <w:rsid w:val="00C63389"/>
    <w:rsid w:val="00C63D38"/>
    <w:rsid w:val="00C63F04"/>
    <w:rsid w:val="00C64536"/>
    <w:rsid w:val="00C646F5"/>
    <w:rsid w:val="00C64B12"/>
    <w:rsid w:val="00C65030"/>
    <w:rsid w:val="00C65CDE"/>
    <w:rsid w:val="00C66074"/>
    <w:rsid w:val="00C6778D"/>
    <w:rsid w:val="00C679BA"/>
    <w:rsid w:val="00C726B3"/>
    <w:rsid w:val="00C73372"/>
    <w:rsid w:val="00C73AC8"/>
    <w:rsid w:val="00C73D7E"/>
    <w:rsid w:val="00C740D5"/>
    <w:rsid w:val="00C7441B"/>
    <w:rsid w:val="00C74FC4"/>
    <w:rsid w:val="00C75241"/>
    <w:rsid w:val="00C75768"/>
    <w:rsid w:val="00C7581D"/>
    <w:rsid w:val="00C75FF4"/>
    <w:rsid w:val="00C76C2F"/>
    <w:rsid w:val="00C77F42"/>
    <w:rsid w:val="00C805AB"/>
    <w:rsid w:val="00C80C62"/>
    <w:rsid w:val="00C81213"/>
    <w:rsid w:val="00C815D0"/>
    <w:rsid w:val="00C81D51"/>
    <w:rsid w:val="00C8265B"/>
    <w:rsid w:val="00C82AF0"/>
    <w:rsid w:val="00C83053"/>
    <w:rsid w:val="00C8331C"/>
    <w:rsid w:val="00C83408"/>
    <w:rsid w:val="00C83677"/>
    <w:rsid w:val="00C83872"/>
    <w:rsid w:val="00C838D1"/>
    <w:rsid w:val="00C84565"/>
    <w:rsid w:val="00C85438"/>
    <w:rsid w:val="00C85916"/>
    <w:rsid w:val="00C866D2"/>
    <w:rsid w:val="00C87270"/>
    <w:rsid w:val="00C875BC"/>
    <w:rsid w:val="00C90028"/>
    <w:rsid w:val="00C904FE"/>
    <w:rsid w:val="00C9083C"/>
    <w:rsid w:val="00C9117C"/>
    <w:rsid w:val="00C91C4C"/>
    <w:rsid w:val="00C92592"/>
    <w:rsid w:val="00C92AA4"/>
    <w:rsid w:val="00C93A0F"/>
    <w:rsid w:val="00C93ECA"/>
    <w:rsid w:val="00C93F82"/>
    <w:rsid w:val="00C94238"/>
    <w:rsid w:val="00C94A4B"/>
    <w:rsid w:val="00C96505"/>
    <w:rsid w:val="00C97102"/>
    <w:rsid w:val="00C9788E"/>
    <w:rsid w:val="00C97C0D"/>
    <w:rsid w:val="00C97FC3"/>
    <w:rsid w:val="00CA025B"/>
    <w:rsid w:val="00CA0AD0"/>
    <w:rsid w:val="00CA152A"/>
    <w:rsid w:val="00CA1C95"/>
    <w:rsid w:val="00CA1F01"/>
    <w:rsid w:val="00CA1F91"/>
    <w:rsid w:val="00CA1F9F"/>
    <w:rsid w:val="00CA2083"/>
    <w:rsid w:val="00CA2F22"/>
    <w:rsid w:val="00CA3A6D"/>
    <w:rsid w:val="00CA53E9"/>
    <w:rsid w:val="00CA5939"/>
    <w:rsid w:val="00CA5D37"/>
    <w:rsid w:val="00CA6CF7"/>
    <w:rsid w:val="00CA767D"/>
    <w:rsid w:val="00CA7B0E"/>
    <w:rsid w:val="00CB0AF2"/>
    <w:rsid w:val="00CB1294"/>
    <w:rsid w:val="00CB1433"/>
    <w:rsid w:val="00CB1BBC"/>
    <w:rsid w:val="00CB1DAF"/>
    <w:rsid w:val="00CB24A4"/>
    <w:rsid w:val="00CB24C4"/>
    <w:rsid w:val="00CB27D3"/>
    <w:rsid w:val="00CB2C1B"/>
    <w:rsid w:val="00CB2E61"/>
    <w:rsid w:val="00CB3292"/>
    <w:rsid w:val="00CB355F"/>
    <w:rsid w:val="00CB3FD3"/>
    <w:rsid w:val="00CB4BE2"/>
    <w:rsid w:val="00CB5A3A"/>
    <w:rsid w:val="00CB68B3"/>
    <w:rsid w:val="00CB6F01"/>
    <w:rsid w:val="00CB7396"/>
    <w:rsid w:val="00CB7BF5"/>
    <w:rsid w:val="00CB7C81"/>
    <w:rsid w:val="00CB7CA8"/>
    <w:rsid w:val="00CC0B3D"/>
    <w:rsid w:val="00CC1041"/>
    <w:rsid w:val="00CC4A41"/>
    <w:rsid w:val="00CC55AE"/>
    <w:rsid w:val="00CC5A64"/>
    <w:rsid w:val="00CC5DEC"/>
    <w:rsid w:val="00CC6C86"/>
    <w:rsid w:val="00CC6F62"/>
    <w:rsid w:val="00CD0190"/>
    <w:rsid w:val="00CD0492"/>
    <w:rsid w:val="00CD05AB"/>
    <w:rsid w:val="00CD1049"/>
    <w:rsid w:val="00CD2A51"/>
    <w:rsid w:val="00CD2E23"/>
    <w:rsid w:val="00CD3D0C"/>
    <w:rsid w:val="00CD406A"/>
    <w:rsid w:val="00CD4DF4"/>
    <w:rsid w:val="00CD5072"/>
    <w:rsid w:val="00CD52E3"/>
    <w:rsid w:val="00CD5B6B"/>
    <w:rsid w:val="00CD6D7C"/>
    <w:rsid w:val="00CD6DF1"/>
    <w:rsid w:val="00CE013E"/>
    <w:rsid w:val="00CE07D7"/>
    <w:rsid w:val="00CE1367"/>
    <w:rsid w:val="00CE1E2A"/>
    <w:rsid w:val="00CE27DC"/>
    <w:rsid w:val="00CE2896"/>
    <w:rsid w:val="00CE2AC6"/>
    <w:rsid w:val="00CE49AC"/>
    <w:rsid w:val="00CE4A17"/>
    <w:rsid w:val="00CE4BA6"/>
    <w:rsid w:val="00CE4CBD"/>
    <w:rsid w:val="00CE5E91"/>
    <w:rsid w:val="00CE6765"/>
    <w:rsid w:val="00CE6E01"/>
    <w:rsid w:val="00CE710B"/>
    <w:rsid w:val="00CE7211"/>
    <w:rsid w:val="00CE77A5"/>
    <w:rsid w:val="00CF00A3"/>
    <w:rsid w:val="00CF1571"/>
    <w:rsid w:val="00CF1A55"/>
    <w:rsid w:val="00CF2755"/>
    <w:rsid w:val="00CF293E"/>
    <w:rsid w:val="00CF2CEA"/>
    <w:rsid w:val="00CF3A45"/>
    <w:rsid w:val="00CF450E"/>
    <w:rsid w:val="00CF511E"/>
    <w:rsid w:val="00CF53CF"/>
    <w:rsid w:val="00CF60B9"/>
    <w:rsid w:val="00CF69B9"/>
    <w:rsid w:val="00CF70A0"/>
    <w:rsid w:val="00CF74F6"/>
    <w:rsid w:val="00CF782B"/>
    <w:rsid w:val="00D02B0E"/>
    <w:rsid w:val="00D031A8"/>
    <w:rsid w:val="00D032E5"/>
    <w:rsid w:val="00D038E6"/>
    <w:rsid w:val="00D043BF"/>
    <w:rsid w:val="00D05B94"/>
    <w:rsid w:val="00D1007D"/>
    <w:rsid w:val="00D10433"/>
    <w:rsid w:val="00D10C1B"/>
    <w:rsid w:val="00D10D03"/>
    <w:rsid w:val="00D1104B"/>
    <w:rsid w:val="00D115CC"/>
    <w:rsid w:val="00D11651"/>
    <w:rsid w:val="00D117A7"/>
    <w:rsid w:val="00D136A5"/>
    <w:rsid w:val="00D14131"/>
    <w:rsid w:val="00D149A5"/>
    <w:rsid w:val="00D15AB9"/>
    <w:rsid w:val="00D15DDE"/>
    <w:rsid w:val="00D15EE5"/>
    <w:rsid w:val="00D1600E"/>
    <w:rsid w:val="00D161C2"/>
    <w:rsid w:val="00D17077"/>
    <w:rsid w:val="00D175B6"/>
    <w:rsid w:val="00D220F9"/>
    <w:rsid w:val="00D2217F"/>
    <w:rsid w:val="00D2221C"/>
    <w:rsid w:val="00D22B3D"/>
    <w:rsid w:val="00D22D25"/>
    <w:rsid w:val="00D23AF8"/>
    <w:rsid w:val="00D24532"/>
    <w:rsid w:val="00D24677"/>
    <w:rsid w:val="00D24718"/>
    <w:rsid w:val="00D24FDE"/>
    <w:rsid w:val="00D253D0"/>
    <w:rsid w:val="00D255EB"/>
    <w:rsid w:val="00D25E0B"/>
    <w:rsid w:val="00D264B5"/>
    <w:rsid w:val="00D27564"/>
    <w:rsid w:val="00D277A5"/>
    <w:rsid w:val="00D30E86"/>
    <w:rsid w:val="00D30E97"/>
    <w:rsid w:val="00D31034"/>
    <w:rsid w:val="00D31E8B"/>
    <w:rsid w:val="00D323DB"/>
    <w:rsid w:val="00D3374A"/>
    <w:rsid w:val="00D33F75"/>
    <w:rsid w:val="00D346F9"/>
    <w:rsid w:val="00D34982"/>
    <w:rsid w:val="00D34E37"/>
    <w:rsid w:val="00D352AB"/>
    <w:rsid w:val="00D35511"/>
    <w:rsid w:val="00D35537"/>
    <w:rsid w:val="00D368F2"/>
    <w:rsid w:val="00D370B8"/>
    <w:rsid w:val="00D37FBD"/>
    <w:rsid w:val="00D4043C"/>
    <w:rsid w:val="00D409EB"/>
    <w:rsid w:val="00D41AA9"/>
    <w:rsid w:val="00D41EDB"/>
    <w:rsid w:val="00D42F16"/>
    <w:rsid w:val="00D432B4"/>
    <w:rsid w:val="00D4358F"/>
    <w:rsid w:val="00D4363B"/>
    <w:rsid w:val="00D44AF0"/>
    <w:rsid w:val="00D456A7"/>
    <w:rsid w:val="00D45761"/>
    <w:rsid w:val="00D458B9"/>
    <w:rsid w:val="00D4690E"/>
    <w:rsid w:val="00D46D74"/>
    <w:rsid w:val="00D471AA"/>
    <w:rsid w:val="00D505EC"/>
    <w:rsid w:val="00D506C6"/>
    <w:rsid w:val="00D50827"/>
    <w:rsid w:val="00D510FC"/>
    <w:rsid w:val="00D511EC"/>
    <w:rsid w:val="00D514E7"/>
    <w:rsid w:val="00D51D51"/>
    <w:rsid w:val="00D51E08"/>
    <w:rsid w:val="00D5244E"/>
    <w:rsid w:val="00D525A1"/>
    <w:rsid w:val="00D5291D"/>
    <w:rsid w:val="00D52989"/>
    <w:rsid w:val="00D52EF1"/>
    <w:rsid w:val="00D5308A"/>
    <w:rsid w:val="00D53F19"/>
    <w:rsid w:val="00D541A4"/>
    <w:rsid w:val="00D54AA1"/>
    <w:rsid w:val="00D552DF"/>
    <w:rsid w:val="00D55AAE"/>
    <w:rsid w:val="00D55D70"/>
    <w:rsid w:val="00D56B72"/>
    <w:rsid w:val="00D56F33"/>
    <w:rsid w:val="00D57021"/>
    <w:rsid w:val="00D572AA"/>
    <w:rsid w:val="00D57E8C"/>
    <w:rsid w:val="00D6034B"/>
    <w:rsid w:val="00D606BF"/>
    <w:rsid w:val="00D60A5D"/>
    <w:rsid w:val="00D6306D"/>
    <w:rsid w:val="00D63E2F"/>
    <w:rsid w:val="00D6497D"/>
    <w:rsid w:val="00D6624C"/>
    <w:rsid w:val="00D66E07"/>
    <w:rsid w:val="00D670D7"/>
    <w:rsid w:val="00D6719E"/>
    <w:rsid w:val="00D672A7"/>
    <w:rsid w:val="00D67F2D"/>
    <w:rsid w:val="00D706F8"/>
    <w:rsid w:val="00D71821"/>
    <w:rsid w:val="00D7182D"/>
    <w:rsid w:val="00D71A7F"/>
    <w:rsid w:val="00D7211E"/>
    <w:rsid w:val="00D7326E"/>
    <w:rsid w:val="00D7348E"/>
    <w:rsid w:val="00D73719"/>
    <w:rsid w:val="00D74612"/>
    <w:rsid w:val="00D74921"/>
    <w:rsid w:val="00D74D4B"/>
    <w:rsid w:val="00D751EE"/>
    <w:rsid w:val="00D759D1"/>
    <w:rsid w:val="00D75B09"/>
    <w:rsid w:val="00D75E7C"/>
    <w:rsid w:val="00D76371"/>
    <w:rsid w:val="00D778E0"/>
    <w:rsid w:val="00D8013C"/>
    <w:rsid w:val="00D803D3"/>
    <w:rsid w:val="00D8094C"/>
    <w:rsid w:val="00D8094F"/>
    <w:rsid w:val="00D81004"/>
    <w:rsid w:val="00D81D97"/>
    <w:rsid w:val="00D82346"/>
    <w:rsid w:val="00D82CF9"/>
    <w:rsid w:val="00D82F84"/>
    <w:rsid w:val="00D836ED"/>
    <w:rsid w:val="00D8397F"/>
    <w:rsid w:val="00D8463F"/>
    <w:rsid w:val="00D84814"/>
    <w:rsid w:val="00D85163"/>
    <w:rsid w:val="00D852B0"/>
    <w:rsid w:val="00D853EA"/>
    <w:rsid w:val="00D85D92"/>
    <w:rsid w:val="00D863D0"/>
    <w:rsid w:val="00D86CED"/>
    <w:rsid w:val="00D86EBC"/>
    <w:rsid w:val="00D87077"/>
    <w:rsid w:val="00D87095"/>
    <w:rsid w:val="00D8791C"/>
    <w:rsid w:val="00D91298"/>
    <w:rsid w:val="00D91FBC"/>
    <w:rsid w:val="00D928BA"/>
    <w:rsid w:val="00D9373E"/>
    <w:rsid w:val="00D9388D"/>
    <w:rsid w:val="00D9398D"/>
    <w:rsid w:val="00D9400B"/>
    <w:rsid w:val="00D947E9"/>
    <w:rsid w:val="00D94A13"/>
    <w:rsid w:val="00D95C2D"/>
    <w:rsid w:val="00D95EAE"/>
    <w:rsid w:val="00D961E6"/>
    <w:rsid w:val="00D977F9"/>
    <w:rsid w:val="00D97C35"/>
    <w:rsid w:val="00DA02FE"/>
    <w:rsid w:val="00DA16B9"/>
    <w:rsid w:val="00DA199F"/>
    <w:rsid w:val="00DA1A29"/>
    <w:rsid w:val="00DA2D60"/>
    <w:rsid w:val="00DA51D0"/>
    <w:rsid w:val="00DA5416"/>
    <w:rsid w:val="00DA5B3E"/>
    <w:rsid w:val="00DB053E"/>
    <w:rsid w:val="00DB07A1"/>
    <w:rsid w:val="00DB183C"/>
    <w:rsid w:val="00DB22A0"/>
    <w:rsid w:val="00DB2604"/>
    <w:rsid w:val="00DB2E9F"/>
    <w:rsid w:val="00DB3559"/>
    <w:rsid w:val="00DB3DAF"/>
    <w:rsid w:val="00DB3E38"/>
    <w:rsid w:val="00DB3E97"/>
    <w:rsid w:val="00DB4D66"/>
    <w:rsid w:val="00DB530D"/>
    <w:rsid w:val="00DB57C6"/>
    <w:rsid w:val="00DB64F0"/>
    <w:rsid w:val="00DB754F"/>
    <w:rsid w:val="00DB7CA0"/>
    <w:rsid w:val="00DC0E5A"/>
    <w:rsid w:val="00DC18DC"/>
    <w:rsid w:val="00DC2380"/>
    <w:rsid w:val="00DC2760"/>
    <w:rsid w:val="00DC2FA8"/>
    <w:rsid w:val="00DC31F8"/>
    <w:rsid w:val="00DC51F1"/>
    <w:rsid w:val="00DC77B4"/>
    <w:rsid w:val="00DC7A51"/>
    <w:rsid w:val="00DC7C45"/>
    <w:rsid w:val="00DD0948"/>
    <w:rsid w:val="00DD22ED"/>
    <w:rsid w:val="00DD29E5"/>
    <w:rsid w:val="00DD2C6E"/>
    <w:rsid w:val="00DD2ECA"/>
    <w:rsid w:val="00DD4D33"/>
    <w:rsid w:val="00DD5DED"/>
    <w:rsid w:val="00DD5EEE"/>
    <w:rsid w:val="00DD602D"/>
    <w:rsid w:val="00DD6242"/>
    <w:rsid w:val="00DD6551"/>
    <w:rsid w:val="00DD6FAD"/>
    <w:rsid w:val="00DD7303"/>
    <w:rsid w:val="00DD754E"/>
    <w:rsid w:val="00DE0BB2"/>
    <w:rsid w:val="00DE0F31"/>
    <w:rsid w:val="00DE0F55"/>
    <w:rsid w:val="00DE11BF"/>
    <w:rsid w:val="00DE144D"/>
    <w:rsid w:val="00DE19A0"/>
    <w:rsid w:val="00DE265F"/>
    <w:rsid w:val="00DE2E33"/>
    <w:rsid w:val="00DE4176"/>
    <w:rsid w:val="00DE4D94"/>
    <w:rsid w:val="00DE4EAA"/>
    <w:rsid w:val="00DE53D4"/>
    <w:rsid w:val="00DE630C"/>
    <w:rsid w:val="00DE6352"/>
    <w:rsid w:val="00DE7249"/>
    <w:rsid w:val="00DF02FB"/>
    <w:rsid w:val="00DF04B4"/>
    <w:rsid w:val="00DF0CB8"/>
    <w:rsid w:val="00DF20D2"/>
    <w:rsid w:val="00DF3812"/>
    <w:rsid w:val="00DF3873"/>
    <w:rsid w:val="00DF48FC"/>
    <w:rsid w:val="00DF5292"/>
    <w:rsid w:val="00DF77D5"/>
    <w:rsid w:val="00E002C6"/>
    <w:rsid w:val="00E01235"/>
    <w:rsid w:val="00E029EC"/>
    <w:rsid w:val="00E029F2"/>
    <w:rsid w:val="00E02B9E"/>
    <w:rsid w:val="00E02BC6"/>
    <w:rsid w:val="00E036EE"/>
    <w:rsid w:val="00E03703"/>
    <w:rsid w:val="00E0399C"/>
    <w:rsid w:val="00E04F07"/>
    <w:rsid w:val="00E06225"/>
    <w:rsid w:val="00E07178"/>
    <w:rsid w:val="00E075E8"/>
    <w:rsid w:val="00E07ACC"/>
    <w:rsid w:val="00E07CCD"/>
    <w:rsid w:val="00E10743"/>
    <w:rsid w:val="00E10F31"/>
    <w:rsid w:val="00E11388"/>
    <w:rsid w:val="00E12948"/>
    <w:rsid w:val="00E13156"/>
    <w:rsid w:val="00E13454"/>
    <w:rsid w:val="00E13D68"/>
    <w:rsid w:val="00E14473"/>
    <w:rsid w:val="00E14D8A"/>
    <w:rsid w:val="00E1527C"/>
    <w:rsid w:val="00E155D3"/>
    <w:rsid w:val="00E159FC"/>
    <w:rsid w:val="00E16449"/>
    <w:rsid w:val="00E1711B"/>
    <w:rsid w:val="00E177B1"/>
    <w:rsid w:val="00E17A3B"/>
    <w:rsid w:val="00E17AB9"/>
    <w:rsid w:val="00E22FE9"/>
    <w:rsid w:val="00E23186"/>
    <w:rsid w:val="00E23433"/>
    <w:rsid w:val="00E23FE1"/>
    <w:rsid w:val="00E24038"/>
    <w:rsid w:val="00E24287"/>
    <w:rsid w:val="00E24656"/>
    <w:rsid w:val="00E24A7F"/>
    <w:rsid w:val="00E259B0"/>
    <w:rsid w:val="00E25CC9"/>
    <w:rsid w:val="00E2717E"/>
    <w:rsid w:val="00E2738F"/>
    <w:rsid w:val="00E27EB8"/>
    <w:rsid w:val="00E3172F"/>
    <w:rsid w:val="00E31D93"/>
    <w:rsid w:val="00E3269B"/>
    <w:rsid w:val="00E3478C"/>
    <w:rsid w:val="00E358AA"/>
    <w:rsid w:val="00E35C24"/>
    <w:rsid w:val="00E36441"/>
    <w:rsid w:val="00E37AB3"/>
    <w:rsid w:val="00E37BC4"/>
    <w:rsid w:val="00E40097"/>
    <w:rsid w:val="00E4047D"/>
    <w:rsid w:val="00E405F2"/>
    <w:rsid w:val="00E40FA6"/>
    <w:rsid w:val="00E41362"/>
    <w:rsid w:val="00E41867"/>
    <w:rsid w:val="00E42FED"/>
    <w:rsid w:val="00E430E9"/>
    <w:rsid w:val="00E454D9"/>
    <w:rsid w:val="00E45E45"/>
    <w:rsid w:val="00E46020"/>
    <w:rsid w:val="00E46185"/>
    <w:rsid w:val="00E464DB"/>
    <w:rsid w:val="00E4670C"/>
    <w:rsid w:val="00E47961"/>
    <w:rsid w:val="00E47EB6"/>
    <w:rsid w:val="00E5025A"/>
    <w:rsid w:val="00E50523"/>
    <w:rsid w:val="00E50A51"/>
    <w:rsid w:val="00E5176F"/>
    <w:rsid w:val="00E53619"/>
    <w:rsid w:val="00E54007"/>
    <w:rsid w:val="00E5443F"/>
    <w:rsid w:val="00E546B0"/>
    <w:rsid w:val="00E5476B"/>
    <w:rsid w:val="00E54969"/>
    <w:rsid w:val="00E54BB3"/>
    <w:rsid w:val="00E55286"/>
    <w:rsid w:val="00E55EEC"/>
    <w:rsid w:val="00E57380"/>
    <w:rsid w:val="00E600AF"/>
    <w:rsid w:val="00E61528"/>
    <w:rsid w:val="00E61AA0"/>
    <w:rsid w:val="00E6363A"/>
    <w:rsid w:val="00E637A4"/>
    <w:rsid w:val="00E64310"/>
    <w:rsid w:val="00E64477"/>
    <w:rsid w:val="00E657E1"/>
    <w:rsid w:val="00E6608B"/>
    <w:rsid w:val="00E660FF"/>
    <w:rsid w:val="00E6679C"/>
    <w:rsid w:val="00E66864"/>
    <w:rsid w:val="00E674D1"/>
    <w:rsid w:val="00E67B9B"/>
    <w:rsid w:val="00E70224"/>
    <w:rsid w:val="00E706DE"/>
    <w:rsid w:val="00E70758"/>
    <w:rsid w:val="00E71853"/>
    <w:rsid w:val="00E71DA1"/>
    <w:rsid w:val="00E738D8"/>
    <w:rsid w:val="00E73EB7"/>
    <w:rsid w:val="00E73FEC"/>
    <w:rsid w:val="00E742A6"/>
    <w:rsid w:val="00E7457E"/>
    <w:rsid w:val="00E74A76"/>
    <w:rsid w:val="00E75131"/>
    <w:rsid w:val="00E76048"/>
    <w:rsid w:val="00E76A03"/>
    <w:rsid w:val="00E778D6"/>
    <w:rsid w:val="00E80086"/>
    <w:rsid w:val="00E800A3"/>
    <w:rsid w:val="00E80274"/>
    <w:rsid w:val="00E805AA"/>
    <w:rsid w:val="00E80ACC"/>
    <w:rsid w:val="00E80BE0"/>
    <w:rsid w:val="00E815A8"/>
    <w:rsid w:val="00E8240B"/>
    <w:rsid w:val="00E8372D"/>
    <w:rsid w:val="00E83E76"/>
    <w:rsid w:val="00E84542"/>
    <w:rsid w:val="00E849D6"/>
    <w:rsid w:val="00E84C5A"/>
    <w:rsid w:val="00E8511C"/>
    <w:rsid w:val="00E85828"/>
    <w:rsid w:val="00E85AB4"/>
    <w:rsid w:val="00E85C23"/>
    <w:rsid w:val="00E85FB7"/>
    <w:rsid w:val="00E86B62"/>
    <w:rsid w:val="00E87792"/>
    <w:rsid w:val="00E90687"/>
    <w:rsid w:val="00E90E6D"/>
    <w:rsid w:val="00E919A7"/>
    <w:rsid w:val="00E92125"/>
    <w:rsid w:val="00E927FC"/>
    <w:rsid w:val="00E92CE8"/>
    <w:rsid w:val="00E92EA1"/>
    <w:rsid w:val="00E93779"/>
    <w:rsid w:val="00E9403F"/>
    <w:rsid w:val="00E94341"/>
    <w:rsid w:val="00E94722"/>
    <w:rsid w:val="00E96A47"/>
    <w:rsid w:val="00E96C27"/>
    <w:rsid w:val="00E96CA4"/>
    <w:rsid w:val="00E9713E"/>
    <w:rsid w:val="00E97F25"/>
    <w:rsid w:val="00E97F2E"/>
    <w:rsid w:val="00EA01C6"/>
    <w:rsid w:val="00EA040B"/>
    <w:rsid w:val="00EA10DD"/>
    <w:rsid w:val="00EA13E3"/>
    <w:rsid w:val="00EA212B"/>
    <w:rsid w:val="00EA2A51"/>
    <w:rsid w:val="00EA2FC6"/>
    <w:rsid w:val="00EA3A95"/>
    <w:rsid w:val="00EA3BF8"/>
    <w:rsid w:val="00EA45D2"/>
    <w:rsid w:val="00EA570B"/>
    <w:rsid w:val="00EA6D74"/>
    <w:rsid w:val="00EA76A0"/>
    <w:rsid w:val="00EA79F7"/>
    <w:rsid w:val="00EA7CB8"/>
    <w:rsid w:val="00EB02CB"/>
    <w:rsid w:val="00EB0323"/>
    <w:rsid w:val="00EB04D7"/>
    <w:rsid w:val="00EB0563"/>
    <w:rsid w:val="00EB077E"/>
    <w:rsid w:val="00EB1CF2"/>
    <w:rsid w:val="00EB2072"/>
    <w:rsid w:val="00EB2FC6"/>
    <w:rsid w:val="00EB31B8"/>
    <w:rsid w:val="00EB3908"/>
    <w:rsid w:val="00EB3BDF"/>
    <w:rsid w:val="00EB4039"/>
    <w:rsid w:val="00EB4683"/>
    <w:rsid w:val="00EB4A47"/>
    <w:rsid w:val="00EB4BA3"/>
    <w:rsid w:val="00EB5B67"/>
    <w:rsid w:val="00EC0946"/>
    <w:rsid w:val="00EC15F0"/>
    <w:rsid w:val="00EC16DC"/>
    <w:rsid w:val="00EC1991"/>
    <w:rsid w:val="00EC1E61"/>
    <w:rsid w:val="00EC3070"/>
    <w:rsid w:val="00EC38EA"/>
    <w:rsid w:val="00EC39AA"/>
    <w:rsid w:val="00EC3AAE"/>
    <w:rsid w:val="00EC60F4"/>
    <w:rsid w:val="00EC7493"/>
    <w:rsid w:val="00EC7B0A"/>
    <w:rsid w:val="00ED0623"/>
    <w:rsid w:val="00ED0DDF"/>
    <w:rsid w:val="00ED1568"/>
    <w:rsid w:val="00ED161F"/>
    <w:rsid w:val="00ED23EF"/>
    <w:rsid w:val="00ED3B5F"/>
    <w:rsid w:val="00ED588B"/>
    <w:rsid w:val="00ED5DA1"/>
    <w:rsid w:val="00ED6500"/>
    <w:rsid w:val="00ED7582"/>
    <w:rsid w:val="00ED7B47"/>
    <w:rsid w:val="00ED7D04"/>
    <w:rsid w:val="00EE01FD"/>
    <w:rsid w:val="00EE0625"/>
    <w:rsid w:val="00EE0696"/>
    <w:rsid w:val="00EE1F38"/>
    <w:rsid w:val="00EE313C"/>
    <w:rsid w:val="00EE4090"/>
    <w:rsid w:val="00EE4092"/>
    <w:rsid w:val="00EE46F8"/>
    <w:rsid w:val="00EE4EC8"/>
    <w:rsid w:val="00EE522B"/>
    <w:rsid w:val="00EE57A3"/>
    <w:rsid w:val="00EE5960"/>
    <w:rsid w:val="00EE599E"/>
    <w:rsid w:val="00EE5E67"/>
    <w:rsid w:val="00EE680A"/>
    <w:rsid w:val="00EE710F"/>
    <w:rsid w:val="00EF0757"/>
    <w:rsid w:val="00EF0852"/>
    <w:rsid w:val="00EF0E18"/>
    <w:rsid w:val="00EF1E43"/>
    <w:rsid w:val="00EF1EB8"/>
    <w:rsid w:val="00EF34A0"/>
    <w:rsid w:val="00EF524D"/>
    <w:rsid w:val="00EF5645"/>
    <w:rsid w:val="00EF571E"/>
    <w:rsid w:val="00EF5853"/>
    <w:rsid w:val="00EF5A28"/>
    <w:rsid w:val="00EF5EEE"/>
    <w:rsid w:val="00EF5F4D"/>
    <w:rsid w:val="00EF6516"/>
    <w:rsid w:val="00EF7C15"/>
    <w:rsid w:val="00F00E45"/>
    <w:rsid w:val="00F01075"/>
    <w:rsid w:val="00F01F9B"/>
    <w:rsid w:val="00F02F2B"/>
    <w:rsid w:val="00F035B8"/>
    <w:rsid w:val="00F03901"/>
    <w:rsid w:val="00F047A8"/>
    <w:rsid w:val="00F04A8A"/>
    <w:rsid w:val="00F0510D"/>
    <w:rsid w:val="00F05A48"/>
    <w:rsid w:val="00F066F7"/>
    <w:rsid w:val="00F0693E"/>
    <w:rsid w:val="00F077D1"/>
    <w:rsid w:val="00F07F10"/>
    <w:rsid w:val="00F103B8"/>
    <w:rsid w:val="00F1081B"/>
    <w:rsid w:val="00F1176E"/>
    <w:rsid w:val="00F127B8"/>
    <w:rsid w:val="00F12D7D"/>
    <w:rsid w:val="00F13487"/>
    <w:rsid w:val="00F134A7"/>
    <w:rsid w:val="00F14BF2"/>
    <w:rsid w:val="00F15023"/>
    <w:rsid w:val="00F15656"/>
    <w:rsid w:val="00F16AFA"/>
    <w:rsid w:val="00F16D46"/>
    <w:rsid w:val="00F16D4E"/>
    <w:rsid w:val="00F20062"/>
    <w:rsid w:val="00F2035B"/>
    <w:rsid w:val="00F2058D"/>
    <w:rsid w:val="00F20C35"/>
    <w:rsid w:val="00F21FDF"/>
    <w:rsid w:val="00F2255B"/>
    <w:rsid w:val="00F22B1C"/>
    <w:rsid w:val="00F232DC"/>
    <w:rsid w:val="00F2368C"/>
    <w:rsid w:val="00F23E77"/>
    <w:rsid w:val="00F249A1"/>
    <w:rsid w:val="00F252A4"/>
    <w:rsid w:val="00F269E6"/>
    <w:rsid w:val="00F26EF1"/>
    <w:rsid w:val="00F276EC"/>
    <w:rsid w:val="00F27A6F"/>
    <w:rsid w:val="00F27AE8"/>
    <w:rsid w:val="00F27EE7"/>
    <w:rsid w:val="00F301EE"/>
    <w:rsid w:val="00F302F1"/>
    <w:rsid w:val="00F303A1"/>
    <w:rsid w:val="00F30767"/>
    <w:rsid w:val="00F30847"/>
    <w:rsid w:val="00F30A03"/>
    <w:rsid w:val="00F30FDA"/>
    <w:rsid w:val="00F32404"/>
    <w:rsid w:val="00F32C4D"/>
    <w:rsid w:val="00F32E60"/>
    <w:rsid w:val="00F33651"/>
    <w:rsid w:val="00F33AE5"/>
    <w:rsid w:val="00F34499"/>
    <w:rsid w:val="00F35222"/>
    <w:rsid w:val="00F36390"/>
    <w:rsid w:val="00F364BA"/>
    <w:rsid w:val="00F3655B"/>
    <w:rsid w:val="00F3744F"/>
    <w:rsid w:val="00F4062C"/>
    <w:rsid w:val="00F40885"/>
    <w:rsid w:val="00F41293"/>
    <w:rsid w:val="00F41719"/>
    <w:rsid w:val="00F424E8"/>
    <w:rsid w:val="00F42E5A"/>
    <w:rsid w:val="00F4367C"/>
    <w:rsid w:val="00F43BAC"/>
    <w:rsid w:val="00F45153"/>
    <w:rsid w:val="00F45574"/>
    <w:rsid w:val="00F462EF"/>
    <w:rsid w:val="00F465FB"/>
    <w:rsid w:val="00F46F80"/>
    <w:rsid w:val="00F47238"/>
    <w:rsid w:val="00F47AD7"/>
    <w:rsid w:val="00F50060"/>
    <w:rsid w:val="00F50316"/>
    <w:rsid w:val="00F50379"/>
    <w:rsid w:val="00F5058C"/>
    <w:rsid w:val="00F50713"/>
    <w:rsid w:val="00F51570"/>
    <w:rsid w:val="00F51BA4"/>
    <w:rsid w:val="00F51D45"/>
    <w:rsid w:val="00F51DAE"/>
    <w:rsid w:val="00F52B41"/>
    <w:rsid w:val="00F536DF"/>
    <w:rsid w:val="00F54423"/>
    <w:rsid w:val="00F54D2C"/>
    <w:rsid w:val="00F54D33"/>
    <w:rsid w:val="00F566BF"/>
    <w:rsid w:val="00F6020C"/>
    <w:rsid w:val="00F6058A"/>
    <w:rsid w:val="00F608F8"/>
    <w:rsid w:val="00F61097"/>
    <w:rsid w:val="00F6121B"/>
    <w:rsid w:val="00F615DF"/>
    <w:rsid w:val="00F61C78"/>
    <w:rsid w:val="00F629F0"/>
    <w:rsid w:val="00F63061"/>
    <w:rsid w:val="00F63949"/>
    <w:rsid w:val="00F6415A"/>
    <w:rsid w:val="00F64388"/>
    <w:rsid w:val="00F6470F"/>
    <w:rsid w:val="00F65A9B"/>
    <w:rsid w:val="00F65DEC"/>
    <w:rsid w:val="00F669F9"/>
    <w:rsid w:val="00F67474"/>
    <w:rsid w:val="00F6747C"/>
    <w:rsid w:val="00F70F1C"/>
    <w:rsid w:val="00F70F46"/>
    <w:rsid w:val="00F714C8"/>
    <w:rsid w:val="00F71AF3"/>
    <w:rsid w:val="00F73431"/>
    <w:rsid w:val="00F73530"/>
    <w:rsid w:val="00F736D3"/>
    <w:rsid w:val="00F73D64"/>
    <w:rsid w:val="00F74596"/>
    <w:rsid w:val="00F74634"/>
    <w:rsid w:val="00F7551A"/>
    <w:rsid w:val="00F75891"/>
    <w:rsid w:val="00F7593D"/>
    <w:rsid w:val="00F75AD7"/>
    <w:rsid w:val="00F76074"/>
    <w:rsid w:val="00F76F9D"/>
    <w:rsid w:val="00F7735F"/>
    <w:rsid w:val="00F77B0C"/>
    <w:rsid w:val="00F77F72"/>
    <w:rsid w:val="00F804C8"/>
    <w:rsid w:val="00F806D7"/>
    <w:rsid w:val="00F80BB5"/>
    <w:rsid w:val="00F81D9C"/>
    <w:rsid w:val="00F81F5A"/>
    <w:rsid w:val="00F84FB7"/>
    <w:rsid w:val="00F85065"/>
    <w:rsid w:val="00F851B7"/>
    <w:rsid w:val="00F851F4"/>
    <w:rsid w:val="00F85DB2"/>
    <w:rsid w:val="00F861B9"/>
    <w:rsid w:val="00F86FF6"/>
    <w:rsid w:val="00F87BEA"/>
    <w:rsid w:val="00F9148D"/>
    <w:rsid w:val="00F916A8"/>
    <w:rsid w:val="00F9225E"/>
    <w:rsid w:val="00F922A9"/>
    <w:rsid w:val="00F943B0"/>
    <w:rsid w:val="00F95084"/>
    <w:rsid w:val="00F95395"/>
    <w:rsid w:val="00F95D7F"/>
    <w:rsid w:val="00F967BB"/>
    <w:rsid w:val="00F96840"/>
    <w:rsid w:val="00F97BC3"/>
    <w:rsid w:val="00F97EB3"/>
    <w:rsid w:val="00FA0879"/>
    <w:rsid w:val="00FA2723"/>
    <w:rsid w:val="00FA2BA6"/>
    <w:rsid w:val="00FA2C0E"/>
    <w:rsid w:val="00FA4255"/>
    <w:rsid w:val="00FA455B"/>
    <w:rsid w:val="00FA5C56"/>
    <w:rsid w:val="00FA5E78"/>
    <w:rsid w:val="00FA64A9"/>
    <w:rsid w:val="00FA66A7"/>
    <w:rsid w:val="00FA7EF0"/>
    <w:rsid w:val="00FB08CA"/>
    <w:rsid w:val="00FB33C7"/>
    <w:rsid w:val="00FB3C6E"/>
    <w:rsid w:val="00FB43AA"/>
    <w:rsid w:val="00FB4DA8"/>
    <w:rsid w:val="00FB4E9E"/>
    <w:rsid w:val="00FB5BF6"/>
    <w:rsid w:val="00FB6E0D"/>
    <w:rsid w:val="00FB7732"/>
    <w:rsid w:val="00FC0072"/>
    <w:rsid w:val="00FC062A"/>
    <w:rsid w:val="00FC08A0"/>
    <w:rsid w:val="00FC1004"/>
    <w:rsid w:val="00FC1224"/>
    <w:rsid w:val="00FC341A"/>
    <w:rsid w:val="00FC37CE"/>
    <w:rsid w:val="00FC3D46"/>
    <w:rsid w:val="00FC3DF0"/>
    <w:rsid w:val="00FC40ED"/>
    <w:rsid w:val="00FC41B2"/>
    <w:rsid w:val="00FC4E4D"/>
    <w:rsid w:val="00FC4FBD"/>
    <w:rsid w:val="00FC5CDA"/>
    <w:rsid w:val="00FC60FE"/>
    <w:rsid w:val="00FC6585"/>
    <w:rsid w:val="00FC6E18"/>
    <w:rsid w:val="00FD0593"/>
    <w:rsid w:val="00FD0725"/>
    <w:rsid w:val="00FD0A69"/>
    <w:rsid w:val="00FD0E2B"/>
    <w:rsid w:val="00FD0EA8"/>
    <w:rsid w:val="00FD2267"/>
    <w:rsid w:val="00FD28BE"/>
    <w:rsid w:val="00FD38FC"/>
    <w:rsid w:val="00FD3CEA"/>
    <w:rsid w:val="00FD457A"/>
    <w:rsid w:val="00FD5391"/>
    <w:rsid w:val="00FD63CB"/>
    <w:rsid w:val="00FD6EA2"/>
    <w:rsid w:val="00FE00CA"/>
    <w:rsid w:val="00FE0670"/>
    <w:rsid w:val="00FE0C55"/>
    <w:rsid w:val="00FE13E4"/>
    <w:rsid w:val="00FE2077"/>
    <w:rsid w:val="00FE2A96"/>
    <w:rsid w:val="00FE2E6D"/>
    <w:rsid w:val="00FE3841"/>
    <w:rsid w:val="00FE3A46"/>
    <w:rsid w:val="00FE3A93"/>
    <w:rsid w:val="00FE3AC0"/>
    <w:rsid w:val="00FE4131"/>
    <w:rsid w:val="00FE63BA"/>
    <w:rsid w:val="00FE71A5"/>
    <w:rsid w:val="00FE7F0F"/>
    <w:rsid w:val="00FF1898"/>
    <w:rsid w:val="00FF284B"/>
    <w:rsid w:val="00FF2944"/>
    <w:rsid w:val="00FF2D6C"/>
    <w:rsid w:val="00FF3142"/>
    <w:rsid w:val="00FF362A"/>
    <w:rsid w:val="00FF3823"/>
    <w:rsid w:val="00FF3D05"/>
    <w:rsid w:val="00FF4575"/>
    <w:rsid w:val="00FF55D6"/>
    <w:rsid w:val="00FF5977"/>
    <w:rsid w:val="00FF5D34"/>
    <w:rsid w:val="00FF5DF1"/>
    <w:rsid w:val="00FF613F"/>
    <w:rsid w:val="00FF6358"/>
    <w:rsid w:val="00FF66B7"/>
    <w:rsid w:val="00FF70BC"/>
    <w:rsid w:val="00FF79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D0CAEF"/>
  <w15:docId w15:val="{8CD4359E-6053-4AB3-BE4E-726B92C3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12759"/>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712759"/>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712759"/>
    <w:pPr>
      <w:keepNext/>
      <w:numPr>
        <w:ilvl w:val="6"/>
        <w:numId w:val="33"/>
      </w:numPr>
      <w:outlineLvl w:val="6"/>
    </w:pPr>
    <w:rPr>
      <w:rFonts w:eastAsiaTheme="majorEastAsia"/>
      <w:iCs/>
    </w:rPr>
  </w:style>
  <w:style w:type="paragraph" w:styleId="Heading8">
    <w:name w:val="heading 8"/>
    <w:basedOn w:val="Normal"/>
    <w:next w:val="Normal"/>
    <w:link w:val="Heading8Char"/>
    <w:semiHidden/>
    <w:rsid w:val="00D24718"/>
    <w:pPr>
      <w:keepNext/>
      <w:tabs>
        <w:tab w:val="num" w:pos="2880"/>
      </w:tabs>
      <w:spacing w:before="0" w:after="240"/>
      <w:ind w:left="3838" w:hanging="958"/>
      <w:outlineLvl w:val="7"/>
    </w:pPr>
    <w:rPr>
      <w:rFonts w:eastAsia="Times New Roman"/>
      <w:szCs w:val="20"/>
      <w:lang w:eastAsia="en-GB"/>
    </w:rPr>
  </w:style>
  <w:style w:type="paragraph" w:styleId="Heading9">
    <w:name w:val="heading 9"/>
    <w:basedOn w:val="Normal"/>
    <w:next w:val="Normal"/>
    <w:link w:val="Heading9Char"/>
    <w:semiHidden/>
    <w:rsid w:val="00D24718"/>
    <w:pPr>
      <w:keepNext/>
      <w:tabs>
        <w:tab w:val="num" w:pos="2880"/>
      </w:tabs>
      <w:spacing w:before="0" w:after="240"/>
      <w:ind w:left="3838" w:hanging="958"/>
      <w:outlineLvl w:val="8"/>
    </w:pPr>
    <w:rPr>
      <w:rFonts w:eastAsia="Times New Roman"/>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7D09E1"/>
    <w:pPr>
      <w:numPr>
        <w:numId w:val="2"/>
      </w:numPr>
    </w:pPr>
    <w:rPr>
      <w:rFonts w:eastAsia="Times New Roman"/>
      <w:lang w:eastAsia="de-DE"/>
    </w:rPr>
  </w:style>
  <w:style w:type="paragraph" w:styleId="ListNumber">
    <w:name w:val="List Number"/>
    <w:basedOn w:val="Normal"/>
    <w:rsid w:val="007D09E1"/>
    <w:pPr>
      <w:numPr>
        <w:numId w:val="6"/>
      </w:numPr>
    </w:pPr>
    <w:rPr>
      <w:rFonts w:eastAsia="Times New Roman"/>
      <w:lang w:eastAsia="de-DE"/>
    </w:rPr>
  </w:style>
  <w:style w:type="paragraph" w:customStyle="1" w:styleId="ListBullet1">
    <w:name w:val="List Bullet 1"/>
    <w:basedOn w:val="Normal"/>
    <w:rsid w:val="007D09E1"/>
    <w:pPr>
      <w:numPr>
        <w:numId w:val="1"/>
      </w:numPr>
    </w:pPr>
    <w:rPr>
      <w:rFonts w:eastAsia="Times New Roman"/>
      <w:lang w:eastAsia="de-DE"/>
    </w:rPr>
  </w:style>
  <w:style w:type="paragraph" w:customStyle="1" w:styleId="ListDash">
    <w:name w:val="List Dash"/>
    <w:basedOn w:val="Normal"/>
    <w:rsid w:val="007D09E1"/>
    <w:pPr>
      <w:numPr>
        <w:numId w:val="3"/>
      </w:numPr>
    </w:pPr>
    <w:rPr>
      <w:rFonts w:eastAsia="Times New Roman"/>
      <w:lang w:eastAsia="de-DE"/>
    </w:rPr>
  </w:style>
  <w:style w:type="paragraph" w:customStyle="1" w:styleId="ListDash1">
    <w:name w:val="List Dash 1"/>
    <w:basedOn w:val="Normal"/>
    <w:rsid w:val="007D09E1"/>
    <w:pPr>
      <w:numPr>
        <w:numId w:val="4"/>
      </w:numPr>
    </w:pPr>
    <w:rPr>
      <w:rFonts w:eastAsia="Times New Roman"/>
      <w:lang w:eastAsia="de-DE"/>
    </w:rPr>
  </w:style>
  <w:style w:type="paragraph" w:customStyle="1" w:styleId="ListDash2">
    <w:name w:val="List Dash 2"/>
    <w:basedOn w:val="Normal"/>
    <w:rsid w:val="007D09E1"/>
    <w:pPr>
      <w:numPr>
        <w:numId w:val="5"/>
      </w:numPr>
    </w:pPr>
    <w:rPr>
      <w:rFonts w:eastAsia="Times New Roman"/>
      <w:lang w:eastAsia="de-DE"/>
    </w:rPr>
  </w:style>
  <w:style w:type="paragraph" w:customStyle="1" w:styleId="ListNumberLevel2">
    <w:name w:val="List Number (Level 2)"/>
    <w:basedOn w:val="Normal"/>
    <w:rsid w:val="007D09E1"/>
    <w:pPr>
      <w:numPr>
        <w:ilvl w:val="1"/>
        <w:numId w:val="6"/>
      </w:numPr>
    </w:pPr>
    <w:rPr>
      <w:rFonts w:eastAsia="Times New Roman"/>
      <w:lang w:eastAsia="de-DE"/>
    </w:rPr>
  </w:style>
  <w:style w:type="paragraph" w:customStyle="1" w:styleId="ListNumberLevel3">
    <w:name w:val="List Number (Level 3)"/>
    <w:basedOn w:val="Normal"/>
    <w:rsid w:val="007D09E1"/>
    <w:pPr>
      <w:numPr>
        <w:ilvl w:val="2"/>
        <w:numId w:val="6"/>
      </w:numPr>
    </w:pPr>
    <w:rPr>
      <w:rFonts w:eastAsia="Times New Roman"/>
      <w:lang w:eastAsia="de-DE"/>
    </w:rPr>
  </w:style>
  <w:style w:type="paragraph" w:customStyle="1" w:styleId="ListNumberLevel4">
    <w:name w:val="List Number (Level 4)"/>
    <w:basedOn w:val="Normal"/>
    <w:rsid w:val="007D09E1"/>
    <w:pPr>
      <w:numPr>
        <w:ilvl w:val="3"/>
        <w:numId w:val="6"/>
      </w:numPr>
    </w:pPr>
    <w:rPr>
      <w:rFonts w:eastAsia="Times New Roman"/>
      <w:lang w:eastAsia="de-DE"/>
    </w:rPr>
  </w:style>
  <w:style w:type="table" w:styleId="TableGrid">
    <w:name w:val="Table Grid"/>
    <w:aliases w:val="Document Table,CV1,Tabellengitternetz,Gena,Deloitte,HTG,TabelEcorys"/>
    <w:basedOn w:val="TableNormal"/>
    <w:uiPriority w:val="59"/>
    <w:rsid w:val="007D09E1"/>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09E1"/>
    <w:rPr>
      <w:color w:val="0000FF"/>
      <w:u w:val="single"/>
    </w:rPr>
  </w:style>
  <w:style w:type="paragraph" w:styleId="ListBullet">
    <w:name w:val="List Bullet"/>
    <w:basedOn w:val="Normal"/>
    <w:rsid w:val="007D09E1"/>
    <w:pPr>
      <w:numPr>
        <w:numId w:val="7"/>
      </w:numPr>
    </w:pPr>
    <w:rPr>
      <w:rFonts w:eastAsia="Times New Roman"/>
      <w:lang w:val="fr-FR" w:eastAsia="en-GB"/>
    </w:rPr>
  </w:style>
  <w:style w:type="paragraph" w:styleId="ListBullet2">
    <w:name w:val="List Bullet 2"/>
    <w:basedOn w:val="Normal"/>
    <w:rsid w:val="007D09E1"/>
    <w:pPr>
      <w:numPr>
        <w:numId w:val="8"/>
      </w:numPr>
    </w:pPr>
    <w:rPr>
      <w:rFonts w:eastAsia="Times New Roman"/>
      <w:lang w:val="fr-FR" w:eastAsia="en-GB"/>
    </w:rPr>
  </w:style>
  <w:style w:type="paragraph" w:styleId="ListBullet3">
    <w:name w:val="List Bullet 3"/>
    <w:basedOn w:val="Normal"/>
    <w:rsid w:val="007D09E1"/>
    <w:pPr>
      <w:numPr>
        <w:numId w:val="9"/>
      </w:numPr>
    </w:pPr>
    <w:rPr>
      <w:rFonts w:eastAsia="Times New Roman"/>
      <w:lang w:val="fr-FR" w:eastAsia="en-GB"/>
    </w:rPr>
  </w:style>
  <w:style w:type="paragraph" w:styleId="ListNumber2">
    <w:name w:val="List Number 2"/>
    <w:basedOn w:val="Normal"/>
    <w:rsid w:val="007D09E1"/>
    <w:pPr>
      <w:numPr>
        <w:numId w:val="13"/>
      </w:numPr>
    </w:pPr>
    <w:rPr>
      <w:rFonts w:eastAsia="Times New Roman"/>
      <w:lang w:val="fr-FR" w:eastAsia="en-GB"/>
    </w:rPr>
  </w:style>
  <w:style w:type="paragraph" w:styleId="ListNumber3">
    <w:name w:val="List Number 3"/>
    <w:basedOn w:val="Normal"/>
    <w:rsid w:val="007D09E1"/>
    <w:pPr>
      <w:numPr>
        <w:numId w:val="14"/>
      </w:numPr>
    </w:pPr>
    <w:rPr>
      <w:rFonts w:eastAsia="Times New Roman"/>
      <w:lang w:val="fr-FR" w:eastAsia="en-GB"/>
    </w:rPr>
  </w:style>
  <w:style w:type="paragraph" w:styleId="ListNumber4">
    <w:name w:val="List Number 4"/>
    <w:basedOn w:val="Normal"/>
    <w:rsid w:val="007D09E1"/>
    <w:pPr>
      <w:numPr>
        <w:numId w:val="15"/>
      </w:numPr>
    </w:pPr>
    <w:rPr>
      <w:rFonts w:eastAsia="Times New Roman"/>
      <w:lang w:val="fr-FR" w:eastAsia="en-GB"/>
    </w:rPr>
  </w:style>
  <w:style w:type="paragraph" w:customStyle="1" w:styleId="ListDash3">
    <w:name w:val="List Dash 3"/>
    <w:basedOn w:val="Normal"/>
    <w:rsid w:val="007D09E1"/>
    <w:pPr>
      <w:numPr>
        <w:numId w:val="10"/>
      </w:numPr>
    </w:pPr>
    <w:rPr>
      <w:rFonts w:eastAsia="Times New Roman"/>
      <w:lang w:val="fr-FR" w:eastAsia="en-GB"/>
    </w:rPr>
  </w:style>
  <w:style w:type="paragraph" w:customStyle="1" w:styleId="ListDash4">
    <w:name w:val="List Dash 4"/>
    <w:basedOn w:val="Normal"/>
    <w:rsid w:val="007D09E1"/>
    <w:pPr>
      <w:numPr>
        <w:numId w:val="11"/>
      </w:numPr>
    </w:pPr>
    <w:rPr>
      <w:rFonts w:eastAsia="Times New Roman"/>
      <w:lang w:val="fr-FR" w:eastAsia="en-GB"/>
    </w:rPr>
  </w:style>
  <w:style w:type="paragraph" w:customStyle="1" w:styleId="ListNumber1">
    <w:name w:val="List Number 1"/>
    <w:basedOn w:val="Text1"/>
    <w:rsid w:val="007D09E1"/>
    <w:pPr>
      <w:numPr>
        <w:numId w:val="12"/>
      </w:numPr>
    </w:pPr>
    <w:rPr>
      <w:rFonts w:eastAsia="Times New Roman"/>
      <w:lang w:val="fr-FR" w:eastAsia="en-GB"/>
    </w:rPr>
  </w:style>
  <w:style w:type="paragraph" w:customStyle="1" w:styleId="ListNumber1Level2">
    <w:name w:val="List Number 1 (Level 2)"/>
    <w:basedOn w:val="Text1"/>
    <w:rsid w:val="007D09E1"/>
    <w:pPr>
      <w:numPr>
        <w:ilvl w:val="1"/>
        <w:numId w:val="12"/>
      </w:numPr>
    </w:pPr>
    <w:rPr>
      <w:rFonts w:eastAsia="Times New Roman"/>
      <w:lang w:val="fr-FR" w:eastAsia="en-GB"/>
    </w:rPr>
  </w:style>
  <w:style w:type="paragraph" w:customStyle="1" w:styleId="ListNumber2Level2">
    <w:name w:val="List Number 2 (Level 2)"/>
    <w:basedOn w:val="Text2"/>
    <w:rsid w:val="007D09E1"/>
    <w:pPr>
      <w:numPr>
        <w:ilvl w:val="1"/>
        <w:numId w:val="13"/>
      </w:numPr>
    </w:pPr>
    <w:rPr>
      <w:rFonts w:eastAsia="Times New Roman"/>
      <w:lang w:val="fr-FR" w:eastAsia="en-GB"/>
    </w:rPr>
  </w:style>
  <w:style w:type="paragraph" w:customStyle="1" w:styleId="ListNumber3Level2">
    <w:name w:val="List Number 3 (Level 2)"/>
    <w:basedOn w:val="Text3"/>
    <w:rsid w:val="007D09E1"/>
    <w:pPr>
      <w:numPr>
        <w:ilvl w:val="1"/>
        <w:numId w:val="14"/>
      </w:numPr>
    </w:pPr>
    <w:rPr>
      <w:rFonts w:eastAsia="Times New Roman"/>
      <w:lang w:val="fr-FR" w:eastAsia="en-GB"/>
    </w:rPr>
  </w:style>
  <w:style w:type="paragraph" w:customStyle="1" w:styleId="ListNumber4Level2">
    <w:name w:val="List Number 4 (Level 2)"/>
    <w:basedOn w:val="Text4"/>
    <w:rsid w:val="007D09E1"/>
    <w:pPr>
      <w:numPr>
        <w:ilvl w:val="1"/>
        <w:numId w:val="15"/>
      </w:numPr>
    </w:pPr>
    <w:rPr>
      <w:rFonts w:eastAsia="Times New Roman"/>
      <w:lang w:val="fr-FR" w:eastAsia="en-GB"/>
    </w:rPr>
  </w:style>
  <w:style w:type="paragraph" w:customStyle="1" w:styleId="ListNumber1Level3">
    <w:name w:val="List Number 1 (Level 3)"/>
    <w:basedOn w:val="Text1"/>
    <w:rsid w:val="007D09E1"/>
    <w:pPr>
      <w:numPr>
        <w:ilvl w:val="2"/>
        <w:numId w:val="12"/>
      </w:numPr>
    </w:pPr>
    <w:rPr>
      <w:rFonts w:eastAsia="Times New Roman"/>
      <w:lang w:val="fr-FR" w:eastAsia="en-GB"/>
    </w:rPr>
  </w:style>
  <w:style w:type="paragraph" w:customStyle="1" w:styleId="ListNumber2Level3">
    <w:name w:val="List Number 2 (Level 3)"/>
    <w:basedOn w:val="Text2"/>
    <w:rsid w:val="007D09E1"/>
    <w:pPr>
      <w:numPr>
        <w:ilvl w:val="2"/>
        <w:numId w:val="13"/>
      </w:numPr>
    </w:pPr>
    <w:rPr>
      <w:rFonts w:eastAsia="Times New Roman"/>
      <w:lang w:val="fr-FR" w:eastAsia="en-GB"/>
    </w:rPr>
  </w:style>
  <w:style w:type="paragraph" w:customStyle="1" w:styleId="ListNumber3Level3">
    <w:name w:val="List Number 3 (Level 3)"/>
    <w:basedOn w:val="Text3"/>
    <w:rsid w:val="007D09E1"/>
    <w:pPr>
      <w:numPr>
        <w:ilvl w:val="2"/>
        <w:numId w:val="14"/>
      </w:numPr>
    </w:pPr>
    <w:rPr>
      <w:rFonts w:eastAsia="Times New Roman"/>
      <w:lang w:val="fr-FR" w:eastAsia="en-GB"/>
    </w:rPr>
  </w:style>
  <w:style w:type="paragraph" w:customStyle="1" w:styleId="ListNumber4Level3">
    <w:name w:val="List Number 4 (Level 3)"/>
    <w:basedOn w:val="Text4"/>
    <w:rsid w:val="007D09E1"/>
    <w:pPr>
      <w:numPr>
        <w:ilvl w:val="2"/>
        <w:numId w:val="15"/>
      </w:numPr>
    </w:pPr>
    <w:rPr>
      <w:rFonts w:eastAsia="Times New Roman"/>
      <w:lang w:val="fr-FR" w:eastAsia="en-GB"/>
    </w:rPr>
  </w:style>
  <w:style w:type="paragraph" w:customStyle="1" w:styleId="ListNumber1Level4">
    <w:name w:val="List Number 1 (Level 4)"/>
    <w:basedOn w:val="Text1"/>
    <w:rsid w:val="007D09E1"/>
    <w:pPr>
      <w:numPr>
        <w:ilvl w:val="3"/>
        <w:numId w:val="12"/>
      </w:numPr>
    </w:pPr>
    <w:rPr>
      <w:rFonts w:eastAsia="Times New Roman"/>
      <w:lang w:val="fr-FR" w:eastAsia="en-GB"/>
    </w:rPr>
  </w:style>
  <w:style w:type="paragraph" w:customStyle="1" w:styleId="ListNumber2Level4">
    <w:name w:val="List Number 2 (Level 4)"/>
    <w:basedOn w:val="Text2"/>
    <w:rsid w:val="007D09E1"/>
    <w:pPr>
      <w:numPr>
        <w:ilvl w:val="3"/>
        <w:numId w:val="13"/>
      </w:numPr>
    </w:pPr>
    <w:rPr>
      <w:rFonts w:eastAsia="Times New Roman"/>
      <w:lang w:val="fr-FR" w:eastAsia="en-GB"/>
    </w:rPr>
  </w:style>
  <w:style w:type="paragraph" w:customStyle="1" w:styleId="ListNumber3Level4">
    <w:name w:val="List Number 3 (Level 4)"/>
    <w:basedOn w:val="Text3"/>
    <w:rsid w:val="007D09E1"/>
    <w:pPr>
      <w:numPr>
        <w:ilvl w:val="3"/>
        <w:numId w:val="14"/>
      </w:numPr>
    </w:pPr>
    <w:rPr>
      <w:rFonts w:eastAsia="Times New Roman"/>
      <w:lang w:val="fr-FR" w:eastAsia="en-GB"/>
    </w:rPr>
  </w:style>
  <w:style w:type="paragraph" w:customStyle="1" w:styleId="ListNumber4Level4">
    <w:name w:val="List Number 4 (Level 4)"/>
    <w:basedOn w:val="Text4"/>
    <w:rsid w:val="007D09E1"/>
    <w:pPr>
      <w:numPr>
        <w:ilvl w:val="3"/>
        <w:numId w:val="15"/>
      </w:numPr>
    </w:pPr>
    <w:rPr>
      <w:rFonts w:eastAsia="Times New Roman"/>
      <w:lang w:val="fr-FR" w:eastAsia="en-GB"/>
    </w:rPr>
  </w:style>
  <w:style w:type="paragraph" w:customStyle="1" w:styleId="Annexetitreacte">
    <w:name w:val="Annexe titre (acte)"/>
    <w:basedOn w:val="Normal"/>
    <w:next w:val="Normal"/>
    <w:rsid w:val="007D09E1"/>
    <w:pPr>
      <w:jc w:val="center"/>
    </w:pPr>
    <w:rPr>
      <w:rFonts w:eastAsia="Times New Roman"/>
      <w:b/>
      <w:u w:val="single"/>
      <w:lang w:val="fr-FR" w:eastAsia="en-GB"/>
    </w:rPr>
  </w:style>
  <w:style w:type="paragraph" w:customStyle="1" w:styleId="Annexetitreexposglobal">
    <w:name w:val="Annexe titre (exposé global)"/>
    <w:basedOn w:val="Normal"/>
    <w:next w:val="Normal"/>
    <w:rsid w:val="007D09E1"/>
    <w:pPr>
      <w:jc w:val="center"/>
    </w:pPr>
    <w:rPr>
      <w:rFonts w:eastAsia="Times New Roman"/>
      <w:b/>
      <w:u w:val="single"/>
      <w:lang w:val="fr-FR" w:eastAsia="en-GB"/>
    </w:rPr>
  </w:style>
  <w:style w:type="paragraph" w:customStyle="1" w:styleId="Annexetitrefichefinacte">
    <w:name w:val="Annexe titre (fiche fin. acte)"/>
    <w:basedOn w:val="Normal"/>
    <w:next w:val="Normal"/>
    <w:rsid w:val="007D09E1"/>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D09E1"/>
    <w:pPr>
      <w:jc w:val="center"/>
    </w:pPr>
    <w:rPr>
      <w:rFonts w:eastAsia="Times New Roman"/>
      <w:b/>
      <w:u w:val="single"/>
      <w:lang w:val="fr-FR" w:eastAsia="en-GB"/>
    </w:rPr>
  </w:style>
  <w:style w:type="paragraph" w:customStyle="1" w:styleId="Annexetitreglobale">
    <w:name w:val="Annexe titre (globale)"/>
    <w:basedOn w:val="Normal"/>
    <w:next w:val="Normal"/>
    <w:rsid w:val="007D09E1"/>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D09E1"/>
    <w:pPr>
      <w:jc w:val="center"/>
    </w:pPr>
    <w:rPr>
      <w:rFonts w:eastAsia="Times New Roman"/>
      <w:b/>
      <w:u w:val="single"/>
      <w:lang w:val="fr-FR" w:eastAsia="en-GB"/>
    </w:rPr>
  </w:style>
  <w:style w:type="paragraph" w:customStyle="1" w:styleId="Langueoriginale">
    <w:name w:val="Langue originale"/>
    <w:basedOn w:val="Normal"/>
    <w:rsid w:val="007D09E1"/>
    <w:pPr>
      <w:spacing w:before="360"/>
      <w:jc w:val="center"/>
    </w:pPr>
    <w:rPr>
      <w:rFonts w:eastAsia="Times New Roman"/>
      <w:caps/>
      <w:lang w:val="fr-FR" w:eastAsia="en-GB"/>
    </w:rPr>
  </w:style>
  <w:style w:type="paragraph" w:customStyle="1" w:styleId="Phrasefinale">
    <w:name w:val="Phrase finale"/>
    <w:basedOn w:val="Normal"/>
    <w:next w:val="Normal"/>
    <w:rsid w:val="007D09E1"/>
    <w:pPr>
      <w:spacing w:before="360" w:after="0"/>
      <w:jc w:val="center"/>
    </w:pPr>
    <w:rPr>
      <w:rFonts w:eastAsia="Times New Roman"/>
      <w:lang w:val="fr-FR" w:eastAsia="en-GB"/>
    </w:rPr>
  </w:style>
  <w:style w:type="paragraph" w:customStyle="1" w:styleId="Prliminairetitre">
    <w:name w:val="Préliminaire titre"/>
    <w:basedOn w:val="Normal"/>
    <w:next w:val="Normal"/>
    <w:rsid w:val="007D09E1"/>
    <w:pPr>
      <w:spacing w:before="360" w:after="360"/>
      <w:jc w:val="center"/>
    </w:pPr>
    <w:rPr>
      <w:rFonts w:eastAsia="Times New Roman"/>
      <w:b/>
      <w:lang w:val="fr-FR" w:eastAsia="en-GB"/>
    </w:rPr>
  </w:style>
  <w:style w:type="paragraph" w:customStyle="1" w:styleId="Prliminairetype">
    <w:name w:val="Préliminaire type"/>
    <w:basedOn w:val="Normal"/>
    <w:next w:val="Normal"/>
    <w:rsid w:val="007D09E1"/>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D09E1"/>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D09E1"/>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D09E1"/>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D09E1"/>
    <w:pPr>
      <w:spacing w:before="0" w:after="0"/>
      <w:jc w:val="center"/>
    </w:pPr>
    <w:rPr>
      <w:rFonts w:eastAsia="Times New Roman"/>
      <w:b/>
      <w:lang w:val="fr-FR" w:eastAsia="en-GB"/>
    </w:rPr>
  </w:style>
  <w:style w:type="paragraph" w:customStyle="1" w:styleId="Statutprliminaire">
    <w:name w:val="Statut (préliminaire)"/>
    <w:basedOn w:val="Normal"/>
    <w:next w:val="Normal"/>
    <w:rsid w:val="007D09E1"/>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D09E1"/>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D09E1"/>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D09E1"/>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D09E1"/>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D09E1"/>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D09E1"/>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D09E1"/>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D09E1"/>
    <w:pPr>
      <w:jc w:val="center"/>
    </w:pPr>
    <w:rPr>
      <w:rFonts w:eastAsia="Times New Roman"/>
      <w:b/>
      <w:u w:val="single"/>
      <w:lang w:val="fr-FR" w:eastAsia="en-GB"/>
    </w:rPr>
  </w:style>
  <w:style w:type="character" w:styleId="CommentReference">
    <w:name w:val="annotation reference"/>
    <w:qFormat/>
    <w:rsid w:val="007D09E1"/>
    <w:rPr>
      <w:rFonts w:cs="Times New Roman"/>
      <w:sz w:val="16"/>
      <w:szCs w:val="16"/>
    </w:rPr>
  </w:style>
  <w:style w:type="paragraph" w:styleId="CommentText">
    <w:name w:val="annotation text"/>
    <w:basedOn w:val="Normal"/>
    <w:link w:val="CommentTextChar"/>
    <w:qFormat/>
    <w:rsid w:val="007D09E1"/>
    <w:rPr>
      <w:rFonts w:eastAsia="Times New Roman"/>
      <w:sz w:val="20"/>
      <w:szCs w:val="20"/>
      <w:lang w:val="fr-FR" w:eastAsia="en-GB"/>
    </w:rPr>
  </w:style>
  <w:style w:type="character" w:customStyle="1" w:styleId="CommentTextChar">
    <w:name w:val="Comment Text Char"/>
    <w:basedOn w:val="DefaultParagraphFont"/>
    <w:link w:val="CommentText"/>
    <w:rsid w:val="007D09E1"/>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7D09E1"/>
    <w:rPr>
      <w:b/>
      <w:bCs/>
    </w:rPr>
  </w:style>
  <w:style w:type="character" w:customStyle="1" w:styleId="CommentSubjectChar">
    <w:name w:val="Comment Subject Char"/>
    <w:basedOn w:val="CommentTextChar"/>
    <w:link w:val="CommentSubject"/>
    <w:rsid w:val="007D09E1"/>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7D09E1"/>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7D09E1"/>
    <w:rPr>
      <w:rFonts w:ascii="Tahoma" w:eastAsia="Times New Roman" w:hAnsi="Tahoma" w:cs="Tahoma"/>
      <w:sz w:val="16"/>
      <w:szCs w:val="16"/>
      <w:lang w:val="fr-FR" w:eastAsia="en-GB"/>
    </w:rPr>
  </w:style>
  <w:style w:type="paragraph" w:styleId="Caption">
    <w:name w:val="caption"/>
    <w:aliases w:val="Heading Table/Figure,Caption (RMC),Caption-tables,Tasks,Beschriftung Char2,Beschriftung Char1 Char1,Beschriftung Char Char Char1,Beschriftung Char1 Char Char,Beschriftung Char Char Char Char,Beschriftung Char Char1 Char,Eco,Tabelle"/>
    <w:basedOn w:val="Normal"/>
    <w:next w:val="Normal"/>
    <w:link w:val="CaptionChar"/>
    <w:uiPriority w:val="35"/>
    <w:qFormat/>
    <w:rsid w:val="007D09E1"/>
    <w:rPr>
      <w:rFonts w:eastAsia="Times New Roman"/>
      <w:b/>
      <w:bCs/>
      <w:sz w:val="20"/>
      <w:szCs w:val="20"/>
      <w:lang w:val="fr-FR" w:eastAsia="en-GB"/>
    </w:rPr>
  </w:style>
  <w:style w:type="paragraph" w:styleId="TableofFigures">
    <w:name w:val="table of figures"/>
    <w:basedOn w:val="Normal"/>
    <w:next w:val="Normal"/>
    <w:rsid w:val="007D09E1"/>
    <w:rPr>
      <w:rFonts w:eastAsia="Times New Roman"/>
      <w:lang w:val="fr-FR" w:eastAsia="en-GB"/>
    </w:rPr>
  </w:style>
  <w:style w:type="character" w:styleId="PageNumber">
    <w:name w:val="page number"/>
    <w:rsid w:val="007D09E1"/>
  </w:style>
  <w:style w:type="character" w:customStyle="1" w:styleId="tw4winMark">
    <w:name w:val="tw4winMark"/>
    <w:rsid w:val="007D09E1"/>
    <w:rPr>
      <w:vanish/>
      <w:color w:val="800080"/>
      <w:vertAlign w:val="subscript"/>
    </w:rPr>
  </w:style>
  <w:style w:type="character" w:styleId="FollowedHyperlink">
    <w:name w:val="FollowedHyperlink"/>
    <w:rsid w:val="007D09E1"/>
    <w:rPr>
      <w:color w:val="800080"/>
      <w:u w:val="single"/>
    </w:rPr>
  </w:style>
  <w:style w:type="paragraph" w:customStyle="1" w:styleId="Sous-titreobjet">
    <w:name w:val="Sous-titre objet"/>
    <w:basedOn w:val="Normal"/>
    <w:rsid w:val="007D09E1"/>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D09E1"/>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194FA1"/>
    <w:pPr>
      <w:spacing w:before="0" w:after="240"/>
      <w:ind w:left="720"/>
      <w:contextualSpacing/>
    </w:pPr>
    <w:rPr>
      <w:rFonts w:eastAsia="Times New Roman"/>
      <w:noProof/>
      <w:szCs w:val="20"/>
      <w:lang w:eastAsia="en-GB"/>
    </w:rPr>
  </w:style>
  <w:style w:type="character" w:customStyle="1" w:styleId="Bodytext2">
    <w:name w:val="Body text|2"/>
    <w:basedOn w:val="DefaultParagraphFont"/>
    <w:unhideWhenUsed/>
    <w:rsid w:val="00194FA1"/>
    <w:rPr>
      <w:rFonts w:ascii="Verdana" w:eastAsia="Verdana" w:hAnsi="Verdana" w:cs="Verdana"/>
      <w:b w:val="0"/>
      <w:bCs w:val="0"/>
      <w:i w:val="0"/>
      <w:iCs w:val="0"/>
      <w:smallCaps w:val="0"/>
      <w:strike w:val="0"/>
      <w:color w:val="3D3D3D"/>
      <w:spacing w:val="0"/>
      <w:w w:val="100"/>
      <w:position w:val="0"/>
      <w:sz w:val="19"/>
      <w:szCs w:val="19"/>
      <w:u w:val="none"/>
      <w:lang w:val="en-US" w:eastAsia="de-DE" w:bidi="de-DE"/>
    </w:rPr>
  </w:style>
  <w:style w:type="numbering" w:customStyle="1" w:styleId="Style1">
    <w:name w:val="Style1"/>
    <w:uiPriority w:val="99"/>
    <w:rsid w:val="00194FA1"/>
    <w:pPr>
      <w:numPr>
        <w:numId w:val="16"/>
      </w:numPr>
    </w:pPr>
  </w:style>
  <w:style w:type="paragraph" w:styleId="NormalWeb">
    <w:name w:val="Normal (Web)"/>
    <w:basedOn w:val="Normal"/>
    <w:uiPriority w:val="99"/>
    <w:unhideWhenUsed/>
    <w:rsid w:val="00194FA1"/>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sid w:val="00194FA1"/>
    <w:rPr>
      <w:i/>
      <w:iCs/>
    </w:rPr>
  </w:style>
  <w:style w:type="paragraph" w:customStyle="1" w:styleId="Normal4">
    <w:name w:val="Normal4"/>
    <w:basedOn w:val="Normal"/>
    <w:rsid w:val="00194FA1"/>
    <w:pPr>
      <w:spacing w:before="100" w:beforeAutospacing="1" w:after="100" w:afterAutospacing="1"/>
      <w:jc w:val="left"/>
    </w:pPr>
    <w:rPr>
      <w:rFonts w:eastAsia="Times New Roman"/>
      <w:szCs w:val="24"/>
      <w:lang w:val="en-US"/>
    </w:rPr>
  </w:style>
  <w:style w:type="character" w:customStyle="1" w:styleId="Heading5Char">
    <w:name w:val="Heading 5 Char"/>
    <w:basedOn w:val="DefaultParagraphFont"/>
    <w:link w:val="Heading5"/>
    <w:uiPriority w:val="9"/>
    <w:semiHidden/>
    <w:rsid w:val="00712759"/>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712759"/>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712759"/>
    <w:rPr>
      <w:rFonts w:ascii="Times New Roman" w:eastAsiaTheme="majorEastAsia" w:hAnsi="Times New Roman" w:cs="Times New Roman"/>
      <w:iCs/>
      <w:sz w:val="24"/>
      <w:lang w:val="en-GB"/>
    </w:rPr>
  </w:style>
  <w:style w:type="character" w:customStyle="1" w:styleId="Heading8Char">
    <w:name w:val="Heading 8 Char"/>
    <w:basedOn w:val="DefaultParagraphFont"/>
    <w:link w:val="Heading8"/>
    <w:semiHidden/>
    <w:rsid w:val="00D24718"/>
    <w:rPr>
      <w:rFonts w:ascii="Times New Roman" w:eastAsia="Times New Roman" w:hAnsi="Times New Roman" w:cs="Times New Roman"/>
      <w:sz w:val="24"/>
      <w:szCs w:val="20"/>
      <w:lang w:val="en-GB" w:eastAsia="en-GB"/>
    </w:rPr>
  </w:style>
  <w:style w:type="character" w:customStyle="1" w:styleId="Heading9Char">
    <w:name w:val="Heading 9 Char"/>
    <w:basedOn w:val="DefaultParagraphFont"/>
    <w:link w:val="Heading9"/>
    <w:semiHidden/>
    <w:rsid w:val="00D24718"/>
    <w:rPr>
      <w:rFonts w:ascii="Times New Roman" w:eastAsia="Times New Roman" w:hAnsi="Times New Roman" w:cs="Times New Roman"/>
      <w:sz w:val="24"/>
      <w:szCs w:val="20"/>
      <w:lang w:val="en-GB" w:eastAsia="en-GB"/>
    </w:rPr>
  </w:style>
  <w:style w:type="paragraph" w:customStyle="1" w:styleId="Indent">
    <w:name w:val="Indent"/>
    <w:basedOn w:val="Point0number"/>
    <w:rsid w:val="00D24718"/>
  </w:style>
  <w:style w:type="paragraph" w:customStyle="1" w:styleId="LegalNumPar">
    <w:name w:val="LegalNumPar"/>
    <w:basedOn w:val="Normal"/>
    <w:uiPriority w:val="90"/>
    <w:qFormat/>
    <w:rsid w:val="00D24718"/>
    <w:pPr>
      <w:spacing w:before="0" w:after="240" w:line="360" w:lineRule="auto"/>
      <w:jc w:val="left"/>
    </w:pPr>
    <w:rPr>
      <w:rFonts w:eastAsia="Times New Roman"/>
      <w:noProof/>
      <w:szCs w:val="20"/>
      <w:lang w:eastAsia="en-GB"/>
    </w:rPr>
  </w:style>
  <w:style w:type="paragraph" w:customStyle="1" w:styleId="LegalNumPar2">
    <w:name w:val="LegalNumPar2"/>
    <w:basedOn w:val="Normal"/>
    <w:rsid w:val="00D24718"/>
    <w:pPr>
      <w:spacing w:before="0" w:after="240" w:line="360" w:lineRule="auto"/>
      <w:jc w:val="left"/>
    </w:pPr>
    <w:rPr>
      <w:rFonts w:eastAsia="Times New Roman"/>
      <w:noProof/>
      <w:szCs w:val="20"/>
      <w:lang w:eastAsia="en-GB"/>
    </w:rPr>
  </w:style>
  <w:style w:type="paragraph" w:customStyle="1" w:styleId="LegalNumPar3">
    <w:name w:val="LegalNumPar3"/>
    <w:basedOn w:val="Normal"/>
    <w:rsid w:val="00D24718"/>
    <w:pPr>
      <w:numPr>
        <w:ilvl w:val="2"/>
        <w:numId w:val="18"/>
      </w:numPr>
      <w:spacing w:before="0" w:after="240" w:line="360" w:lineRule="auto"/>
      <w:jc w:val="left"/>
    </w:pPr>
    <w:rPr>
      <w:rFonts w:eastAsia="Times New Roman"/>
      <w:noProof/>
      <w:szCs w:val="20"/>
      <w:lang w:eastAsia="en-GB"/>
    </w:rPr>
  </w:style>
  <w:style w:type="character" w:customStyle="1" w:styleId="Text2Char1">
    <w:name w:val="Text 2 Char1"/>
    <w:rsid w:val="00D24718"/>
    <w:rPr>
      <w:rFonts w:ascii="Times New Roman" w:hAnsi="Times New Roman" w:cs="Times New Roman"/>
      <w:sz w:val="24"/>
      <w:lang w:val="en-GB"/>
    </w:rPr>
  </w:style>
  <w:style w:type="paragraph" w:customStyle="1" w:styleId="ti-section-1">
    <w:name w:val="ti-section-1"/>
    <w:basedOn w:val="Normal"/>
    <w:rsid w:val="00D24718"/>
    <w:pPr>
      <w:spacing w:before="100" w:beforeAutospacing="1" w:after="100" w:afterAutospacing="1"/>
      <w:jc w:val="left"/>
    </w:pPr>
    <w:rPr>
      <w:rFonts w:eastAsia="Times New Roman"/>
      <w:szCs w:val="24"/>
      <w:lang w:eastAsia="en-GB"/>
    </w:rPr>
  </w:style>
  <w:style w:type="paragraph" w:customStyle="1" w:styleId="ti-section-2">
    <w:name w:val="ti-section-2"/>
    <w:basedOn w:val="Normal"/>
    <w:rsid w:val="00D24718"/>
    <w:pPr>
      <w:spacing w:before="100" w:beforeAutospacing="1" w:after="100" w:afterAutospacing="1"/>
      <w:jc w:val="left"/>
    </w:pPr>
    <w:rPr>
      <w:rFonts w:eastAsia="Times New Roman"/>
      <w:szCs w:val="24"/>
      <w:lang w:eastAsia="en-GB"/>
    </w:rPr>
  </w:style>
  <w:style w:type="character" w:customStyle="1" w:styleId="bold">
    <w:name w:val="bold"/>
    <w:basedOn w:val="DefaultParagraphFont"/>
    <w:rsid w:val="00D24718"/>
  </w:style>
  <w:style w:type="paragraph" w:customStyle="1" w:styleId="ti-art">
    <w:name w:val="ti-art"/>
    <w:basedOn w:val="Normal"/>
    <w:rsid w:val="00D24718"/>
    <w:pPr>
      <w:spacing w:before="100" w:beforeAutospacing="1" w:after="100" w:afterAutospacing="1"/>
      <w:jc w:val="left"/>
    </w:pPr>
    <w:rPr>
      <w:rFonts w:eastAsia="Times New Roman"/>
      <w:szCs w:val="24"/>
      <w:lang w:eastAsia="en-GB"/>
    </w:rPr>
  </w:style>
  <w:style w:type="paragraph" w:customStyle="1" w:styleId="sti-art">
    <w:name w:val="sti-art"/>
    <w:basedOn w:val="Normal"/>
    <w:rsid w:val="00D24718"/>
    <w:pPr>
      <w:spacing w:before="100" w:beforeAutospacing="1" w:after="100" w:afterAutospacing="1"/>
      <w:jc w:val="left"/>
    </w:pPr>
    <w:rPr>
      <w:rFonts w:eastAsia="Times New Roman"/>
      <w:szCs w:val="24"/>
      <w:lang w:eastAsia="en-GB"/>
    </w:rPr>
  </w:style>
  <w:style w:type="paragraph" w:customStyle="1" w:styleId="Normal1">
    <w:name w:val="Normal1"/>
    <w:basedOn w:val="Normal"/>
    <w:rsid w:val="00D24718"/>
    <w:pPr>
      <w:spacing w:before="100" w:beforeAutospacing="1" w:after="100" w:afterAutospacing="1"/>
      <w:jc w:val="left"/>
    </w:pPr>
    <w:rPr>
      <w:rFonts w:eastAsia="Times New Roman"/>
      <w:szCs w:val="24"/>
      <w:lang w:eastAsia="en-GB"/>
    </w:rPr>
  </w:style>
  <w:style w:type="character" w:customStyle="1" w:styleId="italic">
    <w:name w:val="italic"/>
    <w:basedOn w:val="DefaultParagraphFont"/>
    <w:rsid w:val="00D24718"/>
  </w:style>
  <w:style w:type="paragraph" w:styleId="Revision">
    <w:name w:val="Revision"/>
    <w:hidden/>
    <w:uiPriority w:val="99"/>
    <w:semiHidden/>
    <w:rsid w:val="00D24718"/>
    <w:pPr>
      <w:spacing w:after="0" w:line="240" w:lineRule="auto"/>
    </w:pPr>
    <w:rPr>
      <w:rFonts w:ascii="Times New Roman" w:hAnsi="Times New Roman" w:cs="Times New Roman"/>
      <w:sz w:val="24"/>
      <w:lang w:val="en-GB"/>
    </w:rPr>
  </w:style>
  <w:style w:type="character" w:customStyle="1" w:styleId="Bodytext20">
    <w:name w:val="Body text|2_"/>
    <w:basedOn w:val="DefaultParagraphFont"/>
    <w:rsid w:val="00D24718"/>
    <w:rPr>
      <w:rFonts w:ascii="Verdana" w:eastAsia="Verdana" w:hAnsi="Verdana" w:cs="Verdana"/>
      <w:b w:val="0"/>
      <w:bCs w:val="0"/>
      <w:i w:val="0"/>
      <w:iCs w:val="0"/>
      <w:smallCaps w:val="0"/>
      <w:strike w:val="0"/>
      <w:sz w:val="19"/>
      <w:szCs w:val="19"/>
      <w:u w:val="none"/>
    </w:rPr>
  </w:style>
  <w:style w:type="character" w:customStyle="1" w:styleId="Heading31">
    <w:name w:val="Heading #3|1_"/>
    <w:basedOn w:val="DefaultParagraphFont"/>
    <w:rsid w:val="00D24718"/>
    <w:rPr>
      <w:rFonts w:ascii="Verdana" w:eastAsia="Verdana" w:hAnsi="Verdana" w:cs="Verdana"/>
      <w:b w:val="0"/>
      <w:bCs w:val="0"/>
      <w:i w:val="0"/>
      <w:iCs w:val="0"/>
      <w:smallCaps w:val="0"/>
      <w:strike w:val="0"/>
      <w:sz w:val="18"/>
      <w:szCs w:val="18"/>
      <w:u w:val="none"/>
    </w:rPr>
  </w:style>
  <w:style w:type="character" w:customStyle="1" w:styleId="Heading310">
    <w:name w:val="Heading #3|1"/>
    <w:basedOn w:val="Heading31"/>
    <w:semiHidden/>
    <w:unhideWhenUsed/>
    <w:rsid w:val="00D24718"/>
    <w:rPr>
      <w:rFonts w:ascii="Verdana" w:eastAsia="Verdana" w:hAnsi="Verdana" w:cs="Verdana"/>
      <w:b w:val="0"/>
      <w:bCs w:val="0"/>
      <w:i w:val="0"/>
      <w:iCs w:val="0"/>
      <w:smallCaps w:val="0"/>
      <w:strike w:val="0"/>
      <w:color w:val="466E18"/>
      <w:spacing w:val="0"/>
      <w:w w:val="100"/>
      <w:position w:val="0"/>
      <w:sz w:val="18"/>
      <w:szCs w:val="18"/>
      <w:u w:val="none"/>
      <w:lang w:val="en-US" w:eastAsia="de-DE" w:bidi="de-DE"/>
    </w:rPr>
  </w:style>
  <w:style w:type="paragraph" w:customStyle="1" w:styleId="Text0">
    <w:name w:val="Text 0"/>
    <w:basedOn w:val="Text1"/>
    <w:rsid w:val="00D24718"/>
  </w:style>
  <w:style w:type="paragraph" w:customStyle="1" w:styleId="CM4">
    <w:name w:val="CM4"/>
    <w:basedOn w:val="Normal"/>
    <w:next w:val="Normal"/>
    <w:uiPriority w:val="99"/>
    <w:rsid w:val="00D24718"/>
    <w:pPr>
      <w:autoSpaceDE w:val="0"/>
      <w:autoSpaceDN w:val="0"/>
      <w:adjustRightInd w:val="0"/>
      <w:spacing w:before="0" w:after="0"/>
      <w:jc w:val="left"/>
    </w:pPr>
    <w:rPr>
      <w:szCs w:val="24"/>
      <w:lang w:val="fr-BE"/>
    </w:rPr>
  </w:style>
  <w:style w:type="paragraph" w:customStyle="1" w:styleId="1NumPar">
    <w:name w:val="1. NumPar"/>
    <w:basedOn w:val="NumPar1"/>
    <w:rsid w:val="00D24718"/>
    <w:pPr>
      <w:numPr>
        <w:numId w:val="17"/>
      </w:numPr>
    </w:pPr>
  </w:style>
  <w:style w:type="paragraph" w:styleId="NoSpacing">
    <w:name w:val="No Spacing"/>
    <w:uiPriority w:val="1"/>
    <w:qFormat/>
    <w:rsid w:val="00D24718"/>
    <w:pPr>
      <w:spacing w:after="0" w:line="240" w:lineRule="auto"/>
      <w:jc w:val="both"/>
    </w:pPr>
    <w:rPr>
      <w:rFonts w:ascii="Times New Roman" w:hAnsi="Times New Roman" w:cs="Times New Roman"/>
      <w:sz w:val="24"/>
      <w:lang w:val="en-GB"/>
    </w:rPr>
  </w:style>
  <w:style w:type="paragraph" w:styleId="BodyText">
    <w:name w:val="Body Text"/>
    <w:basedOn w:val="Normal"/>
    <w:link w:val="BodyTextChar"/>
    <w:rsid w:val="00D24718"/>
    <w:pPr>
      <w:overflowPunct w:val="0"/>
      <w:spacing w:before="0" w:after="140" w:line="288" w:lineRule="auto"/>
      <w:jc w:val="left"/>
    </w:pPr>
    <w:rPr>
      <w:rFonts w:ascii="Calibri" w:eastAsia="Calibri" w:hAnsi="Calibri" w:cs="DejaVu Sans"/>
      <w:color w:val="00000A"/>
      <w:sz w:val="22"/>
    </w:rPr>
  </w:style>
  <w:style w:type="character" w:customStyle="1" w:styleId="BodyTextChar">
    <w:name w:val="Body Text Char"/>
    <w:basedOn w:val="DefaultParagraphFont"/>
    <w:link w:val="BodyText"/>
    <w:rsid w:val="00D24718"/>
    <w:rPr>
      <w:rFonts w:ascii="Calibri" w:eastAsia="Calibri" w:hAnsi="Calibri" w:cs="DejaVu Sans"/>
      <w:color w:val="00000A"/>
      <w:lang w:val="en-GB"/>
    </w:rPr>
  </w:style>
  <w:style w:type="paragraph" w:customStyle="1" w:styleId="ContNum">
    <w:name w:val="ContNum"/>
    <w:basedOn w:val="Normal"/>
    <w:uiPriority w:val="90"/>
    <w:qFormat/>
    <w:rsid w:val="00D24718"/>
    <w:pPr>
      <w:tabs>
        <w:tab w:val="num" w:pos="476"/>
      </w:tabs>
      <w:spacing w:before="0" w:after="240"/>
      <w:ind w:left="476" w:hanging="476"/>
    </w:pPr>
    <w:rPr>
      <w:rFonts w:eastAsia="Times New Roman"/>
      <w:szCs w:val="20"/>
      <w:lang w:eastAsia="en-GB"/>
    </w:rPr>
  </w:style>
  <w:style w:type="paragraph" w:customStyle="1" w:styleId="ContNumLevel2">
    <w:name w:val="ContNum (Level 2)"/>
    <w:basedOn w:val="Normal"/>
    <w:rsid w:val="00D24718"/>
    <w:pPr>
      <w:tabs>
        <w:tab w:val="num" w:pos="952"/>
      </w:tabs>
      <w:spacing w:before="0" w:after="240"/>
      <w:ind w:left="952" w:hanging="476"/>
    </w:pPr>
    <w:rPr>
      <w:rFonts w:eastAsia="Times New Roman"/>
      <w:szCs w:val="20"/>
      <w:lang w:eastAsia="en-GB"/>
    </w:rPr>
  </w:style>
  <w:style w:type="paragraph" w:customStyle="1" w:styleId="ContNumLevel3">
    <w:name w:val="ContNum (Level 3)"/>
    <w:basedOn w:val="Normal"/>
    <w:rsid w:val="00D24718"/>
    <w:pPr>
      <w:tabs>
        <w:tab w:val="num" w:pos="1429"/>
      </w:tabs>
      <w:spacing w:before="0" w:after="240"/>
      <w:ind w:left="1429" w:hanging="477"/>
    </w:pPr>
    <w:rPr>
      <w:rFonts w:eastAsia="Times New Roman"/>
      <w:szCs w:val="20"/>
      <w:lang w:eastAsia="en-GB"/>
    </w:rPr>
  </w:style>
  <w:style w:type="paragraph" w:customStyle="1" w:styleId="paragraph">
    <w:name w:val="paragraph"/>
    <w:basedOn w:val="Normal"/>
    <w:rsid w:val="00D24718"/>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D24718"/>
  </w:style>
  <w:style w:type="paragraph" w:customStyle="1" w:styleId="CM3">
    <w:name w:val="CM3"/>
    <w:basedOn w:val="Normal"/>
    <w:next w:val="Normal"/>
    <w:uiPriority w:val="99"/>
    <w:rsid w:val="00D24718"/>
    <w:pPr>
      <w:autoSpaceDE w:val="0"/>
      <w:autoSpaceDN w:val="0"/>
      <w:adjustRightInd w:val="0"/>
      <w:spacing w:before="0" w:after="0"/>
      <w:jc w:val="left"/>
    </w:pPr>
    <w:rPr>
      <w:szCs w:val="24"/>
      <w:lang w:val="fr-BE"/>
    </w:rPr>
  </w:style>
  <w:style w:type="paragraph" w:customStyle="1" w:styleId="CM1">
    <w:name w:val="CM1"/>
    <w:basedOn w:val="Normal"/>
    <w:next w:val="Normal"/>
    <w:uiPriority w:val="99"/>
    <w:rsid w:val="00D24718"/>
    <w:pPr>
      <w:autoSpaceDE w:val="0"/>
      <w:autoSpaceDN w:val="0"/>
      <w:adjustRightInd w:val="0"/>
      <w:spacing w:before="0" w:after="0"/>
      <w:jc w:val="left"/>
    </w:pPr>
    <w:rPr>
      <w:szCs w:val="24"/>
      <w:lang w:val="fr-BE"/>
    </w:rPr>
  </w:style>
  <w:style w:type="paragraph" w:customStyle="1" w:styleId="Normal2">
    <w:name w:val="Normal2"/>
    <w:basedOn w:val="Normal"/>
    <w:rsid w:val="00D24718"/>
    <w:pPr>
      <w:spacing w:before="100" w:beforeAutospacing="1" w:after="100" w:afterAutospacing="1"/>
      <w:jc w:val="left"/>
    </w:pPr>
    <w:rPr>
      <w:rFonts w:eastAsia="Times New Roman"/>
      <w:szCs w:val="24"/>
      <w:lang w:val="fr-BE" w:eastAsia="fr-BE"/>
    </w:rPr>
  </w:style>
  <w:style w:type="character" w:customStyle="1" w:styleId="super">
    <w:name w:val="super"/>
    <w:basedOn w:val="DefaultParagraphFont"/>
    <w:rsid w:val="00D24718"/>
  </w:style>
  <w:style w:type="character" w:customStyle="1" w:styleId="Headerorfooter1">
    <w:name w:val="Header or footer|1_"/>
    <w:basedOn w:val="DefaultParagraphFont"/>
    <w:rsid w:val="00D24718"/>
    <w:rPr>
      <w:b w:val="0"/>
      <w:bCs w:val="0"/>
      <w:i w:val="0"/>
      <w:iCs w:val="0"/>
      <w:smallCaps w:val="0"/>
      <w:strike w:val="0"/>
      <w:sz w:val="16"/>
      <w:szCs w:val="16"/>
      <w:u w:val="none"/>
    </w:rPr>
  </w:style>
  <w:style w:type="character" w:customStyle="1" w:styleId="Headerorfooter10">
    <w:name w:val="Header or footer|1"/>
    <w:basedOn w:val="Headerorfooter1"/>
    <w:semiHidden/>
    <w:unhideWhenUsed/>
    <w:rsid w:val="00D2471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de-DE" w:bidi="de-DE"/>
    </w:rPr>
  </w:style>
  <w:style w:type="character" w:customStyle="1" w:styleId="Bodytext5Exact">
    <w:name w:val="Body text|5 Exact"/>
    <w:basedOn w:val="DefaultParagraphFont"/>
    <w:semiHidden/>
    <w:unhideWhenUsed/>
    <w:rsid w:val="00D24718"/>
    <w:rPr>
      <w:b w:val="0"/>
      <w:bCs w:val="0"/>
      <w:i w:val="0"/>
      <w:iCs w:val="0"/>
      <w:smallCaps w:val="0"/>
      <w:strike w:val="0"/>
      <w:sz w:val="16"/>
      <w:szCs w:val="16"/>
      <w:u w:val="none"/>
    </w:rPr>
  </w:style>
  <w:style w:type="character" w:customStyle="1" w:styleId="Bodytext5">
    <w:name w:val="Body text|5_"/>
    <w:basedOn w:val="DefaultParagraphFont"/>
    <w:link w:val="Bodytext50"/>
    <w:rsid w:val="00D24718"/>
    <w:rPr>
      <w:sz w:val="16"/>
      <w:szCs w:val="16"/>
      <w:shd w:val="clear" w:color="auto" w:fill="FFFFFF"/>
    </w:rPr>
  </w:style>
  <w:style w:type="paragraph" w:customStyle="1" w:styleId="Bodytext50">
    <w:name w:val="Body text|5"/>
    <w:basedOn w:val="Normal"/>
    <w:link w:val="Bodytext5"/>
    <w:rsid w:val="00D24718"/>
    <w:pPr>
      <w:widowControl w:val="0"/>
      <w:shd w:val="clear" w:color="auto" w:fill="FFFFFF"/>
      <w:spacing w:before="0" w:after="0" w:line="178" w:lineRule="exact"/>
      <w:jc w:val="left"/>
    </w:pPr>
    <w:rPr>
      <w:rFonts w:asciiTheme="minorHAnsi" w:hAnsiTheme="minorHAnsi" w:cstheme="minorBidi"/>
      <w:sz w:val="16"/>
      <w:szCs w:val="16"/>
      <w:lang w:val="en-US"/>
    </w:rPr>
  </w:style>
  <w:style w:type="paragraph" w:customStyle="1" w:styleId="Default">
    <w:name w:val="Default"/>
    <w:rsid w:val="00D24718"/>
    <w:pPr>
      <w:autoSpaceDE w:val="0"/>
      <w:autoSpaceDN w:val="0"/>
      <w:adjustRightInd w:val="0"/>
      <w:spacing w:after="0" w:line="240" w:lineRule="auto"/>
    </w:pPr>
    <w:rPr>
      <w:rFonts w:ascii="EUAlbertina" w:eastAsia="Times New Roman" w:hAnsi="EUAlbertina" w:cs="EUAlbertina"/>
      <w:color w:val="000000"/>
      <w:sz w:val="24"/>
      <w:szCs w:val="24"/>
      <w:lang w:val="fr-BE" w:eastAsia="en-GB"/>
    </w:rPr>
  </w:style>
  <w:style w:type="paragraph" w:customStyle="1" w:styleId="Normal3">
    <w:name w:val="Normal3"/>
    <w:basedOn w:val="Normal"/>
    <w:rsid w:val="00D24718"/>
    <w:pPr>
      <w:spacing w:before="100" w:beforeAutospacing="1" w:after="100" w:afterAutospacing="1"/>
      <w:jc w:val="left"/>
    </w:pPr>
    <w:rPr>
      <w:rFonts w:eastAsia="Times New Roman"/>
      <w:szCs w:val="24"/>
      <w:lang w:val="en-US"/>
    </w:rPr>
  </w:style>
  <w:style w:type="paragraph" w:customStyle="1" w:styleId="1">
    <w:name w:val="1"/>
    <w:basedOn w:val="Normal"/>
    <w:uiPriority w:val="99"/>
    <w:rsid w:val="005C3088"/>
    <w:pPr>
      <w:spacing w:before="0" w:after="160" w:line="240" w:lineRule="exact"/>
    </w:pPr>
    <w:rPr>
      <w:rFonts w:asciiTheme="minorHAnsi" w:hAnsiTheme="minorHAnsi" w:cstheme="minorBidi"/>
      <w:sz w:val="22"/>
      <w:vertAlign w:val="superscript"/>
      <w:lang w:val="en-US"/>
    </w:rPr>
  </w:style>
  <w:style w:type="character" w:customStyle="1" w:styleId="ddfn">
    <w:name w:val="d_dfn"/>
    <w:basedOn w:val="DefaultParagraphFont"/>
    <w:rsid w:val="00F2368C"/>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link w:val="ListParagraph"/>
    <w:uiPriority w:val="34"/>
    <w:qFormat/>
    <w:rsid w:val="0066757E"/>
    <w:rPr>
      <w:rFonts w:ascii="Times New Roman" w:eastAsia="Times New Roman" w:hAnsi="Times New Roman" w:cs="Times New Roman"/>
      <w:noProof/>
      <w:sz w:val="24"/>
      <w:szCs w:val="20"/>
      <w:lang w:val="en-GB" w:eastAsia="en-GB"/>
    </w:rPr>
  </w:style>
  <w:style w:type="paragraph" w:customStyle="1" w:styleId="FooterCoverPage">
    <w:name w:val="Footer Cover Page"/>
    <w:basedOn w:val="Normal"/>
    <w:link w:val="FooterCoverPageChar"/>
    <w:rsid w:val="006007C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6007C1"/>
    <w:rPr>
      <w:rFonts w:ascii="Times New Roman" w:hAnsi="Times New Roman" w:cs="Times New Roman"/>
      <w:b/>
      <w:sz w:val="28"/>
      <w:lang w:val="en-GB"/>
    </w:rPr>
  </w:style>
  <w:style w:type="character" w:customStyle="1" w:styleId="FooterCoverPageChar">
    <w:name w:val="Footer Cover Page Char"/>
    <w:basedOn w:val="TOCHeadingChar"/>
    <w:link w:val="FooterCoverPage"/>
    <w:rsid w:val="006007C1"/>
    <w:rPr>
      <w:rFonts w:ascii="Times New Roman" w:hAnsi="Times New Roman" w:cs="Times New Roman"/>
      <w:b w:val="0"/>
      <w:sz w:val="24"/>
      <w:lang w:val="en-GB"/>
    </w:rPr>
  </w:style>
  <w:style w:type="paragraph" w:customStyle="1" w:styleId="HeaderCoverPage">
    <w:name w:val="Header Cover Page"/>
    <w:basedOn w:val="Normal"/>
    <w:link w:val="HeaderCoverPageChar"/>
    <w:rsid w:val="006007C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6007C1"/>
    <w:rPr>
      <w:rFonts w:ascii="Times New Roman" w:hAnsi="Times New Roman" w:cs="Times New Roman"/>
      <w:b w:val="0"/>
      <w:sz w:val="24"/>
      <w:lang w:val="en-GB" w:eastAsia="en-GB"/>
    </w:rPr>
  </w:style>
  <w:style w:type="table" w:customStyle="1" w:styleId="TableGrid12">
    <w:name w:val="Table Grid12"/>
    <w:basedOn w:val="TableNormal"/>
    <w:rsid w:val="008036F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Heading Table/Figure Char,Caption (RMC) Char,Caption-tables Char,Tasks Char,Beschriftung Char2 Char,Beschriftung Char1 Char1 Char,Beschriftung Char Char Char1 Char,Beschriftung Char1 Char Char Char,Beschriftung Char Char Char Char Char"/>
    <w:link w:val="Caption"/>
    <w:uiPriority w:val="35"/>
    <w:rsid w:val="00D9400B"/>
    <w:rPr>
      <w:rFonts w:ascii="Times New Roman" w:eastAsia="Times New Roman" w:hAnsi="Times New Roman" w:cs="Times New Roman"/>
      <w:b/>
      <w:bCs/>
      <w:sz w:val="20"/>
      <w:szCs w:val="20"/>
      <w:lang w:val="fr-FR" w:eastAsia="en-GB"/>
    </w:rPr>
  </w:style>
  <w:style w:type="table" w:customStyle="1" w:styleId="HTG2">
    <w:name w:val="HTG2"/>
    <w:basedOn w:val="TableNormal"/>
    <w:uiPriority w:val="39"/>
    <w:rsid w:val="00D9400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779"/>
    <w:pPr>
      <w:tabs>
        <w:tab w:val="center" w:pos="4535"/>
        <w:tab w:val="right" w:pos="9071"/>
      </w:tabs>
      <w:spacing w:before="0"/>
    </w:pPr>
  </w:style>
  <w:style w:type="character" w:customStyle="1" w:styleId="HeaderChar">
    <w:name w:val="Header Char"/>
    <w:basedOn w:val="DefaultParagraphFont"/>
    <w:link w:val="Header"/>
    <w:uiPriority w:val="99"/>
    <w:rsid w:val="005E4779"/>
    <w:rPr>
      <w:rFonts w:ascii="Times New Roman" w:hAnsi="Times New Roman" w:cs="Times New Roman"/>
      <w:sz w:val="24"/>
      <w:lang w:val="en-GB"/>
    </w:rPr>
  </w:style>
  <w:style w:type="paragraph" w:styleId="Footer">
    <w:name w:val="footer"/>
    <w:basedOn w:val="Normal"/>
    <w:link w:val="FooterChar"/>
    <w:uiPriority w:val="99"/>
    <w:unhideWhenUsed/>
    <w:rsid w:val="005E477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E477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E4779"/>
    <w:pPr>
      <w:tabs>
        <w:tab w:val="center" w:pos="7285"/>
        <w:tab w:val="right" w:pos="14003"/>
      </w:tabs>
      <w:spacing w:before="0"/>
    </w:pPr>
  </w:style>
  <w:style w:type="paragraph" w:customStyle="1" w:styleId="FooterLandscape">
    <w:name w:val="FooterLandscape"/>
    <w:basedOn w:val="Normal"/>
    <w:rsid w:val="005E477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E477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E4779"/>
    <w:pPr>
      <w:spacing w:before="0"/>
      <w:jc w:val="right"/>
    </w:pPr>
    <w:rPr>
      <w:sz w:val="28"/>
    </w:rPr>
  </w:style>
  <w:style w:type="paragraph" w:customStyle="1" w:styleId="FooterSensitivity">
    <w:name w:val="Footer Sensitivity"/>
    <w:basedOn w:val="Normal"/>
    <w:rsid w:val="005E477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1"/>
      </w:numPr>
    </w:pPr>
  </w:style>
  <w:style w:type="paragraph" w:customStyle="1" w:styleId="Tiret1">
    <w:name w:val="Tiret 1"/>
    <w:basedOn w:val="Point1"/>
    <w:rsid w:val="009B7138"/>
    <w:pPr>
      <w:numPr>
        <w:numId w:val="22"/>
      </w:numPr>
    </w:pPr>
  </w:style>
  <w:style w:type="paragraph" w:customStyle="1" w:styleId="Tiret2">
    <w:name w:val="Tiret 2"/>
    <w:basedOn w:val="Point2"/>
    <w:rsid w:val="009B7138"/>
    <w:pPr>
      <w:numPr>
        <w:numId w:val="23"/>
      </w:numPr>
    </w:pPr>
  </w:style>
  <w:style w:type="paragraph" w:customStyle="1" w:styleId="Tiret3">
    <w:name w:val="Tiret 3"/>
    <w:basedOn w:val="Point3"/>
    <w:rsid w:val="009B7138"/>
    <w:pPr>
      <w:numPr>
        <w:numId w:val="24"/>
      </w:numPr>
    </w:pPr>
  </w:style>
  <w:style w:type="paragraph" w:customStyle="1" w:styleId="Tiret4">
    <w:name w:val="Tiret 4"/>
    <w:basedOn w:val="Point4"/>
    <w:rsid w:val="009B7138"/>
    <w:pPr>
      <w:numPr>
        <w:numId w:val="2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5"/>
      </w:numPr>
    </w:pPr>
  </w:style>
  <w:style w:type="paragraph" w:customStyle="1" w:styleId="NumPar2">
    <w:name w:val="NumPar 2"/>
    <w:basedOn w:val="Normal"/>
    <w:next w:val="Text1"/>
    <w:rsid w:val="009B7138"/>
    <w:pPr>
      <w:numPr>
        <w:ilvl w:val="1"/>
        <w:numId w:val="35"/>
      </w:numPr>
    </w:pPr>
  </w:style>
  <w:style w:type="paragraph" w:customStyle="1" w:styleId="NumPar3">
    <w:name w:val="NumPar 3"/>
    <w:basedOn w:val="Normal"/>
    <w:next w:val="Text1"/>
    <w:rsid w:val="009B7138"/>
    <w:pPr>
      <w:numPr>
        <w:ilvl w:val="2"/>
        <w:numId w:val="35"/>
      </w:numPr>
    </w:pPr>
  </w:style>
  <w:style w:type="paragraph" w:customStyle="1" w:styleId="NumPar4">
    <w:name w:val="NumPar 4"/>
    <w:basedOn w:val="Normal"/>
    <w:next w:val="Text1"/>
    <w:rsid w:val="009B7138"/>
    <w:pPr>
      <w:numPr>
        <w:ilvl w:val="3"/>
        <w:numId w:val="3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0934F7"/>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6"/>
      </w:numPr>
    </w:pPr>
  </w:style>
  <w:style w:type="paragraph" w:customStyle="1" w:styleId="Point1number">
    <w:name w:val="Point 1 (number)"/>
    <w:basedOn w:val="Normal"/>
    <w:rsid w:val="009B7138"/>
    <w:pPr>
      <w:numPr>
        <w:ilvl w:val="2"/>
        <w:numId w:val="26"/>
      </w:numPr>
    </w:pPr>
  </w:style>
  <w:style w:type="paragraph" w:customStyle="1" w:styleId="Point2number">
    <w:name w:val="Point 2 (number)"/>
    <w:basedOn w:val="Normal"/>
    <w:rsid w:val="009B7138"/>
    <w:pPr>
      <w:numPr>
        <w:ilvl w:val="4"/>
        <w:numId w:val="26"/>
      </w:numPr>
    </w:pPr>
  </w:style>
  <w:style w:type="paragraph" w:customStyle="1" w:styleId="Point3number">
    <w:name w:val="Point 3 (number)"/>
    <w:basedOn w:val="Normal"/>
    <w:rsid w:val="009B7138"/>
    <w:pPr>
      <w:numPr>
        <w:ilvl w:val="6"/>
        <w:numId w:val="26"/>
      </w:numPr>
    </w:pPr>
  </w:style>
  <w:style w:type="paragraph" w:customStyle="1" w:styleId="Point0letter">
    <w:name w:val="Point 0 (letter)"/>
    <w:basedOn w:val="Normal"/>
    <w:rsid w:val="009B7138"/>
    <w:pPr>
      <w:numPr>
        <w:ilvl w:val="1"/>
        <w:numId w:val="26"/>
      </w:numPr>
    </w:pPr>
  </w:style>
  <w:style w:type="paragraph" w:customStyle="1" w:styleId="Point1letter">
    <w:name w:val="Point 1 (letter)"/>
    <w:basedOn w:val="Normal"/>
    <w:rsid w:val="009B7138"/>
    <w:pPr>
      <w:numPr>
        <w:ilvl w:val="3"/>
        <w:numId w:val="26"/>
      </w:numPr>
    </w:pPr>
  </w:style>
  <w:style w:type="paragraph" w:customStyle="1" w:styleId="Point2letter">
    <w:name w:val="Point 2 (letter)"/>
    <w:basedOn w:val="Normal"/>
    <w:rsid w:val="009B7138"/>
    <w:pPr>
      <w:numPr>
        <w:ilvl w:val="5"/>
        <w:numId w:val="26"/>
      </w:numPr>
    </w:pPr>
  </w:style>
  <w:style w:type="paragraph" w:customStyle="1" w:styleId="Point3letter">
    <w:name w:val="Point 3 (letter)"/>
    <w:basedOn w:val="Normal"/>
    <w:rsid w:val="009B7138"/>
    <w:pPr>
      <w:numPr>
        <w:ilvl w:val="7"/>
        <w:numId w:val="26"/>
      </w:numPr>
    </w:pPr>
  </w:style>
  <w:style w:type="paragraph" w:customStyle="1" w:styleId="Point4letter">
    <w:name w:val="Point 4 (letter)"/>
    <w:basedOn w:val="Normal"/>
    <w:rsid w:val="009B7138"/>
    <w:pPr>
      <w:numPr>
        <w:ilvl w:val="8"/>
        <w:numId w:val="26"/>
      </w:numPr>
    </w:pPr>
  </w:style>
  <w:style w:type="paragraph" w:customStyle="1" w:styleId="Bullet0">
    <w:name w:val="Bullet 0"/>
    <w:basedOn w:val="Normal"/>
    <w:rsid w:val="009B7138"/>
    <w:pPr>
      <w:numPr>
        <w:numId w:val="27"/>
      </w:numPr>
    </w:pPr>
  </w:style>
  <w:style w:type="paragraph" w:customStyle="1" w:styleId="Bullet1">
    <w:name w:val="Bullet 1"/>
    <w:basedOn w:val="Normal"/>
    <w:rsid w:val="009B7138"/>
    <w:pPr>
      <w:numPr>
        <w:numId w:val="28"/>
      </w:numPr>
    </w:pPr>
  </w:style>
  <w:style w:type="paragraph" w:customStyle="1" w:styleId="Bullet2">
    <w:name w:val="Bullet 2"/>
    <w:basedOn w:val="Normal"/>
    <w:rsid w:val="009B7138"/>
    <w:pPr>
      <w:numPr>
        <w:numId w:val="29"/>
      </w:numPr>
    </w:pPr>
  </w:style>
  <w:style w:type="paragraph" w:customStyle="1" w:styleId="Bullet3">
    <w:name w:val="Bullet 3"/>
    <w:basedOn w:val="Normal"/>
    <w:rsid w:val="009B7138"/>
    <w:pPr>
      <w:numPr>
        <w:numId w:val="30"/>
      </w:numPr>
    </w:pPr>
  </w:style>
  <w:style w:type="paragraph" w:customStyle="1" w:styleId="Bullet4">
    <w:name w:val="Bullet 4"/>
    <w:basedOn w:val="Normal"/>
    <w:rsid w:val="009B7138"/>
    <w:pPr>
      <w:numPr>
        <w:numId w:val="3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customStyle="1" w:styleId="ManualHeading5">
    <w:name w:val="Manual Heading 5"/>
    <w:basedOn w:val="Normal"/>
    <w:next w:val="Text2"/>
    <w:rsid w:val="00712759"/>
    <w:pPr>
      <w:keepNext/>
      <w:tabs>
        <w:tab w:val="left" w:pos="1417"/>
      </w:tabs>
      <w:ind w:left="1417" w:hanging="1417"/>
      <w:outlineLvl w:val="4"/>
    </w:pPr>
  </w:style>
  <w:style w:type="paragraph" w:customStyle="1" w:styleId="ManualHeading6">
    <w:name w:val="Manual Heading 6"/>
    <w:basedOn w:val="Normal"/>
    <w:next w:val="Text2"/>
    <w:rsid w:val="00712759"/>
    <w:pPr>
      <w:keepNext/>
      <w:tabs>
        <w:tab w:val="left" w:pos="1417"/>
      </w:tabs>
      <w:ind w:left="1417" w:hanging="1417"/>
      <w:outlineLvl w:val="5"/>
    </w:pPr>
  </w:style>
  <w:style w:type="paragraph" w:customStyle="1" w:styleId="ManualHeading7">
    <w:name w:val="Manual Heading 7"/>
    <w:basedOn w:val="Normal"/>
    <w:next w:val="Text2"/>
    <w:rsid w:val="00712759"/>
    <w:pPr>
      <w:keepNext/>
      <w:tabs>
        <w:tab w:val="left" w:pos="1417"/>
      </w:tabs>
      <w:ind w:left="1417" w:hanging="1417"/>
      <w:outlineLvl w:val="6"/>
    </w:pPr>
  </w:style>
  <w:style w:type="paragraph" w:customStyle="1" w:styleId="Text5">
    <w:name w:val="Text 5"/>
    <w:basedOn w:val="Normal"/>
    <w:rsid w:val="00712759"/>
    <w:pPr>
      <w:ind w:left="3118"/>
    </w:pPr>
  </w:style>
  <w:style w:type="paragraph" w:customStyle="1" w:styleId="Text6">
    <w:name w:val="Text 6"/>
    <w:basedOn w:val="Normal"/>
    <w:rsid w:val="00712759"/>
    <w:pPr>
      <w:ind w:left="3685"/>
    </w:pPr>
  </w:style>
  <w:style w:type="paragraph" w:customStyle="1" w:styleId="Point5">
    <w:name w:val="Point 5"/>
    <w:basedOn w:val="Normal"/>
    <w:rsid w:val="00712759"/>
    <w:pPr>
      <w:ind w:left="3685" w:hanging="567"/>
    </w:pPr>
  </w:style>
  <w:style w:type="paragraph" w:customStyle="1" w:styleId="Tiret5">
    <w:name w:val="Tiret 5"/>
    <w:basedOn w:val="Point5"/>
    <w:rsid w:val="00712759"/>
    <w:pPr>
      <w:numPr>
        <w:numId w:val="34"/>
      </w:numPr>
    </w:pPr>
  </w:style>
  <w:style w:type="paragraph" w:customStyle="1" w:styleId="NumPar5">
    <w:name w:val="NumPar 5"/>
    <w:basedOn w:val="Normal"/>
    <w:next w:val="Text2"/>
    <w:rsid w:val="00712759"/>
    <w:pPr>
      <w:numPr>
        <w:ilvl w:val="4"/>
        <w:numId w:val="35"/>
      </w:numPr>
    </w:pPr>
  </w:style>
  <w:style w:type="paragraph" w:customStyle="1" w:styleId="NumPar6">
    <w:name w:val="NumPar 6"/>
    <w:basedOn w:val="Normal"/>
    <w:next w:val="Text2"/>
    <w:rsid w:val="00712759"/>
    <w:pPr>
      <w:numPr>
        <w:ilvl w:val="5"/>
        <w:numId w:val="35"/>
      </w:numPr>
    </w:pPr>
  </w:style>
  <w:style w:type="paragraph" w:customStyle="1" w:styleId="NumPar7">
    <w:name w:val="NumPar 7"/>
    <w:basedOn w:val="Normal"/>
    <w:next w:val="Text2"/>
    <w:rsid w:val="00712759"/>
    <w:pPr>
      <w:numPr>
        <w:ilvl w:val="6"/>
        <w:numId w:val="35"/>
      </w:numPr>
    </w:pPr>
  </w:style>
  <w:style w:type="paragraph" w:customStyle="1" w:styleId="ManualNumPar5">
    <w:name w:val="Manual NumPar 5"/>
    <w:basedOn w:val="Normal"/>
    <w:next w:val="Text2"/>
    <w:rsid w:val="00712759"/>
    <w:pPr>
      <w:ind w:left="1417" w:hanging="1417"/>
    </w:pPr>
  </w:style>
  <w:style w:type="paragraph" w:customStyle="1" w:styleId="ManualNumPar6">
    <w:name w:val="Manual NumPar 6"/>
    <w:basedOn w:val="Normal"/>
    <w:next w:val="Text2"/>
    <w:rsid w:val="00712759"/>
    <w:pPr>
      <w:ind w:left="1417" w:hanging="1417"/>
    </w:pPr>
  </w:style>
  <w:style w:type="paragraph" w:customStyle="1" w:styleId="ManualNumPar7">
    <w:name w:val="Manual NumPar 7"/>
    <w:basedOn w:val="Normal"/>
    <w:next w:val="Text2"/>
    <w:rsid w:val="0071275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406">
      <w:bodyDiv w:val="1"/>
      <w:marLeft w:val="0"/>
      <w:marRight w:val="0"/>
      <w:marTop w:val="0"/>
      <w:marBottom w:val="0"/>
      <w:divBdr>
        <w:top w:val="none" w:sz="0" w:space="0" w:color="auto"/>
        <w:left w:val="none" w:sz="0" w:space="0" w:color="auto"/>
        <w:bottom w:val="none" w:sz="0" w:space="0" w:color="auto"/>
        <w:right w:val="none" w:sz="0" w:space="0" w:color="auto"/>
      </w:divBdr>
    </w:div>
    <w:div w:id="76447159">
      <w:bodyDiv w:val="1"/>
      <w:marLeft w:val="0"/>
      <w:marRight w:val="0"/>
      <w:marTop w:val="0"/>
      <w:marBottom w:val="0"/>
      <w:divBdr>
        <w:top w:val="none" w:sz="0" w:space="0" w:color="auto"/>
        <w:left w:val="none" w:sz="0" w:space="0" w:color="auto"/>
        <w:bottom w:val="none" w:sz="0" w:space="0" w:color="auto"/>
        <w:right w:val="none" w:sz="0" w:space="0" w:color="auto"/>
      </w:divBdr>
    </w:div>
    <w:div w:id="265313108">
      <w:bodyDiv w:val="1"/>
      <w:marLeft w:val="0"/>
      <w:marRight w:val="0"/>
      <w:marTop w:val="0"/>
      <w:marBottom w:val="0"/>
      <w:divBdr>
        <w:top w:val="none" w:sz="0" w:space="0" w:color="auto"/>
        <w:left w:val="none" w:sz="0" w:space="0" w:color="auto"/>
        <w:bottom w:val="none" w:sz="0" w:space="0" w:color="auto"/>
        <w:right w:val="none" w:sz="0" w:space="0" w:color="auto"/>
      </w:divBdr>
    </w:div>
    <w:div w:id="301545781">
      <w:bodyDiv w:val="1"/>
      <w:marLeft w:val="0"/>
      <w:marRight w:val="0"/>
      <w:marTop w:val="0"/>
      <w:marBottom w:val="0"/>
      <w:divBdr>
        <w:top w:val="none" w:sz="0" w:space="0" w:color="auto"/>
        <w:left w:val="none" w:sz="0" w:space="0" w:color="auto"/>
        <w:bottom w:val="none" w:sz="0" w:space="0" w:color="auto"/>
        <w:right w:val="none" w:sz="0" w:space="0" w:color="auto"/>
      </w:divBdr>
    </w:div>
    <w:div w:id="359235357">
      <w:bodyDiv w:val="1"/>
      <w:marLeft w:val="0"/>
      <w:marRight w:val="0"/>
      <w:marTop w:val="0"/>
      <w:marBottom w:val="0"/>
      <w:divBdr>
        <w:top w:val="none" w:sz="0" w:space="0" w:color="auto"/>
        <w:left w:val="none" w:sz="0" w:space="0" w:color="auto"/>
        <w:bottom w:val="none" w:sz="0" w:space="0" w:color="auto"/>
        <w:right w:val="none" w:sz="0" w:space="0" w:color="auto"/>
      </w:divBdr>
    </w:div>
    <w:div w:id="388187601">
      <w:bodyDiv w:val="1"/>
      <w:marLeft w:val="0"/>
      <w:marRight w:val="0"/>
      <w:marTop w:val="0"/>
      <w:marBottom w:val="0"/>
      <w:divBdr>
        <w:top w:val="none" w:sz="0" w:space="0" w:color="auto"/>
        <w:left w:val="none" w:sz="0" w:space="0" w:color="auto"/>
        <w:bottom w:val="none" w:sz="0" w:space="0" w:color="auto"/>
        <w:right w:val="none" w:sz="0" w:space="0" w:color="auto"/>
      </w:divBdr>
    </w:div>
    <w:div w:id="406651728">
      <w:bodyDiv w:val="1"/>
      <w:marLeft w:val="0"/>
      <w:marRight w:val="0"/>
      <w:marTop w:val="0"/>
      <w:marBottom w:val="0"/>
      <w:divBdr>
        <w:top w:val="none" w:sz="0" w:space="0" w:color="auto"/>
        <w:left w:val="none" w:sz="0" w:space="0" w:color="auto"/>
        <w:bottom w:val="none" w:sz="0" w:space="0" w:color="auto"/>
        <w:right w:val="none" w:sz="0" w:space="0" w:color="auto"/>
      </w:divBdr>
    </w:div>
    <w:div w:id="462576272">
      <w:bodyDiv w:val="1"/>
      <w:marLeft w:val="0"/>
      <w:marRight w:val="0"/>
      <w:marTop w:val="0"/>
      <w:marBottom w:val="0"/>
      <w:divBdr>
        <w:top w:val="none" w:sz="0" w:space="0" w:color="auto"/>
        <w:left w:val="none" w:sz="0" w:space="0" w:color="auto"/>
        <w:bottom w:val="none" w:sz="0" w:space="0" w:color="auto"/>
        <w:right w:val="none" w:sz="0" w:space="0" w:color="auto"/>
      </w:divBdr>
    </w:div>
    <w:div w:id="481892545">
      <w:bodyDiv w:val="1"/>
      <w:marLeft w:val="0"/>
      <w:marRight w:val="0"/>
      <w:marTop w:val="0"/>
      <w:marBottom w:val="0"/>
      <w:divBdr>
        <w:top w:val="none" w:sz="0" w:space="0" w:color="auto"/>
        <w:left w:val="none" w:sz="0" w:space="0" w:color="auto"/>
        <w:bottom w:val="none" w:sz="0" w:space="0" w:color="auto"/>
        <w:right w:val="none" w:sz="0" w:space="0" w:color="auto"/>
      </w:divBdr>
    </w:div>
    <w:div w:id="636498064">
      <w:bodyDiv w:val="1"/>
      <w:marLeft w:val="0"/>
      <w:marRight w:val="0"/>
      <w:marTop w:val="0"/>
      <w:marBottom w:val="0"/>
      <w:divBdr>
        <w:top w:val="none" w:sz="0" w:space="0" w:color="auto"/>
        <w:left w:val="none" w:sz="0" w:space="0" w:color="auto"/>
        <w:bottom w:val="none" w:sz="0" w:space="0" w:color="auto"/>
        <w:right w:val="none" w:sz="0" w:space="0" w:color="auto"/>
      </w:divBdr>
    </w:div>
    <w:div w:id="675348654">
      <w:bodyDiv w:val="1"/>
      <w:marLeft w:val="0"/>
      <w:marRight w:val="0"/>
      <w:marTop w:val="0"/>
      <w:marBottom w:val="0"/>
      <w:divBdr>
        <w:top w:val="none" w:sz="0" w:space="0" w:color="auto"/>
        <w:left w:val="none" w:sz="0" w:space="0" w:color="auto"/>
        <w:bottom w:val="none" w:sz="0" w:space="0" w:color="auto"/>
        <w:right w:val="none" w:sz="0" w:space="0" w:color="auto"/>
      </w:divBdr>
    </w:div>
    <w:div w:id="732199340">
      <w:bodyDiv w:val="1"/>
      <w:marLeft w:val="0"/>
      <w:marRight w:val="0"/>
      <w:marTop w:val="0"/>
      <w:marBottom w:val="0"/>
      <w:divBdr>
        <w:top w:val="none" w:sz="0" w:space="0" w:color="auto"/>
        <w:left w:val="none" w:sz="0" w:space="0" w:color="auto"/>
        <w:bottom w:val="none" w:sz="0" w:space="0" w:color="auto"/>
        <w:right w:val="none" w:sz="0" w:space="0" w:color="auto"/>
      </w:divBdr>
    </w:div>
    <w:div w:id="745612772">
      <w:bodyDiv w:val="1"/>
      <w:marLeft w:val="0"/>
      <w:marRight w:val="0"/>
      <w:marTop w:val="0"/>
      <w:marBottom w:val="0"/>
      <w:divBdr>
        <w:top w:val="none" w:sz="0" w:space="0" w:color="auto"/>
        <w:left w:val="none" w:sz="0" w:space="0" w:color="auto"/>
        <w:bottom w:val="none" w:sz="0" w:space="0" w:color="auto"/>
        <w:right w:val="none" w:sz="0" w:space="0" w:color="auto"/>
      </w:divBdr>
    </w:div>
    <w:div w:id="757363861">
      <w:bodyDiv w:val="1"/>
      <w:marLeft w:val="0"/>
      <w:marRight w:val="0"/>
      <w:marTop w:val="0"/>
      <w:marBottom w:val="0"/>
      <w:divBdr>
        <w:top w:val="none" w:sz="0" w:space="0" w:color="auto"/>
        <w:left w:val="none" w:sz="0" w:space="0" w:color="auto"/>
        <w:bottom w:val="none" w:sz="0" w:space="0" w:color="auto"/>
        <w:right w:val="none" w:sz="0" w:space="0" w:color="auto"/>
      </w:divBdr>
    </w:div>
    <w:div w:id="791632381">
      <w:bodyDiv w:val="1"/>
      <w:marLeft w:val="0"/>
      <w:marRight w:val="0"/>
      <w:marTop w:val="0"/>
      <w:marBottom w:val="0"/>
      <w:divBdr>
        <w:top w:val="none" w:sz="0" w:space="0" w:color="auto"/>
        <w:left w:val="none" w:sz="0" w:space="0" w:color="auto"/>
        <w:bottom w:val="none" w:sz="0" w:space="0" w:color="auto"/>
        <w:right w:val="none" w:sz="0" w:space="0" w:color="auto"/>
      </w:divBdr>
    </w:div>
    <w:div w:id="858393083">
      <w:bodyDiv w:val="1"/>
      <w:marLeft w:val="0"/>
      <w:marRight w:val="0"/>
      <w:marTop w:val="0"/>
      <w:marBottom w:val="0"/>
      <w:divBdr>
        <w:top w:val="none" w:sz="0" w:space="0" w:color="auto"/>
        <w:left w:val="none" w:sz="0" w:space="0" w:color="auto"/>
        <w:bottom w:val="none" w:sz="0" w:space="0" w:color="auto"/>
        <w:right w:val="none" w:sz="0" w:space="0" w:color="auto"/>
      </w:divBdr>
    </w:div>
    <w:div w:id="946693481">
      <w:bodyDiv w:val="1"/>
      <w:marLeft w:val="0"/>
      <w:marRight w:val="0"/>
      <w:marTop w:val="0"/>
      <w:marBottom w:val="0"/>
      <w:divBdr>
        <w:top w:val="none" w:sz="0" w:space="0" w:color="auto"/>
        <w:left w:val="none" w:sz="0" w:space="0" w:color="auto"/>
        <w:bottom w:val="none" w:sz="0" w:space="0" w:color="auto"/>
        <w:right w:val="none" w:sz="0" w:space="0" w:color="auto"/>
      </w:divBdr>
    </w:div>
    <w:div w:id="962617949">
      <w:bodyDiv w:val="1"/>
      <w:marLeft w:val="0"/>
      <w:marRight w:val="0"/>
      <w:marTop w:val="0"/>
      <w:marBottom w:val="0"/>
      <w:divBdr>
        <w:top w:val="none" w:sz="0" w:space="0" w:color="auto"/>
        <w:left w:val="none" w:sz="0" w:space="0" w:color="auto"/>
        <w:bottom w:val="none" w:sz="0" w:space="0" w:color="auto"/>
        <w:right w:val="none" w:sz="0" w:space="0" w:color="auto"/>
      </w:divBdr>
    </w:div>
    <w:div w:id="966816375">
      <w:bodyDiv w:val="1"/>
      <w:marLeft w:val="0"/>
      <w:marRight w:val="0"/>
      <w:marTop w:val="0"/>
      <w:marBottom w:val="0"/>
      <w:divBdr>
        <w:top w:val="none" w:sz="0" w:space="0" w:color="auto"/>
        <w:left w:val="none" w:sz="0" w:space="0" w:color="auto"/>
        <w:bottom w:val="none" w:sz="0" w:space="0" w:color="auto"/>
        <w:right w:val="none" w:sz="0" w:space="0" w:color="auto"/>
      </w:divBdr>
    </w:div>
    <w:div w:id="1266616066">
      <w:bodyDiv w:val="1"/>
      <w:marLeft w:val="0"/>
      <w:marRight w:val="0"/>
      <w:marTop w:val="0"/>
      <w:marBottom w:val="0"/>
      <w:divBdr>
        <w:top w:val="none" w:sz="0" w:space="0" w:color="auto"/>
        <w:left w:val="none" w:sz="0" w:space="0" w:color="auto"/>
        <w:bottom w:val="none" w:sz="0" w:space="0" w:color="auto"/>
        <w:right w:val="none" w:sz="0" w:space="0" w:color="auto"/>
      </w:divBdr>
    </w:div>
    <w:div w:id="1288976050">
      <w:bodyDiv w:val="1"/>
      <w:marLeft w:val="0"/>
      <w:marRight w:val="0"/>
      <w:marTop w:val="0"/>
      <w:marBottom w:val="0"/>
      <w:divBdr>
        <w:top w:val="none" w:sz="0" w:space="0" w:color="auto"/>
        <w:left w:val="none" w:sz="0" w:space="0" w:color="auto"/>
        <w:bottom w:val="none" w:sz="0" w:space="0" w:color="auto"/>
        <w:right w:val="none" w:sz="0" w:space="0" w:color="auto"/>
      </w:divBdr>
    </w:div>
    <w:div w:id="1346977096">
      <w:bodyDiv w:val="1"/>
      <w:marLeft w:val="0"/>
      <w:marRight w:val="0"/>
      <w:marTop w:val="0"/>
      <w:marBottom w:val="0"/>
      <w:divBdr>
        <w:top w:val="none" w:sz="0" w:space="0" w:color="auto"/>
        <w:left w:val="none" w:sz="0" w:space="0" w:color="auto"/>
        <w:bottom w:val="none" w:sz="0" w:space="0" w:color="auto"/>
        <w:right w:val="none" w:sz="0" w:space="0" w:color="auto"/>
      </w:divBdr>
    </w:div>
    <w:div w:id="1368142857">
      <w:bodyDiv w:val="1"/>
      <w:marLeft w:val="0"/>
      <w:marRight w:val="0"/>
      <w:marTop w:val="0"/>
      <w:marBottom w:val="0"/>
      <w:divBdr>
        <w:top w:val="none" w:sz="0" w:space="0" w:color="auto"/>
        <w:left w:val="none" w:sz="0" w:space="0" w:color="auto"/>
        <w:bottom w:val="none" w:sz="0" w:space="0" w:color="auto"/>
        <w:right w:val="none" w:sz="0" w:space="0" w:color="auto"/>
      </w:divBdr>
    </w:div>
    <w:div w:id="1408189490">
      <w:bodyDiv w:val="1"/>
      <w:marLeft w:val="0"/>
      <w:marRight w:val="0"/>
      <w:marTop w:val="0"/>
      <w:marBottom w:val="0"/>
      <w:divBdr>
        <w:top w:val="none" w:sz="0" w:space="0" w:color="auto"/>
        <w:left w:val="none" w:sz="0" w:space="0" w:color="auto"/>
        <w:bottom w:val="none" w:sz="0" w:space="0" w:color="auto"/>
        <w:right w:val="none" w:sz="0" w:space="0" w:color="auto"/>
      </w:divBdr>
    </w:div>
    <w:div w:id="1424522960">
      <w:bodyDiv w:val="1"/>
      <w:marLeft w:val="0"/>
      <w:marRight w:val="0"/>
      <w:marTop w:val="0"/>
      <w:marBottom w:val="0"/>
      <w:divBdr>
        <w:top w:val="none" w:sz="0" w:space="0" w:color="auto"/>
        <w:left w:val="none" w:sz="0" w:space="0" w:color="auto"/>
        <w:bottom w:val="none" w:sz="0" w:space="0" w:color="auto"/>
        <w:right w:val="none" w:sz="0" w:space="0" w:color="auto"/>
      </w:divBdr>
    </w:div>
    <w:div w:id="1482430616">
      <w:bodyDiv w:val="1"/>
      <w:marLeft w:val="0"/>
      <w:marRight w:val="0"/>
      <w:marTop w:val="0"/>
      <w:marBottom w:val="0"/>
      <w:divBdr>
        <w:top w:val="none" w:sz="0" w:space="0" w:color="auto"/>
        <w:left w:val="none" w:sz="0" w:space="0" w:color="auto"/>
        <w:bottom w:val="none" w:sz="0" w:space="0" w:color="auto"/>
        <w:right w:val="none" w:sz="0" w:space="0" w:color="auto"/>
      </w:divBdr>
    </w:div>
    <w:div w:id="1519393749">
      <w:bodyDiv w:val="1"/>
      <w:marLeft w:val="0"/>
      <w:marRight w:val="0"/>
      <w:marTop w:val="0"/>
      <w:marBottom w:val="0"/>
      <w:divBdr>
        <w:top w:val="none" w:sz="0" w:space="0" w:color="auto"/>
        <w:left w:val="none" w:sz="0" w:space="0" w:color="auto"/>
        <w:bottom w:val="none" w:sz="0" w:space="0" w:color="auto"/>
        <w:right w:val="none" w:sz="0" w:space="0" w:color="auto"/>
      </w:divBdr>
    </w:div>
    <w:div w:id="1538397975">
      <w:bodyDiv w:val="1"/>
      <w:marLeft w:val="0"/>
      <w:marRight w:val="0"/>
      <w:marTop w:val="0"/>
      <w:marBottom w:val="0"/>
      <w:divBdr>
        <w:top w:val="none" w:sz="0" w:space="0" w:color="auto"/>
        <w:left w:val="none" w:sz="0" w:space="0" w:color="auto"/>
        <w:bottom w:val="none" w:sz="0" w:space="0" w:color="auto"/>
        <w:right w:val="none" w:sz="0" w:space="0" w:color="auto"/>
      </w:divBdr>
    </w:div>
    <w:div w:id="1612400068">
      <w:bodyDiv w:val="1"/>
      <w:marLeft w:val="0"/>
      <w:marRight w:val="0"/>
      <w:marTop w:val="0"/>
      <w:marBottom w:val="0"/>
      <w:divBdr>
        <w:top w:val="none" w:sz="0" w:space="0" w:color="auto"/>
        <w:left w:val="none" w:sz="0" w:space="0" w:color="auto"/>
        <w:bottom w:val="none" w:sz="0" w:space="0" w:color="auto"/>
        <w:right w:val="none" w:sz="0" w:space="0" w:color="auto"/>
      </w:divBdr>
    </w:div>
    <w:div w:id="1688214350">
      <w:bodyDiv w:val="1"/>
      <w:marLeft w:val="0"/>
      <w:marRight w:val="0"/>
      <w:marTop w:val="0"/>
      <w:marBottom w:val="0"/>
      <w:divBdr>
        <w:top w:val="none" w:sz="0" w:space="0" w:color="auto"/>
        <w:left w:val="none" w:sz="0" w:space="0" w:color="auto"/>
        <w:bottom w:val="none" w:sz="0" w:space="0" w:color="auto"/>
        <w:right w:val="none" w:sz="0" w:space="0" w:color="auto"/>
      </w:divBdr>
    </w:div>
    <w:div w:id="1785731714">
      <w:bodyDiv w:val="1"/>
      <w:marLeft w:val="0"/>
      <w:marRight w:val="0"/>
      <w:marTop w:val="0"/>
      <w:marBottom w:val="0"/>
      <w:divBdr>
        <w:top w:val="none" w:sz="0" w:space="0" w:color="auto"/>
        <w:left w:val="none" w:sz="0" w:space="0" w:color="auto"/>
        <w:bottom w:val="none" w:sz="0" w:space="0" w:color="auto"/>
        <w:right w:val="none" w:sz="0" w:space="0" w:color="auto"/>
      </w:divBdr>
    </w:div>
    <w:div w:id="1975990031">
      <w:bodyDiv w:val="1"/>
      <w:marLeft w:val="0"/>
      <w:marRight w:val="0"/>
      <w:marTop w:val="0"/>
      <w:marBottom w:val="0"/>
      <w:divBdr>
        <w:top w:val="none" w:sz="0" w:space="0" w:color="auto"/>
        <w:left w:val="none" w:sz="0" w:space="0" w:color="auto"/>
        <w:bottom w:val="none" w:sz="0" w:space="0" w:color="auto"/>
        <w:right w:val="none" w:sz="0" w:space="0" w:color="auto"/>
      </w:divBdr>
    </w:div>
    <w:div w:id="2068844824">
      <w:bodyDiv w:val="1"/>
      <w:marLeft w:val="0"/>
      <w:marRight w:val="0"/>
      <w:marTop w:val="0"/>
      <w:marBottom w:val="0"/>
      <w:divBdr>
        <w:top w:val="none" w:sz="0" w:space="0" w:color="auto"/>
        <w:left w:val="none" w:sz="0" w:space="0" w:color="auto"/>
        <w:bottom w:val="none" w:sz="0" w:space="0" w:color="auto"/>
        <w:right w:val="none" w:sz="0" w:space="0" w:color="auto"/>
      </w:divBdr>
    </w:div>
    <w:div w:id="21197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vironment/chemicals/international_conventions/index_en.htm" TargetMode="External"/><Relationship Id="rId1" Type="http://schemas.openxmlformats.org/officeDocument/2006/relationships/hyperlink" Target="https://ec.europa.eu/info/sites/info/files/summary-report-public-consultation-chemical-product-waste-legils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68BAF34-3EB9-4463-B2DA-306E7EEB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4640</Words>
  <Characters>25153</Characters>
  <Application>Microsoft Office Word</Application>
  <DocSecurity>0</DocSecurity>
  <Lines>535</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2020-10-05T13:02:00Z</cp:lastPrinted>
  <dcterms:created xsi:type="dcterms:W3CDTF">2021-10-20T15:10:00Z</dcterms:created>
  <dcterms:modified xsi:type="dcterms:W3CDTF">2021-10-25T09:25:00Z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0x010100258AA79CEB83498886A3A0868112325000647D67F3DF51AE4595F0FFD69947612D</vt:lpwstr>
  </property>
  <property fmtid="{D5CDD505-2E9C-101B-9397-08002B2CF9AE}" pid="10" name="Last edited using">
    <vt:lpwstr>LW 7.0.1, Build 20200226</vt:lpwstr>
  </property>
  <property fmtid="{D5CDD505-2E9C-101B-9397-08002B2CF9AE}" pid="11" name="DQCStatus">
    <vt:lpwstr>Yellow (DQC version 03)</vt:lpwstr>
  </property>
</Properties>
</file>