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F12A" w14:textId="33DC5C19" w:rsidR="007D09E1" w:rsidRPr="003F2F07" w:rsidRDefault="009E3B6E" w:rsidP="009E3B6E">
      <w:pPr>
        <w:pStyle w:val="Pagedecouverture"/>
        <w:rPr>
          <w:noProof/>
        </w:rPr>
      </w:pPr>
      <w:r>
        <w:rPr>
          <w:noProof/>
        </w:rPr>
        <w:pict w14:anchorId="6A008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C7D23F9-CFA9-4943-BA6A-FC5CF4D869AE" style="width:455.25pt;height:426pt">
            <v:imagedata r:id="rId8" o:title=""/>
          </v:shape>
        </w:pict>
      </w:r>
    </w:p>
    <w:p w14:paraId="4D2A4649" w14:textId="77777777" w:rsidR="002E68D8" w:rsidRPr="003F2F07" w:rsidRDefault="002E68D8" w:rsidP="002E68D8">
      <w:pPr>
        <w:pStyle w:val="Pagedecouverture"/>
        <w:rPr>
          <w:noProof/>
        </w:rPr>
        <w:sectPr w:rsidR="002E68D8" w:rsidRPr="003F2F07" w:rsidSect="009E3B6E">
          <w:footerReference w:type="default" r:id="rId9"/>
          <w:pgSz w:w="11907" w:h="16839"/>
          <w:pgMar w:top="1134" w:right="1417" w:bottom="1134" w:left="1417" w:header="709" w:footer="709" w:gutter="0"/>
          <w:pgNumType w:start="0"/>
          <w:cols w:space="720"/>
          <w:docGrid w:linePitch="360"/>
        </w:sectPr>
      </w:pPr>
    </w:p>
    <w:p w14:paraId="427ECDF8" w14:textId="524D4141" w:rsidR="007D09E1" w:rsidRPr="003F2F07" w:rsidRDefault="007D09E1" w:rsidP="0066757E">
      <w:pPr>
        <w:pStyle w:val="Exposdesmotifstitre"/>
        <w:rPr>
          <w:noProof/>
        </w:rPr>
      </w:pPr>
      <w:bookmarkStart w:id="0" w:name="_GoBack"/>
      <w:bookmarkEnd w:id="0"/>
      <w:r w:rsidRPr="003F2F07">
        <w:rPr>
          <w:noProof/>
        </w:rPr>
        <w:lastRenderedPageBreak/>
        <w:t>RELAZIONE</w:t>
      </w:r>
    </w:p>
    <w:p w14:paraId="15B08AB9" w14:textId="77777777" w:rsidR="007D09E1" w:rsidRPr="003F2F07" w:rsidRDefault="007D09E1" w:rsidP="00194FA1">
      <w:pPr>
        <w:pStyle w:val="ManualHeading1"/>
        <w:rPr>
          <w:noProof/>
        </w:rPr>
      </w:pPr>
      <w:r w:rsidRPr="00993F0C">
        <w:rPr>
          <w:noProof/>
        </w:rPr>
        <w:t>1</w:t>
      </w:r>
      <w:r w:rsidRPr="003F2F07">
        <w:rPr>
          <w:noProof/>
        </w:rPr>
        <w:t>.</w:t>
      </w:r>
      <w:r w:rsidRPr="003F2F07">
        <w:rPr>
          <w:noProof/>
        </w:rPr>
        <w:tab/>
        <w:t>CONTESTO DELLA PROPOSTA</w:t>
      </w:r>
    </w:p>
    <w:p w14:paraId="30C696B4" w14:textId="77777777" w:rsidR="007D09E1" w:rsidRPr="003F2F07" w:rsidRDefault="007D09E1" w:rsidP="00194FA1">
      <w:pPr>
        <w:pStyle w:val="ManualHeading2"/>
        <w:rPr>
          <w:rFonts w:eastAsia="Arial Unicode MS"/>
          <w:noProof/>
        </w:rPr>
      </w:pPr>
      <w:r w:rsidRPr="003F2F07">
        <w:rPr>
          <w:noProof/>
          <w:color w:val="000000"/>
          <w:u w:color="000000"/>
          <w:bdr w:val="nil"/>
        </w:rPr>
        <w:t>•</w:t>
      </w:r>
      <w:r w:rsidRPr="003F2F07">
        <w:rPr>
          <w:noProof/>
        </w:rPr>
        <w:tab/>
        <w:t>Motivi e obiettivi della proposta</w:t>
      </w:r>
    </w:p>
    <w:p w14:paraId="4D903368" w14:textId="035021BE" w:rsidR="00FF1898" w:rsidRPr="003F2F07" w:rsidRDefault="00FF1898" w:rsidP="00FF1898">
      <w:pPr>
        <w:rPr>
          <w:noProof/>
        </w:rPr>
      </w:pPr>
      <w:r w:rsidRPr="003F2F07">
        <w:rPr>
          <w:noProof/>
        </w:rPr>
        <w:t xml:space="preserve">Il regolamento (CE) </w:t>
      </w:r>
      <w:r w:rsidRPr="00993F0C">
        <w:rPr>
          <w:noProof/>
        </w:rPr>
        <w:t>2019</w:t>
      </w:r>
      <w:r w:rsidRPr="003F2F07">
        <w:rPr>
          <w:noProof/>
        </w:rPr>
        <w:t>/</w:t>
      </w:r>
      <w:r w:rsidRPr="00993F0C">
        <w:rPr>
          <w:noProof/>
        </w:rPr>
        <w:t>1021</w:t>
      </w:r>
      <w:r w:rsidRPr="003F2F07">
        <w:rPr>
          <w:noProof/>
        </w:rPr>
        <w:t xml:space="preserve"> del Parlamento europeo e del Consiglio</w:t>
      </w:r>
      <w:r w:rsidRPr="003F2F07">
        <w:rPr>
          <w:rStyle w:val="FootnoteReference"/>
          <w:noProof/>
        </w:rPr>
        <w:footnoteReference w:id="2"/>
      </w:r>
      <w:r w:rsidRPr="003F2F07">
        <w:rPr>
          <w:noProof/>
        </w:rPr>
        <w:t xml:space="preserve"> relativo agli inquinanti organici persistenti (in appresso </w:t>
      </w:r>
      <w:r w:rsidR="00207FB3">
        <w:rPr>
          <w:noProof/>
        </w:rPr>
        <w:t>"</w:t>
      </w:r>
      <w:r w:rsidRPr="003F2F07">
        <w:rPr>
          <w:noProof/>
        </w:rPr>
        <w:t>regolamento POP</w:t>
      </w:r>
      <w:r w:rsidR="00207FB3">
        <w:rPr>
          <w:noProof/>
        </w:rPr>
        <w:t>"</w:t>
      </w:r>
      <w:r w:rsidRPr="003F2F07">
        <w:rPr>
          <w:noProof/>
        </w:rPr>
        <w:t>) recepisce nel diritto dell</w:t>
      </w:r>
      <w:r w:rsidR="00207FB3">
        <w:rPr>
          <w:noProof/>
        </w:rPr>
        <w:t>'</w:t>
      </w:r>
      <w:r w:rsidRPr="003F2F07">
        <w:rPr>
          <w:noProof/>
        </w:rPr>
        <w:t xml:space="preserve">Unione gli impegni definiti dalla convenzione di Stoccolma sugli inquinanti organici persistenti (di seguito, </w:t>
      </w:r>
      <w:r w:rsidR="00207FB3">
        <w:rPr>
          <w:noProof/>
        </w:rPr>
        <w:t>"</w:t>
      </w:r>
      <w:r w:rsidRPr="003F2F07">
        <w:rPr>
          <w:noProof/>
        </w:rPr>
        <w:t>la convenzione di Stoccolma</w:t>
      </w:r>
      <w:r w:rsidR="00207FB3">
        <w:rPr>
          <w:noProof/>
        </w:rPr>
        <w:t>"</w:t>
      </w:r>
      <w:r w:rsidRPr="003F2F07">
        <w:rPr>
          <w:noProof/>
        </w:rPr>
        <w:t xml:space="preserve">), approvata con decisione </w:t>
      </w:r>
      <w:r w:rsidRPr="00993F0C">
        <w:rPr>
          <w:noProof/>
        </w:rPr>
        <w:t>2006</w:t>
      </w:r>
      <w:r w:rsidRPr="003F2F07">
        <w:rPr>
          <w:noProof/>
        </w:rPr>
        <w:t>/</w:t>
      </w:r>
      <w:r w:rsidRPr="00993F0C">
        <w:rPr>
          <w:noProof/>
        </w:rPr>
        <w:t>507</w:t>
      </w:r>
      <w:r w:rsidRPr="003F2F07">
        <w:rPr>
          <w:noProof/>
        </w:rPr>
        <w:t>/CE del Consiglio</w:t>
      </w:r>
      <w:r w:rsidRPr="003F2F07">
        <w:rPr>
          <w:rStyle w:val="FootnoteReference"/>
          <w:noProof/>
        </w:rPr>
        <w:footnoteReference w:id="3"/>
      </w:r>
      <w:r w:rsidRPr="003F2F07">
        <w:rPr>
          <w:noProof/>
        </w:rPr>
        <w:t xml:space="preserve">, e nel protocollo alla convenzione del </w:t>
      </w:r>
      <w:r w:rsidRPr="00993F0C">
        <w:rPr>
          <w:noProof/>
        </w:rPr>
        <w:t>1979</w:t>
      </w:r>
      <w:r w:rsidRPr="003F2F07">
        <w:rPr>
          <w:noProof/>
        </w:rPr>
        <w:t xml:space="preserve"> sull</w:t>
      </w:r>
      <w:r w:rsidR="00207FB3">
        <w:rPr>
          <w:noProof/>
        </w:rPr>
        <w:t>'</w:t>
      </w:r>
      <w:r w:rsidRPr="003F2F07">
        <w:rPr>
          <w:noProof/>
        </w:rPr>
        <w:t xml:space="preserve">inquinamento atmosferico transfrontaliero a grande distanza riguardante gli inquinanti organici persistenti (di seguito, </w:t>
      </w:r>
      <w:r w:rsidR="00207FB3">
        <w:rPr>
          <w:noProof/>
        </w:rPr>
        <w:t>"il </w:t>
      </w:r>
      <w:r w:rsidRPr="003F2F07">
        <w:rPr>
          <w:noProof/>
        </w:rPr>
        <w:t>protocollo POP</w:t>
      </w:r>
      <w:r w:rsidR="00207FB3">
        <w:rPr>
          <w:noProof/>
        </w:rPr>
        <w:t>"</w:t>
      </w:r>
      <w:r w:rsidRPr="003F2F07">
        <w:rPr>
          <w:noProof/>
        </w:rPr>
        <w:t xml:space="preserve">), approvato con decisione </w:t>
      </w:r>
      <w:r w:rsidRPr="00993F0C">
        <w:rPr>
          <w:noProof/>
        </w:rPr>
        <w:t>2004</w:t>
      </w:r>
      <w:r w:rsidRPr="003F2F07">
        <w:rPr>
          <w:noProof/>
        </w:rPr>
        <w:t>/</w:t>
      </w:r>
      <w:r w:rsidRPr="00993F0C">
        <w:rPr>
          <w:noProof/>
        </w:rPr>
        <w:t>259</w:t>
      </w:r>
      <w:r w:rsidRPr="003F2F07">
        <w:rPr>
          <w:noProof/>
        </w:rPr>
        <w:t>/CE del Consiglio</w:t>
      </w:r>
      <w:r w:rsidRPr="003F2F07">
        <w:rPr>
          <w:rStyle w:val="FootnoteReference"/>
          <w:noProof/>
        </w:rPr>
        <w:footnoteReference w:id="4"/>
      </w:r>
      <w:r w:rsidRPr="003F2F07">
        <w:rPr>
          <w:noProof/>
        </w:rPr>
        <w:t>.</w:t>
      </w:r>
    </w:p>
    <w:p w14:paraId="30110994" w14:textId="27F24A18" w:rsidR="00C81D51" w:rsidRPr="003F2F07" w:rsidRDefault="00C81D51" w:rsidP="00FF1898">
      <w:pPr>
        <w:rPr>
          <w:noProof/>
        </w:rPr>
      </w:pPr>
      <w:r w:rsidRPr="003F2F07">
        <w:rPr>
          <w:noProof/>
        </w:rPr>
        <w:t>L</w:t>
      </w:r>
      <w:r w:rsidR="00207FB3">
        <w:rPr>
          <w:noProof/>
        </w:rPr>
        <w:t>'</w:t>
      </w:r>
      <w:r w:rsidRPr="003F2F07">
        <w:rPr>
          <w:noProof/>
        </w:rPr>
        <w:t xml:space="preserve">obiettivo principale della proposta è attuare, per le sostanze che rientrano nel suo ambito di applicazione, gli </w:t>
      </w:r>
      <w:r w:rsidRPr="003F2F07">
        <w:rPr>
          <w:b/>
          <w:noProof/>
          <w:szCs w:val="24"/>
        </w:rPr>
        <w:t>obblighi internazionali dell</w:t>
      </w:r>
      <w:r w:rsidR="00207FB3">
        <w:rPr>
          <w:b/>
          <w:noProof/>
          <w:szCs w:val="24"/>
        </w:rPr>
        <w:t>'</w:t>
      </w:r>
      <w:r w:rsidRPr="003F2F07">
        <w:rPr>
          <w:b/>
          <w:noProof/>
          <w:szCs w:val="24"/>
        </w:rPr>
        <w:t>UE ai sensi della convenzione di Stoccolma</w:t>
      </w:r>
      <w:r w:rsidRPr="003F2F07">
        <w:rPr>
          <w:noProof/>
        </w:rPr>
        <w:t xml:space="preserve"> e, più specificamente, quelli derivanti dal regolamento sugli inqu</w:t>
      </w:r>
      <w:r w:rsidR="00207FB3">
        <w:rPr>
          <w:noProof/>
        </w:rPr>
        <w:t>inanti organici persistenti (in </w:t>
      </w:r>
      <w:r w:rsidRPr="003F2F07">
        <w:rPr>
          <w:noProof/>
        </w:rPr>
        <w:t xml:space="preserve">appresso POP - </w:t>
      </w:r>
      <w:r w:rsidRPr="003F2F07">
        <w:rPr>
          <w:i/>
          <w:iCs/>
          <w:noProof/>
        </w:rPr>
        <w:t>persistent organic pollutant</w:t>
      </w:r>
      <w:r w:rsidRPr="003F2F07">
        <w:rPr>
          <w:noProof/>
        </w:rPr>
        <w:t>). Pertanto, l</w:t>
      </w:r>
      <w:r w:rsidR="00207FB3">
        <w:rPr>
          <w:noProof/>
        </w:rPr>
        <w:t>'</w:t>
      </w:r>
      <w:r w:rsidRPr="003F2F07">
        <w:rPr>
          <w:noProof/>
        </w:rPr>
        <w:t xml:space="preserve">obiettivo principale della proposta è </w:t>
      </w:r>
      <w:r w:rsidRPr="003F2F07">
        <w:rPr>
          <w:b/>
          <w:noProof/>
          <w:szCs w:val="24"/>
        </w:rPr>
        <w:t>proteggere la salute umana e l</w:t>
      </w:r>
      <w:r w:rsidR="00207FB3">
        <w:rPr>
          <w:b/>
          <w:noProof/>
          <w:szCs w:val="24"/>
        </w:rPr>
        <w:t>'</w:t>
      </w:r>
      <w:r w:rsidRPr="003F2F07">
        <w:rPr>
          <w:b/>
          <w:noProof/>
          <w:szCs w:val="24"/>
        </w:rPr>
        <w:t>ambiente</w:t>
      </w:r>
      <w:r w:rsidRPr="003F2F07">
        <w:rPr>
          <w:noProof/>
        </w:rPr>
        <w:t xml:space="preserve"> dagli effetti negativi causati dai POP ed eliminare o ridurre al minimo le emissioni di POP derivanti dai rifiuti. Tenuto conto di quanto precede, la presente iniziativa mira, nell</w:t>
      </w:r>
      <w:r w:rsidR="00207FB3">
        <w:rPr>
          <w:noProof/>
        </w:rPr>
        <w:t>'</w:t>
      </w:r>
      <w:r w:rsidRPr="003F2F07">
        <w:rPr>
          <w:noProof/>
        </w:rPr>
        <w:t xml:space="preserve">ambito dei suoi obiettivi generali, anche a garantire, nella misura del possibile, </w:t>
      </w:r>
      <w:r w:rsidRPr="003F2F07">
        <w:rPr>
          <w:b/>
          <w:noProof/>
          <w:szCs w:val="24"/>
        </w:rPr>
        <w:t>un equilibrio ottimale con le ambizioni del Green Deal europeo</w:t>
      </w:r>
      <w:r w:rsidRPr="003F2F07">
        <w:rPr>
          <w:noProof/>
        </w:rPr>
        <w:t xml:space="preserve"> al fine di conseguire </w:t>
      </w:r>
      <w:r w:rsidRPr="003F2F07">
        <w:rPr>
          <w:b/>
          <w:noProof/>
          <w:szCs w:val="24"/>
        </w:rPr>
        <w:t>cicli di materiali privi di sostanze tossiche</w:t>
      </w:r>
      <w:r w:rsidRPr="003F2F07">
        <w:rPr>
          <w:noProof/>
        </w:rPr>
        <w:t xml:space="preserve">, aumentare </w:t>
      </w:r>
      <w:r w:rsidRPr="003F2F07">
        <w:rPr>
          <w:b/>
          <w:noProof/>
          <w:szCs w:val="24"/>
        </w:rPr>
        <w:t>il riciclaggio e la circolarità</w:t>
      </w:r>
      <w:r w:rsidRPr="003F2F07">
        <w:rPr>
          <w:noProof/>
        </w:rPr>
        <w:t xml:space="preserve"> e </w:t>
      </w:r>
      <w:r w:rsidRPr="003F2F07">
        <w:rPr>
          <w:b/>
          <w:noProof/>
          <w:szCs w:val="24"/>
        </w:rPr>
        <w:t>ridurre le emissioni di gas a effetto serra</w:t>
      </w:r>
      <w:r w:rsidRPr="003F2F07">
        <w:rPr>
          <w:noProof/>
        </w:rPr>
        <w:t>.</w:t>
      </w:r>
    </w:p>
    <w:p w14:paraId="18A942B8" w14:textId="7D8B499F" w:rsidR="0087601A" w:rsidRPr="003F2F07" w:rsidRDefault="0087601A" w:rsidP="0087601A">
      <w:pPr>
        <w:rPr>
          <w:noProof/>
          <w:szCs w:val="24"/>
        </w:rPr>
      </w:pPr>
      <w:r w:rsidRPr="003F2F07">
        <w:rPr>
          <w:noProof/>
        </w:rPr>
        <w:t xml:space="preserve">I problemi causati dai POP sono legati alle loro </w:t>
      </w:r>
      <w:r w:rsidRPr="003F2F07">
        <w:rPr>
          <w:b/>
          <w:noProof/>
          <w:szCs w:val="24"/>
        </w:rPr>
        <w:t>proprietà fisiche e chimiche intrinseche</w:t>
      </w:r>
      <w:r w:rsidRPr="003F2F07">
        <w:rPr>
          <w:noProof/>
        </w:rPr>
        <w:t>, al modo e al luogo in cui vengono utilizzati e agli effetti negativi che il loro progressivo rilascio ha sulla salute degli esseri umani, sugli ecosistemi e sui servizi da essi forniti. È noto ormai che tutti i POP, in un modo o nell</w:t>
      </w:r>
      <w:r w:rsidR="00207FB3">
        <w:rPr>
          <w:noProof/>
        </w:rPr>
        <w:t>'</w:t>
      </w:r>
      <w:r w:rsidRPr="003F2F07">
        <w:rPr>
          <w:noProof/>
        </w:rPr>
        <w:t>altro, producono effetti nocivi, generalmente a lungo termine, sugli organismi viventi. Questi inquinanti persistono per molto tempo nell</w:t>
      </w:r>
      <w:r w:rsidR="00207FB3">
        <w:rPr>
          <w:noProof/>
        </w:rPr>
        <w:t>'</w:t>
      </w:r>
      <w:r w:rsidRPr="003F2F07">
        <w:rPr>
          <w:noProof/>
        </w:rPr>
        <w:t xml:space="preserve">ambiente e nel nostro organismo e possono essere trasportati senza subire modifiche praticamente in qualsiasi punto remoto del globo, molto lontano dal luogo in cui sono stati prodotti o utilizzati. </w:t>
      </w:r>
    </w:p>
    <w:p w14:paraId="3071390D" w14:textId="0373C50A" w:rsidR="00F16D4E" w:rsidRPr="003F2F07" w:rsidRDefault="00F16D4E" w:rsidP="00F16D4E">
      <w:pPr>
        <w:rPr>
          <w:noProof/>
          <w:szCs w:val="24"/>
        </w:rPr>
      </w:pPr>
      <w:r w:rsidRPr="003F2F07">
        <w:rPr>
          <w:noProof/>
        </w:rPr>
        <w:t>Più concretamente, l</w:t>
      </w:r>
      <w:r w:rsidR="00207FB3">
        <w:rPr>
          <w:noProof/>
        </w:rPr>
        <w:t>'</w:t>
      </w:r>
      <w:r w:rsidRPr="003F2F07">
        <w:rPr>
          <w:noProof/>
        </w:rPr>
        <w:t xml:space="preserve">obiettivo della presente iniziativa è </w:t>
      </w:r>
      <w:r w:rsidRPr="003F2F07">
        <w:rPr>
          <w:b/>
          <w:noProof/>
          <w:szCs w:val="24"/>
        </w:rPr>
        <w:t>aggiornare, per determinate sostanze e gruppi di sostanze, i limiti di concentrazione di cui agli allegati IV e V del regolamento POP</w:t>
      </w:r>
      <w:r w:rsidRPr="003F2F07">
        <w:rPr>
          <w:noProof/>
        </w:rPr>
        <w:t>, che stabiliscono le modalità di trattamento dei rifiuti contenenti POP, per decidere in particolare se possono essere riciclati o se devono piuttosto essere distrutti o trasformati irreversibilmente. Il presente aggiornamento allinea gli allegati IV e V del regolamento alla convenzione di Stoccolma e all</w:t>
      </w:r>
      <w:r w:rsidR="00207FB3">
        <w:rPr>
          <w:noProof/>
        </w:rPr>
        <w:t>'</w:t>
      </w:r>
      <w:r w:rsidRPr="003F2F07">
        <w:rPr>
          <w:noProof/>
        </w:rPr>
        <w:t>allegato I del regolamento POP, adeguando le sostanze ivi elencate e introducendo valori limite di concentrazione per le stesse. Adegua inoltre, al progresso scientifico e tecnico, i valori limite pe</w:t>
      </w:r>
      <w:r w:rsidR="003F2F07">
        <w:rPr>
          <w:noProof/>
        </w:rPr>
        <w:t>r alcune sostanze già elencate.</w:t>
      </w:r>
      <w:r w:rsidRPr="003F2F07">
        <w:rPr>
          <w:noProof/>
        </w:rPr>
        <w:t xml:space="preserve"> </w:t>
      </w:r>
    </w:p>
    <w:p w14:paraId="02A68802" w14:textId="5F74A093" w:rsidR="00F16D4E" w:rsidRPr="003F2F07" w:rsidRDefault="00F16D4E" w:rsidP="00F16D4E">
      <w:pPr>
        <w:rPr>
          <w:noProof/>
          <w:szCs w:val="24"/>
        </w:rPr>
      </w:pPr>
      <w:r w:rsidRPr="003F2F07">
        <w:rPr>
          <w:noProof/>
        </w:rPr>
        <w:t xml:space="preserve">La gestione dei rifiuti contenenti POP, compreso il loro riciclaggio ove possibile, dovrebbe avvenire </w:t>
      </w:r>
      <w:r w:rsidRPr="003F2F07">
        <w:rPr>
          <w:b/>
          <w:noProof/>
          <w:szCs w:val="24"/>
        </w:rPr>
        <w:t>in modo ecologicamente corretto</w:t>
      </w:r>
      <w:r w:rsidRPr="003F2F07">
        <w:rPr>
          <w:noProof/>
        </w:rPr>
        <w:t>, con un impatto minimo sulla salute umana e sull</w:t>
      </w:r>
      <w:r w:rsidR="00207FB3">
        <w:rPr>
          <w:noProof/>
        </w:rPr>
        <w:t>'</w:t>
      </w:r>
      <w:r w:rsidRPr="003F2F07">
        <w:rPr>
          <w:noProof/>
        </w:rPr>
        <w:t xml:space="preserve">ambiente. I materiali secondari risultanti dovrebbero </w:t>
      </w:r>
      <w:r w:rsidRPr="003F2F07">
        <w:rPr>
          <w:b/>
          <w:noProof/>
          <w:szCs w:val="24"/>
        </w:rPr>
        <w:t>sempre essere utilizzabili in condizioni di sicurezza</w:t>
      </w:r>
      <w:r w:rsidRPr="003F2F07">
        <w:rPr>
          <w:noProof/>
        </w:rPr>
        <w:t xml:space="preserve"> e adatti allo scopo oltre che, nella misura del possibile, </w:t>
      </w:r>
      <w:r w:rsidRPr="003F2F07">
        <w:rPr>
          <w:b/>
          <w:noProof/>
          <w:szCs w:val="24"/>
        </w:rPr>
        <w:t>privi di sostanze tossiche</w:t>
      </w:r>
      <w:r w:rsidRPr="003F2F07">
        <w:rPr>
          <w:noProof/>
        </w:rPr>
        <w:t>. La gestione dovrebbe inoltre ridurre al minimo la quantità di sostanze tossiche rilasciate nell</w:t>
      </w:r>
      <w:r w:rsidR="00207FB3">
        <w:rPr>
          <w:noProof/>
        </w:rPr>
        <w:t>'</w:t>
      </w:r>
      <w:r w:rsidRPr="003F2F07">
        <w:rPr>
          <w:noProof/>
        </w:rPr>
        <w:t>ambiente, contribuendo in tal modo all</w:t>
      </w:r>
      <w:r w:rsidR="00207FB3">
        <w:rPr>
          <w:noProof/>
        </w:rPr>
        <w:t>'</w:t>
      </w:r>
      <w:r w:rsidRPr="003F2F07">
        <w:rPr>
          <w:noProof/>
        </w:rPr>
        <w:t>obiettivo di azzerare l</w:t>
      </w:r>
      <w:r w:rsidR="00207FB3">
        <w:rPr>
          <w:noProof/>
        </w:rPr>
        <w:t>'</w:t>
      </w:r>
      <w:r w:rsidRPr="003F2F07">
        <w:rPr>
          <w:noProof/>
        </w:rPr>
        <w:t>inquinamento grazie alla riduzione dell</w:t>
      </w:r>
      <w:r w:rsidR="00207FB3">
        <w:rPr>
          <w:noProof/>
        </w:rPr>
        <w:t>'</w:t>
      </w:r>
      <w:r w:rsidRPr="003F2F07">
        <w:rPr>
          <w:noProof/>
        </w:rPr>
        <w:t>impatto sull</w:t>
      </w:r>
      <w:r w:rsidR="00207FB3">
        <w:rPr>
          <w:noProof/>
        </w:rPr>
        <w:t>'</w:t>
      </w:r>
      <w:r w:rsidRPr="003F2F07">
        <w:rPr>
          <w:noProof/>
        </w:rPr>
        <w:t xml:space="preserve">ambiente e la salute di queste sostanze. A tal fine devono essere disponibili </w:t>
      </w:r>
      <w:r w:rsidRPr="003F2F07">
        <w:rPr>
          <w:b/>
          <w:noProof/>
          <w:szCs w:val="24"/>
        </w:rPr>
        <w:t>tecnologie</w:t>
      </w:r>
      <w:r w:rsidRPr="003F2F07">
        <w:rPr>
          <w:noProof/>
        </w:rPr>
        <w:t xml:space="preserve"> adeguate e all</w:t>
      </w:r>
      <w:r w:rsidR="00207FB3">
        <w:rPr>
          <w:noProof/>
        </w:rPr>
        <w:t>'</w:t>
      </w:r>
      <w:r w:rsidRPr="003F2F07">
        <w:rPr>
          <w:noProof/>
        </w:rPr>
        <w:t>avanguardia</w:t>
      </w:r>
      <w:r w:rsidRPr="003F2F07">
        <w:rPr>
          <w:b/>
          <w:noProof/>
          <w:szCs w:val="24"/>
        </w:rPr>
        <w:t xml:space="preserve"> per la cernita e la decontaminazione</w:t>
      </w:r>
      <w:r w:rsidRPr="003F2F07">
        <w:rPr>
          <w:noProof/>
        </w:rPr>
        <w:t xml:space="preserve">. </w:t>
      </w:r>
    </w:p>
    <w:p w14:paraId="49BC77DD" w14:textId="77777777" w:rsidR="00F16D4E" w:rsidRPr="003F2F07" w:rsidRDefault="00F16D4E" w:rsidP="00F16D4E">
      <w:pPr>
        <w:rPr>
          <w:noProof/>
          <w:szCs w:val="24"/>
        </w:rPr>
      </w:pPr>
      <w:r w:rsidRPr="003F2F07">
        <w:rPr>
          <w:noProof/>
        </w:rPr>
        <w:t xml:space="preserve"> </w:t>
      </w:r>
    </w:p>
    <w:p w14:paraId="5E4F2989" w14:textId="77777777" w:rsidR="007D09E1" w:rsidRPr="003F2F07" w:rsidRDefault="007D09E1" w:rsidP="00194FA1">
      <w:pPr>
        <w:pStyle w:val="ManualHeading2"/>
        <w:rPr>
          <w:rFonts w:eastAsia="Arial Unicode MS"/>
          <w:noProof/>
          <w:color w:val="000000"/>
          <w:u w:color="000000"/>
          <w:bdr w:val="nil"/>
        </w:rPr>
      </w:pPr>
      <w:r w:rsidRPr="003F2F07">
        <w:rPr>
          <w:noProof/>
          <w:color w:val="000000"/>
          <w:u w:color="000000"/>
          <w:bdr w:val="nil"/>
        </w:rPr>
        <w:t>•</w:t>
      </w:r>
      <w:r w:rsidRPr="003F2F07">
        <w:rPr>
          <w:noProof/>
        </w:rPr>
        <w:tab/>
        <w:t>Coerenza con le disposizioni vigenti nel settore normativo interessato</w:t>
      </w:r>
    </w:p>
    <w:p w14:paraId="1DF94BDB" w14:textId="5B015DA6" w:rsidR="0036559B" w:rsidRPr="003F2F07" w:rsidRDefault="0036559B" w:rsidP="0036559B">
      <w:pPr>
        <w:pBdr>
          <w:top w:val="nil"/>
          <w:left w:val="nil"/>
          <w:bottom w:val="nil"/>
          <w:right w:val="nil"/>
          <w:between w:val="nil"/>
          <w:bar w:val="nil"/>
        </w:pBdr>
        <w:spacing w:before="0" w:after="240"/>
        <w:rPr>
          <w:rFonts w:eastAsia="Arial Unicode MS"/>
          <w:noProof/>
        </w:rPr>
      </w:pPr>
      <w:r w:rsidRPr="003F2F07">
        <w:rPr>
          <w:noProof/>
        </w:rPr>
        <w:t>Le attuali norme dell</w:t>
      </w:r>
      <w:r w:rsidR="00207FB3">
        <w:rPr>
          <w:noProof/>
        </w:rPr>
        <w:t>'</w:t>
      </w:r>
      <w:r w:rsidRPr="003F2F07">
        <w:rPr>
          <w:noProof/>
        </w:rPr>
        <w:t xml:space="preserve">Unione sulla gestione degli inquinanti organici persistenti sono stabilite nel regolamento POP. </w:t>
      </w:r>
      <w:r w:rsidR="00207FB3">
        <w:rPr>
          <w:noProof/>
        </w:rPr>
        <w:t>Inoltre, il regolamento (UE) n. </w:t>
      </w:r>
      <w:r w:rsidRPr="00993F0C">
        <w:rPr>
          <w:noProof/>
        </w:rPr>
        <w:t>649</w:t>
      </w:r>
      <w:r w:rsidRPr="003F2F07">
        <w:rPr>
          <w:noProof/>
        </w:rPr>
        <w:t>/</w:t>
      </w:r>
      <w:r w:rsidRPr="00993F0C">
        <w:rPr>
          <w:noProof/>
        </w:rPr>
        <w:t>2012</w:t>
      </w:r>
      <w:r w:rsidRPr="003F2F07">
        <w:rPr>
          <w:noProof/>
        </w:rPr>
        <w:t xml:space="preserve"> del Parlamento europeo e del Consiglio</w:t>
      </w:r>
      <w:r w:rsidRPr="003F2F07">
        <w:rPr>
          <w:rStyle w:val="FootnoteReference"/>
          <w:rFonts w:eastAsia="Arial Unicode MS"/>
          <w:noProof/>
        </w:rPr>
        <w:footnoteReference w:id="5"/>
      </w:r>
      <w:r w:rsidRPr="003F2F07">
        <w:rPr>
          <w:noProof/>
        </w:rPr>
        <w:t xml:space="preserve"> attua gli obblighi dell</w:t>
      </w:r>
      <w:r w:rsidR="00207FB3">
        <w:rPr>
          <w:noProof/>
        </w:rPr>
        <w:t>'</w:t>
      </w:r>
      <w:r w:rsidRPr="003F2F07">
        <w:rPr>
          <w:noProof/>
        </w:rPr>
        <w:t>Unione relativi all</w:t>
      </w:r>
      <w:r w:rsidR="00207FB3">
        <w:rPr>
          <w:noProof/>
        </w:rPr>
        <w:t>'</w:t>
      </w:r>
      <w:r w:rsidRPr="003F2F07">
        <w:rPr>
          <w:noProof/>
        </w:rPr>
        <w:t>esportazione degli inquinanti organici persistenti.</w:t>
      </w:r>
    </w:p>
    <w:p w14:paraId="7FDFD74A" w14:textId="5C69E056" w:rsidR="00545ED3" w:rsidRPr="003F2F07" w:rsidRDefault="00F424E8" w:rsidP="00545ED3">
      <w:pPr>
        <w:rPr>
          <w:rFonts w:eastAsia="Calibri"/>
          <w:noProof/>
          <w:szCs w:val="24"/>
        </w:rPr>
      </w:pPr>
      <w:r w:rsidRPr="003F2F07">
        <w:rPr>
          <w:noProof/>
        </w:rPr>
        <w:t>La proposta modifica gli allegati IV e V del regolamento POP, dà attuazione agli impegni assunti dall</w:t>
      </w:r>
      <w:r w:rsidR="00207FB3">
        <w:rPr>
          <w:noProof/>
        </w:rPr>
        <w:t>'</w:t>
      </w:r>
      <w:r w:rsidRPr="003F2F07">
        <w:rPr>
          <w:noProof/>
        </w:rPr>
        <w:t>Unione nel contesto della convenzione di Stoccolma e del protocollo POP ed è coerente con la convenzione di Basilea sui movimenti transfrontalieri e sullo smaltimento di rifiuti pericolosi e di altro tipo. La proposta prevede, per le sostanze che rientrano nel suo ambito di applicazione, l</w:t>
      </w:r>
      <w:r w:rsidR="00207FB3">
        <w:rPr>
          <w:noProof/>
        </w:rPr>
        <w:t>'</w:t>
      </w:r>
      <w:r w:rsidRPr="003F2F07">
        <w:rPr>
          <w:noProof/>
        </w:rPr>
        <w:t xml:space="preserve">obbligo delle parti della convenzione di Basilea di garantire una </w:t>
      </w:r>
      <w:r w:rsidRPr="003F2F07">
        <w:rPr>
          <w:b/>
          <w:noProof/>
          <w:szCs w:val="24"/>
        </w:rPr>
        <w:t>gestione ecologicamente corretta</w:t>
      </w:r>
      <w:r w:rsidRPr="003F2F07">
        <w:rPr>
          <w:noProof/>
        </w:rPr>
        <w:t xml:space="preserve"> dei rifiuti pericolosi e di altri rifiuti. I valori di cui all</w:t>
      </w:r>
      <w:r w:rsidR="00207FB3">
        <w:rPr>
          <w:noProof/>
        </w:rPr>
        <w:t>'</w:t>
      </w:r>
      <w:r w:rsidRPr="003F2F07">
        <w:rPr>
          <w:noProof/>
        </w:rPr>
        <w:t>allegato IV del regolamento POP attuano a livello dell</w:t>
      </w:r>
      <w:r w:rsidR="00207FB3">
        <w:rPr>
          <w:noProof/>
        </w:rPr>
        <w:t>'</w:t>
      </w:r>
      <w:r w:rsidRPr="003F2F07">
        <w:rPr>
          <w:noProof/>
        </w:rPr>
        <w:t xml:space="preserve">Unione il concetto di </w:t>
      </w:r>
      <w:r w:rsidR="00207FB3">
        <w:rPr>
          <w:noProof/>
        </w:rPr>
        <w:t>"</w:t>
      </w:r>
      <w:r w:rsidRPr="003F2F07">
        <w:rPr>
          <w:noProof/>
        </w:rPr>
        <w:t>valori con basso tenore di POP</w:t>
      </w:r>
      <w:r w:rsidR="00207FB3">
        <w:rPr>
          <w:noProof/>
        </w:rPr>
        <w:t>"</w:t>
      </w:r>
      <w:r w:rsidRPr="003F2F07">
        <w:rPr>
          <w:noProof/>
        </w:rPr>
        <w:t xml:space="preserve"> elencati come valori non vincolanti nell</w:t>
      </w:r>
      <w:r w:rsidR="00207FB3">
        <w:rPr>
          <w:noProof/>
        </w:rPr>
        <w:t>'</w:t>
      </w:r>
      <w:r w:rsidRPr="003F2F07">
        <w:rPr>
          <w:noProof/>
        </w:rPr>
        <w:t xml:space="preserve">ambito delle </w:t>
      </w:r>
      <w:r w:rsidR="00207FB3">
        <w:rPr>
          <w:noProof/>
        </w:rPr>
        <w:t>"</w:t>
      </w:r>
      <w:r w:rsidRPr="003F2F07">
        <w:rPr>
          <w:noProof/>
        </w:rPr>
        <w:t>Direttive tecniche generali aggiornate per una gestione ecologicamente corretta dei rifiuti composti da inquinanti organici persistenti (POP), contenenti tali inquinanti o da essi contaminati</w:t>
      </w:r>
      <w:r w:rsidR="00207FB3">
        <w:rPr>
          <w:noProof/>
        </w:rPr>
        <w:t>"</w:t>
      </w:r>
      <w:r w:rsidRPr="003F2F07">
        <w:rPr>
          <w:noProof/>
        </w:rPr>
        <w:t xml:space="preserve">. </w:t>
      </w:r>
    </w:p>
    <w:p w14:paraId="49531DB4" w14:textId="77777777" w:rsidR="00F6747C" w:rsidRPr="003F2F07" w:rsidRDefault="00F6747C" w:rsidP="00F6747C">
      <w:pPr>
        <w:pBdr>
          <w:top w:val="nil"/>
          <w:left w:val="nil"/>
          <w:bottom w:val="nil"/>
          <w:right w:val="nil"/>
          <w:between w:val="nil"/>
          <w:bar w:val="nil"/>
        </w:pBdr>
        <w:rPr>
          <w:noProof/>
        </w:rPr>
      </w:pPr>
    </w:p>
    <w:p w14:paraId="14A76AEB" w14:textId="1F153F03" w:rsidR="007D09E1" w:rsidRPr="003F2F07" w:rsidRDefault="007D09E1" w:rsidP="00F6747C">
      <w:pPr>
        <w:pBdr>
          <w:top w:val="nil"/>
          <w:left w:val="nil"/>
          <w:bottom w:val="nil"/>
          <w:right w:val="nil"/>
          <w:between w:val="nil"/>
          <w:bar w:val="nil"/>
        </w:pBdr>
        <w:rPr>
          <w:rFonts w:eastAsia="Arial Unicode MS"/>
          <w:b/>
          <w:noProof/>
        </w:rPr>
      </w:pPr>
      <w:r w:rsidRPr="003F2F07">
        <w:rPr>
          <w:b/>
          <w:noProof/>
          <w:color w:val="000000"/>
          <w:u w:color="000000"/>
          <w:bdr w:val="nil"/>
        </w:rPr>
        <w:t>•</w:t>
      </w:r>
      <w:r w:rsidRPr="003F2F07">
        <w:rPr>
          <w:noProof/>
        </w:rPr>
        <w:tab/>
      </w:r>
      <w:r w:rsidRPr="003F2F07">
        <w:rPr>
          <w:b/>
          <w:noProof/>
        </w:rPr>
        <w:t>Coerenza con le altre normative dell</w:t>
      </w:r>
      <w:r w:rsidR="00207FB3">
        <w:rPr>
          <w:b/>
          <w:noProof/>
        </w:rPr>
        <w:t>'</w:t>
      </w:r>
      <w:r w:rsidRPr="003F2F07">
        <w:rPr>
          <w:b/>
          <w:noProof/>
        </w:rPr>
        <w:t>Unione</w:t>
      </w:r>
    </w:p>
    <w:p w14:paraId="75BD7BC1" w14:textId="74A6EA95" w:rsidR="0066757E" w:rsidRPr="003F2F07" w:rsidRDefault="0066757E" w:rsidP="00F6747C">
      <w:pPr>
        <w:pBdr>
          <w:top w:val="nil"/>
          <w:left w:val="nil"/>
          <w:bottom w:val="nil"/>
          <w:right w:val="nil"/>
          <w:between w:val="nil"/>
          <w:bar w:val="nil"/>
        </w:pBdr>
        <w:rPr>
          <w:noProof/>
        </w:rPr>
      </w:pPr>
      <w:r w:rsidRPr="003F2F07">
        <w:rPr>
          <w:noProof/>
        </w:rPr>
        <w:t>La proposta è coerente con l</w:t>
      </w:r>
      <w:r w:rsidR="00207FB3">
        <w:rPr>
          <w:noProof/>
        </w:rPr>
        <w:t>'</w:t>
      </w:r>
      <w:r w:rsidRPr="003F2F07">
        <w:rPr>
          <w:noProof/>
        </w:rPr>
        <w:t>obiettivo della Strategia in materia di sostanze chimiche sostenibili</w:t>
      </w:r>
      <w:r w:rsidRPr="003F2F07">
        <w:rPr>
          <w:rStyle w:val="FootnoteReference"/>
          <w:rFonts w:eastAsia="Times New Roman"/>
          <w:noProof/>
          <w:szCs w:val="24"/>
        </w:rPr>
        <w:footnoteReference w:id="6"/>
      </w:r>
      <w:r w:rsidRPr="003F2F07">
        <w:rPr>
          <w:noProof/>
        </w:rPr>
        <w:t xml:space="preserve"> di ridurre al minimo e sostituire, per quanto possibile, le sostanze chimiche che hanno un effetto cronico sulla salute umana e sull</w:t>
      </w:r>
      <w:r w:rsidR="00207FB3">
        <w:rPr>
          <w:noProof/>
        </w:rPr>
        <w:t>'</w:t>
      </w:r>
      <w:r w:rsidRPr="003F2F07">
        <w:rPr>
          <w:noProof/>
        </w:rPr>
        <w:t xml:space="preserve">ambiente (un tipo di sostanze che destano preoccupazione) e di eliminare gradualmente quelle più nocive impiegate in applicazioni non essenziali per la società, in particolare quelle presenti nei prodotti di consumo. </w:t>
      </w:r>
    </w:p>
    <w:p w14:paraId="014198C6" w14:textId="367B073C" w:rsidR="002753CE" w:rsidRPr="003F2F07" w:rsidRDefault="002753CE" w:rsidP="002753CE">
      <w:pPr>
        <w:rPr>
          <w:rFonts w:eastAsia="Times New Roman"/>
          <w:noProof/>
          <w:szCs w:val="24"/>
        </w:rPr>
      </w:pPr>
      <w:r w:rsidRPr="003F2F07">
        <w:rPr>
          <w:noProof/>
        </w:rPr>
        <w:t>Analogamente, la proposta è coerente con l</w:t>
      </w:r>
      <w:r w:rsidR="00207FB3">
        <w:rPr>
          <w:noProof/>
        </w:rPr>
        <w:t>'</w:t>
      </w:r>
      <w:r w:rsidRPr="003F2F07">
        <w:rPr>
          <w:noProof/>
        </w:rPr>
        <w:t>obiettivo, proposto nel Green Deal europeo</w:t>
      </w:r>
      <w:r w:rsidRPr="003F2F07">
        <w:rPr>
          <w:rStyle w:val="FootnoteReference"/>
          <w:rFonts w:eastAsia="Times New Roman"/>
          <w:noProof/>
          <w:szCs w:val="24"/>
        </w:rPr>
        <w:footnoteReference w:id="7"/>
      </w:r>
      <w:r w:rsidRPr="003F2F07">
        <w:rPr>
          <w:noProof/>
        </w:rPr>
        <w:t xml:space="preserve">, di conseguire la </w:t>
      </w:r>
      <w:r w:rsidRPr="003F2F07">
        <w:rPr>
          <w:b/>
          <w:noProof/>
          <w:szCs w:val="24"/>
        </w:rPr>
        <w:t>neutralità climatica</w:t>
      </w:r>
      <w:r w:rsidRPr="003F2F07">
        <w:rPr>
          <w:noProof/>
        </w:rPr>
        <w:t xml:space="preserve"> in Europa entro il </w:t>
      </w:r>
      <w:r w:rsidRPr="00993F0C">
        <w:rPr>
          <w:noProof/>
        </w:rPr>
        <w:t>2050</w:t>
      </w:r>
      <w:r w:rsidRPr="003F2F07">
        <w:rPr>
          <w:noProof/>
        </w:rPr>
        <w:t xml:space="preserve"> e con quello di attuare un nuovo piano d</w:t>
      </w:r>
      <w:r w:rsidR="00207FB3">
        <w:rPr>
          <w:noProof/>
        </w:rPr>
        <w:t>'</w:t>
      </w:r>
      <w:r w:rsidRPr="003F2F07">
        <w:rPr>
          <w:noProof/>
        </w:rPr>
        <w:t>azione per l</w:t>
      </w:r>
      <w:r w:rsidR="00207FB3">
        <w:rPr>
          <w:noProof/>
        </w:rPr>
        <w:t>'</w:t>
      </w:r>
      <w:r w:rsidRPr="003F2F07">
        <w:rPr>
          <w:noProof/>
        </w:rPr>
        <w:t>economia circolare</w:t>
      </w:r>
      <w:r w:rsidRPr="003F2F07">
        <w:rPr>
          <w:rStyle w:val="FootnoteReference"/>
          <w:rFonts w:eastAsia="Times New Roman"/>
          <w:noProof/>
          <w:szCs w:val="24"/>
        </w:rPr>
        <w:footnoteReference w:id="8"/>
      </w:r>
      <w:r w:rsidRPr="003F2F07">
        <w:rPr>
          <w:noProof/>
        </w:rPr>
        <w:t xml:space="preserve"> per incentivare lo sviluppo di mercati guida per prodotti circolari e a impatto climatico zero all</w:t>
      </w:r>
      <w:r w:rsidR="00207FB3">
        <w:rPr>
          <w:noProof/>
        </w:rPr>
        <w:t>'</w:t>
      </w:r>
      <w:r w:rsidRPr="003F2F07">
        <w:rPr>
          <w:noProof/>
        </w:rPr>
        <w:t>interno e all</w:t>
      </w:r>
      <w:r w:rsidR="00207FB3">
        <w:rPr>
          <w:noProof/>
        </w:rPr>
        <w:t>'</w:t>
      </w:r>
      <w:r w:rsidRPr="003F2F07">
        <w:rPr>
          <w:noProof/>
        </w:rPr>
        <w:t>esterno dell</w:t>
      </w:r>
      <w:r w:rsidR="00207FB3">
        <w:rPr>
          <w:noProof/>
        </w:rPr>
        <w:t>'</w:t>
      </w:r>
      <w:r w:rsidRPr="003F2F07">
        <w:rPr>
          <w:noProof/>
        </w:rPr>
        <w:t xml:space="preserve">UE. La proposta è inoltre in linea con la comunicazione concernente un </w:t>
      </w:r>
      <w:r w:rsidRPr="003F2F07">
        <w:rPr>
          <w:b/>
          <w:noProof/>
        </w:rPr>
        <w:t>piano d</w:t>
      </w:r>
      <w:r w:rsidR="00207FB3">
        <w:rPr>
          <w:b/>
          <w:noProof/>
        </w:rPr>
        <w:t>'</w:t>
      </w:r>
      <w:r w:rsidRPr="003F2F07">
        <w:rPr>
          <w:b/>
          <w:noProof/>
        </w:rPr>
        <w:t xml:space="preserve">azione </w:t>
      </w:r>
      <w:r w:rsidR="00207FB3">
        <w:rPr>
          <w:b/>
          <w:noProof/>
        </w:rPr>
        <w:t>"</w:t>
      </w:r>
      <w:r w:rsidRPr="003F2F07">
        <w:rPr>
          <w:b/>
          <w:noProof/>
        </w:rPr>
        <w:t>Verso l</w:t>
      </w:r>
      <w:r w:rsidR="00207FB3">
        <w:rPr>
          <w:b/>
          <w:noProof/>
        </w:rPr>
        <w:t>'</w:t>
      </w:r>
      <w:r w:rsidRPr="003F2F07">
        <w:rPr>
          <w:b/>
          <w:noProof/>
        </w:rPr>
        <w:t>inquinamento zero</w:t>
      </w:r>
      <w:r w:rsidR="00207FB3">
        <w:rPr>
          <w:b/>
          <w:noProof/>
        </w:rPr>
        <w:t>"</w:t>
      </w:r>
      <w:r w:rsidRPr="003F2F07">
        <w:rPr>
          <w:rStyle w:val="FootnoteReference"/>
          <w:rFonts w:eastAsia="Times New Roman"/>
          <w:noProof/>
          <w:szCs w:val="24"/>
        </w:rPr>
        <w:footnoteReference w:id="9"/>
      </w:r>
      <w:r w:rsidRPr="003F2F07">
        <w:rPr>
          <w:noProof/>
        </w:rPr>
        <w:t>, in cui l</w:t>
      </w:r>
      <w:r w:rsidR="00207FB3">
        <w:rPr>
          <w:noProof/>
        </w:rPr>
        <w:t>'</w:t>
      </w:r>
      <w:r w:rsidRPr="003F2F07">
        <w:rPr>
          <w:noProof/>
        </w:rPr>
        <w:t>UE ha definito la visione dell</w:t>
      </w:r>
      <w:r w:rsidR="00207FB3">
        <w:rPr>
          <w:noProof/>
        </w:rPr>
        <w:t>'</w:t>
      </w:r>
      <w:r w:rsidRPr="003F2F07">
        <w:rPr>
          <w:noProof/>
        </w:rPr>
        <w:t>azzeramento dell</w:t>
      </w:r>
      <w:r w:rsidR="00207FB3">
        <w:rPr>
          <w:noProof/>
        </w:rPr>
        <w:t>'</w:t>
      </w:r>
      <w:r w:rsidRPr="003F2F07">
        <w:rPr>
          <w:noProof/>
        </w:rPr>
        <w:t xml:space="preserve">inquinamento per il </w:t>
      </w:r>
      <w:r w:rsidRPr="00993F0C">
        <w:rPr>
          <w:noProof/>
        </w:rPr>
        <w:t>2050</w:t>
      </w:r>
      <w:r w:rsidRPr="003F2F07">
        <w:rPr>
          <w:noProof/>
        </w:rPr>
        <w:t>, in cui l</w:t>
      </w:r>
      <w:r w:rsidR="00207FB3">
        <w:rPr>
          <w:noProof/>
        </w:rPr>
        <w:t>'</w:t>
      </w:r>
      <w:r w:rsidRPr="003F2F07">
        <w:rPr>
          <w:noProof/>
        </w:rPr>
        <w:t>inquinamento dell</w:t>
      </w:r>
      <w:r w:rsidR="00207FB3">
        <w:rPr>
          <w:noProof/>
        </w:rPr>
        <w:t>'</w:t>
      </w:r>
      <w:r w:rsidRPr="003F2F07">
        <w:rPr>
          <w:noProof/>
        </w:rPr>
        <w:t>aria, delle acque e del suolo è ridotto a livelli che non sono più considerati nocivi per la salute e per gli ecosistemi naturali e rispettano i limiti del nostro pianeta.</w:t>
      </w:r>
    </w:p>
    <w:p w14:paraId="4C8E8892" w14:textId="77777777" w:rsidR="007D09E1" w:rsidRPr="003F2F07" w:rsidRDefault="007D09E1" w:rsidP="00194FA1">
      <w:pPr>
        <w:pStyle w:val="ManualHeading1"/>
        <w:rPr>
          <w:noProof/>
        </w:rPr>
      </w:pPr>
      <w:r w:rsidRPr="00993F0C">
        <w:rPr>
          <w:noProof/>
        </w:rPr>
        <w:t>2</w:t>
      </w:r>
      <w:r w:rsidRPr="003F2F07">
        <w:rPr>
          <w:noProof/>
        </w:rPr>
        <w:t>.</w:t>
      </w:r>
      <w:r w:rsidRPr="003F2F07">
        <w:rPr>
          <w:noProof/>
        </w:rPr>
        <w:tab/>
        <w:t>BASE GIURIDICA, SUSSIDIARIETÀ E PROPORZIONALITÀ</w:t>
      </w:r>
    </w:p>
    <w:p w14:paraId="131A1C10"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Base giuridica</w:t>
      </w:r>
    </w:p>
    <w:p w14:paraId="6BB35AA4" w14:textId="1AB6DAB5" w:rsidR="00E74A76" w:rsidRPr="003F2F07" w:rsidRDefault="0066757E" w:rsidP="00E74A76">
      <w:pPr>
        <w:rPr>
          <w:rFonts w:eastAsia="Arial Unicode MS"/>
          <w:noProof/>
        </w:rPr>
      </w:pPr>
      <w:r w:rsidRPr="003F2F07">
        <w:rPr>
          <w:noProof/>
        </w:rPr>
        <w:t>La proposta si basa sull</w:t>
      </w:r>
      <w:r w:rsidR="00207FB3">
        <w:rPr>
          <w:noProof/>
        </w:rPr>
        <w:t>'</w:t>
      </w:r>
      <w:r w:rsidRPr="003F2F07">
        <w:rPr>
          <w:noProof/>
        </w:rPr>
        <w:t xml:space="preserve">articolo </w:t>
      </w:r>
      <w:r w:rsidRPr="00993F0C">
        <w:rPr>
          <w:noProof/>
        </w:rPr>
        <w:t>192</w:t>
      </w:r>
      <w:r w:rsidRPr="003F2F07">
        <w:rPr>
          <w:noProof/>
        </w:rPr>
        <w:t xml:space="preserve">, paragrafo </w:t>
      </w:r>
      <w:r w:rsidRPr="00993F0C">
        <w:rPr>
          <w:noProof/>
        </w:rPr>
        <w:t>1</w:t>
      </w:r>
      <w:r w:rsidRPr="003F2F07">
        <w:rPr>
          <w:noProof/>
        </w:rPr>
        <w:t>, del trattato sul funzionamento dell</w:t>
      </w:r>
      <w:r w:rsidR="00207FB3">
        <w:rPr>
          <w:noProof/>
        </w:rPr>
        <w:t>'</w:t>
      </w:r>
      <w:r w:rsidRPr="003F2F07">
        <w:rPr>
          <w:noProof/>
        </w:rPr>
        <w:t>Unione europea relativo alla protezione dell</w:t>
      </w:r>
      <w:r w:rsidR="00207FB3">
        <w:rPr>
          <w:noProof/>
        </w:rPr>
        <w:t>'</w:t>
      </w:r>
      <w:r w:rsidRPr="003F2F07">
        <w:rPr>
          <w:noProof/>
        </w:rPr>
        <w:t>ambiente, dato che le misure concordate nell</w:t>
      </w:r>
      <w:r w:rsidR="00207FB3">
        <w:rPr>
          <w:noProof/>
        </w:rPr>
        <w:t>'</w:t>
      </w:r>
      <w:r w:rsidRPr="003F2F07">
        <w:rPr>
          <w:noProof/>
        </w:rPr>
        <w:t>ambito della convenzione di Stoccolma perseguono prevalentemente un obiettivo ambientale, vale a dire l</w:t>
      </w:r>
      <w:r w:rsidR="00207FB3">
        <w:rPr>
          <w:noProof/>
        </w:rPr>
        <w:t>'</w:t>
      </w:r>
      <w:r w:rsidRPr="003F2F07">
        <w:rPr>
          <w:noProof/>
        </w:rPr>
        <w:t xml:space="preserve">eliminazione o la riduzione delle emissioni di inquinanti organici persistenti. </w:t>
      </w:r>
    </w:p>
    <w:p w14:paraId="5AA934B2" w14:textId="7CA72E1A" w:rsidR="00E74A76" w:rsidRPr="003F2F07" w:rsidRDefault="00E74A76" w:rsidP="00E74A76">
      <w:pPr>
        <w:rPr>
          <w:noProof/>
          <w:szCs w:val="24"/>
        </w:rPr>
      </w:pPr>
      <w:r w:rsidRPr="003F2F07">
        <w:rPr>
          <w:noProof/>
        </w:rPr>
        <w:t>L</w:t>
      </w:r>
      <w:r w:rsidR="00207FB3">
        <w:rPr>
          <w:noProof/>
        </w:rPr>
        <w:t>'</w:t>
      </w:r>
      <w:r w:rsidRPr="003F2F07">
        <w:rPr>
          <w:noProof/>
        </w:rPr>
        <w:t>articolo</w:t>
      </w:r>
      <w:r w:rsidR="00D16234">
        <w:rPr>
          <w:noProof/>
        </w:rPr>
        <w:t> </w:t>
      </w:r>
      <w:r w:rsidRPr="00993F0C">
        <w:rPr>
          <w:noProof/>
        </w:rPr>
        <w:t>15</w:t>
      </w:r>
      <w:r w:rsidRPr="003F2F07">
        <w:rPr>
          <w:noProof/>
        </w:rPr>
        <w:t>, pa</w:t>
      </w:r>
      <w:r w:rsidR="003F2F07">
        <w:rPr>
          <w:noProof/>
        </w:rPr>
        <w:t>ragrafo</w:t>
      </w:r>
      <w:r w:rsidR="00D16234">
        <w:rPr>
          <w:noProof/>
        </w:rPr>
        <w:t> </w:t>
      </w:r>
      <w:r w:rsidR="003F2F07" w:rsidRPr="00993F0C">
        <w:rPr>
          <w:noProof/>
        </w:rPr>
        <w:t>2</w:t>
      </w:r>
      <w:r w:rsidR="003F2F07">
        <w:rPr>
          <w:noProof/>
        </w:rPr>
        <w:t xml:space="preserve">, del regolamento POP </w:t>
      </w:r>
      <w:r w:rsidRPr="003F2F07">
        <w:rPr>
          <w:noProof/>
        </w:rPr>
        <w:t xml:space="preserve">stabilisce che la Commissione è tenuta a </w:t>
      </w:r>
      <w:r w:rsidRPr="003F2F07">
        <w:rPr>
          <w:b/>
          <w:noProof/>
          <w:szCs w:val="24"/>
        </w:rPr>
        <w:t>riesaminare costantemente</w:t>
      </w:r>
      <w:r w:rsidRPr="003F2F07">
        <w:rPr>
          <w:noProof/>
        </w:rPr>
        <w:t xml:space="preserve"> gli allegati IV e V e, </w:t>
      </w:r>
      <w:r w:rsidRPr="003F2F07">
        <w:rPr>
          <w:b/>
          <w:noProof/>
          <w:szCs w:val="24"/>
        </w:rPr>
        <w:t>se del caso</w:t>
      </w:r>
      <w:r w:rsidRPr="003F2F07">
        <w:rPr>
          <w:noProof/>
        </w:rPr>
        <w:t xml:space="preserve">, presentare proposte legislative volte a modificare tali allegati per adattarli alle </w:t>
      </w:r>
      <w:r w:rsidRPr="003F2F07">
        <w:rPr>
          <w:b/>
          <w:noProof/>
          <w:szCs w:val="24"/>
        </w:rPr>
        <w:t>modifiche dell</w:t>
      </w:r>
      <w:r w:rsidR="00207FB3">
        <w:rPr>
          <w:b/>
          <w:noProof/>
          <w:szCs w:val="24"/>
        </w:rPr>
        <w:t>'</w:t>
      </w:r>
      <w:r w:rsidRPr="003F2F07">
        <w:rPr>
          <w:b/>
          <w:noProof/>
          <w:szCs w:val="24"/>
        </w:rPr>
        <w:t>elenco delle sostanze</w:t>
      </w:r>
      <w:r w:rsidRPr="003F2F07">
        <w:rPr>
          <w:noProof/>
        </w:rPr>
        <w:t xml:space="preserve"> di cui agli allegati della convenzione o del protocollo o per </w:t>
      </w:r>
      <w:r w:rsidRPr="003F2F07">
        <w:rPr>
          <w:b/>
          <w:noProof/>
          <w:szCs w:val="24"/>
        </w:rPr>
        <w:t>modificare le voci</w:t>
      </w:r>
      <w:r w:rsidRPr="003F2F07">
        <w:rPr>
          <w:noProof/>
        </w:rPr>
        <w:t xml:space="preserve"> o le disposizioni </w:t>
      </w:r>
      <w:r w:rsidRPr="003F2F07">
        <w:rPr>
          <w:b/>
          <w:noProof/>
          <w:szCs w:val="24"/>
        </w:rPr>
        <w:t>esistenti</w:t>
      </w:r>
      <w:r w:rsidRPr="003F2F07">
        <w:rPr>
          <w:noProof/>
        </w:rPr>
        <w:t xml:space="preserve"> negli allegati del regolamento al fine di adeguarle al progresso tecnico e scientifico. </w:t>
      </w:r>
    </w:p>
    <w:p w14:paraId="285778E4" w14:textId="77777777" w:rsidR="00004C60" w:rsidRPr="003F2F07" w:rsidRDefault="00004C60" w:rsidP="0066757E">
      <w:pPr>
        <w:rPr>
          <w:noProof/>
        </w:rPr>
      </w:pPr>
    </w:p>
    <w:p w14:paraId="3EC58FB4"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 xml:space="preserve">Sussidiarietà </w:t>
      </w:r>
    </w:p>
    <w:p w14:paraId="52D6C221" w14:textId="4F2F1006" w:rsidR="003D6516" w:rsidRPr="003F2F07" w:rsidRDefault="00E74A76" w:rsidP="003D6516">
      <w:pPr>
        <w:autoSpaceDE w:val="0"/>
        <w:autoSpaceDN w:val="0"/>
        <w:adjustRightInd w:val="0"/>
        <w:spacing w:before="0" w:after="0"/>
        <w:rPr>
          <w:noProof/>
          <w:szCs w:val="24"/>
        </w:rPr>
      </w:pPr>
      <w:r w:rsidRPr="003F2F07">
        <w:rPr>
          <w:noProof/>
        </w:rPr>
        <w:t>Le sostanze POP che rientrano nell</w:t>
      </w:r>
      <w:r w:rsidR="00207FB3">
        <w:rPr>
          <w:noProof/>
        </w:rPr>
        <w:t>'</w:t>
      </w:r>
      <w:r w:rsidRPr="003F2F07">
        <w:rPr>
          <w:noProof/>
        </w:rPr>
        <w:t>ambito di applicazione della presente proposta sono trasportate attraverso i confini interni dell</w:t>
      </w:r>
      <w:r w:rsidR="00207FB3">
        <w:rPr>
          <w:noProof/>
        </w:rPr>
        <w:t>'</w:t>
      </w:r>
      <w:r w:rsidRPr="003F2F07">
        <w:rPr>
          <w:noProof/>
        </w:rPr>
        <w:t xml:space="preserve">UE lontano dalle relative fonti e per questo motivo è essenziale evitare i rilasci dai rifiuti contenenti POP. </w:t>
      </w:r>
    </w:p>
    <w:p w14:paraId="3C26D42B" w14:textId="6D7BC133" w:rsidR="00E74A76" w:rsidRPr="003F2F07" w:rsidRDefault="005378C0" w:rsidP="003D6516">
      <w:pPr>
        <w:autoSpaceDE w:val="0"/>
        <w:autoSpaceDN w:val="0"/>
        <w:adjustRightInd w:val="0"/>
        <w:spacing w:after="0"/>
        <w:rPr>
          <w:noProof/>
          <w:szCs w:val="24"/>
        </w:rPr>
      </w:pPr>
      <w:r w:rsidRPr="003F2F07">
        <w:rPr>
          <w:noProof/>
        </w:rPr>
        <w:t>La protezione dell</w:t>
      </w:r>
      <w:r w:rsidR="00207FB3">
        <w:rPr>
          <w:noProof/>
        </w:rPr>
        <w:t>'</w:t>
      </w:r>
      <w:r w:rsidRPr="003F2F07">
        <w:rPr>
          <w:noProof/>
        </w:rPr>
        <w:t>ambiente e della salute umana mediante un sistema che garantisce la corretta gestione dei rifiuti contenenti POP può essere efficace solo se sono definite e stabilite norme comuni a livello dell</w:t>
      </w:r>
      <w:r w:rsidR="00207FB3">
        <w:rPr>
          <w:noProof/>
        </w:rPr>
        <w:t>'</w:t>
      </w:r>
      <w:r w:rsidRPr="003F2F07">
        <w:rPr>
          <w:noProof/>
        </w:rPr>
        <w:t>UE. Gli obiettivi della proposta non possono essere conseguiti dagli Stati membri da soli, in quanto è necessario un approccio armonizzato per garantire che l</w:t>
      </w:r>
      <w:r w:rsidR="00207FB3">
        <w:rPr>
          <w:noProof/>
        </w:rPr>
        <w:t>'</w:t>
      </w:r>
      <w:r w:rsidRPr="003F2F07">
        <w:rPr>
          <w:noProof/>
        </w:rPr>
        <w:t xml:space="preserve">Unione, in quanto parte della convenzione di Stoccolma, rispetti i propri obblighi internazionali. </w:t>
      </w:r>
    </w:p>
    <w:p w14:paraId="38A63F0D" w14:textId="77777777" w:rsidR="00F6747C" w:rsidRPr="003F2F07" w:rsidRDefault="00F6747C" w:rsidP="00F6747C">
      <w:pPr>
        <w:rPr>
          <w:noProof/>
        </w:rPr>
      </w:pPr>
    </w:p>
    <w:p w14:paraId="5CCDAFDC"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Proporzionalità</w:t>
      </w:r>
    </w:p>
    <w:p w14:paraId="45741E25" w14:textId="64394CB0" w:rsidR="003D6516" w:rsidRPr="003F2F07" w:rsidRDefault="00E74A76" w:rsidP="00E74A76">
      <w:pPr>
        <w:spacing w:after="0"/>
        <w:ind w:right="62"/>
        <w:rPr>
          <w:rFonts w:eastAsia="Times New Roman"/>
          <w:noProof/>
          <w:szCs w:val="24"/>
        </w:rPr>
      </w:pPr>
      <w:r w:rsidRPr="003F2F07">
        <w:rPr>
          <w:noProof/>
        </w:rPr>
        <w:t xml:space="preserve">Come indicato al considerando </w:t>
      </w:r>
      <w:r w:rsidRPr="00993F0C">
        <w:rPr>
          <w:noProof/>
        </w:rPr>
        <w:t>34</w:t>
      </w:r>
      <w:r w:rsidRPr="003F2F07">
        <w:rPr>
          <w:noProof/>
        </w:rPr>
        <w:t>, il regolamento POP impone di tenere conto del principio di proporzionalità. Il principio di proporzionalità, sancito dall</w:t>
      </w:r>
      <w:r w:rsidR="00207FB3">
        <w:rPr>
          <w:noProof/>
        </w:rPr>
        <w:t>'</w:t>
      </w:r>
      <w:r w:rsidRPr="003F2F07">
        <w:rPr>
          <w:noProof/>
        </w:rPr>
        <w:t>articolo </w:t>
      </w:r>
      <w:r w:rsidRPr="00993F0C">
        <w:rPr>
          <w:noProof/>
        </w:rPr>
        <w:t>5</w:t>
      </w:r>
      <w:r w:rsidRPr="003F2F07">
        <w:rPr>
          <w:noProof/>
        </w:rPr>
        <w:t xml:space="preserve"> del trattato sull</w:t>
      </w:r>
      <w:r w:rsidR="00207FB3">
        <w:rPr>
          <w:noProof/>
        </w:rPr>
        <w:t>'</w:t>
      </w:r>
      <w:r w:rsidRPr="003F2F07">
        <w:rPr>
          <w:noProof/>
        </w:rPr>
        <w:t>Unione europea, mira a inquadrare le azioni delle istituzioni dell</w:t>
      </w:r>
      <w:r w:rsidR="00207FB3">
        <w:rPr>
          <w:noProof/>
        </w:rPr>
        <w:t>'</w:t>
      </w:r>
      <w:r w:rsidRPr="003F2F07">
        <w:rPr>
          <w:noProof/>
        </w:rPr>
        <w:t xml:space="preserve">UE entro certi limiti. </w:t>
      </w:r>
    </w:p>
    <w:p w14:paraId="59E07877" w14:textId="3116AC5B" w:rsidR="00E74A76" w:rsidRPr="003F2F07" w:rsidRDefault="00E74A76" w:rsidP="00E74A76">
      <w:pPr>
        <w:spacing w:after="0"/>
        <w:ind w:right="62"/>
        <w:rPr>
          <w:rFonts w:eastAsia="Times New Roman"/>
          <w:noProof/>
          <w:szCs w:val="24"/>
        </w:rPr>
      </w:pPr>
      <w:r w:rsidRPr="003F2F07">
        <w:rPr>
          <w:noProof/>
        </w:rPr>
        <w:t>Le misure contenute nella proposta si limitano a quanto necessario per il raggiungimento dei suoi obiettivi e tengono conto delle disposizioni de</w:t>
      </w:r>
      <w:r w:rsidR="00207FB3">
        <w:rPr>
          <w:noProof/>
        </w:rPr>
        <w:t>ll'articolo </w:t>
      </w:r>
      <w:r w:rsidR="00207FB3" w:rsidRPr="00993F0C">
        <w:rPr>
          <w:noProof/>
        </w:rPr>
        <w:t>5</w:t>
      </w:r>
      <w:r w:rsidR="00207FB3">
        <w:rPr>
          <w:noProof/>
        </w:rPr>
        <w:t xml:space="preserve"> del protocollo n. </w:t>
      </w:r>
      <w:r w:rsidRPr="00993F0C">
        <w:rPr>
          <w:noProof/>
        </w:rPr>
        <w:t>2</w:t>
      </w:r>
      <w:r w:rsidRPr="003F2F07">
        <w:rPr>
          <w:noProof/>
        </w:rPr>
        <w:t xml:space="preserve"> del trattato sull</w:t>
      </w:r>
      <w:r w:rsidR="00207FB3">
        <w:rPr>
          <w:noProof/>
        </w:rPr>
        <w:t>'</w:t>
      </w:r>
      <w:r w:rsidRPr="003F2F07">
        <w:rPr>
          <w:noProof/>
        </w:rPr>
        <w:t>Unione europea, sull</w:t>
      </w:r>
      <w:r w:rsidR="00207FB3">
        <w:rPr>
          <w:noProof/>
        </w:rPr>
        <w:t>'</w:t>
      </w:r>
      <w:r w:rsidRPr="003F2F07">
        <w:rPr>
          <w:noProof/>
        </w:rPr>
        <w:t xml:space="preserve">applicazione dei principi di sussidiarietà e di proporzionalità, secondo cui </w:t>
      </w:r>
      <w:r w:rsidR="00207FB3">
        <w:rPr>
          <w:noProof/>
        </w:rPr>
        <w:t>"</w:t>
      </w:r>
      <w:r w:rsidRPr="003F2F07">
        <w:rPr>
          <w:noProof/>
        </w:rPr>
        <w:t>I progetti di atti legislativi tengono conto della necessità che gli oneri, siano essi finanziari o amministrativi, che ricadono sull</w:t>
      </w:r>
      <w:r w:rsidR="00207FB3">
        <w:rPr>
          <w:noProof/>
        </w:rPr>
        <w:t>'</w:t>
      </w:r>
      <w:r w:rsidRPr="003F2F07">
        <w:rPr>
          <w:noProof/>
        </w:rPr>
        <w:t>Unione, sui governi nazionali, sugli enti regionali o locali, sugli operatori economici e sui cittadini siano il meno gravosi possibile e commisurati all</w:t>
      </w:r>
      <w:r w:rsidR="00207FB3">
        <w:rPr>
          <w:noProof/>
        </w:rPr>
        <w:t>'</w:t>
      </w:r>
      <w:r w:rsidRPr="003F2F07">
        <w:rPr>
          <w:noProof/>
        </w:rPr>
        <w:t>obiettivo da conseguire</w:t>
      </w:r>
      <w:r w:rsidR="00207FB3">
        <w:rPr>
          <w:noProof/>
        </w:rPr>
        <w:t>"</w:t>
      </w:r>
      <w:r w:rsidRPr="003F2F07">
        <w:rPr>
          <w:noProof/>
        </w:rPr>
        <w:t xml:space="preserve">. </w:t>
      </w:r>
    </w:p>
    <w:p w14:paraId="64DBCF88" w14:textId="38824CF6" w:rsidR="005F43FC" w:rsidRPr="003F2F07" w:rsidRDefault="007266D2" w:rsidP="00E74A76">
      <w:pPr>
        <w:spacing w:after="0"/>
        <w:ind w:right="62"/>
        <w:rPr>
          <w:rFonts w:eastAsia="Calibri"/>
          <w:iCs/>
          <w:noProof/>
          <w:szCs w:val="24"/>
        </w:rPr>
      </w:pPr>
      <w:r w:rsidRPr="003F2F07">
        <w:rPr>
          <w:noProof/>
        </w:rPr>
        <w:t>La metodologia per fissare i valori limite, descritta nell</w:t>
      </w:r>
      <w:r w:rsidR="00207FB3">
        <w:rPr>
          <w:noProof/>
        </w:rPr>
        <w:t>'</w:t>
      </w:r>
      <w:r w:rsidRPr="003F2F07">
        <w:rPr>
          <w:noProof/>
        </w:rPr>
        <w:t>allegato IV della valutazione d</w:t>
      </w:r>
      <w:r w:rsidR="00207FB3">
        <w:rPr>
          <w:noProof/>
        </w:rPr>
        <w:t>'</w:t>
      </w:r>
      <w:r w:rsidRPr="003F2F07">
        <w:rPr>
          <w:noProof/>
        </w:rPr>
        <w:t xml:space="preserve">impatto, appoggia lo sviluppo di valori limite che siano realizzabili e applicabili per tutti i flussi di rifiuti pertinenti. Viene effettuata una valutazione della fattibilità tecnica ed economica dei valori limite proposti per i principali operatori interessati; ciascuna valutazione è specifica per ogni singolo caso ed è effettuata sulla base delle informazioni disponibili. Si tiene conto di aspetti quali il numero, le dimensioni e la natura dei portatori di interessi e la loro capacità stimata di assorbire i costi e gli investimenti aggiuntivi, nonché la capacità di trattamento disponibile dei gestori dei rifiuti. </w:t>
      </w:r>
    </w:p>
    <w:p w14:paraId="137A5C81" w14:textId="36A8A9C6" w:rsidR="007266D2" w:rsidRPr="003F2F07" w:rsidRDefault="007266D2" w:rsidP="00E74A76">
      <w:pPr>
        <w:spacing w:after="0"/>
        <w:ind w:right="62"/>
        <w:rPr>
          <w:rFonts w:eastAsia="Times New Roman"/>
          <w:noProof/>
          <w:szCs w:val="24"/>
        </w:rPr>
      </w:pPr>
      <w:r w:rsidRPr="003F2F07">
        <w:rPr>
          <w:noProof/>
        </w:rPr>
        <w:t>Un</w:t>
      </w:r>
      <w:r w:rsidR="00207FB3">
        <w:rPr>
          <w:noProof/>
        </w:rPr>
        <w:t>'</w:t>
      </w:r>
      <w:r w:rsidRPr="003F2F07">
        <w:rPr>
          <w:noProof/>
        </w:rPr>
        <w:t>analisi dell</w:t>
      </w:r>
      <w:r w:rsidR="00207FB3">
        <w:rPr>
          <w:noProof/>
        </w:rPr>
        <w:t>'</w:t>
      </w:r>
      <w:r w:rsidRPr="003F2F07">
        <w:rPr>
          <w:noProof/>
        </w:rPr>
        <w:t xml:space="preserve">impatto delle opzioni strategiche prescelte è sintetizzata nella sezione </w:t>
      </w:r>
      <w:r w:rsidRPr="00993F0C">
        <w:rPr>
          <w:noProof/>
        </w:rPr>
        <w:t>8</w:t>
      </w:r>
      <w:r w:rsidRPr="003F2F07">
        <w:rPr>
          <w:noProof/>
        </w:rPr>
        <w:t>.</w:t>
      </w:r>
      <w:r w:rsidRPr="00993F0C">
        <w:rPr>
          <w:noProof/>
        </w:rPr>
        <w:t>2</w:t>
      </w:r>
      <w:r w:rsidRPr="003F2F07">
        <w:rPr>
          <w:noProof/>
        </w:rPr>
        <w:t xml:space="preserve"> della valutazione d</w:t>
      </w:r>
      <w:r w:rsidR="00207FB3">
        <w:rPr>
          <w:noProof/>
        </w:rPr>
        <w:t>'</w:t>
      </w:r>
      <w:r w:rsidRPr="003F2F07">
        <w:rPr>
          <w:noProof/>
        </w:rPr>
        <w:t>impatto.</w:t>
      </w:r>
    </w:p>
    <w:p w14:paraId="583B6A39" w14:textId="77777777" w:rsidR="00F6747C" w:rsidRPr="003F2F07" w:rsidRDefault="00F6747C" w:rsidP="00194FA1">
      <w:pPr>
        <w:pStyle w:val="ManualHeading2"/>
        <w:rPr>
          <w:rFonts w:eastAsia="Arial Unicode MS"/>
          <w:noProof/>
          <w:u w:color="000000"/>
          <w:bdr w:val="nil"/>
          <w:lang w:eastAsia="en-GB"/>
        </w:rPr>
      </w:pPr>
    </w:p>
    <w:p w14:paraId="7A66F0BC" w14:textId="4C957B61"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Scelta dell</w:t>
      </w:r>
      <w:r w:rsidR="00207FB3">
        <w:rPr>
          <w:noProof/>
          <w:u w:color="000000"/>
          <w:bdr w:val="nil"/>
        </w:rPr>
        <w:t>'</w:t>
      </w:r>
      <w:r w:rsidRPr="003F2F07">
        <w:rPr>
          <w:noProof/>
          <w:u w:color="000000"/>
          <w:bdr w:val="nil"/>
        </w:rPr>
        <w:t>atto giuridico</w:t>
      </w:r>
    </w:p>
    <w:p w14:paraId="5A2E48F1" w14:textId="3B816CAE" w:rsidR="00FB08CA" w:rsidRPr="003F2F07" w:rsidRDefault="00FB08CA" w:rsidP="00FB08CA">
      <w:pPr>
        <w:rPr>
          <w:rFonts w:eastAsia="Times New Roman"/>
          <w:noProof/>
          <w:szCs w:val="24"/>
        </w:rPr>
      </w:pPr>
      <w:r w:rsidRPr="003F2F07">
        <w:rPr>
          <w:noProof/>
        </w:rPr>
        <w:t>A norma dell</w:t>
      </w:r>
      <w:r w:rsidR="00207FB3">
        <w:rPr>
          <w:noProof/>
        </w:rPr>
        <w:t>'</w:t>
      </w:r>
      <w:r w:rsidRPr="003F2F07">
        <w:rPr>
          <w:noProof/>
        </w:rPr>
        <w:t xml:space="preserve">articolo </w:t>
      </w:r>
      <w:r w:rsidRPr="00993F0C">
        <w:rPr>
          <w:noProof/>
        </w:rPr>
        <w:t>15</w:t>
      </w:r>
      <w:r w:rsidRPr="003F2F07">
        <w:rPr>
          <w:noProof/>
        </w:rPr>
        <w:t xml:space="preserve">, paragrafo </w:t>
      </w:r>
      <w:r w:rsidRPr="00993F0C">
        <w:rPr>
          <w:noProof/>
        </w:rPr>
        <w:t>2</w:t>
      </w:r>
      <w:r w:rsidRPr="003F2F07">
        <w:rPr>
          <w:noProof/>
        </w:rPr>
        <w:t>, del regolamento POP, la Commissione è tenuta, se del caso, a presentare proposte legislative volte a modificare gli allegati IV e V allegati di tale regolamento per adeguarli alle modifiche dell</w:t>
      </w:r>
      <w:r w:rsidR="00207FB3">
        <w:rPr>
          <w:noProof/>
        </w:rPr>
        <w:t>'</w:t>
      </w:r>
      <w:r w:rsidRPr="003F2F07">
        <w:rPr>
          <w:noProof/>
        </w:rPr>
        <w:t>elenco delle sostanze di cui agli allegati della convenzione o del protocollo o per modificare le voci o le disposizioni esistenti negli allegati del regolamento al fine di adeguarle al progresso tecnico e scientifico. Pertanto, come prescritto dall</w:t>
      </w:r>
      <w:r w:rsidR="00207FB3">
        <w:rPr>
          <w:noProof/>
        </w:rPr>
        <w:t>'</w:t>
      </w:r>
      <w:r w:rsidRPr="003F2F07">
        <w:rPr>
          <w:noProof/>
        </w:rPr>
        <w:t>articolo </w:t>
      </w:r>
      <w:r w:rsidRPr="00993F0C">
        <w:rPr>
          <w:noProof/>
        </w:rPr>
        <w:t>15</w:t>
      </w:r>
      <w:r w:rsidRPr="003F2F07">
        <w:rPr>
          <w:noProof/>
        </w:rPr>
        <w:t>, paragrafo </w:t>
      </w:r>
      <w:r w:rsidRPr="00993F0C">
        <w:rPr>
          <w:noProof/>
        </w:rPr>
        <w:t>2</w:t>
      </w:r>
      <w:r w:rsidRPr="003F2F07">
        <w:rPr>
          <w:noProof/>
        </w:rPr>
        <w:t>, la presente iniziativa assume la forma di un regolamento che modifica il regolamento POP.</w:t>
      </w:r>
    </w:p>
    <w:p w14:paraId="3CB12E14" w14:textId="77777777" w:rsidR="00F6747C" w:rsidRPr="003F2F07" w:rsidRDefault="00F6747C" w:rsidP="0066757E">
      <w:pPr>
        <w:rPr>
          <w:noProof/>
          <w:szCs w:val="24"/>
        </w:rPr>
      </w:pPr>
    </w:p>
    <w:p w14:paraId="744177A6" w14:textId="18928236" w:rsidR="007D09E1" w:rsidRPr="003F2F07" w:rsidRDefault="007D09E1" w:rsidP="00194FA1">
      <w:pPr>
        <w:pStyle w:val="ManualHeading1"/>
        <w:rPr>
          <w:noProof/>
        </w:rPr>
      </w:pPr>
      <w:r w:rsidRPr="00993F0C">
        <w:rPr>
          <w:noProof/>
        </w:rPr>
        <w:t>3</w:t>
      </w:r>
      <w:r w:rsidRPr="003F2F07">
        <w:rPr>
          <w:noProof/>
        </w:rPr>
        <w:t>.</w:t>
      </w:r>
      <w:r w:rsidRPr="003F2F07">
        <w:rPr>
          <w:noProof/>
        </w:rPr>
        <w:tab/>
        <w:t>RISULTATI DELLE VALUTAZIONI EX POST, DELLE CONSULTAZIONI DEI PORTATORI DI INTERESSI E DELLE VALUTAZIONI D</w:t>
      </w:r>
      <w:r w:rsidR="00207FB3">
        <w:rPr>
          <w:noProof/>
        </w:rPr>
        <w:t>'</w:t>
      </w:r>
      <w:r w:rsidRPr="003F2F07">
        <w:rPr>
          <w:noProof/>
        </w:rPr>
        <w:t>IMPATTO</w:t>
      </w:r>
    </w:p>
    <w:p w14:paraId="0E9818F6"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Valutazioni ex post / Vaglio di adeguatezza della legislazione vigente</w:t>
      </w:r>
    </w:p>
    <w:p w14:paraId="7C02605E" w14:textId="19918E23" w:rsidR="00F6747C" w:rsidRPr="003F2F07" w:rsidRDefault="00AA3A26" w:rsidP="00F6747C">
      <w:pPr>
        <w:rPr>
          <w:noProof/>
        </w:rPr>
      </w:pPr>
      <w:r w:rsidRPr="003F2F07">
        <w:rPr>
          <w:noProof/>
        </w:rPr>
        <w:t xml:space="preserve">Data la natura limitata e tecnica della presente proposta e tenendo conto della rifusione del regolamento POP avvenuta nel </w:t>
      </w:r>
      <w:r w:rsidRPr="00993F0C">
        <w:rPr>
          <w:noProof/>
        </w:rPr>
        <w:t>2019</w:t>
      </w:r>
      <w:r w:rsidRPr="003F2F07">
        <w:rPr>
          <w:noProof/>
        </w:rPr>
        <w:t>, non è stata ritenuta necessaria una valutazione ex p</w:t>
      </w:r>
      <w:r w:rsidR="003F2F07">
        <w:rPr>
          <w:noProof/>
        </w:rPr>
        <w:t>ost della legislazione vigente.</w:t>
      </w:r>
      <w:r w:rsidRPr="003F2F07">
        <w:rPr>
          <w:noProof/>
        </w:rPr>
        <w:t xml:space="preserve"> </w:t>
      </w:r>
    </w:p>
    <w:p w14:paraId="0237EF89" w14:textId="77777777" w:rsidR="0066757E" w:rsidRPr="003F2F07" w:rsidRDefault="0066757E" w:rsidP="0066757E">
      <w:pPr>
        <w:rPr>
          <w:noProof/>
        </w:rPr>
      </w:pPr>
      <w:r w:rsidRPr="003F2F07">
        <w:rPr>
          <w:noProof/>
        </w:rPr>
        <w:t xml:space="preserve"> </w:t>
      </w:r>
    </w:p>
    <w:p w14:paraId="36ED1823"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Consultazioni dei portatori di interessi</w:t>
      </w:r>
    </w:p>
    <w:p w14:paraId="40C3C77D" w14:textId="140135C4" w:rsidR="00B616AF" w:rsidRPr="003F2F07" w:rsidRDefault="00B616AF" w:rsidP="00B616AF">
      <w:pPr>
        <w:rPr>
          <w:noProof/>
          <w:szCs w:val="24"/>
        </w:rPr>
      </w:pPr>
      <w:r w:rsidRPr="003F2F07">
        <w:rPr>
          <w:noProof/>
        </w:rPr>
        <w:t>La valutazione d</w:t>
      </w:r>
      <w:r w:rsidR="00207FB3">
        <w:rPr>
          <w:noProof/>
        </w:rPr>
        <w:t>'</w:t>
      </w:r>
      <w:r w:rsidRPr="003F2F07">
        <w:rPr>
          <w:noProof/>
        </w:rPr>
        <w:t>impatto che accompagna la presente proposta è stata oggetto di un</w:t>
      </w:r>
      <w:r w:rsidR="00207FB3">
        <w:rPr>
          <w:noProof/>
        </w:rPr>
        <w:t>'</w:t>
      </w:r>
      <w:r w:rsidRPr="003F2F07">
        <w:rPr>
          <w:noProof/>
        </w:rPr>
        <w:t>approfondita consultazione dei portatori di interessi per garantire che i loro punti di vista siano stati debitamente rappresentati e presi in considerazione. Data la natura tecnica della proposta e il suo elevato livello di dettaglio, l</w:t>
      </w:r>
      <w:r w:rsidR="00207FB3">
        <w:rPr>
          <w:noProof/>
        </w:rPr>
        <w:t>'</w:t>
      </w:r>
      <w:r w:rsidRPr="003F2F07">
        <w:rPr>
          <w:noProof/>
        </w:rPr>
        <w:t>esercizio era rivolto principalm</w:t>
      </w:r>
      <w:r w:rsidR="003F2F07">
        <w:rPr>
          <w:noProof/>
        </w:rPr>
        <w:t xml:space="preserve">ente ai portatori di interessi </w:t>
      </w:r>
      <w:r w:rsidRPr="003F2F07">
        <w:rPr>
          <w:noProof/>
        </w:rPr>
        <w:t xml:space="preserve">professionali, accademici e industriali/settoriali, nonché ai rappresentanti della società civile quali le ONG, le associazioni dei consumatori e i sindacati. </w:t>
      </w:r>
    </w:p>
    <w:p w14:paraId="2AF47D86" w14:textId="76EB95AF" w:rsidR="0005101C" w:rsidRPr="003F2F07" w:rsidRDefault="00B616AF" w:rsidP="00585217">
      <w:pPr>
        <w:rPr>
          <w:noProof/>
        </w:rPr>
      </w:pPr>
      <w:r w:rsidRPr="003F2F07">
        <w:rPr>
          <w:noProof/>
        </w:rPr>
        <w:t xml:space="preserve">La </w:t>
      </w:r>
      <w:r w:rsidRPr="003F2F07">
        <w:rPr>
          <w:b/>
          <w:noProof/>
        </w:rPr>
        <w:t>tabella di marcia della valutazione d</w:t>
      </w:r>
      <w:r w:rsidR="00207FB3">
        <w:rPr>
          <w:b/>
          <w:noProof/>
        </w:rPr>
        <w:t>'</w:t>
      </w:r>
      <w:r w:rsidRPr="003F2F07">
        <w:rPr>
          <w:b/>
          <w:noProof/>
        </w:rPr>
        <w:t>impatto iniziale</w:t>
      </w:r>
      <w:r w:rsidRPr="003F2F07">
        <w:rPr>
          <w:noProof/>
        </w:rPr>
        <w:t xml:space="preserve"> </w:t>
      </w:r>
      <w:r w:rsidR="00207FB3">
        <w:rPr>
          <w:noProof/>
        </w:rPr>
        <w:t xml:space="preserve">è stata pubblicata il </w:t>
      </w:r>
      <w:r w:rsidR="00207FB3" w:rsidRPr="00993F0C">
        <w:rPr>
          <w:noProof/>
        </w:rPr>
        <w:t>29</w:t>
      </w:r>
      <w:r w:rsidR="00207FB3">
        <w:rPr>
          <w:noProof/>
        </w:rPr>
        <w:t> maggio </w:t>
      </w:r>
      <w:r w:rsidRPr="00993F0C">
        <w:rPr>
          <w:noProof/>
        </w:rPr>
        <w:t>2020</w:t>
      </w:r>
      <w:r w:rsidRPr="003F2F07">
        <w:rPr>
          <w:noProof/>
        </w:rPr>
        <w:t xml:space="preserve"> e il periodo di consultazione si è concluso il </w:t>
      </w:r>
      <w:r w:rsidRPr="00993F0C">
        <w:rPr>
          <w:noProof/>
        </w:rPr>
        <w:t>7</w:t>
      </w:r>
      <w:r w:rsidRPr="003F2F07">
        <w:rPr>
          <w:noProof/>
        </w:rPr>
        <w:t xml:space="preserve"> agosto </w:t>
      </w:r>
      <w:r w:rsidRPr="00993F0C">
        <w:rPr>
          <w:noProof/>
        </w:rPr>
        <w:t>2020</w:t>
      </w:r>
      <w:r w:rsidRPr="003F2F07">
        <w:rPr>
          <w:noProof/>
        </w:rPr>
        <w:t xml:space="preserve">; sono pervenute osservazioni da </w:t>
      </w:r>
      <w:r w:rsidRPr="00993F0C">
        <w:rPr>
          <w:noProof/>
        </w:rPr>
        <w:t>51</w:t>
      </w:r>
      <w:r w:rsidRPr="003F2F07">
        <w:rPr>
          <w:noProof/>
        </w:rPr>
        <w:t xml:space="preserve"> partecipanti. Dall</w:t>
      </w:r>
      <w:r w:rsidR="00207FB3">
        <w:rPr>
          <w:noProof/>
        </w:rPr>
        <w:t>'</w:t>
      </w:r>
      <w:r w:rsidRPr="003F2F07">
        <w:rPr>
          <w:noProof/>
        </w:rPr>
        <w:t>analisi di queste risposte sono emerse alcune divergenze tra i portatori di interessi su come gestire i POP nell</w:t>
      </w:r>
      <w:r w:rsidR="00207FB3">
        <w:rPr>
          <w:noProof/>
        </w:rPr>
        <w:t>'</w:t>
      </w:r>
      <w:r w:rsidRPr="003F2F07">
        <w:rPr>
          <w:noProof/>
        </w:rPr>
        <w:t xml:space="preserve">economia circolare. </w:t>
      </w:r>
    </w:p>
    <w:p w14:paraId="31C8EFE9" w14:textId="6BFFF856" w:rsidR="00585217" w:rsidRPr="003F2F07" w:rsidRDefault="00585217" w:rsidP="00585217">
      <w:pPr>
        <w:rPr>
          <w:rFonts w:cstheme="minorHAnsi"/>
          <w:noProof/>
        </w:rPr>
      </w:pPr>
      <w:r w:rsidRPr="003F2F07">
        <w:rPr>
          <w:noProof/>
        </w:rPr>
        <w:t>Molti tra coloro che hanno risposto, in particolare le ONG, ritengono che il riciclaggio dei rifiuti contenenti inquinanti organici persistenti sia incompatibile con un</w:t>
      </w:r>
      <w:r w:rsidR="00207FB3">
        <w:rPr>
          <w:noProof/>
        </w:rPr>
        <w:t>'</w:t>
      </w:r>
      <w:r w:rsidRPr="003F2F07">
        <w:rPr>
          <w:noProof/>
        </w:rPr>
        <w:t>economia circolare sicura. Questa posizione privilegia l</w:t>
      </w:r>
      <w:r w:rsidR="00207FB3">
        <w:rPr>
          <w:noProof/>
        </w:rPr>
        <w:t>'</w:t>
      </w:r>
      <w:r w:rsidRPr="003F2F07">
        <w:rPr>
          <w:noProof/>
        </w:rPr>
        <w:t>eliminazione dei POP dalla catena di approvvigionamento rispetto ai potenziali benefici associati al r</w:t>
      </w:r>
      <w:r w:rsidR="00207FB3">
        <w:rPr>
          <w:noProof/>
        </w:rPr>
        <w:t>iciclaggio di tali prodotti. Le </w:t>
      </w:r>
      <w:r w:rsidRPr="003F2F07">
        <w:rPr>
          <w:noProof/>
        </w:rPr>
        <w:t>risposte dell</w:t>
      </w:r>
      <w:r w:rsidR="00207FB3">
        <w:rPr>
          <w:noProof/>
        </w:rPr>
        <w:t>'</w:t>
      </w:r>
      <w:r w:rsidRPr="003F2F07">
        <w:rPr>
          <w:noProof/>
        </w:rPr>
        <w:t>industria forniscono una visione più sfumata e rilevano che le politiche dell</w:t>
      </w:r>
      <w:r w:rsidR="00207FB3">
        <w:rPr>
          <w:noProof/>
        </w:rPr>
        <w:t>'</w:t>
      </w:r>
      <w:r w:rsidRPr="003F2F07">
        <w:rPr>
          <w:noProof/>
        </w:rPr>
        <w:t xml:space="preserve">UE che puntano a un </w:t>
      </w:r>
      <w:r w:rsidR="00207FB3">
        <w:rPr>
          <w:noProof/>
        </w:rPr>
        <w:t>"</w:t>
      </w:r>
      <w:r w:rsidRPr="003F2F07">
        <w:rPr>
          <w:noProof/>
        </w:rPr>
        <w:t>ambiente privo di sostanze tossiche</w:t>
      </w:r>
      <w:r w:rsidR="00207FB3">
        <w:rPr>
          <w:noProof/>
        </w:rPr>
        <w:t>"</w:t>
      </w:r>
      <w:r w:rsidRPr="003F2F07">
        <w:rPr>
          <w:noProof/>
        </w:rPr>
        <w:t xml:space="preserve"> e all</w:t>
      </w:r>
      <w:r w:rsidR="00207FB3">
        <w:rPr>
          <w:noProof/>
        </w:rPr>
        <w:t>'</w:t>
      </w:r>
      <w:r w:rsidRPr="003F2F07">
        <w:rPr>
          <w:noProof/>
        </w:rPr>
        <w:t>aumento del riciclaggio spesso vanno in direzioni opposte, ponendo gli operatori del settore dei rifiuti in una situazione in cui le norme non sono prevedibili né sempre praticabili. Due associazioni hanno indicato che dovrebbe essere garantito un sostegno pubblico maggiore per promuovere nuovi investimenti nella cernita e nella decontaminazione dei rifiuti, in quanto ciò consentirebbe di incrementare e ottimizzare il riciclaggio.</w:t>
      </w:r>
    </w:p>
    <w:p w14:paraId="04A88DE6" w14:textId="7F10E2C6" w:rsidR="00B616AF" w:rsidRPr="003F2F07" w:rsidRDefault="00B616AF" w:rsidP="00B616AF">
      <w:pPr>
        <w:rPr>
          <w:noProof/>
          <w:szCs w:val="24"/>
        </w:rPr>
      </w:pPr>
      <w:r w:rsidRPr="003F2F07">
        <w:rPr>
          <w:noProof/>
        </w:rPr>
        <w:t>Inoltre, nell</w:t>
      </w:r>
      <w:r w:rsidR="00207FB3">
        <w:rPr>
          <w:noProof/>
        </w:rPr>
        <w:t>'</w:t>
      </w:r>
      <w:r w:rsidRPr="003F2F07">
        <w:rPr>
          <w:noProof/>
        </w:rPr>
        <w:t xml:space="preserve">ambito dello studio di sostegno è stata condotta una </w:t>
      </w:r>
      <w:r w:rsidRPr="003F2F07">
        <w:rPr>
          <w:b/>
          <w:noProof/>
        </w:rPr>
        <w:t>consultazione mirata dei portatori di interessi</w:t>
      </w:r>
      <w:r w:rsidRPr="003F2F07">
        <w:rPr>
          <w:noProof/>
        </w:rPr>
        <w:t>, riguardante tutti gli aspetti pertinenti per la valutazione d</w:t>
      </w:r>
      <w:r w:rsidR="00207FB3">
        <w:rPr>
          <w:noProof/>
        </w:rPr>
        <w:t>'</w:t>
      </w:r>
      <w:r w:rsidRPr="003F2F07">
        <w:rPr>
          <w:noProof/>
        </w:rPr>
        <w:t>impatto, compresi gli elementi socioeconomici, mediante un questionario elettronico e interviste con portatori di interessi che rappresentano settori e organizzazioni chiave. La valutazione d</w:t>
      </w:r>
      <w:r w:rsidR="00207FB3">
        <w:rPr>
          <w:noProof/>
        </w:rPr>
        <w:t>'</w:t>
      </w:r>
      <w:r w:rsidRPr="003F2F07">
        <w:rPr>
          <w:noProof/>
        </w:rPr>
        <w:t>impatto a sostegno della presente proposta si avvale anche delle informazioni sulle opinioni dei portatori di interessi e della società in generale in merito alle sostanze che destano preoccupazione nei materiali riciclati, informazioni raccolte nell</w:t>
      </w:r>
      <w:r w:rsidR="00207FB3">
        <w:rPr>
          <w:noProof/>
        </w:rPr>
        <w:t>'</w:t>
      </w:r>
      <w:r w:rsidRPr="003F2F07">
        <w:rPr>
          <w:noProof/>
        </w:rPr>
        <w:t>ambito della consultazione pubblica sull</w:t>
      </w:r>
      <w:r w:rsidR="00207FB3">
        <w:rPr>
          <w:noProof/>
        </w:rPr>
        <w:t>'</w:t>
      </w:r>
      <w:r w:rsidRPr="003F2F07">
        <w:rPr>
          <w:noProof/>
        </w:rPr>
        <w:t>interazione tra la normativa in materia di sostanze chimiche, prodotti e rifiuti</w:t>
      </w:r>
      <w:r w:rsidRPr="003F2F07">
        <w:rPr>
          <w:rStyle w:val="FootnoteReference"/>
          <w:rFonts w:eastAsia="Calibri"/>
          <w:noProof/>
          <w:szCs w:val="24"/>
        </w:rPr>
        <w:footnoteReference w:id="10"/>
      </w:r>
      <w:r w:rsidRPr="003F2F07">
        <w:rPr>
          <w:noProof/>
        </w:rPr>
        <w:t xml:space="preserve">. La consultazione, svoltasi nel </w:t>
      </w:r>
      <w:r w:rsidRPr="00993F0C">
        <w:rPr>
          <w:noProof/>
        </w:rPr>
        <w:t>2018</w:t>
      </w:r>
      <w:r w:rsidRPr="003F2F07">
        <w:rPr>
          <w:noProof/>
        </w:rPr>
        <w:t>, riguardava aspetti più generali e meno tecnici inerenti alla misura in questione; queste informazioni erano pertanto già disponibili e sono state utilizzate a sostegno della misura. Una relazione di sintesi</w:t>
      </w:r>
      <w:r w:rsidRPr="003F2F07">
        <w:rPr>
          <w:rStyle w:val="FootnoteReference"/>
          <w:noProof/>
          <w:szCs w:val="24"/>
        </w:rPr>
        <w:footnoteReference w:id="11"/>
      </w:r>
      <w:r w:rsidRPr="003F2F07">
        <w:rPr>
          <w:noProof/>
        </w:rPr>
        <w:t xml:space="preserve"> di tale consult</w:t>
      </w:r>
      <w:r w:rsidR="00D16234">
        <w:rPr>
          <w:noProof/>
        </w:rPr>
        <w:t>azione è stata pubblicata il </w:t>
      </w:r>
      <w:r w:rsidR="00207FB3" w:rsidRPr="00993F0C">
        <w:rPr>
          <w:noProof/>
        </w:rPr>
        <w:t>28</w:t>
      </w:r>
      <w:r w:rsidR="00207FB3">
        <w:rPr>
          <w:noProof/>
        </w:rPr>
        <w:t> </w:t>
      </w:r>
      <w:r w:rsidRPr="003F2F07">
        <w:rPr>
          <w:noProof/>
        </w:rPr>
        <w:t xml:space="preserve">febbraio </w:t>
      </w:r>
      <w:r w:rsidRPr="00993F0C">
        <w:rPr>
          <w:noProof/>
        </w:rPr>
        <w:t>2019</w:t>
      </w:r>
      <w:r w:rsidRPr="003F2F07">
        <w:rPr>
          <w:noProof/>
        </w:rPr>
        <w:t>.</w:t>
      </w:r>
    </w:p>
    <w:p w14:paraId="51585246" w14:textId="24928BBB" w:rsidR="00404EF3" w:rsidRPr="003F2F07" w:rsidRDefault="00585217" w:rsidP="00404EF3">
      <w:pPr>
        <w:pBdr>
          <w:top w:val="nil"/>
          <w:left w:val="nil"/>
          <w:bottom w:val="nil"/>
          <w:right w:val="nil"/>
          <w:between w:val="nil"/>
          <w:bar w:val="nil"/>
        </w:pBdr>
        <w:rPr>
          <w:noProof/>
        </w:rPr>
      </w:pPr>
      <w:r w:rsidRPr="003F2F07">
        <w:rPr>
          <w:noProof/>
        </w:rPr>
        <w:t>Un resoconto dettagliato delle consultazioni dei portatori di interessi e dei relativi risultati figura nell</w:t>
      </w:r>
      <w:r w:rsidR="00207FB3">
        <w:rPr>
          <w:noProof/>
        </w:rPr>
        <w:t>'</w:t>
      </w:r>
      <w:r w:rsidRPr="003F2F07">
        <w:rPr>
          <w:noProof/>
        </w:rPr>
        <w:t xml:space="preserve">allegato </w:t>
      </w:r>
      <w:r w:rsidRPr="00993F0C">
        <w:rPr>
          <w:noProof/>
        </w:rPr>
        <w:t>2</w:t>
      </w:r>
      <w:r w:rsidRPr="003F2F07">
        <w:rPr>
          <w:noProof/>
        </w:rPr>
        <w:t xml:space="preserve"> della relazione sulla valutazione d</w:t>
      </w:r>
      <w:r w:rsidR="00207FB3">
        <w:rPr>
          <w:noProof/>
        </w:rPr>
        <w:t>'</w:t>
      </w:r>
      <w:r w:rsidRPr="003F2F07">
        <w:rPr>
          <w:noProof/>
        </w:rPr>
        <w:t>impatto.</w:t>
      </w:r>
    </w:p>
    <w:p w14:paraId="4459173A" w14:textId="77777777" w:rsidR="00585217" w:rsidRPr="003F2F07" w:rsidRDefault="00585217" w:rsidP="00404EF3">
      <w:pPr>
        <w:pBdr>
          <w:top w:val="nil"/>
          <w:left w:val="nil"/>
          <w:bottom w:val="nil"/>
          <w:right w:val="nil"/>
          <w:between w:val="nil"/>
          <w:bar w:val="nil"/>
        </w:pBdr>
        <w:rPr>
          <w:noProof/>
        </w:rPr>
      </w:pPr>
    </w:p>
    <w:p w14:paraId="28DCF712"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Assunzione e uso di perizie</w:t>
      </w:r>
    </w:p>
    <w:p w14:paraId="3FFF2FB3" w14:textId="5EF10829" w:rsidR="00B616AF" w:rsidRPr="003F2F07" w:rsidRDefault="00404EF3" w:rsidP="00B616AF">
      <w:pPr>
        <w:rPr>
          <w:noProof/>
        </w:rPr>
      </w:pPr>
      <w:r w:rsidRPr="003F2F07">
        <w:rPr>
          <w:noProof/>
        </w:rPr>
        <w:t>A sostegno dell</w:t>
      </w:r>
      <w:r w:rsidR="00207FB3">
        <w:rPr>
          <w:noProof/>
        </w:rPr>
        <w:t>'</w:t>
      </w:r>
      <w:r w:rsidRPr="003F2F07">
        <w:rPr>
          <w:noProof/>
        </w:rPr>
        <w:t>analisi della valutazione d</w:t>
      </w:r>
      <w:r w:rsidR="00207FB3">
        <w:rPr>
          <w:noProof/>
        </w:rPr>
        <w:t>'</w:t>
      </w:r>
      <w:r w:rsidRPr="003F2F07">
        <w:rPr>
          <w:noProof/>
        </w:rPr>
        <w:t xml:space="preserve">impatto, la Commissione ha aggiudicato un contratto di sostegno a consulenti esterni: </w:t>
      </w:r>
      <w:r w:rsidR="00207FB3">
        <w:rPr>
          <w:i/>
          <w:noProof/>
        </w:rPr>
        <w:t>'</w:t>
      </w:r>
      <w:r w:rsidRPr="003F2F07">
        <w:rPr>
          <w:i/>
          <w:noProof/>
        </w:rPr>
        <w:t xml:space="preserve">Study to support the assessment of impacts associated with the review of limit values in waste for POPs listed in Annexes IV and V of Regulation (EU) </w:t>
      </w:r>
      <w:r w:rsidRPr="00993F0C">
        <w:rPr>
          <w:i/>
          <w:noProof/>
        </w:rPr>
        <w:t>2019</w:t>
      </w:r>
      <w:r w:rsidRPr="003F2F07">
        <w:rPr>
          <w:i/>
          <w:noProof/>
        </w:rPr>
        <w:t>/</w:t>
      </w:r>
      <w:r w:rsidRPr="00993F0C">
        <w:rPr>
          <w:i/>
          <w:noProof/>
        </w:rPr>
        <w:t>1021</w:t>
      </w:r>
      <w:r w:rsidR="00207FB3">
        <w:rPr>
          <w:i/>
          <w:noProof/>
        </w:rPr>
        <w:t>'</w:t>
      </w:r>
      <w:r w:rsidRPr="003F2F07">
        <w:rPr>
          <w:noProof/>
        </w:rPr>
        <w:t xml:space="preserve"> (RPA/INERIS, </w:t>
      </w:r>
      <w:r w:rsidRPr="00993F0C">
        <w:rPr>
          <w:noProof/>
        </w:rPr>
        <w:t>2021</w:t>
      </w:r>
      <w:r w:rsidRPr="003F2F07">
        <w:rPr>
          <w:noProof/>
        </w:rPr>
        <w:t>). La valutazione si basa anche su uno studio effettuato a sostegno di una precedente modifica degli allegati IV e V del regolamento POP, in particolare per quanto riguarda i flussi di massa di sostanze e rifiuti, effettuato nel contesto della rifusione del regolamento (CE) n. </w:t>
      </w:r>
      <w:r w:rsidRPr="00993F0C">
        <w:rPr>
          <w:noProof/>
        </w:rPr>
        <w:t>850</w:t>
      </w:r>
      <w:r w:rsidRPr="003F2F07">
        <w:rPr>
          <w:noProof/>
        </w:rPr>
        <w:t>/</w:t>
      </w:r>
      <w:r w:rsidRPr="00993F0C">
        <w:rPr>
          <w:noProof/>
        </w:rPr>
        <w:t>2004</w:t>
      </w:r>
      <w:r w:rsidRPr="003F2F07">
        <w:rPr>
          <w:noProof/>
        </w:rPr>
        <w:t xml:space="preserve">: </w:t>
      </w:r>
      <w:r w:rsidR="00207FB3">
        <w:rPr>
          <w:i/>
          <w:noProof/>
        </w:rPr>
        <w:t>'</w:t>
      </w:r>
      <w:r w:rsidRPr="003F2F07">
        <w:rPr>
          <w:i/>
          <w:noProof/>
        </w:rPr>
        <w:t xml:space="preserve">Study to support the review of waste related issues in Annexes IV and V of Regulation (EC) </w:t>
      </w:r>
      <w:r w:rsidRPr="00993F0C">
        <w:rPr>
          <w:i/>
          <w:noProof/>
        </w:rPr>
        <w:t>850</w:t>
      </w:r>
      <w:r w:rsidRPr="003F2F07">
        <w:rPr>
          <w:i/>
          <w:noProof/>
        </w:rPr>
        <w:t>/</w:t>
      </w:r>
      <w:r w:rsidRPr="00993F0C">
        <w:rPr>
          <w:i/>
          <w:noProof/>
        </w:rPr>
        <w:t>2004</w:t>
      </w:r>
      <w:r w:rsidR="00207FB3">
        <w:rPr>
          <w:i/>
          <w:noProof/>
        </w:rPr>
        <w:t>'</w:t>
      </w:r>
      <w:r w:rsidRPr="003F2F07">
        <w:rPr>
          <w:noProof/>
        </w:rPr>
        <w:t xml:space="preserve"> (Ramboll Environment &amp; Health GmbH, gennaio </w:t>
      </w:r>
      <w:r w:rsidRPr="00993F0C">
        <w:rPr>
          <w:noProof/>
        </w:rPr>
        <w:t>2019</w:t>
      </w:r>
      <w:r w:rsidRPr="003F2F07">
        <w:rPr>
          <w:noProof/>
        </w:rPr>
        <w:t>).</w:t>
      </w:r>
    </w:p>
    <w:p w14:paraId="3BD5CEC7" w14:textId="1607EE5F" w:rsidR="00B616AF" w:rsidRPr="003F2F07" w:rsidRDefault="00B616AF" w:rsidP="00B616AF">
      <w:pPr>
        <w:rPr>
          <w:rFonts w:eastAsia="Cambria"/>
          <w:noProof/>
        </w:rPr>
      </w:pPr>
      <w:r w:rsidRPr="003F2F07">
        <w:rPr>
          <w:noProof/>
        </w:rPr>
        <w:t xml:space="preserve">Oltre a questi due studi, si è tenuto conto anche di informazioni sulle sostanze pertinenti contenute in studi meno recenti condotti a sostegno di precedenti modifiche del regolamento POP: </w:t>
      </w:r>
    </w:p>
    <w:p w14:paraId="49506B15" w14:textId="452FF415" w:rsidR="00A574B8" w:rsidRPr="00207FB3" w:rsidRDefault="00A574B8" w:rsidP="009C7745">
      <w:pPr>
        <w:pStyle w:val="Bullet1"/>
        <w:numPr>
          <w:ilvl w:val="0"/>
          <w:numId w:val="20"/>
        </w:numPr>
        <w:rPr>
          <w:noProof/>
          <w:lang w:val="en-IE"/>
        </w:rPr>
      </w:pPr>
      <w:r w:rsidRPr="00207FB3">
        <w:rPr>
          <w:i/>
          <w:noProof/>
          <w:lang w:val="en-IE"/>
        </w:rPr>
        <w:t>Study on waste related issues of newly listed POPs and candidate POPs</w:t>
      </w:r>
      <w:r w:rsidR="00207FB3">
        <w:rPr>
          <w:noProof/>
          <w:lang w:val="en-IE"/>
        </w:rPr>
        <w:t xml:space="preserve"> (ESWI </w:t>
      </w:r>
      <w:r w:rsidRPr="00207FB3">
        <w:rPr>
          <w:noProof/>
          <w:lang w:val="en-IE"/>
        </w:rPr>
        <w:t xml:space="preserve">Consortium, aprile </w:t>
      </w:r>
      <w:r w:rsidRPr="00993F0C">
        <w:rPr>
          <w:noProof/>
          <w:lang w:val="en-IE"/>
        </w:rPr>
        <w:t>2011</w:t>
      </w:r>
      <w:r w:rsidRPr="00207FB3">
        <w:rPr>
          <w:noProof/>
          <w:lang w:val="en-IE"/>
        </w:rPr>
        <w:t>)</w:t>
      </w:r>
    </w:p>
    <w:p w14:paraId="307E7136" w14:textId="067B3D4B" w:rsidR="00A574B8" w:rsidRPr="00207FB3" w:rsidRDefault="00A574B8" w:rsidP="00A574B8">
      <w:pPr>
        <w:pStyle w:val="Bullet1"/>
        <w:rPr>
          <w:noProof/>
          <w:lang w:val="en-IE"/>
        </w:rPr>
      </w:pPr>
      <w:r w:rsidRPr="00207FB3">
        <w:rPr>
          <w:i/>
          <w:noProof/>
          <w:lang w:val="en-IE"/>
        </w:rPr>
        <w:t>Study to facilitate the implementation of certain waste related provisions of the Regulation on Persistent Organic Pollutants (POPs)</w:t>
      </w:r>
      <w:r w:rsidRPr="00207FB3">
        <w:rPr>
          <w:noProof/>
          <w:lang w:val="en-IE"/>
        </w:rPr>
        <w:t xml:space="preserve"> (BiPRO, agosto </w:t>
      </w:r>
      <w:r w:rsidRPr="00993F0C">
        <w:rPr>
          <w:noProof/>
          <w:lang w:val="en-IE"/>
        </w:rPr>
        <w:t>2005</w:t>
      </w:r>
      <w:r w:rsidRPr="00207FB3">
        <w:rPr>
          <w:noProof/>
          <w:lang w:val="en-IE"/>
        </w:rPr>
        <w:t>)</w:t>
      </w:r>
    </w:p>
    <w:p w14:paraId="1B8BC34A" w14:textId="095C59E9" w:rsidR="00B616AF" w:rsidRPr="003F2F07" w:rsidRDefault="00E55EEC" w:rsidP="00B616AF">
      <w:pPr>
        <w:rPr>
          <w:noProof/>
        </w:rPr>
      </w:pPr>
      <w:r w:rsidRPr="003F2F07">
        <w:rPr>
          <w:noProof/>
        </w:rPr>
        <w:t>Nell</w:t>
      </w:r>
      <w:r w:rsidR="00207FB3">
        <w:rPr>
          <w:noProof/>
        </w:rPr>
        <w:t>'</w:t>
      </w:r>
      <w:r w:rsidRPr="003F2F07">
        <w:rPr>
          <w:noProof/>
        </w:rPr>
        <w:t>elaborazione della valutazione d</w:t>
      </w:r>
      <w:r w:rsidR="00207FB3">
        <w:rPr>
          <w:noProof/>
        </w:rPr>
        <w:t>'</w:t>
      </w:r>
      <w:r w:rsidRPr="003F2F07">
        <w:rPr>
          <w:noProof/>
        </w:rPr>
        <w:t>impatto a sostegno della proposta ci si è avvalsi anche dell</w:t>
      </w:r>
      <w:r w:rsidR="00207FB3">
        <w:rPr>
          <w:noProof/>
        </w:rPr>
        <w:t>'</w:t>
      </w:r>
      <w:r w:rsidRPr="003F2F07">
        <w:rPr>
          <w:noProof/>
        </w:rPr>
        <w:t>assistenza di un gruppo direttivo interservizi per la valutazione d</w:t>
      </w:r>
      <w:r w:rsidR="00207FB3">
        <w:rPr>
          <w:noProof/>
        </w:rPr>
        <w:t>'</w:t>
      </w:r>
      <w:r w:rsidRPr="003F2F07">
        <w:rPr>
          <w:noProof/>
        </w:rPr>
        <w:t xml:space="preserve">impatto. Il gruppo è stato istituito dalla DG Ambiente e si è riunito quattro volte da luglio </w:t>
      </w:r>
      <w:r w:rsidRPr="00993F0C">
        <w:rPr>
          <w:noProof/>
        </w:rPr>
        <w:t>2020</w:t>
      </w:r>
      <w:r w:rsidRPr="003F2F07">
        <w:rPr>
          <w:noProof/>
        </w:rPr>
        <w:t xml:space="preserve"> a giugno </w:t>
      </w:r>
      <w:r w:rsidRPr="00993F0C">
        <w:rPr>
          <w:noProof/>
        </w:rPr>
        <w:t>2021</w:t>
      </w:r>
      <w:r w:rsidRPr="003F2F07">
        <w:rPr>
          <w:noProof/>
        </w:rPr>
        <w:t xml:space="preserve">. </w:t>
      </w:r>
    </w:p>
    <w:p w14:paraId="5BCFAF5E" w14:textId="77777777" w:rsidR="00B616AF" w:rsidRPr="003F2F07" w:rsidRDefault="00B616AF" w:rsidP="00B616AF">
      <w:pPr>
        <w:rPr>
          <w:noProof/>
        </w:rPr>
      </w:pPr>
    </w:p>
    <w:p w14:paraId="49879FE9" w14:textId="7B1FBCE5"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Valutazione d</w:t>
      </w:r>
      <w:r w:rsidR="00207FB3">
        <w:rPr>
          <w:noProof/>
          <w:u w:color="000000"/>
          <w:bdr w:val="nil"/>
        </w:rPr>
        <w:t>'</w:t>
      </w:r>
      <w:r w:rsidRPr="003F2F07">
        <w:rPr>
          <w:noProof/>
          <w:u w:color="000000"/>
          <w:bdr w:val="nil"/>
        </w:rPr>
        <w:t>impatto</w:t>
      </w:r>
    </w:p>
    <w:p w14:paraId="730E83A9" w14:textId="6B6DEEB3" w:rsidR="008B55EB" w:rsidRPr="003F2F07" w:rsidRDefault="00404EF3" w:rsidP="00597DC6">
      <w:pPr>
        <w:autoSpaceDE w:val="0"/>
        <w:autoSpaceDN w:val="0"/>
        <w:adjustRightInd w:val="0"/>
        <w:rPr>
          <w:noProof/>
          <w:szCs w:val="24"/>
        </w:rPr>
      </w:pPr>
      <w:r w:rsidRPr="003F2F07">
        <w:rPr>
          <w:b/>
          <w:noProof/>
          <w:szCs w:val="24"/>
        </w:rPr>
        <w:t>La proposta si basa su una valutazione d</w:t>
      </w:r>
      <w:r w:rsidR="00207FB3">
        <w:rPr>
          <w:b/>
          <w:noProof/>
          <w:szCs w:val="24"/>
        </w:rPr>
        <w:t>'</w:t>
      </w:r>
      <w:r w:rsidRPr="003F2F07">
        <w:rPr>
          <w:b/>
          <w:noProof/>
          <w:szCs w:val="24"/>
        </w:rPr>
        <w:t>impatto.</w:t>
      </w:r>
      <w:r w:rsidRPr="003F2F07">
        <w:rPr>
          <w:noProof/>
        </w:rPr>
        <w:t xml:space="preserve"> Dopo aver affrontato le questioni sollevate dal comitato per il controllo normativo nel suo parere iniziale del </w:t>
      </w:r>
      <w:r w:rsidRPr="00993F0C">
        <w:rPr>
          <w:noProof/>
        </w:rPr>
        <w:t>5</w:t>
      </w:r>
      <w:r w:rsidRPr="003F2F07">
        <w:rPr>
          <w:noProof/>
        </w:rPr>
        <w:t xml:space="preserve"> marzo </w:t>
      </w:r>
      <w:r w:rsidRPr="00993F0C">
        <w:rPr>
          <w:noProof/>
        </w:rPr>
        <w:t>2021</w:t>
      </w:r>
      <w:r w:rsidRPr="003F2F07">
        <w:rPr>
          <w:noProof/>
        </w:rPr>
        <w:t>, la valutazione d</w:t>
      </w:r>
      <w:r w:rsidR="00207FB3">
        <w:rPr>
          <w:noProof/>
        </w:rPr>
        <w:t>'</w:t>
      </w:r>
      <w:r w:rsidRPr="003F2F07">
        <w:rPr>
          <w:noProof/>
        </w:rPr>
        <w:t xml:space="preserve">impatto ha ricevuto un parere positivo con riserve il </w:t>
      </w:r>
      <w:r w:rsidRPr="00993F0C">
        <w:rPr>
          <w:noProof/>
        </w:rPr>
        <w:t>29</w:t>
      </w:r>
      <w:r w:rsidRPr="003F2F07">
        <w:rPr>
          <w:noProof/>
        </w:rPr>
        <w:t xml:space="preserve"> giugno </w:t>
      </w:r>
      <w:r w:rsidRPr="00993F0C">
        <w:rPr>
          <w:noProof/>
        </w:rPr>
        <w:t>2021</w:t>
      </w:r>
      <w:r w:rsidRPr="003F2F07">
        <w:rPr>
          <w:noProof/>
        </w:rPr>
        <w:t>. Nel suo parere definitivo, il comitato ha chiesto ulteriori dettagli sulla metodologia utilizzata per proporre i diversi valori limite per i POP nell</w:t>
      </w:r>
      <w:r w:rsidR="00207FB3">
        <w:rPr>
          <w:noProof/>
        </w:rPr>
        <w:t>'</w:t>
      </w:r>
      <w:r w:rsidRPr="003F2F07">
        <w:rPr>
          <w:noProof/>
        </w:rPr>
        <w:t>ambito della proposta.</w:t>
      </w:r>
    </w:p>
    <w:p w14:paraId="0EDDD851" w14:textId="601B267B" w:rsidR="008B55EB" w:rsidRPr="003F2F07" w:rsidRDefault="008B55EB" w:rsidP="008B55EB">
      <w:pPr>
        <w:rPr>
          <w:rFonts w:eastAsia="Calibri"/>
          <w:iCs/>
          <w:noProof/>
          <w:szCs w:val="24"/>
        </w:rPr>
      </w:pPr>
      <w:r w:rsidRPr="003F2F07">
        <w:rPr>
          <w:noProof/>
        </w:rPr>
        <w:t>Le opzioni strategiche considerate nella valutazione d</w:t>
      </w:r>
      <w:r w:rsidR="00207FB3">
        <w:rPr>
          <w:noProof/>
        </w:rPr>
        <w:t>'</w:t>
      </w:r>
      <w:r w:rsidRPr="003F2F07">
        <w:rPr>
          <w:noProof/>
        </w:rPr>
        <w:t>impatto fanno riferimento a un intervallo di valori limite per i valori dell</w:t>
      </w:r>
      <w:r w:rsidR="00207FB3">
        <w:rPr>
          <w:noProof/>
        </w:rPr>
        <w:t>'</w:t>
      </w:r>
      <w:r w:rsidRPr="003F2F07">
        <w:rPr>
          <w:noProof/>
        </w:rPr>
        <w:t>allegato IV da proporre per le diverse sostanze che rientrano nell</w:t>
      </w:r>
      <w:r w:rsidR="00207FB3">
        <w:rPr>
          <w:noProof/>
        </w:rPr>
        <w:t>'</w:t>
      </w:r>
      <w:r w:rsidRPr="003F2F07">
        <w:rPr>
          <w:noProof/>
        </w:rPr>
        <w:t>ambito di applicazione della proposta. I valori di cui all</w:t>
      </w:r>
      <w:r w:rsidR="00207FB3">
        <w:rPr>
          <w:noProof/>
        </w:rPr>
        <w:t>'</w:t>
      </w:r>
      <w:r w:rsidRPr="003F2F07">
        <w:rPr>
          <w:noProof/>
        </w:rPr>
        <w:t xml:space="preserve">allegato IV (noti anche come </w:t>
      </w:r>
      <w:r w:rsidR="00207FB3">
        <w:rPr>
          <w:noProof/>
        </w:rPr>
        <w:t>"</w:t>
      </w:r>
      <w:r w:rsidRPr="003F2F07">
        <w:rPr>
          <w:noProof/>
        </w:rPr>
        <w:t>limiti di concentrazione di POP bassi</w:t>
      </w:r>
      <w:r w:rsidR="00207FB3">
        <w:rPr>
          <w:noProof/>
        </w:rPr>
        <w:t>"</w:t>
      </w:r>
      <w:r w:rsidRPr="003F2F07">
        <w:rPr>
          <w:noProof/>
        </w:rPr>
        <w:t>) sono definiti all</w:t>
      </w:r>
      <w:r w:rsidR="00207FB3">
        <w:rPr>
          <w:noProof/>
        </w:rPr>
        <w:t>'</w:t>
      </w:r>
      <w:r w:rsidRPr="003F2F07">
        <w:rPr>
          <w:noProof/>
        </w:rPr>
        <w:t>articolo</w:t>
      </w:r>
      <w:r w:rsidR="00D16234">
        <w:rPr>
          <w:noProof/>
        </w:rPr>
        <w:t> </w:t>
      </w:r>
      <w:r w:rsidRPr="00993F0C">
        <w:rPr>
          <w:noProof/>
        </w:rPr>
        <w:t>7</w:t>
      </w:r>
      <w:r w:rsidRPr="003F2F07">
        <w:rPr>
          <w:noProof/>
        </w:rPr>
        <w:t>, paragrafo</w:t>
      </w:r>
      <w:r w:rsidR="00D16234">
        <w:rPr>
          <w:noProof/>
        </w:rPr>
        <w:t> </w:t>
      </w:r>
      <w:r w:rsidRPr="00993F0C">
        <w:rPr>
          <w:noProof/>
        </w:rPr>
        <w:t>4</w:t>
      </w:r>
      <w:r w:rsidRPr="003F2F07">
        <w:rPr>
          <w:noProof/>
        </w:rPr>
        <w:t>, lettera</w:t>
      </w:r>
      <w:r w:rsidR="00207FB3">
        <w:rPr>
          <w:noProof/>
        </w:rPr>
        <w:t> </w:t>
      </w:r>
      <w:r w:rsidRPr="003F2F07">
        <w:rPr>
          <w:noProof/>
        </w:rPr>
        <w:t xml:space="preserve">a), del regolamento POP. Essi stabiliscono il valore delle sostanze POP presenti nei rifiuti a partire dal quale tali sostanze devono essere distrutte o trasformate irreversibilmente. In pratica, ciò significa che i rifiuti contenenti POP al di sotto di tale valore possono essere trattati con altri mezzi, ed anche essere riciclati. </w:t>
      </w:r>
    </w:p>
    <w:p w14:paraId="6FC060E2" w14:textId="5AA58851" w:rsidR="00597DC6" w:rsidRPr="003F2F07" w:rsidRDefault="00597DC6" w:rsidP="00597DC6">
      <w:pPr>
        <w:autoSpaceDE w:val="0"/>
        <w:autoSpaceDN w:val="0"/>
        <w:adjustRightInd w:val="0"/>
        <w:rPr>
          <w:noProof/>
          <w:szCs w:val="24"/>
        </w:rPr>
      </w:pPr>
      <w:r w:rsidRPr="003F2F07">
        <w:rPr>
          <w:noProof/>
        </w:rPr>
        <w:t>Per ciascuna delle sostanze che rientrano nell</w:t>
      </w:r>
      <w:r w:rsidR="00207FB3">
        <w:rPr>
          <w:noProof/>
        </w:rPr>
        <w:t>'</w:t>
      </w:r>
      <w:r w:rsidRPr="003F2F07">
        <w:rPr>
          <w:noProof/>
        </w:rPr>
        <w:t xml:space="preserve">ambito di applicazione della proposta, </w:t>
      </w:r>
      <w:r w:rsidRPr="003F2F07">
        <w:rPr>
          <w:b/>
          <w:noProof/>
          <w:szCs w:val="24"/>
        </w:rPr>
        <w:t>l</w:t>
      </w:r>
      <w:r w:rsidR="00207FB3">
        <w:rPr>
          <w:b/>
          <w:noProof/>
          <w:szCs w:val="24"/>
        </w:rPr>
        <w:t>'</w:t>
      </w:r>
      <w:r w:rsidRPr="003F2F07">
        <w:rPr>
          <w:b/>
          <w:noProof/>
          <w:szCs w:val="24"/>
        </w:rPr>
        <w:t xml:space="preserve">opzione strategica </w:t>
      </w:r>
      <w:r w:rsidRPr="00993F0C">
        <w:rPr>
          <w:b/>
          <w:noProof/>
          <w:szCs w:val="24"/>
        </w:rPr>
        <w:t>1</w:t>
      </w:r>
      <w:r w:rsidRPr="003F2F07">
        <w:rPr>
          <w:noProof/>
        </w:rPr>
        <w:t xml:space="preserve"> descrive l</w:t>
      </w:r>
      <w:r w:rsidR="00207FB3">
        <w:rPr>
          <w:noProof/>
        </w:rPr>
        <w:t>'</w:t>
      </w:r>
      <w:r w:rsidRPr="003F2F07">
        <w:rPr>
          <w:noProof/>
        </w:rPr>
        <w:t>attuale scenario di riferimento e rappresenta il valore più elevato considerato (o l</w:t>
      </w:r>
      <w:r w:rsidR="00207FB3">
        <w:rPr>
          <w:noProof/>
        </w:rPr>
        <w:t>'</w:t>
      </w:r>
      <w:r w:rsidRPr="003F2F07">
        <w:rPr>
          <w:noProof/>
        </w:rPr>
        <w:t>assenza di limite per le sostanze non ancora elencate). Nello scenario di riferimento non sarebbero introdotte modifiche negli allegati IV e V del regolamento POP. Ciò significa che le sostanze recentemente elencate nell</w:t>
      </w:r>
      <w:r w:rsidR="00207FB3">
        <w:rPr>
          <w:noProof/>
        </w:rPr>
        <w:t>'</w:t>
      </w:r>
      <w:r w:rsidRPr="003F2F07">
        <w:rPr>
          <w:noProof/>
        </w:rPr>
        <w:t>ambito della convenzione non sarebbero incluse nei pertinenti allegati</w:t>
      </w:r>
      <w:r w:rsidRPr="003F2F07">
        <w:rPr>
          <w:rStyle w:val="FootnoteReference"/>
          <w:noProof/>
          <w:szCs w:val="24"/>
        </w:rPr>
        <w:footnoteReference w:id="12"/>
      </w:r>
      <w:r w:rsidRPr="003F2F07">
        <w:rPr>
          <w:noProof/>
        </w:rPr>
        <w:t xml:space="preserve">. Lo stesso varrebbe anche per le sostanze per le quali sono già stati fissati limiti nel quadro del regolamento POP e per le quali il progresso scientifico e tecnico consiglia di riesaminare i valori. </w:t>
      </w:r>
    </w:p>
    <w:p w14:paraId="4251A68D" w14:textId="114996A8" w:rsidR="00AD3FA5" w:rsidRPr="003F2F07" w:rsidRDefault="00597DC6" w:rsidP="00404EF3">
      <w:pPr>
        <w:autoSpaceDE w:val="0"/>
        <w:autoSpaceDN w:val="0"/>
        <w:adjustRightInd w:val="0"/>
        <w:rPr>
          <w:noProof/>
          <w:szCs w:val="24"/>
        </w:rPr>
      </w:pPr>
      <w:r w:rsidRPr="003F2F07">
        <w:rPr>
          <w:noProof/>
        </w:rPr>
        <w:t>L</w:t>
      </w:r>
      <w:r w:rsidR="00207FB3">
        <w:rPr>
          <w:noProof/>
        </w:rPr>
        <w:t>'</w:t>
      </w:r>
      <w:r w:rsidRPr="003F2F07">
        <w:rPr>
          <w:b/>
          <w:noProof/>
          <w:szCs w:val="24"/>
        </w:rPr>
        <w:t xml:space="preserve">opzione strategica </w:t>
      </w:r>
      <w:r w:rsidRPr="00993F0C">
        <w:rPr>
          <w:b/>
          <w:noProof/>
          <w:szCs w:val="24"/>
        </w:rPr>
        <w:t>2</w:t>
      </w:r>
      <w:r w:rsidRPr="003F2F07">
        <w:rPr>
          <w:noProof/>
        </w:rPr>
        <w:t xml:space="preserve"> si basa su valori intermedi dell</w:t>
      </w:r>
      <w:r w:rsidR="00207FB3">
        <w:rPr>
          <w:noProof/>
        </w:rPr>
        <w:t>'</w:t>
      </w:r>
      <w:r w:rsidRPr="003F2F07">
        <w:rPr>
          <w:noProof/>
        </w:rPr>
        <w:t>intervallo in questione. In questa opzione si propone di stabilire nell</w:t>
      </w:r>
      <w:r w:rsidR="00207FB3">
        <w:rPr>
          <w:noProof/>
        </w:rPr>
        <w:t>'</w:t>
      </w:r>
      <w:r w:rsidRPr="003F2F07">
        <w:rPr>
          <w:noProof/>
        </w:rPr>
        <w:t>allegato IV nuovi valori limite per le nuove sostanze e di rendere più rigorosi i valori limite per alcuni POP già presenti nell</w:t>
      </w:r>
      <w:r w:rsidR="00207FB3">
        <w:rPr>
          <w:noProof/>
        </w:rPr>
        <w:t>'</w:t>
      </w:r>
      <w:r w:rsidRPr="003F2F07">
        <w:rPr>
          <w:noProof/>
        </w:rPr>
        <w:t>elenco, ove ciò possa essere giustificato. Questo, ad esempio, è il caso d</w:t>
      </w:r>
      <w:r w:rsidR="00207FB3">
        <w:rPr>
          <w:noProof/>
        </w:rPr>
        <w:t>ella nuova sostanza PFOA (acido </w:t>
      </w:r>
      <w:r w:rsidRPr="003F2F07">
        <w:rPr>
          <w:noProof/>
        </w:rPr>
        <w:t>perfluoroottanoico), dei suoi sali e dei composti a essa correlati. Per il dicofol e il pentaclorofenolo non sono stati presi in considerazione valori intermedi per l</w:t>
      </w:r>
      <w:r w:rsidR="00207FB3">
        <w:rPr>
          <w:noProof/>
        </w:rPr>
        <w:t>'</w:t>
      </w:r>
      <w:r w:rsidRPr="003F2F07">
        <w:rPr>
          <w:noProof/>
        </w:rPr>
        <w:t xml:space="preserve">opzione </w:t>
      </w:r>
      <w:r w:rsidRPr="00993F0C">
        <w:rPr>
          <w:noProof/>
        </w:rPr>
        <w:t>2</w:t>
      </w:r>
      <w:r w:rsidRPr="003F2F07">
        <w:rPr>
          <w:noProof/>
        </w:rPr>
        <w:t>. Per le altre sostanze che rientrano nell</w:t>
      </w:r>
      <w:r w:rsidR="00207FB3">
        <w:rPr>
          <w:noProof/>
        </w:rPr>
        <w:t>'</w:t>
      </w:r>
      <w:r w:rsidRPr="003F2F07">
        <w:rPr>
          <w:noProof/>
        </w:rPr>
        <w:t>ambito di applicazione della presente proposta – PBDE, HBCDD, SCCP e diossine e furani (compresi i PCB diossina-simili, i cosiddetti dl-PCB) – nella valutazione d</w:t>
      </w:r>
      <w:r w:rsidR="00207FB3">
        <w:rPr>
          <w:noProof/>
        </w:rPr>
        <w:t>'</w:t>
      </w:r>
      <w:r w:rsidRPr="003F2F07">
        <w:rPr>
          <w:noProof/>
        </w:rPr>
        <w:t xml:space="preserve">impatto è stato preso in considerazione un valore limite intermedio. </w:t>
      </w:r>
    </w:p>
    <w:p w14:paraId="516F5127" w14:textId="66C90D55" w:rsidR="008036F0" w:rsidRPr="003F2F07" w:rsidRDefault="008036F0" w:rsidP="008036F0">
      <w:pPr>
        <w:rPr>
          <w:noProof/>
          <w:szCs w:val="24"/>
        </w:rPr>
      </w:pPr>
      <w:r w:rsidRPr="003F2F07">
        <w:rPr>
          <w:noProof/>
        </w:rPr>
        <w:t>Nell</w:t>
      </w:r>
      <w:r w:rsidR="00207FB3">
        <w:rPr>
          <w:noProof/>
        </w:rPr>
        <w:t>'</w:t>
      </w:r>
      <w:r w:rsidRPr="003F2F07">
        <w:rPr>
          <w:noProof/>
        </w:rPr>
        <w:t>ambito dell</w:t>
      </w:r>
      <w:r w:rsidR="00207FB3">
        <w:rPr>
          <w:noProof/>
        </w:rPr>
        <w:t>'</w:t>
      </w:r>
      <w:r w:rsidRPr="003F2F07">
        <w:rPr>
          <w:b/>
          <w:noProof/>
          <w:szCs w:val="24"/>
        </w:rPr>
        <w:t xml:space="preserve">opzione strategica </w:t>
      </w:r>
      <w:r w:rsidRPr="00993F0C">
        <w:rPr>
          <w:b/>
          <w:noProof/>
          <w:szCs w:val="24"/>
        </w:rPr>
        <w:t>3</w:t>
      </w:r>
      <w:r w:rsidRPr="003F2F07">
        <w:rPr>
          <w:noProof/>
        </w:rPr>
        <w:t xml:space="preserve"> sono proposti valori limite più rigorosi per otto sostanze elencate nell</w:t>
      </w:r>
      <w:r w:rsidR="00207FB3">
        <w:rPr>
          <w:noProof/>
        </w:rPr>
        <w:t>'</w:t>
      </w:r>
      <w:r w:rsidRPr="003F2F07">
        <w:rPr>
          <w:noProof/>
        </w:rPr>
        <w:t>allegato IV</w:t>
      </w:r>
      <w:r w:rsidRPr="003F2F07">
        <w:rPr>
          <w:rStyle w:val="FootnoteReference"/>
          <w:noProof/>
          <w:szCs w:val="24"/>
        </w:rPr>
        <w:footnoteReference w:id="13"/>
      </w:r>
      <w:r w:rsidRPr="003F2F07">
        <w:rPr>
          <w:noProof/>
        </w:rPr>
        <w:t>. Per i PBDE, l</w:t>
      </w:r>
      <w:r w:rsidR="00207FB3">
        <w:rPr>
          <w:noProof/>
        </w:rPr>
        <w:t>'</w:t>
      </w:r>
      <w:r w:rsidRPr="003F2F07">
        <w:rPr>
          <w:noProof/>
        </w:rPr>
        <w:t xml:space="preserve">opzione </w:t>
      </w:r>
      <w:r w:rsidRPr="00993F0C">
        <w:rPr>
          <w:noProof/>
        </w:rPr>
        <w:t>3</w:t>
      </w:r>
      <w:r w:rsidRPr="003F2F07">
        <w:rPr>
          <w:noProof/>
        </w:rPr>
        <w:t xml:space="preserve"> prevede due sotto-opzioni: una risulta dall</w:t>
      </w:r>
      <w:r w:rsidR="00207FB3">
        <w:rPr>
          <w:noProof/>
        </w:rPr>
        <w:t>'</w:t>
      </w:r>
      <w:r w:rsidRPr="003F2F07">
        <w:rPr>
          <w:noProof/>
        </w:rPr>
        <w:t>applicazione immediata del valore limite inferiore e l</w:t>
      </w:r>
      <w:r w:rsidR="00207FB3">
        <w:rPr>
          <w:noProof/>
        </w:rPr>
        <w:t>'</w:t>
      </w:r>
      <w:r w:rsidRPr="003F2F07">
        <w:rPr>
          <w:noProof/>
        </w:rPr>
        <w:t>altra prevede il posticipo dell</w:t>
      </w:r>
      <w:r w:rsidR="00207FB3">
        <w:rPr>
          <w:noProof/>
        </w:rPr>
        <w:t>'</w:t>
      </w:r>
      <w:r w:rsidRPr="003F2F07">
        <w:rPr>
          <w:noProof/>
        </w:rPr>
        <w:t xml:space="preserve">applicazione a </w:t>
      </w:r>
      <w:r w:rsidRPr="00993F0C">
        <w:rPr>
          <w:noProof/>
        </w:rPr>
        <w:t>5</w:t>
      </w:r>
      <w:r w:rsidR="00D16234">
        <w:rPr>
          <w:noProof/>
        </w:rPr>
        <w:t> </w:t>
      </w:r>
      <w:r w:rsidRPr="003F2F07">
        <w:rPr>
          <w:noProof/>
        </w:rPr>
        <w:t>anni dopo l</w:t>
      </w:r>
      <w:r w:rsidR="00207FB3">
        <w:rPr>
          <w:noProof/>
        </w:rPr>
        <w:t>'</w:t>
      </w:r>
      <w:r w:rsidRPr="003F2F07">
        <w:rPr>
          <w:noProof/>
        </w:rPr>
        <w:t>entrata in vigore della misura (con l</w:t>
      </w:r>
      <w:r w:rsidR="00207FB3">
        <w:rPr>
          <w:noProof/>
        </w:rPr>
        <w:t>'</w:t>
      </w:r>
      <w:r w:rsidRPr="003F2F07">
        <w:rPr>
          <w:noProof/>
        </w:rPr>
        <w:t>applicazione dell</w:t>
      </w:r>
      <w:r w:rsidR="00207FB3">
        <w:rPr>
          <w:noProof/>
        </w:rPr>
        <w:t>'</w:t>
      </w:r>
      <w:r w:rsidR="00D16234">
        <w:rPr>
          <w:noProof/>
        </w:rPr>
        <w:t>opzione </w:t>
      </w:r>
      <w:r w:rsidRPr="00993F0C">
        <w:rPr>
          <w:noProof/>
        </w:rPr>
        <w:t>2</w:t>
      </w:r>
      <w:r w:rsidRPr="003F2F07">
        <w:rPr>
          <w:noProof/>
        </w:rPr>
        <w:t xml:space="preserve"> nel frattempo). </w:t>
      </w:r>
    </w:p>
    <w:p w14:paraId="36892E85" w14:textId="2AE51291" w:rsidR="00193671" w:rsidRPr="003F2F07" w:rsidRDefault="008036F0" w:rsidP="00E41362">
      <w:pPr>
        <w:rPr>
          <w:rFonts w:eastAsia="Times New Roman"/>
          <w:noProof/>
        </w:rPr>
      </w:pPr>
      <w:r w:rsidRPr="003F2F07">
        <w:rPr>
          <w:noProof/>
        </w:rPr>
        <w:t>L</w:t>
      </w:r>
      <w:r w:rsidR="00207FB3">
        <w:rPr>
          <w:noProof/>
        </w:rPr>
        <w:t>'</w:t>
      </w:r>
      <w:r w:rsidRPr="003F2F07">
        <w:rPr>
          <w:b/>
          <w:noProof/>
        </w:rPr>
        <w:t xml:space="preserve">opzione strategica </w:t>
      </w:r>
      <w:r w:rsidRPr="00993F0C">
        <w:rPr>
          <w:b/>
          <w:noProof/>
        </w:rPr>
        <w:t>4</w:t>
      </w:r>
      <w:r w:rsidRPr="003F2F07">
        <w:rPr>
          <w:b/>
          <w:noProof/>
        </w:rPr>
        <w:t>,</w:t>
      </w:r>
      <w:r w:rsidRPr="003F2F07">
        <w:rPr>
          <w:noProof/>
        </w:rPr>
        <w:t xml:space="preserve"> che prevede l</w:t>
      </w:r>
      <w:r w:rsidR="00207FB3">
        <w:rPr>
          <w:noProof/>
        </w:rPr>
        <w:t>'</w:t>
      </w:r>
      <w:r w:rsidRPr="003F2F07">
        <w:rPr>
          <w:noProof/>
        </w:rPr>
        <w:t>introduzione di un valore più basso, è stata presa in considerazione per le diossine e i furani (PCDD/F). Con questa opzione aggiuntiva si intende valutare la possibilità di fissare un valore inferiore per le sostanze di cui all</w:t>
      </w:r>
      <w:r w:rsidR="00207FB3">
        <w:rPr>
          <w:noProof/>
        </w:rPr>
        <w:t>'</w:t>
      </w:r>
      <w:r w:rsidRPr="003F2F07">
        <w:rPr>
          <w:noProof/>
        </w:rPr>
        <w:t>allegato IV, nonché, come sotto-opzione supplementare, di fissare un valore specifico inferiore da utilizzare unicamente come limite per i rifiuti non trattati applica</w:t>
      </w:r>
      <w:r w:rsidR="00207FB3">
        <w:rPr>
          <w:noProof/>
        </w:rPr>
        <w:t>ti direttamente nei terreni (ad </w:t>
      </w:r>
      <w:r w:rsidRPr="003F2F07">
        <w:rPr>
          <w:noProof/>
        </w:rPr>
        <w:t xml:space="preserve">esempio nelle applicazioni agricole). </w:t>
      </w:r>
    </w:p>
    <w:p w14:paraId="47CA66A1" w14:textId="0F6280F5" w:rsidR="008B55EB" w:rsidRPr="003F2F07" w:rsidRDefault="008036F0" w:rsidP="00E41362">
      <w:pPr>
        <w:rPr>
          <w:noProof/>
          <w:szCs w:val="24"/>
        </w:rPr>
      </w:pPr>
      <w:r w:rsidRPr="003F2F07">
        <w:rPr>
          <w:noProof/>
        </w:rPr>
        <w:t>La tabella seguente presenta una serie di valori (opzioni strategiche) per l</w:t>
      </w:r>
      <w:r w:rsidR="00207FB3">
        <w:rPr>
          <w:noProof/>
        </w:rPr>
        <w:t>'</w:t>
      </w:r>
      <w:r w:rsidRPr="003F2F07">
        <w:rPr>
          <w:noProof/>
        </w:rPr>
        <w:t>allegato IV per ciascuna sostanza/ciascun gruppo di sostanze considerati:</w:t>
      </w:r>
    </w:p>
    <w:p w14:paraId="3ACFFED0" w14:textId="67E793EA" w:rsidR="001A0A03" w:rsidRPr="003F2F07" w:rsidRDefault="001A0A03" w:rsidP="00D16234">
      <w:pPr>
        <w:pStyle w:val="Caption"/>
        <w:keepNext/>
        <w:keepLines/>
        <w:pageBreakBefore/>
        <w:ind w:left="-567" w:firstLine="567"/>
        <w:rPr>
          <w:noProof/>
        </w:rPr>
      </w:pPr>
      <w:r w:rsidRPr="003F2F07">
        <w:rPr>
          <w:b w:val="0"/>
          <w:i/>
          <w:noProof/>
        </w:rPr>
        <w:t xml:space="preserve">Tabelle </w:t>
      </w:r>
      <w:r w:rsidRPr="00993F0C">
        <w:rPr>
          <w:b w:val="0"/>
          <w:i/>
          <w:noProof/>
        </w:rPr>
        <w:t>1</w:t>
      </w:r>
      <w:r w:rsidRPr="003F2F07">
        <w:rPr>
          <w:b w:val="0"/>
          <w:i/>
          <w:noProof/>
        </w:rPr>
        <w:t xml:space="preserve"> e </w:t>
      </w:r>
      <w:r w:rsidRPr="00993F0C">
        <w:rPr>
          <w:b w:val="0"/>
          <w:i/>
          <w:noProof/>
        </w:rPr>
        <w:t>2</w:t>
      </w:r>
      <w:r w:rsidRPr="003F2F07">
        <w:rPr>
          <w:b w:val="0"/>
          <w:i/>
          <w:noProof/>
        </w:rPr>
        <w:t>: Opzioni strategiche considerate per i limiti di cui all</w:t>
      </w:r>
      <w:r w:rsidR="00207FB3">
        <w:rPr>
          <w:b w:val="0"/>
          <w:i/>
          <w:noProof/>
        </w:rPr>
        <w:t>'</w:t>
      </w:r>
      <w:r w:rsidRPr="003F2F07">
        <w:rPr>
          <w:b w:val="0"/>
          <w:i/>
          <w:noProof/>
        </w:rPr>
        <w:t xml:space="preserve">allegato IV </w:t>
      </w:r>
    </w:p>
    <w:tbl>
      <w:tblPr>
        <w:tblStyle w:val="TableGrid12"/>
        <w:tblpPr w:leftFromText="180" w:rightFromText="180" w:vertAnchor="text" w:horzAnchor="margin" w:tblpX="74" w:tblpY="19"/>
        <w:tblOverlap w:val="never"/>
        <w:tblW w:w="9039" w:type="dxa"/>
        <w:tblLayout w:type="fixed"/>
        <w:tblLook w:val="04A0" w:firstRow="1" w:lastRow="0" w:firstColumn="1" w:lastColumn="0" w:noHBand="0" w:noVBand="1"/>
      </w:tblPr>
      <w:tblGrid>
        <w:gridCol w:w="2943"/>
        <w:gridCol w:w="1418"/>
        <w:gridCol w:w="2410"/>
        <w:gridCol w:w="2268"/>
      </w:tblGrid>
      <w:tr w:rsidR="008036F0" w:rsidRPr="003F2F07" w14:paraId="2540C4D6" w14:textId="77777777" w:rsidTr="00D16234">
        <w:trPr>
          <w:cantSplit/>
          <w:trHeight w:val="699"/>
        </w:trPr>
        <w:tc>
          <w:tcPr>
            <w:tcW w:w="2943" w:type="dxa"/>
            <w:tcBorders>
              <w:top w:val="nil"/>
              <w:left w:val="nil"/>
              <w:bottom w:val="single" w:sz="4" w:space="0" w:color="auto"/>
              <w:right w:val="single" w:sz="4" w:space="0" w:color="auto"/>
            </w:tcBorders>
          </w:tcPr>
          <w:p w14:paraId="586F409C" w14:textId="77777777" w:rsidR="008036F0" w:rsidRPr="003F2F07" w:rsidRDefault="001A0A03" w:rsidP="00D16234">
            <w:pPr>
              <w:keepNext/>
              <w:keepLines/>
              <w:spacing w:after="0"/>
              <w:jc w:val="left"/>
              <w:rPr>
                <w:b/>
                <w:i/>
                <w:noProof/>
                <w:sz w:val="18"/>
                <w:szCs w:val="18"/>
                <w:u w:val="single"/>
              </w:rPr>
            </w:pPr>
            <w:r w:rsidRPr="003F2F07">
              <w:rPr>
                <w:b/>
                <w:i/>
                <w:noProof/>
                <w:sz w:val="18"/>
                <w:szCs w:val="18"/>
                <w:u w:val="single"/>
              </w:rPr>
              <w:t xml:space="preserve">Tabella </w:t>
            </w:r>
            <w:r w:rsidRPr="00993F0C">
              <w:rPr>
                <w:b/>
                <w:i/>
                <w:noProof/>
                <w:sz w:val="18"/>
                <w:szCs w:val="18"/>
                <w:u w:val="single"/>
              </w:rPr>
              <w:t>1</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14:paraId="3F0E92B7" w14:textId="77777777" w:rsidR="008036F0" w:rsidRPr="003F2F07" w:rsidRDefault="008036F0" w:rsidP="00D16234">
            <w:pPr>
              <w:keepNext/>
              <w:keepLines/>
              <w:spacing w:after="0"/>
              <w:jc w:val="center"/>
              <w:rPr>
                <w:b/>
                <w:noProof/>
                <w:sz w:val="18"/>
                <w:szCs w:val="18"/>
              </w:rPr>
            </w:pPr>
            <w:r w:rsidRPr="003F2F07">
              <w:rPr>
                <w:b/>
                <w:noProof/>
                <w:sz w:val="18"/>
                <w:szCs w:val="18"/>
              </w:rPr>
              <w:t xml:space="preserve">Opzione </w:t>
            </w:r>
            <w:r w:rsidRPr="00993F0C">
              <w:rPr>
                <w:b/>
                <w:noProof/>
                <w:sz w:val="18"/>
                <w:szCs w:val="18"/>
              </w:rPr>
              <w:t>1</w:t>
            </w:r>
          </w:p>
          <w:p w14:paraId="2D1F3B7E" w14:textId="73258246" w:rsidR="008036F0" w:rsidRPr="003F2F07" w:rsidRDefault="008036F0" w:rsidP="00D16234">
            <w:pPr>
              <w:keepNext/>
              <w:keepLines/>
              <w:spacing w:after="0"/>
              <w:jc w:val="center"/>
              <w:rPr>
                <w:b/>
                <w:noProof/>
                <w:sz w:val="18"/>
                <w:szCs w:val="18"/>
              </w:rPr>
            </w:pPr>
            <w:r w:rsidRPr="003F2F07">
              <w:rPr>
                <w:b/>
                <w:noProof/>
                <w:sz w:val="18"/>
                <w:szCs w:val="18"/>
              </w:rPr>
              <w:t>(scenario di riferimento</w:t>
            </w:r>
            <w:r w:rsidRPr="003F2F07">
              <w:rPr>
                <w:rStyle w:val="FootnoteReference"/>
                <w:b/>
                <w:noProof/>
                <w:sz w:val="18"/>
                <w:szCs w:val="18"/>
              </w:rPr>
              <w:footnoteReference w:id="14"/>
            </w:r>
            <w:r w:rsidRPr="003F2F07">
              <w:rPr>
                <w:b/>
                <w:noProof/>
                <w:sz w:val="18"/>
                <w:szCs w:val="18"/>
              </w:rPr>
              <w:t>)</w:t>
            </w:r>
          </w:p>
        </w:tc>
        <w:tc>
          <w:tcPr>
            <w:tcW w:w="2410" w:type="dxa"/>
            <w:tcBorders>
              <w:top w:val="single" w:sz="4" w:space="0" w:color="auto"/>
              <w:left w:val="single" w:sz="4" w:space="0" w:color="auto"/>
              <w:bottom w:val="single" w:sz="4" w:space="0" w:color="auto"/>
              <w:right w:val="single" w:sz="4" w:space="0" w:color="auto"/>
            </w:tcBorders>
            <w:shd w:val="clear" w:color="auto" w:fill="C6D9F1"/>
            <w:vAlign w:val="center"/>
          </w:tcPr>
          <w:p w14:paraId="223A0F6A" w14:textId="77777777" w:rsidR="008036F0" w:rsidRPr="003F2F07" w:rsidRDefault="008036F0" w:rsidP="00D16234">
            <w:pPr>
              <w:keepNext/>
              <w:keepLines/>
              <w:spacing w:after="0"/>
              <w:jc w:val="center"/>
              <w:rPr>
                <w:b/>
                <w:noProof/>
                <w:sz w:val="18"/>
                <w:szCs w:val="18"/>
              </w:rPr>
            </w:pPr>
            <w:r w:rsidRPr="003F2F07">
              <w:rPr>
                <w:b/>
                <w:noProof/>
                <w:sz w:val="18"/>
                <w:szCs w:val="18"/>
              </w:rPr>
              <w:t xml:space="preserve">Opzione </w:t>
            </w:r>
            <w:r w:rsidRPr="00993F0C">
              <w:rPr>
                <w:b/>
                <w:noProof/>
                <w:sz w:val="18"/>
                <w:szCs w:val="18"/>
              </w:rPr>
              <w:t>2</w:t>
            </w:r>
          </w:p>
        </w:tc>
        <w:tc>
          <w:tcPr>
            <w:tcW w:w="2268" w:type="dxa"/>
            <w:tcBorders>
              <w:top w:val="single" w:sz="4" w:space="0" w:color="auto"/>
              <w:left w:val="single" w:sz="4" w:space="0" w:color="auto"/>
              <w:bottom w:val="single" w:sz="4" w:space="0" w:color="auto"/>
              <w:right w:val="single" w:sz="4" w:space="0" w:color="auto"/>
            </w:tcBorders>
            <w:shd w:val="clear" w:color="auto" w:fill="C6D9F1"/>
            <w:vAlign w:val="center"/>
          </w:tcPr>
          <w:p w14:paraId="286E29A7" w14:textId="77777777" w:rsidR="008036F0" w:rsidRPr="003F2F07" w:rsidRDefault="008036F0" w:rsidP="00D16234">
            <w:pPr>
              <w:keepNext/>
              <w:keepLines/>
              <w:spacing w:after="0"/>
              <w:jc w:val="center"/>
              <w:rPr>
                <w:b/>
                <w:noProof/>
                <w:sz w:val="18"/>
                <w:szCs w:val="18"/>
              </w:rPr>
            </w:pPr>
            <w:r w:rsidRPr="003F2F07">
              <w:rPr>
                <w:b/>
                <w:noProof/>
                <w:sz w:val="18"/>
                <w:szCs w:val="18"/>
              </w:rPr>
              <w:t xml:space="preserve">Opzione </w:t>
            </w:r>
            <w:r w:rsidRPr="00993F0C">
              <w:rPr>
                <w:b/>
                <w:noProof/>
                <w:sz w:val="18"/>
                <w:szCs w:val="18"/>
              </w:rPr>
              <w:t>3</w:t>
            </w:r>
          </w:p>
        </w:tc>
      </w:tr>
      <w:tr w:rsidR="008036F0" w:rsidRPr="003F2F07" w14:paraId="463C04BA" w14:textId="77777777" w:rsidTr="00D16234">
        <w:trPr>
          <w:cantSplit/>
          <w:trHeight w:val="588"/>
        </w:trPr>
        <w:tc>
          <w:tcPr>
            <w:tcW w:w="2943" w:type="dxa"/>
            <w:tcBorders>
              <w:top w:val="single" w:sz="4" w:space="0" w:color="auto"/>
              <w:left w:val="single" w:sz="4" w:space="0" w:color="auto"/>
              <w:bottom w:val="single" w:sz="4" w:space="0" w:color="auto"/>
              <w:right w:val="single" w:sz="4" w:space="0" w:color="auto"/>
            </w:tcBorders>
            <w:vAlign w:val="center"/>
            <w:hideMark/>
          </w:tcPr>
          <w:p w14:paraId="40CBFF10" w14:textId="6D57BEB6" w:rsidR="008036F0" w:rsidRPr="003F2F07" w:rsidRDefault="008036F0" w:rsidP="00D16234">
            <w:pPr>
              <w:keepNext/>
              <w:spacing w:after="0"/>
              <w:jc w:val="left"/>
              <w:rPr>
                <w:b/>
                <w:noProof/>
                <w:sz w:val="18"/>
                <w:szCs w:val="18"/>
              </w:rPr>
            </w:pPr>
            <w:r w:rsidRPr="003F2F07">
              <w:rPr>
                <w:b/>
                <w:noProof/>
                <w:sz w:val="18"/>
                <w:szCs w:val="18"/>
              </w:rPr>
              <w:t>PFOA, suoi sali e composti ad esso correlati (mg/kg)</w:t>
            </w:r>
          </w:p>
        </w:tc>
        <w:tc>
          <w:tcPr>
            <w:tcW w:w="1418" w:type="dxa"/>
            <w:tcBorders>
              <w:top w:val="single" w:sz="4" w:space="0" w:color="auto"/>
              <w:left w:val="single" w:sz="4" w:space="0" w:color="auto"/>
              <w:bottom w:val="single" w:sz="4" w:space="0" w:color="auto"/>
              <w:right w:val="single" w:sz="4" w:space="0" w:color="auto"/>
            </w:tcBorders>
            <w:vAlign w:val="center"/>
          </w:tcPr>
          <w:p w14:paraId="6D04E0ED" w14:textId="77777777" w:rsidR="008036F0" w:rsidRPr="003F2F07" w:rsidRDefault="008036F0" w:rsidP="00D16234">
            <w:pPr>
              <w:keepNext/>
              <w:spacing w:after="0"/>
              <w:jc w:val="center"/>
              <w:rPr>
                <w:noProof/>
                <w:sz w:val="18"/>
                <w:szCs w:val="18"/>
              </w:rPr>
            </w:pPr>
            <w:r w:rsidRPr="003F2F07">
              <w:rPr>
                <w:noProof/>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6F35D550" w14:textId="77777777" w:rsidR="008036F0" w:rsidRPr="003F2F07" w:rsidRDefault="008036F0" w:rsidP="00D16234">
            <w:pPr>
              <w:keepNext/>
              <w:spacing w:after="0"/>
              <w:jc w:val="left"/>
              <w:rPr>
                <w:noProof/>
                <w:sz w:val="18"/>
                <w:szCs w:val="18"/>
              </w:rPr>
            </w:pPr>
            <w:r w:rsidRPr="00993F0C">
              <w:rPr>
                <w:noProof/>
                <w:sz w:val="18"/>
                <w:szCs w:val="18"/>
              </w:rPr>
              <w:t>50</w:t>
            </w:r>
            <w:r w:rsidRPr="003F2F07">
              <w:rPr>
                <w:noProof/>
                <w:sz w:val="18"/>
                <w:szCs w:val="18"/>
              </w:rPr>
              <w:t xml:space="preserve"> per il PFOA e i suoi sali;</w:t>
            </w:r>
          </w:p>
          <w:p w14:paraId="7F454995" w14:textId="77777777" w:rsidR="008036F0" w:rsidRPr="003F2F07" w:rsidRDefault="008036F0" w:rsidP="00D16234">
            <w:pPr>
              <w:keepNext/>
              <w:spacing w:after="0"/>
              <w:jc w:val="left"/>
              <w:rPr>
                <w:noProof/>
                <w:sz w:val="18"/>
                <w:szCs w:val="18"/>
              </w:rPr>
            </w:pPr>
            <w:r w:rsidRPr="00993F0C">
              <w:rPr>
                <w:noProof/>
                <w:sz w:val="18"/>
                <w:szCs w:val="18"/>
              </w:rPr>
              <w:t>2</w:t>
            </w:r>
            <w:r w:rsidRPr="003F2F07">
              <w:rPr>
                <w:noProof/>
                <w:sz w:val="18"/>
                <w:szCs w:val="18"/>
              </w:rPr>
              <w:t> </w:t>
            </w:r>
            <w:r w:rsidRPr="00993F0C">
              <w:rPr>
                <w:noProof/>
                <w:sz w:val="18"/>
                <w:szCs w:val="18"/>
              </w:rPr>
              <w:t>000</w:t>
            </w:r>
            <w:r w:rsidRPr="003F2F07">
              <w:rPr>
                <w:noProof/>
                <w:sz w:val="18"/>
                <w:szCs w:val="18"/>
              </w:rPr>
              <w:t xml:space="preserve"> per i composti ad esso correlati;</w:t>
            </w:r>
          </w:p>
        </w:tc>
        <w:tc>
          <w:tcPr>
            <w:tcW w:w="2268" w:type="dxa"/>
            <w:tcBorders>
              <w:top w:val="single" w:sz="4" w:space="0" w:color="auto"/>
              <w:left w:val="single" w:sz="4" w:space="0" w:color="auto"/>
              <w:bottom w:val="single" w:sz="4" w:space="0" w:color="auto"/>
              <w:right w:val="single" w:sz="4" w:space="0" w:color="auto"/>
            </w:tcBorders>
            <w:vAlign w:val="center"/>
          </w:tcPr>
          <w:p w14:paraId="2024CC25" w14:textId="77777777" w:rsidR="008036F0" w:rsidRPr="003F2F07" w:rsidRDefault="008036F0" w:rsidP="00D16234">
            <w:pPr>
              <w:keepNext/>
              <w:spacing w:after="0"/>
              <w:jc w:val="left"/>
              <w:rPr>
                <w:noProof/>
                <w:sz w:val="18"/>
                <w:szCs w:val="18"/>
              </w:rPr>
            </w:pPr>
            <w:r w:rsidRPr="00993F0C">
              <w:rPr>
                <w:noProof/>
                <w:sz w:val="18"/>
                <w:szCs w:val="18"/>
              </w:rPr>
              <w:t>0</w:t>
            </w:r>
            <w:r w:rsidRPr="003F2F07">
              <w:rPr>
                <w:noProof/>
                <w:sz w:val="18"/>
                <w:szCs w:val="18"/>
              </w:rPr>
              <w:t>,</w:t>
            </w:r>
            <w:r w:rsidRPr="00993F0C">
              <w:rPr>
                <w:noProof/>
                <w:sz w:val="18"/>
                <w:szCs w:val="18"/>
              </w:rPr>
              <w:t>025</w:t>
            </w:r>
            <w:r w:rsidRPr="003F2F07">
              <w:rPr>
                <w:noProof/>
                <w:sz w:val="18"/>
                <w:szCs w:val="18"/>
              </w:rPr>
              <w:t xml:space="preserve"> per il PFOA e i suoi sali; </w:t>
            </w:r>
          </w:p>
          <w:p w14:paraId="3EB87A63" w14:textId="77777777" w:rsidR="008036F0" w:rsidRPr="003F2F07" w:rsidRDefault="008036F0" w:rsidP="00D16234">
            <w:pPr>
              <w:keepNext/>
              <w:spacing w:after="0"/>
              <w:jc w:val="left"/>
              <w:rPr>
                <w:noProof/>
                <w:sz w:val="18"/>
                <w:szCs w:val="18"/>
              </w:rPr>
            </w:pPr>
            <w:r w:rsidRPr="00993F0C">
              <w:rPr>
                <w:noProof/>
                <w:sz w:val="18"/>
                <w:szCs w:val="18"/>
              </w:rPr>
              <w:t>1</w:t>
            </w:r>
            <w:r w:rsidRPr="003F2F07">
              <w:rPr>
                <w:noProof/>
                <w:sz w:val="18"/>
                <w:szCs w:val="18"/>
              </w:rPr>
              <w:t xml:space="preserve"> per i composti ad esso correlati</w:t>
            </w:r>
            <w:r w:rsidRPr="003F2F07">
              <w:rPr>
                <w:noProof/>
                <w:sz w:val="18"/>
                <w:szCs w:val="18"/>
                <w:vertAlign w:val="superscript"/>
              </w:rPr>
              <w:t>#</w:t>
            </w:r>
          </w:p>
        </w:tc>
      </w:tr>
      <w:tr w:rsidR="008036F0" w:rsidRPr="003F2F07" w14:paraId="551B5D96" w14:textId="77777777" w:rsidTr="00D16234">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0AB39078" w14:textId="77777777" w:rsidR="008036F0" w:rsidRPr="003F2F07" w:rsidRDefault="008036F0" w:rsidP="00D16234">
            <w:pPr>
              <w:spacing w:after="0"/>
              <w:jc w:val="left"/>
              <w:rPr>
                <w:b/>
                <w:noProof/>
                <w:sz w:val="18"/>
                <w:szCs w:val="18"/>
              </w:rPr>
            </w:pPr>
            <w:r w:rsidRPr="003F2F07">
              <w:rPr>
                <w:b/>
                <w:noProof/>
                <w:sz w:val="18"/>
                <w:szCs w:val="18"/>
              </w:rPr>
              <w:t>Dicofol (mg/kg)</w:t>
            </w:r>
          </w:p>
        </w:tc>
        <w:tc>
          <w:tcPr>
            <w:tcW w:w="1418" w:type="dxa"/>
            <w:tcBorders>
              <w:top w:val="single" w:sz="4" w:space="0" w:color="auto"/>
              <w:left w:val="single" w:sz="4" w:space="0" w:color="auto"/>
              <w:bottom w:val="single" w:sz="4" w:space="0" w:color="auto"/>
              <w:right w:val="single" w:sz="4" w:space="0" w:color="auto"/>
            </w:tcBorders>
            <w:vAlign w:val="center"/>
          </w:tcPr>
          <w:p w14:paraId="25B9EFC9" w14:textId="77777777" w:rsidR="008036F0" w:rsidRPr="003F2F07" w:rsidRDefault="008036F0" w:rsidP="00D16234">
            <w:pPr>
              <w:spacing w:after="0"/>
              <w:jc w:val="center"/>
              <w:rPr>
                <w:noProof/>
                <w:sz w:val="18"/>
                <w:szCs w:val="18"/>
              </w:rPr>
            </w:pPr>
            <w:r w:rsidRPr="003F2F07">
              <w:rPr>
                <w:noProof/>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6930C197" w14:textId="77777777" w:rsidR="008036F0" w:rsidRPr="003F2F07" w:rsidRDefault="008036F0" w:rsidP="00D16234">
            <w:pPr>
              <w:spacing w:after="0"/>
              <w:jc w:val="center"/>
              <w:rPr>
                <w:noProof/>
                <w:sz w:val="18"/>
                <w:szCs w:val="18"/>
              </w:rPr>
            </w:pPr>
            <w:r w:rsidRPr="003F2F07">
              <w:rPr>
                <w:noProof/>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0E7FBA51" w14:textId="77777777" w:rsidR="008036F0" w:rsidRPr="003F2F07" w:rsidRDefault="008036F0" w:rsidP="00D16234">
            <w:pPr>
              <w:spacing w:after="0"/>
              <w:jc w:val="center"/>
              <w:rPr>
                <w:noProof/>
                <w:sz w:val="18"/>
                <w:szCs w:val="18"/>
              </w:rPr>
            </w:pPr>
            <w:r w:rsidRPr="00993F0C">
              <w:rPr>
                <w:noProof/>
                <w:sz w:val="18"/>
                <w:szCs w:val="18"/>
              </w:rPr>
              <w:t>50</w:t>
            </w:r>
          </w:p>
        </w:tc>
      </w:tr>
      <w:tr w:rsidR="008036F0" w:rsidRPr="003F2F07" w14:paraId="08763FFE" w14:textId="77777777" w:rsidTr="00D16234">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15E22B1F" w14:textId="44687D9E" w:rsidR="008036F0" w:rsidRPr="003F2F07" w:rsidRDefault="008036F0" w:rsidP="00D16234">
            <w:pPr>
              <w:spacing w:after="0"/>
              <w:jc w:val="left"/>
              <w:rPr>
                <w:b/>
                <w:noProof/>
                <w:sz w:val="18"/>
                <w:szCs w:val="18"/>
              </w:rPr>
            </w:pPr>
            <w:r w:rsidRPr="003F2F07">
              <w:rPr>
                <w:b/>
                <w:noProof/>
                <w:sz w:val="18"/>
                <w:szCs w:val="18"/>
              </w:rPr>
              <w:t>Pentaclorofenolo</w:t>
            </w:r>
            <w:r w:rsidR="003F2F07">
              <w:rPr>
                <w:b/>
                <w:noProof/>
                <w:sz w:val="18"/>
                <w:szCs w:val="18"/>
              </w:rPr>
              <w:t>,</w:t>
            </w:r>
            <w:r w:rsidRPr="003F2F07">
              <w:rPr>
                <w:b/>
                <w:noProof/>
                <w:sz w:val="18"/>
                <w:szCs w:val="18"/>
              </w:rPr>
              <w:t xml:space="preserve"> suoi sali ed esteri (mg/kg)</w:t>
            </w:r>
          </w:p>
        </w:tc>
        <w:tc>
          <w:tcPr>
            <w:tcW w:w="1418" w:type="dxa"/>
            <w:tcBorders>
              <w:top w:val="single" w:sz="4" w:space="0" w:color="auto"/>
              <w:left w:val="single" w:sz="4" w:space="0" w:color="auto"/>
              <w:bottom w:val="single" w:sz="4" w:space="0" w:color="auto"/>
              <w:right w:val="single" w:sz="4" w:space="0" w:color="auto"/>
            </w:tcBorders>
            <w:vAlign w:val="center"/>
          </w:tcPr>
          <w:p w14:paraId="209CFFC2" w14:textId="77777777" w:rsidR="008036F0" w:rsidRPr="003F2F07" w:rsidRDefault="008036F0" w:rsidP="00D16234">
            <w:pPr>
              <w:spacing w:after="0"/>
              <w:jc w:val="center"/>
              <w:rPr>
                <w:noProof/>
                <w:sz w:val="18"/>
                <w:szCs w:val="18"/>
              </w:rPr>
            </w:pPr>
            <w:r w:rsidRPr="003F2F07">
              <w:rPr>
                <w:noProof/>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420C717F" w14:textId="77777777" w:rsidR="008036F0" w:rsidRPr="003F2F07" w:rsidRDefault="008036F0" w:rsidP="00D16234">
            <w:pPr>
              <w:spacing w:after="0"/>
              <w:jc w:val="center"/>
              <w:rPr>
                <w:noProof/>
                <w:sz w:val="18"/>
                <w:szCs w:val="18"/>
              </w:rPr>
            </w:pPr>
            <w:r w:rsidRPr="003F2F07">
              <w:rPr>
                <w:noProof/>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26ADB91" w14:textId="77777777" w:rsidR="008036F0" w:rsidRPr="003F2F07" w:rsidRDefault="008036F0" w:rsidP="00D16234">
            <w:pPr>
              <w:spacing w:after="0"/>
              <w:jc w:val="center"/>
              <w:rPr>
                <w:noProof/>
                <w:sz w:val="18"/>
                <w:szCs w:val="18"/>
              </w:rPr>
            </w:pPr>
            <w:r w:rsidRPr="00993F0C">
              <w:rPr>
                <w:noProof/>
                <w:sz w:val="18"/>
                <w:szCs w:val="18"/>
              </w:rPr>
              <w:t>100</w:t>
            </w:r>
          </w:p>
        </w:tc>
      </w:tr>
      <w:tr w:rsidR="008036F0" w:rsidRPr="003F2F07" w14:paraId="1AF6CDE6" w14:textId="77777777" w:rsidTr="00D16234">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3B819F8F" w14:textId="6C17A935" w:rsidR="008036F0" w:rsidRPr="003F2F07" w:rsidRDefault="008036F0" w:rsidP="00D16234">
            <w:pPr>
              <w:spacing w:after="0"/>
              <w:jc w:val="left"/>
              <w:rPr>
                <w:b/>
                <w:noProof/>
                <w:sz w:val="18"/>
                <w:szCs w:val="18"/>
              </w:rPr>
            </w:pPr>
            <w:r w:rsidRPr="003F2F07">
              <w:rPr>
                <w:b/>
                <w:noProof/>
                <w:sz w:val="18"/>
                <w:szCs w:val="18"/>
              </w:rPr>
              <w:t xml:space="preserve">Somma di </w:t>
            </w:r>
            <w:r w:rsidRPr="00993F0C">
              <w:rPr>
                <w:b/>
                <w:noProof/>
                <w:sz w:val="18"/>
                <w:szCs w:val="18"/>
              </w:rPr>
              <w:t>5</w:t>
            </w:r>
            <w:r w:rsidRPr="003F2F07">
              <w:rPr>
                <w:b/>
                <w:noProof/>
                <w:sz w:val="18"/>
                <w:szCs w:val="18"/>
              </w:rPr>
              <w:t xml:space="preserve"> PBDE (mg/kg)</w:t>
            </w:r>
          </w:p>
        </w:tc>
        <w:tc>
          <w:tcPr>
            <w:tcW w:w="1418" w:type="dxa"/>
            <w:tcBorders>
              <w:top w:val="single" w:sz="4" w:space="0" w:color="auto"/>
              <w:left w:val="single" w:sz="4" w:space="0" w:color="auto"/>
              <w:bottom w:val="single" w:sz="4" w:space="0" w:color="auto"/>
              <w:right w:val="single" w:sz="4" w:space="0" w:color="auto"/>
            </w:tcBorders>
            <w:vAlign w:val="center"/>
          </w:tcPr>
          <w:p w14:paraId="76D2F1D6" w14:textId="61207FD0" w:rsidR="008036F0" w:rsidRPr="003F2F07" w:rsidRDefault="00207FB3" w:rsidP="00D16234">
            <w:pPr>
              <w:spacing w:after="0"/>
              <w:jc w:val="center"/>
              <w:rPr>
                <w:noProof/>
                <w:sz w:val="18"/>
                <w:szCs w:val="18"/>
              </w:rPr>
            </w:pPr>
            <w:r w:rsidRPr="00993F0C">
              <w:rPr>
                <w:noProof/>
                <w:sz w:val="18"/>
                <w:szCs w:val="18"/>
              </w:rPr>
              <w:t>1</w:t>
            </w:r>
            <w:r>
              <w:rPr>
                <w:noProof/>
                <w:sz w:val="18"/>
                <w:szCs w:val="18"/>
              </w:rPr>
              <w:t> </w:t>
            </w:r>
            <w:r w:rsidR="008036F0" w:rsidRPr="00993F0C">
              <w:rPr>
                <w:noProof/>
                <w:sz w:val="18"/>
                <w:szCs w:val="18"/>
              </w:rPr>
              <w:t>000</w:t>
            </w:r>
          </w:p>
        </w:tc>
        <w:tc>
          <w:tcPr>
            <w:tcW w:w="2410" w:type="dxa"/>
            <w:tcBorders>
              <w:top w:val="single" w:sz="4" w:space="0" w:color="auto"/>
              <w:left w:val="single" w:sz="4" w:space="0" w:color="auto"/>
              <w:bottom w:val="single" w:sz="4" w:space="0" w:color="auto"/>
              <w:right w:val="single" w:sz="4" w:space="0" w:color="auto"/>
            </w:tcBorders>
            <w:vAlign w:val="center"/>
          </w:tcPr>
          <w:p w14:paraId="15948420" w14:textId="77777777" w:rsidR="008036F0" w:rsidRPr="003F2F07" w:rsidRDefault="008036F0" w:rsidP="00D16234">
            <w:pPr>
              <w:spacing w:after="0"/>
              <w:jc w:val="center"/>
              <w:rPr>
                <w:noProof/>
                <w:sz w:val="18"/>
                <w:szCs w:val="18"/>
              </w:rPr>
            </w:pPr>
            <w:r w:rsidRPr="00993F0C">
              <w:rPr>
                <w:noProof/>
                <w:sz w:val="18"/>
                <w:szCs w:val="18"/>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7D9D69F5" w14:textId="77777777" w:rsidR="008036F0" w:rsidRPr="003F2F07" w:rsidRDefault="008036F0" w:rsidP="00D16234">
            <w:pPr>
              <w:spacing w:after="0"/>
              <w:jc w:val="center"/>
              <w:rPr>
                <w:noProof/>
                <w:sz w:val="18"/>
                <w:szCs w:val="18"/>
              </w:rPr>
            </w:pPr>
            <w:r w:rsidRPr="00993F0C">
              <w:rPr>
                <w:noProof/>
                <w:sz w:val="18"/>
                <w:szCs w:val="18"/>
              </w:rPr>
              <w:t>200</w:t>
            </w:r>
          </w:p>
        </w:tc>
      </w:tr>
      <w:tr w:rsidR="008036F0" w:rsidRPr="003F2F07" w14:paraId="3A56D2F1" w14:textId="77777777" w:rsidTr="00D16234">
        <w:trPr>
          <w:trHeight w:val="780"/>
        </w:trPr>
        <w:tc>
          <w:tcPr>
            <w:tcW w:w="2943" w:type="dxa"/>
            <w:tcBorders>
              <w:top w:val="single" w:sz="4" w:space="0" w:color="auto"/>
              <w:left w:val="single" w:sz="4" w:space="0" w:color="auto"/>
              <w:bottom w:val="single" w:sz="4" w:space="0" w:color="auto"/>
              <w:right w:val="single" w:sz="4" w:space="0" w:color="auto"/>
            </w:tcBorders>
            <w:vAlign w:val="center"/>
          </w:tcPr>
          <w:p w14:paraId="0945A7A1" w14:textId="77777777" w:rsidR="008036F0" w:rsidRPr="003F2F07" w:rsidRDefault="008036F0" w:rsidP="00D16234">
            <w:pPr>
              <w:spacing w:after="0"/>
              <w:jc w:val="left"/>
              <w:rPr>
                <w:b/>
                <w:noProof/>
                <w:sz w:val="18"/>
                <w:szCs w:val="18"/>
              </w:rPr>
            </w:pPr>
            <w:r w:rsidRPr="003F2F07">
              <w:rPr>
                <w:b/>
                <w:noProof/>
                <w:sz w:val="18"/>
                <w:szCs w:val="18"/>
              </w:rPr>
              <w:t>SCCP (mg/kg)</w:t>
            </w:r>
          </w:p>
        </w:tc>
        <w:tc>
          <w:tcPr>
            <w:tcW w:w="1418" w:type="dxa"/>
            <w:tcBorders>
              <w:top w:val="single" w:sz="4" w:space="0" w:color="auto"/>
              <w:left w:val="single" w:sz="4" w:space="0" w:color="auto"/>
              <w:bottom w:val="single" w:sz="4" w:space="0" w:color="auto"/>
              <w:right w:val="single" w:sz="4" w:space="0" w:color="auto"/>
            </w:tcBorders>
            <w:vAlign w:val="center"/>
          </w:tcPr>
          <w:p w14:paraId="503C925F" w14:textId="33519BF1" w:rsidR="008036F0" w:rsidRPr="003F2F07" w:rsidRDefault="00207FB3" w:rsidP="00D16234">
            <w:pPr>
              <w:spacing w:after="0"/>
              <w:jc w:val="center"/>
              <w:rPr>
                <w:noProof/>
                <w:sz w:val="18"/>
                <w:szCs w:val="18"/>
              </w:rPr>
            </w:pPr>
            <w:r w:rsidRPr="00993F0C">
              <w:rPr>
                <w:noProof/>
                <w:sz w:val="18"/>
                <w:szCs w:val="18"/>
              </w:rPr>
              <w:t>10</w:t>
            </w:r>
            <w:r>
              <w:rPr>
                <w:noProof/>
                <w:sz w:val="18"/>
                <w:szCs w:val="18"/>
              </w:rPr>
              <w:t> </w:t>
            </w:r>
            <w:r w:rsidR="008036F0" w:rsidRPr="00993F0C">
              <w:rPr>
                <w:noProof/>
                <w:sz w:val="18"/>
                <w:szCs w:val="18"/>
              </w:rPr>
              <w:t>000</w:t>
            </w:r>
          </w:p>
        </w:tc>
        <w:tc>
          <w:tcPr>
            <w:tcW w:w="2410" w:type="dxa"/>
            <w:tcBorders>
              <w:top w:val="single" w:sz="4" w:space="0" w:color="auto"/>
              <w:left w:val="single" w:sz="4" w:space="0" w:color="auto"/>
              <w:bottom w:val="single" w:sz="4" w:space="0" w:color="auto"/>
              <w:right w:val="single" w:sz="4" w:space="0" w:color="auto"/>
            </w:tcBorders>
            <w:vAlign w:val="center"/>
          </w:tcPr>
          <w:p w14:paraId="3EC819E8" w14:textId="23590C95" w:rsidR="008036F0" w:rsidRPr="003F2F07" w:rsidRDefault="00207FB3" w:rsidP="00D16234">
            <w:pPr>
              <w:spacing w:after="0"/>
              <w:jc w:val="center"/>
              <w:rPr>
                <w:noProof/>
                <w:sz w:val="18"/>
                <w:szCs w:val="18"/>
              </w:rPr>
            </w:pPr>
            <w:r w:rsidRPr="00993F0C">
              <w:rPr>
                <w:noProof/>
                <w:sz w:val="18"/>
                <w:szCs w:val="18"/>
              </w:rPr>
              <w:t>1</w:t>
            </w:r>
            <w:r>
              <w:rPr>
                <w:noProof/>
                <w:sz w:val="18"/>
                <w:szCs w:val="18"/>
              </w:rPr>
              <w:t> </w:t>
            </w:r>
            <w:r w:rsidR="008036F0" w:rsidRPr="00993F0C">
              <w:rPr>
                <w:noProof/>
                <w:sz w:val="18"/>
                <w:szCs w:val="18"/>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1D96B97E" w14:textId="77777777" w:rsidR="008036F0" w:rsidRPr="003F2F07" w:rsidRDefault="008036F0" w:rsidP="00D16234">
            <w:pPr>
              <w:spacing w:after="0"/>
              <w:jc w:val="center"/>
              <w:rPr>
                <w:noProof/>
                <w:sz w:val="18"/>
                <w:szCs w:val="18"/>
              </w:rPr>
            </w:pPr>
            <w:r w:rsidRPr="00993F0C">
              <w:rPr>
                <w:noProof/>
                <w:sz w:val="18"/>
                <w:szCs w:val="18"/>
              </w:rPr>
              <w:t>420</w:t>
            </w:r>
          </w:p>
        </w:tc>
      </w:tr>
      <w:tr w:rsidR="008036F0" w:rsidRPr="003F2F07" w14:paraId="2212837B" w14:textId="77777777" w:rsidTr="00D16234">
        <w:trPr>
          <w:trHeight w:val="628"/>
        </w:trPr>
        <w:tc>
          <w:tcPr>
            <w:tcW w:w="2943" w:type="dxa"/>
            <w:tcBorders>
              <w:top w:val="single" w:sz="4" w:space="0" w:color="auto"/>
              <w:left w:val="single" w:sz="4" w:space="0" w:color="auto"/>
              <w:bottom w:val="single" w:sz="4" w:space="0" w:color="auto"/>
              <w:right w:val="single" w:sz="4" w:space="0" w:color="auto"/>
            </w:tcBorders>
            <w:vAlign w:val="center"/>
            <w:hideMark/>
          </w:tcPr>
          <w:p w14:paraId="2FE73BEC" w14:textId="77777777" w:rsidR="008036F0" w:rsidRPr="003F2F07" w:rsidRDefault="008036F0" w:rsidP="00D16234">
            <w:pPr>
              <w:spacing w:after="0"/>
              <w:jc w:val="left"/>
              <w:rPr>
                <w:b/>
                <w:noProof/>
                <w:sz w:val="18"/>
                <w:szCs w:val="18"/>
              </w:rPr>
            </w:pPr>
            <w:r w:rsidRPr="003F2F07">
              <w:rPr>
                <w:b/>
                <w:noProof/>
                <w:sz w:val="18"/>
                <w:szCs w:val="18"/>
              </w:rPr>
              <w:t>HBCDD (mg/kg)</w:t>
            </w:r>
          </w:p>
        </w:tc>
        <w:tc>
          <w:tcPr>
            <w:tcW w:w="1418" w:type="dxa"/>
            <w:tcBorders>
              <w:top w:val="single" w:sz="4" w:space="0" w:color="auto"/>
              <w:left w:val="single" w:sz="4" w:space="0" w:color="auto"/>
              <w:bottom w:val="single" w:sz="4" w:space="0" w:color="auto"/>
              <w:right w:val="single" w:sz="4" w:space="0" w:color="auto"/>
            </w:tcBorders>
            <w:vAlign w:val="center"/>
          </w:tcPr>
          <w:p w14:paraId="54F29471" w14:textId="0E9D940C" w:rsidR="008036F0" w:rsidRPr="003F2F07" w:rsidRDefault="00207FB3" w:rsidP="00D16234">
            <w:pPr>
              <w:spacing w:after="0"/>
              <w:jc w:val="center"/>
              <w:rPr>
                <w:noProof/>
                <w:sz w:val="18"/>
                <w:szCs w:val="18"/>
              </w:rPr>
            </w:pPr>
            <w:r w:rsidRPr="00993F0C">
              <w:rPr>
                <w:noProof/>
                <w:sz w:val="18"/>
                <w:szCs w:val="18"/>
              </w:rPr>
              <w:t>1</w:t>
            </w:r>
            <w:r>
              <w:rPr>
                <w:noProof/>
                <w:sz w:val="18"/>
                <w:szCs w:val="18"/>
              </w:rPr>
              <w:t> </w:t>
            </w:r>
            <w:r w:rsidR="008036F0" w:rsidRPr="00993F0C">
              <w:rPr>
                <w:noProof/>
                <w:sz w:val="18"/>
                <w:szCs w:val="18"/>
              </w:rPr>
              <w:t>000</w:t>
            </w:r>
          </w:p>
        </w:tc>
        <w:tc>
          <w:tcPr>
            <w:tcW w:w="2410" w:type="dxa"/>
            <w:tcBorders>
              <w:top w:val="single" w:sz="4" w:space="0" w:color="auto"/>
              <w:left w:val="single" w:sz="4" w:space="0" w:color="auto"/>
              <w:bottom w:val="single" w:sz="4" w:space="0" w:color="auto"/>
              <w:right w:val="single" w:sz="4" w:space="0" w:color="auto"/>
            </w:tcBorders>
            <w:vAlign w:val="center"/>
          </w:tcPr>
          <w:p w14:paraId="7935865E" w14:textId="77777777" w:rsidR="008036F0" w:rsidRPr="003F2F07" w:rsidRDefault="008036F0" w:rsidP="00D16234">
            <w:pPr>
              <w:spacing w:after="0"/>
              <w:jc w:val="center"/>
              <w:rPr>
                <w:noProof/>
                <w:sz w:val="18"/>
                <w:szCs w:val="18"/>
              </w:rPr>
            </w:pPr>
            <w:r w:rsidRPr="00993F0C">
              <w:rPr>
                <w:noProof/>
                <w:sz w:val="18"/>
                <w:szCs w:val="18"/>
              </w:rPr>
              <w:t>500</w:t>
            </w:r>
          </w:p>
        </w:tc>
        <w:tc>
          <w:tcPr>
            <w:tcW w:w="2268" w:type="dxa"/>
            <w:tcBorders>
              <w:top w:val="single" w:sz="4" w:space="0" w:color="auto"/>
              <w:left w:val="single" w:sz="4" w:space="0" w:color="auto"/>
              <w:bottom w:val="single" w:sz="4" w:space="0" w:color="auto"/>
              <w:right w:val="single" w:sz="4" w:space="0" w:color="auto"/>
            </w:tcBorders>
            <w:vAlign w:val="center"/>
          </w:tcPr>
          <w:p w14:paraId="1570C3C1" w14:textId="77777777" w:rsidR="008036F0" w:rsidRPr="003F2F07" w:rsidRDefault="008036F0" w:rsidP="00D16234">
            <w:pPr>
              <w:spacing w:after="0"/>
              <w:jc w:val="center"/>
              <w:rPr>
                <w:noProof/>
                <w:sz w:val="18"/>
                <w:szCs w:val="18"/>
              </w:rPr>
            </w:pPr>
            <w:r w:rsidRPr="00993F0C">
              <w:rPr>
                <w:noProof/>
                <w:sz w:val="18"/>
                <w:szCs w:val="18"/>
              </w:rPr>
              <w:t>100</w:t>
            </w:r>
          </w:p>
        </w:tc>
      </w:tr>
    </w:tbl>
    <w:p w14:paraId="3B4ABA49" w14:textId="61C69510" w:rsidR="008036F0" w:rsidRPr="003F2F07" w:rsidRDefault="008036F0" w:rsidP="008036F0">
      <w:pPr>
        <w:rPr>
          <w:rFonts w:eastAsia="Calibri"/>
          <w:i/>
          <w:noProof/>
          <w:sz w:val="20"/>
          <w:szCs w:val="20"/>
        </w:rPr>
      </w:pPr>
      <w:r w:rsidRPr="003F2F07">
        <w:rPr>
          <w:noProof/>
          <w:sz w:val="18"/>
          <w:szCs w:val="18"/>
        </w:rPr>
        <w:t>Nota: non sono disponibili valori di riferimento per PFOA, dicofol e PCP, dato che si tratta di sostanze di recente inclusione.</w:t>
      </w:r>
    </w:p>
    <w:p w14:paraId="3CD949A1" w14:textId="77777777" w:rsidR="008B55EB" w:rsidRPr="003F2F07" w:rsidRDefault="008B55EB" w:rsidP="008036F0">
      <w:pPr>
        <w:jc w:val="left"/>
        <w:rPr>
          <w:rFonts w:eastAsia="Calibri"/>
          <w:noProof/>
          <w:sz w:val="18"/>
          <w:szCs w:val="18"/>
        </w:rPr>
      </w:pPr>
    </w:p>
    <w:tbl>
      <w:tblPr>
        <w:tblStyle w:val="TableGrid12"/>
        <w:tblpPr w:leftFromText="180" w:rightFromText="180" w:vertAnchor="text" w:horzAnchor="margin" w:tblpX="74" w:tblpY="19"/>
        <w:tblW w:w="9039" w:type="dxa"/>
        <w:tblLayout w:type="fixed"/>
        <w:tblLook w:val="04A0" w:firstRow="1" w:lastRow="0" w:firstColumn="1" w:lastColumn="0" w:noHBand="0" w:noVBand="1"/>
      </w:tblPr>
      <w:tblGrid>
        <w:gridCol w:w="2376"/>
        <w:gridCol w:w="1168"/>
        <w:gridCol w:w="1276"/>
        <w:gridCol w:w="1809"/>
        <w:gridCol w:w="2410"/>
      </w:tblGrid>
      <w:tr w:rsidR="00E41362" w:rsidRPr="003F2F07" w14:paraId="227A1EE7" w14:textId="77777777" w:rsidTr="00E41362">
        <w:trPr>
          <w:trHeight w:val="841"/>
        </w:trPr>
        <w:tc>
          <w:tcPr>
            <w:tcW w:w="2376" w:type="dxa"/>
            <w:tcBorders>
              <w:top w:val="nil"/>
              <w:left w:val="nil"/>
              <w:bottom w:val="single" w:sz="4" w:space="0" w:color="auto"/>
              <w:right w:val="single" w:sz="4" w:space="0" w:color="auto"/>
            </w:tcBorders>
          </w:tcPr>
          <w:p w14:paraId="76EA676C" w14:textId="77777777" w:rsidR="008036F0" w:rsidRPr="003F2F07" w:rsidRDefault="001A0A03" w:rsidP="001A0A03">
            <w:pPr>
              <w:spacing w:after="0"/>
              <w:jc w:val="left"/>
              <w:rPr>
                <w:i/>
                <w:noProof/>
                <w:sz w:val="18"/>
                <w:szCs w:val="18"/>
                <w:u w:val="single"/>
              </w:rPr>
            </w:pPr>
            <w:r w:rsidRPr="003F2F07">
              <w:rPr>
                <w:b/>
                <w:i/>
                <w:noProof/>
                <w:sz w:val="18"/>
                <w:szCs w:val="18"/>
                <w:u w:val="single"/>
              </w:rPr>
              <w:t xml:space="preserve">Tabella </w:t>
            </w:r>
            <w:r w:rsidRPr="00993F0C">
              <w:rPr>
                <w:b/>
                <w:i/>
                <w:noProof/>
                <w:sz w:val="18"/>
                <w:szCs w:val="18"/>
                <w:u w:val="single"/>
              </w:rPr>
              <w:t>2</w:t>
            </w:r>
          </w:p>
        </w:tc>
        <w:tc>
          <w:tcPr>
            <w:tcW w:w="1168" w:type="dxa"/>
            <w:tcBorders>
              <w:top w:val="single" w:sz="4" w:space="0" w:color="auto"/>
              <w:left w:val="single" w:sz="4" w:space="0" w:color="auto"/>
              <w:bottom w:val="single" w:sz="4" w:space="0" w:color="auto"/>
              <w:right w:val="single" w:sz="4" w:space="0" w:color="auto"/>
            </w:tcBorders>
            <w:shd w:val="clear" w:color="auto" w:fill="C6D9F1"/>
            <w:vAlign w:val="center"/>
          </w:tcPr>
          <w:p w14:paraId="198E9472" w14:textId="77777777" w:rsidR="008036F0" w:rsidRPr="003F2F07" w:rsidRDefault="008036F0" w:rsidP="00E41362">
            <w:pPr>
              <w:spacing w:after="0"/>
              <w:jc w:val="center"/>
              <w:rPr>
                <w:b/>
                <w:noProof/>
                <w:sz w:val="16"/>
                <w:szCs w:val="16"/>
              </w:rPr>
            </w:pPr>
            <w:r w:rsidRPr="003F2F07">
              <w:rPr>
                <w:b/>
                <w:noProof/>
                <w:sz w:val="16"/>
                <w:szCs w:val="16"/>
              </w:rPr>
              <w:t xml:space="preserve">Opzione </w:t>
            </w:r>
            <w:r w:rsidRPr="00993F0C">
              <w:rPr>
                <w:b/>
                <w:noProof/>
                <w:sz w:val="16"/>
                <w:szCs w:val="16"/>
              </w:rPr>
              <w:t>1</w:t>
            </w:r>
            <w:r w:rsidRPr="003F2F07">
              <w:rPr>
                <w:b/>
                <w:noProof/>
                <w:sz w:val="16"/>
                <w:szCs w:val="16"/>
              </w:rPr>
              <w:t xml:space="preserve"> (scenario di riferimento)</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14:paraId="0DE196C9" w14:textId="77777777" w:rsidR="008036F0" w:rsidRPr="003F2F07" w:rsidRDefault="008036F0" w:rsidP="00E41362">
            <w:pPr>
              <w:spacing w:after="0"/>
              <w:jc w:val="center"/>
              <w:rPr>
                <w:b/>
                <w:noProof/>
                <w:sz w:val="18"/>
                <w:szCs w:val="18"/>
              </w:rPr>
            </w:pPr>
            <w:r w:rsidRPr="003F2F07">
              <w:rPr>
                <w:b/>
                <w:noProof/>
                <w:sz w:val="18"/>
                <w:szCs w:val="18"/>
              </w:rPr>
              <w:t xml:space="preserve">Opzione </w:t>
            </w:r>
            <w:r w:rsidRPr="00993F0C">
              <w:rPr>
                <w:b/>
                <w:noProof/>
                <w:sz w:val="18"/>
                <w:szCs w:val="18"/>
              </w:rPr>
              <w:t>2</w:t>
            </w:r>
          </w:p>
          <w:p w14:paraId="2262476E" w14:textId="77777777" w:rsidR="008036F0" w:rsidRPr="003F2F07" w:rsidRDefault="008036F0" w:rsidP="00E41362">
            <w:pPr>
              <w:spacing w:after="0"/>
              <w:jc w:val="center"/>
              <w:rPr>
                <w:b/>
                <w:noProof/>
                <w:sz w:val="18"/>
                <w:szCs w:val="18"/>
              </w:rPr>
            </w:pPr>
          </w:p>
        </w:tc>
        <w:tc>
          <w:tcPr>
            <w:tcW w:w="1809" w:type="dxa"/>
            <w:tcBorders>
              <w:top w:val="single" w:sz="4" w:space="0" w:color="auto"/>
              <w:left w:val="single" w:sz="4" w:space="0" w:color="auto"/>
              <w:bottom w:val="single" w:sz="4" w:space="0" w:color="auto"/>
              <w:right w:val="single" w:sz="4" w:space="0" w:color="auto"/>
            </w:tcBorders>
            <w:shd w:val="clear" w:color="auto" w:fill="C6D9F1"/>
            <w:vAlign w:val="center"/>
          </w:tcPr>
          <w:p w14:paraId="2F5B1975" w14:textId="77777777" w:rsidR="008036F0" w:rsidRPr="003F2F07" w:rsidRDefault="008036F0" w:rsidP="00E41362">
            <w:pPr>
              <w:spacing w:after="0"/>
              <w:jc w:val="center"/>
              <w:rPr>
                <w:b/>
                <w:noProof/>
                <w:sz w:val="18"/>
                <w:szCs w:val="18"/>
              </w:rPr>
            </w:pPr>
            <w:r w:rsidRPr="003F2F07">
              <w:rPr>
                <w:b/>
                <w:noProof/>
                <w:sz w:val="18"/>
                <w:szCs w:val="18"/>
              </w:rPr>
              <w:t xml:space="preserve">Opzione </w:t>
            </w:r>
            <w:r w:rsidRPr="00993F0C">
              <w:rPr>
                <w:b/>
                <w:noProof/>
                <w:sz w:val="18"/>
                <w:szCs w:val="18"/>
              </w:rPr>
              <w:t>3</w:t>
            </w:r>
          </w:p>
          <w:p w14:paraId="54EC76D1" w14:textId="77777777" w:rsidR="008036F0" w:rsidRPr="003F2F07" w:rsidRDefault="008036F0" w:rsidP="00E41362">
            <w:pPr>
              <w:spacing w:after="0"/>
              <w:jc w:val="center"/>
              <w:rPr>
                <w:b/>
                <w:noProof/>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C6D9F1"/>
            <w:vAlign w:val="center"/>
          </w:tcPr>
          <w:p w14:paraId="0E971D8D" w14:textId="77777777" w:rsidR="008036F0" w:rsidRPr="003F2F07" w:rsidRDefault="008036F0" w:rsidP="00E41362">
            <w:pPr>
              <w:spacing w:after="0"/>
              <w:jc w:val="center"/>
              <w:rPr>
                <w:b/>
                <w:noProof/>
                <w:sz w:val="18"/>
                <w:szCs w:val="18"/>
              </w:rPr>
            </w:pPr>
            <w:r w:rsidRPr="003F2F07">
              <w:rPr>
                <w:b/>
                <w:noProof/>
                <w:sz w:val="18"/>
                <w:szCs w:val="18"/>
              </w:rPr>
              <w:t xml:space="preserve">Opzione </w:t>
            </w:r>
            <w:r w:rsidRPr="00993F0C">
              <w:rPr>
                <w:b/>
                <w:noProof/>
                <w:sz w:val="18"/>
                <w:szCs w:val="18"/>
              </w:rPr>
              <w:t>4</w:t>
            </w:r>
          </w:p>
          <w:p w14:paraId="565553BB" w14:textId="77777777" w:rsidR="008036F0" w:rsidRPr="003F2F07" w:rsidRDefault="008036F0" w:rsidP="00E41362">
            <w:pPr>
              <w:spacing w:after="0"/>
              <w:jc w:val="center"/>
              <w:rPr>
                <w:b/>
                <w:noProof/>
                <w:sz w:val="18"/>
                <w:szCs w:val="18"/>
              </w:rPr>
            </w:pPr>
          </w:p>
        </w:tc>
      </w:tr>
      <w:tr w:rsidR="008036F0" w:rsidRPr="003F2F07" w14:paraId="58C1625A" w14:textId="77777777" w:rsidTr="00E41362">
        <w:trPr>
          <w:trHeight w:val="588"/>
        </w:trPr>
        <w:tc>
          <w:tcPr>
            <w:tcW w:w="2376" w:type="dxa"/>
            <w:tcBorders>
              <w:top w:val="single" w:sz="4" w:space="0" w:color="auto"/>
              <w:left w:val="single" w:sz="4" w:space="0" w:color="auto"/>
              <w:bottom w:val="single" w:sz="4" w:space="0" w:color="auto"/>
              <w:right w:val="single" w:sz="4" w:space="0" w:color="auto"/>
            </w:tcBorders>
            <w:vAlign w:val="center"/>
            <w:hideMark/>
          </w:tcPr>
          <w:p w14:paraId="420041F5" w14:textId="4F376E9F" w:rsidR="008036F0" w:rsidRPr="003F2F07" w:rsidRDefault="008036F0" w:rsidP="00E41362">
            <w:pPr>
              <w:spacing w:after="0"/>
              <w:jc w:val="left"/>
              <w:rPr>
                <w:b/>
                <w:noProof/>
                <w:sz w:val="18"/>
                <w:szCs w:val="18"/>
              </w:rPr>
            </w:pPr>
            <w:r w:rsidRPr="003F2F07">
              <w:rPr>
                <w:b/>
                <w:noProof/>
                <w:sz w:val="18"/>
                <w:szCs w:val="18"/>
              </w:rPr>
              <w:t>Diossine e furani*</w:t>
            </w:r>
          </w:p>
          <w:p w14:paraId="1EEF3D21" w14:textId="77777777" w:rsidR="008036F0" w:rsidRPr="003F2F07" w:rsidRDefault="008036F0" w:rsidP="00E41362">
            <w:pPr>
              <w:spacing w:after="0"/>
              <w:jc w:val="left"/>
              <w:rPr>
                <w:b/>
                <w:noProof/>
                <w:sz w:val="18"/>
                <w:szCs w:val="18"/>
              </w:rPr>
            </w:pPr>
            <w:r w:rsidRPr="003F2F07">
              <w:rPr>
                <w:b/>
                <w:noProof/>
                <w:sz w:val="18"/>
                <w:szCs w:val="18"/>
              </w:rPr>
              <w:t>mg/kg</w:t>
            </w:r>
          </w:p>
        </w:tc>
        <w:tc>
          <w:tcPr>
            <w:tcW w:w="1168" w:type="dxa"/>
            <w:tcBorders>
              <w:top w:val="single" w:sz="4" w:space="0" w:color="auto"/>
              <w:left w:val="single" w:sz="4" w:space="0" w:color="auto"/>
              <w:bottom w:val="single" w:sz="4" w:space="0" w:color="auto"/>
              <w:right w:val="single" w:sz="4" w:space="0" w:color="auto"/>
            </w:tcBorders>
            <w:hideMark/>
          </w:tcPr>
          <w:p w14:paraId="5B08EEC2" w14:textId="77777777" w:rsidR="008036F0" w:rsidRPr="003F2F07" w:rsidRDefault="008036F0" w:rsidP="00E41362">
            <w:pPr>
              <w:spacing w:after="0"/>
              <w:jc w:val="left"/>
              <w:rPr>
                <w:noProof/>
                <w:sz w:val="18"/>
                <w:szCs w:val="18"/>
              </w:rPr>
            </w:pPr>
            <w:r w:rsidRPr="00993F0C">
              <w:rPr>
                <w:noProof/>
                <w:sz w:val="18"/>
                <w:szCs w:val="18"/>
              </w:rPr>
              <w:t>0</w:t>
            </w:r>
            <w:r w:rsidRPr="003F2F07">
              <w:rPr>
                <w:noProof/>
                <w:sz w:val="18"/>
                <w:szCs w:val="18"/>
              </w:rPr>
              <w:t>,</w:t>
            </w:r>
            <w:r w:rsidRPr="00993F0C">
              <w:rPr>
                <w:noProof/>
                <w:sz w:val="18"/>
                <w:szCs w:val="18"/>
              </w:rPr>
              <w:t>015</w:t>
            </w:r>
          </w:p>
        </w:tc>
        <w:tc>
          <w:tcPr>
            <w:tcW w:w="1276" w:type="dxa"/>
            <w:tcBorders>
              <w:top w:val="single" w:sz="4" w:space="0" w:color="auto"/>
              <w:left w:val="single" w:sz="4" w:space="0" w:color="auto"/>
              <w:bottom w:val="single" w:sz="4" w:space="0" w:color="auto"/>
              <w:right w:val="single" w:sz="4" w:space="0" w:color="auto"/>
            </w:tcBorders>
          </w:tcPr>
          <w:p w14:paraId="00BC652B" w14:textId="77777777" w:rsidR="008036F0" w:rsidRPr="003F2F07" w:rsidRDefault="008036F0" w:rsidP="00E41362">
            <w:pPr>
              <w:spacing w:after="0"/>
              <w:jc w:val="left"/>
              <w:rPr>
                <w:noProof/>
                <w:sz w:val="18"/>
                <w:szCs w:val="18"/>
              </w:rPr>
            </w:pPr>
            <w:r w:rsidRPr="00993F0C">
              <w:rPr>
                <w:noProof/>
                <w:sz w:val="18"/>
                <w:szCs w:val="18"/>
              </w:rPr>
              <w:t>0</w:t>
            </w:r>
            <w:r w:rsidRPr="003F2F07">
              <w:rPr>
                <w:noProof/>
                <w:sz w:val="18"/>
                <w:szCs w:val="18"/>
              </w:rPr>
              <w:t>,</w:t>
            </w:r>
            <w:r w:rsidRPr="00993F0C">
              <w:rPr>
                <w:noProof/>
                <w:sz w:val="18"/>
                <w:szCs w:val="18"/>
              </w:rPr>
              <w:t>010</w:t>
            </w:r>
          </w:p>
        </w:tc>
        <w:tc>
          <w:tcPr>
            <w:tcW w:w="1809" w:type="dxa"/>
            <w:tcBorders>
              <w:top w:val="single" w:sz="4" w:space="0" w:color="auto"/>
              <w:left w:val="single" w:sz="4" w:space="0" w:color="auto"/>
              <w:bottom w:val="single" w:sz="4" w:space="0" w:color="auto"/>
              <w:right w:val="single" w:sz="4" w:space="0" w:color="auto"/>
            </w:tcBorders>
          </w:tcPr>
          <w:p w14:paraId="5681CA2F" w14:textId="77777777" w:rsidR="008036F0" w:rsidRPr="003F2F07" w:rsidRDefault="008036F0" w:rsidP="00E41362">
            <w:pPr>
              <w:spacing w:after="0"/>
              <w:jc w:val="left"/>
              <w:rPr>
                <w:noProof/>
                <w:sz w:val="18"/>
                <w:szCs w:val="18"/>
              </w:rPr>
            </w:pPr>
            <w:r w:rsidRPr="00993F0C">
              <w:rPr>
                <w:noProof/>
                <w:sz w:val="18"/>
                <w:szCs w:val="18"/>
              </w:rPr>
              <w:t>0</w:t>
            </w:r>
            <w:r w:rsidRPr="003F2F07">
              <w:rPr>
                <w:noProof/>
                <w:sz w:val="18"/>
                <w:szCs w:val="18"/>
              </w:rPr>
              <w:t>,</w:t>
            </w:r>
            <w:r w:rsidRPr="00993F0C">
              <w:rPr>
                <w:noProof/>
                <w:sz w:val="18"/>
                <w:szCs w:val="18"/>
              </w:rPr>
              <w:t>005</w:t>
            </w:r>
            <w:r w:rsidRPr="003F2F07">
              <w:rPr>
                <w:noProof/>
                <w:sz w:val="18"/>
                <w:szCs w:val="18"/>
                <w:vertAlign w:val="superscript"/>
              </w:rPr>
              <w:t xml:space="preserve">+ </w:t>
            </w:r>
            <w:r w:rsidRPr="003F2F07">
              <w:rPr>
                <w:noProof/>
                <w:sz w:val="18"/>
                <w:szCs w:val="18"/>
              </w:rPr>
              <w:t>(</w:t>
            </w:r>
            <w:r w:rsidRPr="00993F0C">
              <w:rPr>
                <w:noProof/>
                <w:sz w:val="18"/>
                <w:szCs w:val="18"/>
              </w:rPr>
              <w:t>0</w:t>
            </w:r>
            <w:r w:rsidRPr="003F2F07">
              <w:rPr>
                <w:noProof/>
                <w:sz w:val="18"/>
                <w:szCs w:val="18"/>
              </w:rPr>
              <w:t>,</w:t>
            </w:r>
            <w:r w:rsidRPr="00993F0C">
              <w:rPr>
                <w:noProof/>
                <w:sz w:val="18"/>
                <w:szCs w:val="18"/>
              </w:rPr>
              <w:t>001</w:t>
            </w:r>
            <w:r w:rsidRPr="003F2F07">
              <w:rPr>
                <w:noProof/>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4C364351" w14:textId="77777777" w:rsidR="008036F0" w:rsidRPr="003F2F07" w:rsidRDefault="008036F0" w:rsidP="00E41362">
            <w:pPr>
              <w:spacing w:after="0"/>
              <w:jc w:val="left"/>
              <w:rPr>
                <w:noProof/>
                <w:sz w:val="18"/>
                <w:szCs w:val="18"/>
              </w:rPr>
            </w:pPr>
            <w:r w:rsidRPr="00993F0C">
              <w:rPr>
                <w:noProof/>
                <w:sz w:val="18"/>
                <w:szCs w:val="18"/>
              </w:rPr>
              <w:t>0</w:t>
            </w:r>
            <w:r w:rsidRPr="003F2F07">
              <w:rPr>
                <w:noProof/>
                <w:sz w:val="18"/>
                <w:szCs w:val="18"/>
              </w:rPr>
              <w:t>,</w:t>
            </w:r>
            <w:r w:rsidRPr="00993F0C">
              <w:rPr>
                <w:noProof/>
                <w:sz w:val="18"/>
                <w:szCs w:val="18"/>
              </w:rPr>
              <w:t>001</w:t>
            </w:r>
            <w:r w:rsidRPr="003F2F07">
              <w:rPr>
                <w:noProof/>
                <w:sz w:val="18"/>
                <w:szCs w:val="18"/>
                <w:vertAlign w:val="superscript"/>
              </w:rPr>
              <w:t xml:space="preserve">+ </w:t>
            </w:r>
            <w:r w:rsidRPr="003F2F07">
              <w:rPr>
                <w:noProof/>
                <w:sz w:val="18"/>
                <w:szCs w:val="18"/>
              </w:rPr>
              <w:t>(</w:t>
            </w:r>
            <w:r w:rsidRPr="00993F0C">
              <w:rPr>
                <w:noProof/>
                <w:sz w:val="18"/>
                <w:szCs w:val="18"/>
              </w:rPr>
              <w:t>0</w:t>
            </w:r>
            <w:r w:rsidRPr="003F2F07">
              <w:rPr>
                <w:noProof/>
                <w:sz w:val="18"/>
                <w:szCs w:val="18"/>
              </w:rPr>
              <w:t>,</w:t>
            </w:r>
            <w:r w:rsidRPr="00993F0C">
              <w:rPr>
                <w:noProof/>
                <w:sz w:val="18"/>
                <w:szCs w:val="18"/>
              </w:rPr>
              <w:t>00005</w:t>
            </w:r>
            <w:r w:rsidRPr="003F2F07">
              <w:rPr>
                <w:noProof/>
                <w:sz w:val="18"/>
                <w:szCs w:val="18"/>
              </w:rPr>
              <w:t>)</w:t>
            </w:r>
          </w:p>
        </w:tc>
      </w:tr>
    </w:tbl>
    <w:p w14:paraId="0DE6EE11" w14:textId="43FE20BD" w:rsidR="008036F0" w:rsidRPr="003F2F07" w:rsidRDefault="008036F0" w:rsidP="008036F0">
      <w:pPr>
        <w:rPr>
          <w:rFonts w:eastAsia="Calibri"/>
          <w:noProof/>
          <w:sz w:val="18"/>
          <w:szCs w:val="18"/>
        </w:rPr>
      </w:pPr>
      <w:r w:rsidRPr="003F2F07">
        <w:rPr>
          <w:noProof/>
          <w:sz w:val="18"/>
          <w:szCs w:val="18"/>
        </w:rPr>
        <w:t>*: Si valuta inoltre l</w:t>
      </w:r>
      <w:r w:rsidR="00207FB3">
        <w:rPr>
          <w:noProof/>
          <w:sz w:val="18"/>
          <w:szCs w:val="18"/>
        </w:rPr>
        <w:t>'</w:t>
      </w:r>
      <w:r w:rsidRPr="003F2F07">
        <w:rPr>
          <w:noProof/>
          <w:sz w:val="18"/>
          <w:szCs w:val="18"/>
        </w:rPr>
        <w:t>opportunità di includere i PCB diossina-simili nel valore applicabile al gruppo delle diossine e dei furani</w:t>
      </w:r>
      <w:r w:rsidR="003F2F07">
        <w:rPr>
          <w:noProof/>
          <w:sz w:val="18"/>
          <w:szCs w:val="18"/>
        </w:rPr>
        <w:t>.</w:t>
      </w:r>
      <w:r w:rsidRPr="003F2F07">
        <w:rPr>
          <w:noProof/>
          <w:sz w:val="18"/>
          <w:szCs w:val="18"/>
        </w:rPr>
        <w:t xml:space="preserve"> </w:t>
      </w:r>
    </w:p>
    <w:p w14:paraId="6F47ADB5" w14:textId="78423F75" w:rsidR="008036F0" w:rsidRPr="003F2F07" w:rsidRDefault="008036F0" w:rsidP="008036F0">
      <w:pPr>
        <w:rPr>
          <w:rFonts w:eastAsia="Calibri"/>
          <w:noProof/>
          <w:sz w:val="18"/>
          <w:szCs w:val="18"/>
        </w:rPr>
      </w:pPr>
      <w:r w:rsidRPr="003F2F07">
        <w:rPr>
          <w:noProof/>
          <w:sz w:val="18"/>
          <w:szCs w:val="18"/>
        </w:rPr>
        <w:t xml:space="preserve">+/++: Per le diossine e i furani, le opzioni </w:t>
      </w:r>
      <w:r w:rsidRPr="00993F0C">
        <w:rPr>
          <w:noProof/>
          <w:sz w:val="18"/>
          <w:szCs w:val="18"/>
        </w:rPr>
        <w:t>3</w:t>
      </w:r>
      <w:r w:rsidRPr="003F2F07">
        <w:rPr>
          <w:noProof/>
          <w:sz w:val="18"/>
          <w:szCs w:val="18"/>
        </w:rPr>
        <w:t xml:space="preserve"> e </w:t>
      </w:r>
      <w:r w:rsidRPr="00993F0C">
        <w:rPr>
          <w:noProof/>
          <w:sz w:val="18"/>
          <w:szCs w:val="18"/>
        </w:rPr>
        <w:t>4</w:t>
      </w:r>
      <w:r w:rsidRPr="003F2F07">
        <w:rPr>
          <w:noProof/>
          <w:sz w:val="18"/>
          <w:szCs w:val="18"/>
        </w:rPr>
        <w:t xml:space="preserve"> definiscono un valore generalmente applicabile a tutte le operazioni di gestione dei rifiuti. Entrambe le opzioni prevedono un</w:t>
      </w:r>
      <w:r w:rsidR="00207FB3">
        <w:rPr>
          <w:noProof/>
          <w:sz w:val="18"/>
          <w:szCs w:val="18"/>
        </w:rPr>
        <w:t>'</w:t>
      </w:r>
      <w:r w:rsidRPr="003F2F07">
        <w:rPr>
          <w:noProof/>
          <w:sz w:val="18"/>
          <w:szCs w:val="18"/>
        </w:rPr>
        <w:t xml:space="preserve">eventuale sotto-opzione che comprenderebbe un ulteriore valore limite specifico (indicato tra parentesi) valido unicamente per le applicazioni agricole. </w:t>
      </w:r>
    </w:p>
    <w:p w14:paraId="2BDFE70D" w14:textId="1C251950" w:rsidR="002C147D" w:rsidRDefault="00D9400B" w:rsidP="00404EF3">
      <w:pPr>
        <w:autoSpaceDE w:val="0"/>
        <w:autoSpaceDN w:val="0"/>
        <w:adjustRightInd w:val="0"/>
        <w:rPr>
          <w:noProof/>
        </w:rPr>
      </w:pPr>
      <w:r w:rsidRPr="003F2F07">
        <w:rPr>
          <w:noProof/>
        </w:rPr>
        <w:t>In seguito alla valutazione dell</w:t>
      </w:r>
      <w:r w:rsidR="00207FB3">
        <w:rPr>
          <w:noProof/>
        </w:rPr>
        <w:t>'</w:t>
      </w:r>
      <w:r w:rsidRPr="003F2F07">
        <w:rPr>
          <w:noProof/>
        </w:rPr>
        <w:t>impatto ambientale, sociale ed economico delle diverse opzioni strategiche considerate per i valori di cui all</w:t>
      </w:r>
      <w:r w:rsidR="00207FB3">
        <w:rPr>
          <w:noProof/>
        </w:rPr>
        <w:t>'</w:t>
      </w:r>
      <w:r w:rsidRPr="003F2F07">
        <w:rPr>
          <w:noProof/>
        </w:rPr>
        <w:t xml:space="preserve">allegato IV per le sostanze POP in questione, le opzioni prescelte sono evidenziate nella tabella seguente. </w:t>
      </w:r>
    </w:p>
    <w:p w14:paraId="5648E023" w14:textId="77777777" w:rsidR="00D16234" w:rsidRPr="003F2F07" w:rsidRDefault="00D16234" w:rsidP="00404EF3">
      <w:pPr>
        <w:autoSpaceDE w:val="0"/>
        <w:autoSpaceDN w:val="0"/>
        <w:adjustRightInd w:val="0"/>
        <w:rPr>
          <w:noProof/>
          <w:szCs w:val="24"/>
        </w:rPr>
      </w:pPr>
    </w:p>
    <w:p w14:paraId="47AF9F96" w14:textId="5550F979" w:rsidR="00D9400B" w:rsidRPr="003F2F07" w:rsidRDefault="00D9400B" w:rsidP="00D16234">
      <w:pPr>
        <w:pStyle w:val="Caption"/>
        <w:keepNext/>
        <w:ind w:left="-567" w:firstLine="567"/>
        <w:rPr>
          <w:b w:val="0"/>
          <w:i/>
          <w:noProof/>
        </w:rPr>
      </w:pPr>
      <w:r w:rsidRPr="003F2F07">
        <w:rPr>
          <w:i/>
          <w:noProof/>
        </w:rPr>
        <w:t xml:space="preserve">Tabella </w:t>
      </w:r>
      <w:r w:rsidRPr="00993F0C">
        <w:rPr>
          <w:i/>
          <w:noProof/>
        </w:rPr>
        <w:t>3</w:t>
      </w:r>
      <w:r w:rsidRPr="003F2F07">
        <w:rPr>
          <w:b w:val="0"/>
          <w:i/>
          <w:noProof/>
        </w:rPr>
        <w:t>: Opzione prescelta per i limiti di cui all</w:t>
      </w:r>
      <w:r w:rsidR="00207FB3">
        <w:rPr>
          <w:b w:val="0"/>
          <w:i/>
          <w:noProof/>
        </w:rPr>
        <w:t>'</w:t>
      </w:r>
      <w:r w:rsidRPr="003F2F07">
        <w:rPr>
          <w:b w:val="0"/>
          <w:i/>
          <w:noProof/>
        </w:rPr>
        <w:t xml:space="preserve">allegato IV (ombreggiata) </w:t>
      </w:r>
    </w:p>
    <w:tbl>
      <w:tblPr>
        <w:tblStyle w:val="HTG2"/>
        <w:tblW w:w="9072" w:type="dxa"/>
        <w:tblInd w:w="108" w:type="dxa"/>
        <w:tblLook w:val="04A0" w:firstRow="1" w:lastRow="0" w:firstColumn="1" w:lastColumn="0" w:noHBand="0" w:noVBand="1"/>
      </w:tblPr>
      <w:tblGrid>
        <w:gridCol w:w="1832"/>
        <w:gridCol w:w="1425"/>
        <w:gridCol w:w="1696"/>
        <w:gridCol w:w="3103"/>
        <w:gridCol w:w="1016"/>
      </w:tblGrid>
      <w:tr w:rsidR="00E815A8" w:rsidRPr="003F2F07" w14:paraId="67ADEEB7" w14:textId="77777777" w:rsidTr="00E815A8">
        <w:trPr>
          <w:cantSplit/>
          <w:trHeight w:val="699"/>
          <w:tblHeader/>
        </w:trPr>
        <w:tc>
          <w:tcPr>
            <w:tcW w:w="18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8A0A5F" w14:textId="77777777" w:rsidR="00D9400B" w:rsidRPr="003F2F07" w:rsidRDefault="00D9400B" w:rsidP="00D16234">
            <w:pPr>
              <w:keepNext/>
              <w:spacing w:after="0"/>
              <w:jc w:val="center"/>
              <w:rPr>
                <w:rFonts w:eastAsia="Calibri"/>
                <w:b/>
                <w:bCs/>
                <w:noProof/>
                <w:sz w:val="18"/>
                <w:szCs w:val="18"/>
              </w:rPr>
            </w:pPr>
            <w:r w:rsidRPr="003F2F07">
              <w:rPr>
                <w:b/>
                <w:bCs/>
                <w:noProof/>
                <w:sz w:val="18"/>
                <w:szCs w:val="18"/>
              </w:rPr>
              <w:t>Sostanza</w:t>
            </w:r>
          </w:p>
        </w:tc>
        <w:tc>
          <w:tcPr>
            <w:tcW w:w="14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BC9FED" w14:textId="77777777" w:rsidR="00D9400B" w:rsidRPr="003F2F07" w:rsidRDefault="00D9400B" w:rsidP="00D16234">
            <w:pPr>
              <w:keepNext/>
              <w:spacing w:after="0"/>
              <w:jc w:val="center"/>
              <w:rPr>
                <w:rFonts w:eastAsia="Calibri"/>
                <w:b/>
                <w:bCs/>
                <w:noProof/>
                <w:sz w:val="18"/>
                <w:szCs w:val="18"/>
              </w:rPr>
            </w:pPr>
            <w:r w:rsidRPr="003F2F07">
              <w:rPr>
                <w:b/>
                <w:bCs/>
                <w:noProof/>
                <w:sz w:val="18"/>
                <w:szCs w:val="18"/>
              </w:rPr>
              <w:t xml:space="preserve">Opzione </w:t>
            </w:r>
            <w:r w:rsidRPr="00993F0C">
              <w:rPr>
                <w:b/>
                <w:bCs/>
                <w:noProof/>
                <w:sz w:val="18"/>
                <w:szCs w:val="18"/>
              </w:rPr>
              <w:t>1</w:t>
            </w:r>
            <w:r w:rsidRPr="003F2F07">
              <w:rPr>
                <w:b/>
                <w:bCs/>
                <w:noProof/>
                <w:sz w:val="18"/>
                <w:szCs w:val="18"/>
              </w:rPr>
              <w:t xml:space="preserve"> </w:t>
            </w:r>
          </w:p>
          <w:p w14:paraId="70501086" w14:textId="77777777" w:rsidR="00D9400B" w:rsidRPr="003F2F07" w:rsidRDefault="00D9400B" w:rsidP="00D16234">
            <w:pPr>
              <w:keepNext/>
              <w:spacing w:after="0"/>
              <w:jc w:val="center"/>
              <w:rPr>
                <w:rFonts w:eastAsia="Calibri"/>
                <w:b/>
                <w:bCs/>
                <w:noProof/>
                <w:sz w:val="18"/>
                <w:szCs w:val="18"/>
              </w:rPr>
            </w:pPr>
            <w:r w:rsidRPr="003F2F07">
              <w:rPr>
                <w:b/>
                <w:bCs/>
                <w:noProof/>
                <w:sz w:val="18"/>
                <w:szCs w:val="18"/>
              </w:rPr>
              <w:t>Scenario di riferimento</w:t>
            </w:r>
          </w:p>
        </w:tc>
        <w:tc>
          <w:tcPr>
            <w:tcW w:w="169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96E52E" w14:textId="50892607" w:rsidR="00D9400B" w:rsidRPr="003F2F07" w:rsidRDefault="003F2F07" w:rsidP="00D16234">
            <w:pPr>
              <w:keepNext/>
              <w:spacing w:after="0"/>
              <w:jc w:val="center"/>
              <w:rPr>
                <w:rFonts w:eastAsia="Calibri"/>
                <w:b/>
                <w:bCs/>
                <w:noProof/>
                <w:sz w:val="18"/>
                <w:szCs w:val="18"/>
              </w:rPr>
            </w:pPr>
            <w:r>
              <w:rPr>
                <w:b/>
                <w:bCs/>
                <w:noProof/>
                <w:sz w:val="18"/>
                <w:szCs w:val="18"/>
              </w:rPr>
              <w:t xml:space="preserve">Opzione </w:t>
            </w:r>
            <w:r w:rsidRPr="00993F0C">
              <w:rPr>
                <w:b/>
                <w:bCs/>
                <w:noProof/>
                <w:sz w:val="18"/>
                <w:szCs w:val="18"/>
              </w:rPr>
              <w:t>2</w:t>
            </w:r>
          </w:p>
        </w:tc>
        <w:tc>
          <w:tcPr>
            <w:tcW w:w="31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E30355" w14:textId="77777777" w:rsidR="00D9400B" w:rsidRPr="003F2F07" w:rsidRDefault="00D9400B" w:rsidP="00D16234">
            <w:pPr>
              <w:keepNext/>
              <w:spacing w:after="0"/>
              <w:jc w:val="center"/>
              <w:rPr>
                <w:rFonts w:eastAsia="Calibri"/>
                <w:b/>
                <w:bCs/>
                <w:noProof/>
                <w:sz w:val="18"/>
                <w:szCs w:val="18"/>
              </w:rPr>
            </w:pPr>
            <w:r w:rsidRPr="003F2F07">
              <w:rPr>
                <w:b/>
                <w:bCs/>
                <w:noProof/>
                <w:sz w:val="18"/>
                <w:szCs w:val="18"/>
              </w:rPr>
              <w:t xml:space="preserve">Opzione </w:t>
            </w:r>
            <w:r w:rsidRPr="00993F0C">
              <w:rPr>
                <w:b/>
                <w:bCs/>
                <w:noProof/>
                <w:sz w:val="18"/>
                <w:szCs w:val="18"/>
              </w:rPr>
              <w:t>3</w:t>
            </w:r>
            <w:r w:rsidRPr="003F2F07">
              <w:rPr>
                <w:b/>
                <w:bCs/>
                <w:noProof/>
                <w:sz w:val="18"/>
                <w:szCs w:val="18"/>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03A3C1" w14:textId="77777777" w:rsidR="00D9400B" w:rsidRPr="003F2F07" w:rsidRDefault="00D9400B" w:rsidP="00D16234">
            <w:pPr>
              <w:keepNext/>
              <w:spacing w:after="0"/>
              <w:jc w:val="center"/>
              <w:rPr>
                <w:rFonts w:eastAsia="Calibri"/>
                <w:b/>
                <w:bCs/>
                <w:noProof/>
                <w:sz w:val="18"/>
                <w:szCs w:val="18"/>
              </w:rPr>
            </w:pPr>
            <w:r w:rsidRPr="003F2F07">
              <w:rPr>
                <w:b/>
                <w:bCs/>
                <w:noProof/>
                <w:sz w:val="18"/>
                <w:szCs w:val="18"/>
              </w:rPr>
              <w:t xml:space="preserve">Opzione </w:t>
            </w:r>
            <w:r w:rsidRPr="00993F0C">
              <w:rPr>
                <w:b/>
                <w:bCs/>
                <w:noProof/>
                <w:sz w:val="18"/>
                <w:szCs w:val="18"/>
              </w:rPr>
              <w:t>4</w:t>
            </w:r>
          </w:p>
        </w:tc>
      </w:tr>
      <w:tr w:rsidR="00E815A8" w:rsidRPr="003F2F07" w14:paraId="64A2E208"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16ABC6E3" w14:textId="77777777" w:rsidR="00D9400B" w:rsidRPr="003F2F07" w:rsidRDefault="00D9400B" w:rsidP="0080700C">
            <w:pPr>
              <w:spacing w:before="60"/>
              <w:jc w:val="left"/>
              <w:rPr>
                <w:rFonts w:eastAsia="Calibri"/>
                <w:noProof/>
                <w:sz w:val="18"/>
                <w:szCs w:val="18"/>
              </w:rPr>
            </w:pPr>
            <w:r w:rsidRPr="003F2F07">
              <w:rPr>
                <w:noProof/>
                <w:sz w:val="18"/>
                <w:szCs w:val="18"/>
              </w:rPr>
              <w:t>PBDE</w:t>
            </w:r>
          </w:p>
        </w:tc>
        <w:tc>
          <w:tcPr>
            <w:tcW w:w="1425" w:type="dxa"/>
            <w:tcBorders>
              <w:top w:val="single" w:sz="4" w:space="0" w:color="auto"/>
              <w:left w:val="single" w:sz="4" w:space="0" w:color="auto"/>
              <w:bottom w:val="single" w:sz="4" w:space="0" w:color="auto"/>
              <w:right w:val="single" w:sz="4" w:space="0" w:color="auto"/>
            </w:tcBorders>
            <w:hideMark/>
          </w:tcPr>
          <w:p w14:paraId="56F9B53A" w14:textId="152FEA58" w:rsidR="00D9400B" w:rsidRPr="003F2F07" w:rsidRDefault="00207FB3" w:rsidP="00AE2F80">
            <w:pPr>
              <w:spacing w:before="60"/>
              <w:jc w:val="center"/>
              <w:rPr>
                <w:rFonts w:eastAsia="Calibri"/>
                <w:noProof/>
                <w:sz w:val="18"/>
                <w:szCs w:val="18"/>
              </w:rPr>
            </w:pPr>
            <w:r w:rsidRPr="00993F0C">
              <w:rPr>
                <w:noProof/>
                <w:sz w:val="18"/>
                <w:szCs w:val="18"/>
              </w:rPr>
              <w:t>1</w:t>
            </w:r>
            <w:r>
              <w:rPr>
                <w:noProof/>
                <w:sz w:val="18"/>
                <w:szCs w:val="18"/>
              </w:rPr>
              <w:t> </w:t>
            </w:r>
            <w:r w:rsidR="00D9400B" w:rsidRPr="00993F0C">
              <w:rPr>
                <w:noProof/>
                <w:sz w:val="18"/>
                <w:szCs w:val="18"/>
              </w:rPr>
              <w:t>000</w:t>
            </w:r>
            <w:r w:rsidR="00D9400B" w:rsidRPr="003F2F07">
              <w:rPr>
                <w:noProof/>
                <w:sz w:val="18"/>
                <w:szCs w:val="18"/>
              </w:rPr>
              <w:t xml:space="preserve"> mg/kg</w:t>
            </w:r>
          </w:p>
        </w:tc>
        <w:tc>
          <w:tcPr>
            <w:tcW w:w="1696" w:type="dxa"/>
            <w:tcBorders>
              <w:top w:val="single" w:sz="4" w:space="0" w:color="auto"/>
              <w:left w:val="single" w:sz="4" w:space="0" w:color="auto"/>
              <w:bottom w:val="single" w:sz="4" w:space="0" w:color="auto"/>
              <w:right w:val="single" w:sz="4" w:space="0" w:color="auto"/>
            </w:tcBorders>
            <w:hideMark/>
          </w:tcPr>
          <w:p w14:paraId="44AA45D7" w14:textId="77777777" w:rsidR="00D9400B" w:rsidRPr="003F2F07" w:rsidRDefault="00D9400B" w:rsidP="00AE2F80">
            <w:pPr>
              <w:spacing w:before="60"/>
              <w:jc w:val="center"/>
              <w:rPr>
                <w:rFonts w:eastAsia="Calibri"/>
                <w:noProof/>
                <w:sz w:val="18"/>
                <w:szCs w:val="18"/>
              </w:rPr>
            </w:pPr>
            <w:r w:rsidRPr="00993F0C">
              <w:rPr>
                <w:noProof/>
                <w:sz w:val="18"/>
                <w:szCs w:val="18"/>
              </w:rPr>
              <w:t>500</w:t>
            </w:r>
            <w:r w:rsidRPr="003F2F07">
              <w:rPr>
                <w:noProof/>
                <w:sz w:val="18"/>
                <w:szCs w:val="18"/>
              </w:rPr>
              <w:t xml:space="preserve"> mg/kg</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34625CA" w14:textId="5C704105" w:rsidR="00D9400B" w:rsidRPr="003F2F07" w:rsidRDefault="00D9400B" w:rsidP="0080700C">
            <w:pPr>
              <w:spacing w:before="60"/>
              <w:jc w:val="center"/>
              <w:rPr>
                <w:rFonts w:eastAsia="Calibri"/>
                <w:noProof/>
                <w:sz w:val="18"/>
                <w:szCs w:val="18"/>
              </w:rPr>
            </w:pPr>
            <w:r w:rsidRPr="003F2F07">
              <w:rPr>
                <w:noProof/>
                <w:sz w:val="18"/>
                <w:szCs w:val="18"/>
              </w:rPr>
              <w:t xml:space="preserve">Applicazione iniziale di un valore limite di </w:t>
            </w:r>
            <w:r w:rsidRPr="00993F0C">
              <w:rPr>
                <w:b/>
                <w:bCs/>
                <w:noProof/>
                <w:sz w:val="18"/>
                <w:szCs w:val="18"/>
              </w:rPr>
              <w:t>500</w:t>
            </w:r>
            <w:r w:rsidRPr="003F2F07">
              <w:rPr>
                <w:b/>
                <w:bCs/>
                <w:noProof/>
                <w:sz w:val="18"/>
                <w:szCs w:val="18"/>
              </w:rPr>
              <w:t> mg/kg</w:t>
            </w:r>
            <w:r w:rsidRPr="003F2F07">
              <w:rPr>
                <w:noProof/>
                <w:sz w:val="18"/>
                <w:szCs w:val="18"/>
              </w:rPr>
              <w:t xml:space="preserve">, seguita da una riduzione a </w:t>
            </w:r>
            <w:r w:rsidRPr="00993F0C">
              <w:rPr>
                <w:b/>
                <w:noProof/>
                <w:sz w:val="18"/>
                <w:szCs w:val="18"/>
              </w:rPr>
              <w:t>200</w:t>
            </w:r>
            <w:r w:rsidRPr="003F2F07">
              <w:rPr>
                <w:b/>
                <w:noProof/>
                <w:sz w:val="18"/>
                <w:szCs w:val="18"/>
              </w:rPr>
              <w:t> mg/kg</w:t>
            </w:r>
            <w:r w:rsidRPr="003F2F07">
              <w:rPr>
                <w:rStyle w:val="FootnoteReference"/>
                <w:rFonts w:eastAsia="Calibri"/>
                <w:b/>
                <w:noProof/>
                <w:sz w:val="18"/>
                <w:szCs w:val="18"/>
                <w:lang w:eastAsia="en-GB"/>
              </w:rPr>
              <w:footnoteReference w:id="15"/>
            </w:r>
            <w:r w:rsidRPr="003F2F07">
              <w:rPr>
                <w:b/>
                <w:noProof/>
                <w:sz w:val="18"/>
                <w:szCs w:val="18"/>
              </w:rPr>
              <w:t xml:space="preserve"> </w:t>
            </w:r>
            <w:r w:rsidRPr="00993F0C">
              <w:rPr>
                <w:b/>
                <w:noProof/>
                <w:sz w:val="18"/>
                <w:szCs w:val="18"/>
              </w:rPr>
              <w:t>5</w:t>
            </w:r>
            <w:r w:rsidRPr="003F2F07">
              <w:rPr>
                <w:b/>
                <w:noProof/>
                <w:sz w:val="18"/>
                <w:szCs w:val="18"/>
              </w:rPr>
              <w:t xml:space="preserve"> anni dopo l</w:t>
            </w:r>
            <w:r w:rsidR="00207FB3">
              <w:rPr>
                <w:b/>
                <w:noProof/>
                <w:sz w:val="18"/>
                <w:szCs w:val="18"/>
              </w:rPr>
              <w:t>'</w:t>
            </w:r>
            <w:r w:rsidRPr="003F2F07">
              <w:rPr>
                <w:b/>
                <w:noProof/>
                <w:sz w:val="18"/>
                <w:szCs w:val="18"/>
              </w:rPr>
              <w:t>entrata in vigore</w:t>
            </w:r>
            <w:r w:rsidRPr="003F2F07">
              <w:rPr>
                <w:noProof/>
                <w:sz w:val="18"/>
                <w:szCs w:val="18"/>
              </w:rPr>
              <w:t xml:space="preserve"> del limite iniziale</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AAAC" w14:textId="77777777" w:rsidR="00D9400B" w:rsidRPr="003F2F07" w:rsidRDefault="00D9400B" w:rsidP="00AE2F80">
            <w:pPr>
              <w:spacing w:before="60"/>
              <w:jc w:val="center"/>
              <w:rPr>
                <w:rFonts w:eastAsia="Calibri"/>
                <w:noProof/>
                <w:sz w:val="18"/>
                <w:szCs w:val="18"/>
              </w:rPr>
            </w:pPr>
            <w:r w:rsidRPr="003F2F07">
              <w:rPr>
                <w:noProof/>
                <w:sz w:val="18"/>
                <w:szCs w:val="18"/>
              </w:rPr>
              <w:t xml:space="preserve">N.P. </w:t>
            </w:r>
          </w:p>
          <w:p w14:paraId="2AB45EBA" w14:textId="77777777" w:rsidR="00D9400B" w:rsidRPr="003F2F07" w:rsidRDefault="00D9400B" w:rsidP="00AE2F80">
            <w:pPr>
              <w:spacing w:before="60"/>
              <w:jc w:val="center"/>
              <w:rPr>
                <w:rFonts w:eastAsia="Calibri"/>
                <w:noProof/>
                <w:sz w:val="18"/>
                <w:szCs w:val="18"/>
              </w:rPr>
            </w:pPr>
            <w:r w:rsidRPr="003F2F07">
              <w:rPr>
                <w:noProof/>
                <w:sz w:val="18"/>
                <w:szCs w:val="18"/>
              </w:rPr>
              <w:t>(non pertinente)</w:t>
            </w:r>
          </w:p>
        </w:tc>
      </w:tr>
      <w:tr w:rsidR="00E815A8" w:rsidRPr="003F2F07" w14:paraId="66A36EE7" w14:textId="77777777" w:rsidTr="00E815A8">
        <w:trPr>
          <w:cantSplit/>
          <w:trHeight w:val="522"/>
        </w:trPr>
        <w:tc>
          <w:tcPr>
            <w:tcW w:w="1832" w:type="dxa"/>
            <w:tcBorders>
              <w:top w:val="single" w:sz="4" w:space="0" w:color="auto"/>
              <w:left w:val="single" w:sz="4" w:space="0" w:color="auto"/>
              <w:bottom w:val="single" w:sz="4" w:space="0" w:color="auto"/>
              <w:right w:val="single" w:sz="4" w:space="0" w:color="auto"/>
            </w:tcBorders>
            <w:hideMark/>
          </w:tcPr>
          <w:p w14:paraId="57C62C4A" w14:textId="77777777" w:rsidR="00D9400B" w:rsidRPr="003F2F07" w:rsidRDefault="00D9400B" w:rsidP="0080700C">
            <w:pPr>
              <w:spacing w:before="60"/>
              <w:jc w:val="left"/>
              <w:rPr>
                <w:rFonts w:eastAsia="Calibri"/>
                <w:noProof/>
                <w:sz w:val="18"/>
                <w:szCs w:val="18"/>
              </w:rPr>
            </w:pPr>
            <w:r w:rsidRPr="003F2F07">
              <w:rPr>
                <w:noProof/>
                <w:sz w:val="18"/>
                <w:szCs w:val="18"/>
              </w:rPr>
              <w:t>HBCDD</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DF57C" w14:textId="30C221CD" w:rsidR="00D9400B" w:rsidRPr="003F2F07" w:rsidRDefault="00D9400B" w:rsidP="00AE2F80">
            <w:pPr>
              <w:spacing w:before="60"/>
              <w:jc w:val="center"/>
              <w:rPr>
                <w:rFonts w:eastAsia="Calibri"/>
                <w:noProof/>
                <w:sz w:val="18"/>
                <w:szCs w:val="18"/>
              </w:rPr>
            </w:pPr>
            <w:r w:rsidRPr="00993F0C">
              <w:rPr>
                <w:noProof/>
                <w:sz w:val="18"/>
                <w:szCs w:val="18"/>
              </w:rPr>
              <w:t>1</w:t>
            </w:r>
            <w:r w:rsidR="00207FB3">
              <w:rPr>
                <w:noProof/>
                <w:sz w:val="18"/>
                <w:szCs w:val="18"/>
              </w:rPr>
              <w:t> </w:t>
            </w:r>
            <w:r w:rsidRPr="00993F0C">
              <w:rPr>
                <w:noProof/>
                <w:sz w:val="18"/>
                <w:szCs w:val="18"/>
              </w:rPr>
              <w:t>000</w:t>
            </w:r>
            <w:r w:rsidRPr="003F2F07">
              <w:rPr>
                <w:noProof/>
                <w:sz w:val="18"/>
                <w:szCs w:val="18"/>
              </w:rPr>
              <w:t xml:space="preserve"> mg/kg</w:t>
            </w:r>
          </w:p>
        </w:tc>
        <w:tc>
          <w:tcPr>
            <w:tcW w:w="169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EDF97C0" w14:textId="77777777" w:rsidR="00D9400B" w:rsidRPr="003F2F07" w:rsidRDefault="00D9400B" w:rsidP="00AE2F80">
            <w:pPr>
              <w:spacing w:before="60"/>
              <w:jc w:val="center"/>
              <w:rPr>
                <w:rFonts w:eastAsia="Calibri"/>
                <w:noProof/>
                <w:sz w:val="18"/>
                <w:szCs w:val="18"/>
              </w:rPr>
            </w:pPr>
            <w:r w:rsidRPr="00993F0C">
              <w:rPr>
                <w:noProof/>
                <w:sz w:val="18"/>
                <w:szCs w:val="18"/>
              </w:rPr>
              <w:t>500</w:t>
            </w:r>
            <w:r w:rsidRPr="003F2F07">
              <w:rPr>
                <w:noProof/>
                <w:sz w:val="18"/>
                <w:szCs w:val="18"/>
              </w:rPr>
              <w:t xml:space="preserve"> mg/kg</w:t>
            </w:r>
          </w:p>
        </w:tc>
        <w:tc>
          <w:tcPr>
            <w:tcW w:w="3103" w:type="dxa"/>
            <w:tcBorders>
              <w:top w:val="single" w:sz="4" w:space="0" w:color="auto"/>
              <w:left w:val="single" w:sz="4" w:space="0" w:color="auto"/>
              <w:bottom w:val="single" w:sz="4" w:space="0" w:color="auto"/>
              <w:right w:val="single" w:sz="4" w:space="0" w:color="auto"/>
            </w:tcBorders>
            <w:hideMark/>
          </w:tcPr>
          <w:p w14:paraId="32CD6456" w14:textId="77777777" w:rsidR="00D9400B" w:rsidRPr="003F2F07" w:rsidRDefault="00D9400B" w:rsidP="0080700C">
            <w:pPr>
              <w:spacing w:before="60"/>
              <w:jc w:val="center"/>
              <w:rPr>
                <w:rFonts w:eastAsia="Calibri"/>
                <w:noProof/>
                <w:sz w:val="18"/>
                <w:szCs w:val="18"/>
              </w:rPr>
            </w:pPr>
            <w:r w:rsidRPr="00993F0C">
              <w:rPr>
                <w:noProof/>
                <w:sz w:val="18"/>
                <w:szCs w:val="18"/>
              </w:rPr>
              <w:t>100</w:t>
            </w:r>
            <w:r w:rsidRPr="003F2F07">
              <w:rPr>
                <w:noProof/>
                <w:sz w:val="18"/>
                <w:szCs w:val="18"/>
              </w:rPr>
              <w:t> mg/kg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0C8F0AF1"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r>
      <w:tr w:rsidR="00E815A8" w:rsidRPr="003F2F07" w14:paraId="646CAB6F" w14:textId="77777777" w:rsidTr="00E815A8">
        <w:trPr>
          <w:cantSplit/>
          <w:trHeight w:val="789"/>
        </w:trPr>
        <w:tc>
          <w:tcPr>
            <w:tcW w:w="1832" w:type="dxa"/>
            <w:tcBorders>
              <w:top w:val="single" w:sz="4" w:space="0" w:color="auto"/>
              <w:left w:val="single" w:sz="4" w:space="0" w:color="auto"/>
              <w:bottom w:val="single" w:sz="4" w:space="0" w:color="auto"/>
              <w:right w:val="single" w:sz="4" w:space="0" w:color="auto"/>
            </w:tcBorders>
            <w:hideMark/>
          </w:tcPr>
          <w:p w14:paraId="26E28C54" w14:textId="23238299" w:rsidR="00D9400B" w:rsidRPr="003F2F07" w:rsidRDefault="00D9400B" w:rsidP="0080700C">
            <w:pPr>
              <w:spacing w:before="60"/>
              <w:jc w:val="left"/>
              <w:rPr>
                <w:rFonts w:eastAsia="Calibri"/>
                <w:noProof/>
                <w:sz w:val="18"/>
                <w:szCs w:val="18"/>
              </w:rPr>
            </w:pPr>
            <w:r w:rsidRPr="003F2F07">
              <w:rPr>
                <w:noProof/>
                <w:sz w:val="18"/>
                <w:szCs w:val="18"/>
              </w:rPr>
              <w:t>PCDD/F (diossine e furani)</w:t>
            </w:r>
            <w:r w:rsidRPr="003F2F07">
              <w:rPr>
                <w:rStyle w:val="FootnoteReference"/>
                <w:rFonts w:eastAsia="Calibri"/>
                <w:noProof/>
                <w:sz w:val="18"/>
                <w:szCs w:val="18"/>
                <w:lang w:eastAsia="en-GB"/>
              </w:rPr>
              <w:footnoteReference w:id="16"/>
            </w:r>
          </w:p>
        </w:tc>
        <w:tc>
          <w:tcPr>
            <w:tcW w:w="1425" w:type="dxa"/>
            <w:tcBorders>
              <w:top w:val="single" w:sz="4" w:space="0" w:color="auto"/>
              <w:left w:val="single" w:sz="4" w:space="0" w:color="auto"/>
              <w:bottom w:val="single" w:sz="4" w:space="0" w:color="auto"/>
              <w:right w:val="single" w:sz="4" w:space="0" w:color="auto"/>
            </w:tcBorders>
            <w:hideMark/>
          </w:tcPr>
          <w:p w14:paraId="5C2E4862" w14:textId="77777777" w:rsidR="00D9400B" w:rsidRPr="003F2F07" w:rsidRDefault="00D9400B" w:rsidP="00AE2F80">
            <w:pPr>
              <w:spacing w:before="60"/>
              <w:jc w:val="center"/>
              <w:rPr>
                <w:rFonts w:eastAsia="Calibri"/>
                <w:noProof/>
                <w:sz w:val="18"/>
                <w:szCs w:val="18"/>
              </w:rPr>
            </w:pPr>
            <w:r w:rsidRPr="00993F0C">
              <w:rPr>
                <w:noProof/>
                <w:sz w:val="18"/>
                <w:szCs w:val="18"/>
              </w:rPr>
              <w:t>0</w:t>
            </w:r>
            <w:r w:rsidRPr="003F2F07">
              <w:rPr>
                <w:noProof/>
                <w:sz w:val="18"/>
                <w:szCs w:val="18"/>
              </w:rPr>
              <w:t>,</w:t>
            </w:r>
            <w:r w:rsidRPr="00993F0C">
              <w:rPr>
                <w:noProof/>
                <w:sz w:val="18"/>
                <w:szCs w:val="18"/>
              </w:rPr>
              <w:t>015</w:t>
            </w:r>
            <w:r w:rsidRPr="003F2F07">
              <w:rPr>
                <w:noProof/>
                <w:sz w:val="18"/>
                <w:szCs w:val="18"/>
              </w:rPr>
              <w:t> mg TEQ/kg</w:t>
            </w:r>
          </w:p>
        </w:tc>
        <w:tc>
          <w:tcPr>
            <w:tcW w:w="1696" w:type="dxa"/>
            <w:tcBorders>
              <w:top w:val="single" w:sz="4" w:space="0" w:color="auto"/>
              <w:left w:val="single" w:sz="4" w:space="0" w:color="auto"/>
              <w:bottom w:val="single" w:sz="4" w:space="0" w:color="auto"/>
              <w:right w:val="single" w:sz="4" w:space="0" w:color="auto"/>
            </w:tcBorders>
            <w:hideMark/>
          </w:tcPr>
          <w:p w14:paraId="769BB795" w14:textId="77777777" w:rsidR="00D9400B" w:rsidRPr="003F2F07" w:rsidRDefault="00D9400B" w:rsidP="00AE2F80">
            <w:pPr>
              <w:spacing w:before="60"/>
              <w:jc w:val="center"/>
              <w:rPr>
                <w:rFonts w:eastAsia="Calibri"/>
                <w:noProof/>
                <w:sz w:val="18"/>
                <w:szCs w:val="18"/>
              </w:rPr>
            </w:pPr>
            <w:r w:rsidRPr="00993F0C">
              <w:rPr>
                <w:noProof/>
                <w:sz w:val="18"/>
                <w:szCs w:val="18"/>
              </w:rPr>
              <w:t>0</w:t>
            </w:r>
            <w:r w:rsidRPr="003F2F07">
              <w:rPr>
                <w:noProof/>
                <w:sz w:val="18"/>
                <w:szCs w:val="18"/>
              </w:rPr>
              <w:t>,</w:t>
            </w:r>
            <w:r w:rsidRPr="00993F0C">
              <w:rPr>
                <w:noProof/>
                <w:sz w:val="18"/>
                <w:szCs w:val="18"/>
              </w:rPr>
              <w:t>010</w:t>
            </w:r>
            <w:r w:rsidRPr="003F2F07">
              <w:rPr>
                <w:noProof/>
                <w:sz w:val="18"/>
                <w:szCs w:val="18"/>
              </w:rPr>
              <w:t> mg TEQ/kg</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EDEC31E" w14:textId="77777777" w:rsidR="00D9400B" w:rsidRPr="003F2F07" w:rsidRDefault="00D9400B" w:rsidP="0080700C">
            <w:pPr>
              <w:spacing w:before="60"/>
              <w:jc w:val="center"/>
              <w:rPr>
                <w:rFonts w:eastAsia="Calibri"/>
                <w:noProof/>
                <w:sz w:val="18"/>
                <w:szCs w:val="18"/>
              </w:rPr>
            </w:pPr>
            <w:r w:rsidRPr="00993F0C">
              <w:rPr>
                <w:noProof/>
                <w:sz w:val="18"/>
                <w:szCs w:val="18"/>
              </w:rPr>
              <w:t>0</w:t>
            </w:r>
            <w:r w:rsidRPr="003F2F07">
              <w:rPr>
                <w:noProof/>
                <w:sz w:val="18"/>
                <w:szCs w:val="18"/>
              </w:rPr>
              <w:t>,</w:t>
            </w:r>
            <w:r w:rsidRPr="00993F0C">
              <w:rPr>
                <w:noProof/>
                <w:sz w:val="18"/>
                <w:szCs w:val="18"/>
              </w:rPr>
              <w:t>005</w:t>
            </w:r>
            <w:r w:rsidRPr="003F2F07">
              <w:rPr>
                <w:noProof/>
                <w:sz w:val="18"/>
                <w:szCs w:val="18"/>
              </w:rPr>
              <w:t> mg TEQ/kg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52F036A1" w14:textId="77777777" w:rsidR="00D9400B" w:rsidRPr="003F2F07" w:rsidRDefault="00D9400B" w:rsidP="00AE2F80">
            <w:pPr>
              <w:spacing w:before="60"/>
              <w:jc w:val="center"/>
              <w:rPr>
                <w:rFonts w:eastAsia="Calibri"/>
                <w:noProof/>
                <w:sz w:val="18"/>
                <w:szCs w:val="18"/>
              </w:rPr>
            </w:pPr>
            <w:r w:rsidRPr="00993F0C">
              <w:rPr>
                <w:noProof/>
                <w:sz w:val="18"/>
                <w:szCs w:val="18"/>
              </w:rPr>
              <w:t>0</w:t>
            </w:r>
            <w:r w:rsidRPr="003F2F07">
              <w:rPr>
                <w:noProof/>
                <w:sz w:val="18"/>
                <w:szCs w:val="18"/>
              </w:rPr>
              <w:t>,</w:t>
            </w:r>
            <w:r w:rsidRPr="00993F0C">
              <w:rPr>
                <w:noProof/>
                <w:sz w:val="18"/>
                <w:szCs w:val="18"/>
              </w:rPr>
              <w:t>001</w:t>
            </w:r>
            <w:r w:rsidRPr="003F2F07">
              <w:rPr>
                <w:noProof/>
                <w:sz w:val="18"/>
                <w:szCs w:val="18"/>
              </w:rPr>
              <w:t> mg TEQ/kg</w:t>
            </w:r>
          </w:p>
        </w:tc>
      </w:tr>
      <w:tr w:rsidR="00E815A8" w:rsidRPr="003F2F07" w14:paraId="7FC9E7A1"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37F99F36" w14:textId="437492EE" w:rsidR="00D9400B" w:rsidRPr="003F2F07" w:rsidRDefault="00D9400B" w:rsidP="0080700C">
            <w:pPr>
              <w:spacing w:before="60"/>
              <w:jc w:val="left"/>
              <w:rPr>
                <w:rFonts w:eastAsia="Calibri"/>
                <w:noProof/>
                <w:sz w:val="18"/>
                <w:szCs w:val="18"/>
              </w:rPr>
            </w:pPr>
            <w:r w:rsidRPr="003F2F07">
              <w:rPr>
                <w:noProof/>
                <w:sz w:val="18"/>
                <w:szCs w:val="18"/>
              </w:rPr>
              <w:t>PCB diossina-simili</w:t>
            </w:r>
            <w:r w:rsidRPr="003F2F07">
              <w:rPr>
                <w:rStyle w:val="FootnoteReference"/>
                <w:rFonts w:eastAsia="Calibri"/>
                <w:noProof/>
                <w:sz w:val="18"/>
                <w:szCs w:val="18"/>
                <w:lang w:eastAsia="en-GB"/>
              </w:rPr>
              <w:footnoteReference w:id="17"/>
            </w:r>
          </w:p>
        </w:tc>
        <w:tc>
          <w:tcPr>
            <w:tcW w:w="1425" w:type="dxa"/>
            <w:tcBorders>
              <w:top w:val="single" w:sz="4" w:space="0" w:color="auto"/>
              <w:left w:val="single" w:sz="4" w:space="0" w:color="auto"/>
              <w:bottom w:val="single" w:sz="4" w:space="0" w:color="auto"/>
              <w:right w:val="single" w:sz="4" w:space="0" w:color="auto"/>
            </w:tcBorders>
            <w:hideMark/>
          </w:tcPr>
          <w:p w14:paraId="7E5DA4F1" w14:textId="696D9FDC" w:rsidR="00D9400B" w:rsidRPr="003F2F07" w:rsidRDefault="00D9400B" w:rsidP="00AE2F80">
            <w:pPr>
              <w:spacing w:before="60"/>
              <w:jc w:val="center"/>
              <w:rPr>
                <w:rFonts w:eastAsia="Calibri"/>
                <w:noProof/>
                <w:sz w:val="18"/>
                <w:szCs w:val="18"/>
              </w:rPr>
            </w:pPr>
            <w:r w:rsidRPr="003F2F07">
              <w:rPr>
                <w:noProof/>
                <w:sz w:val="18"/>
                <w:szCs w:val="18"/>
              </w:rPr>
              <w:t>Senza tenere specificamente conto dei dl-PCB (inclusi nell</w:t>
            </w:r>
            <w:r w:rsidR="00207FB3">
              <w:rPr>
                <w:noProof/>
                <w:sz w:val="18"/>
                <w:szCs w:val="18"/>
              </w:rPr>
              <w:t>'</w:t>
            </w:r>
            <w:r w:rsidRPr="003F2F07">
              <w:rPr>
                <w:noProof/>
                <w:sz w:val="18"/>
                <w:szCs w:val="18"/>
              </w:rPr>
              <w:t xml:space="preserve">attuale limite totale per i PCB di </w:t>
            </w:r>
            <w:r w:rsidRPr="00993F0C">
              <w:rPr>
                <w:noProof/>
                <w:sz w:val="18"/>
                <w:szCs w:val="18"/>
              </w:rPr>
              <w:t>50</w:t>
            </w:r>
            <w:r w:rsidRPr="003F2F07">
              <w:rPr>
                <w:noProof/>
                <w:sz w:val="18"/>
                <w:szCs w:val="18"/>
              </w:rPr>
              <w:t> mg/kg)</w:t>
            </w:r>
          </w:p>
        </w:tc>
        <w:tc>
          <w:tcPr>
            <w:tcW w:w="1696" w:type="dxa"/>
            <w:tcBorders>
              <w:top w:val="single" w:sz="4" w:space="0" w:color="auto"/>
              <w:left w:val="single" w:sz="4" w:space="0" w:color="auto"/>
              <w:bottom w:val="single" w:sz="4" w:space="0" w:color="auto"/>
              <w:right w:val="single" w:sz="4" w:space="0" w:color="auto"/>
            </w:tcBorders>
            <w:hideMark/>
          </w:tcPr>
          <w:p w14:paraId="698DB8F2" w14:textId="77777777" w:rsidR="00D9400B" w:rsidRPr="003F2F07" w:rsidRDefault="00D9400B" w:rsidP="00AE2F80">
            <w:pPr>
              <w:spacing w:before="60"/>
              <w:jc w:val="center"/>
              <w:rPr>
                <w:rFonts w:eastAsia="Calibri"/>
                <w:noProof/>
                <w:sz w:val="18"/>
                <w:szCs w:val="18"/>
              </w:rPr>
            </w:pPr>
            <w:r w:rsidRPr="003F2F07">
              <w:rPr>
                <w:noProof/>
                <w:sz w:val="18"/>
                <w:szCs w:val="18"/>
              </w:rPr>
              <w:t>Definizione di un limite specifico a sé stante per i dl-PCB</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CFCFE71" w14:textId="3688DDE2" w:rsidR="00D9400B" w:rsidRPr="003F2F07" w:rsidRDefault="00D9400B" w:rsidP="0080700C">
            <w:pPr>
              <w:spacing w:before="60"/>
              <w:jc w:val="center"/>
              <w:rPr>
                <w:rFonts w:eastAsia="Calibri"/>
                <w:noProof/>
                <w:sz w:val="18"/>
                <w:szCs w:val="18"/>
              </w:rPr>
            </w:pPr>
            <w:r w:rsidRPr="003F2F07">
              <w:rPr>
                <w:noProof/>
                <w:sz w:val="18"/>
                <w:szCs w:val="18"/>
              </w:rPr>
              <w:t>Inclusione dei dl-PCB nel limite stabilito per i PCDD/F</w:t>
            </w:r>
          </w:p>
          <w:p w14:paraId="10BA2FC9" w14:textId="77777777" w:rsidR="00D9400B" w:rsidRPr="003F2F07" w:rsidRDefault="00D9400B" w:rsidP="0080700C">
            <w:pPr>
              <w:spacing w:before="60"/>
              <w:jc w:val="center"/>
              <w:rPr>
                <w:rFonts w:eastAsia="Calibri"/>
                <w:noProof/>
                <w:sz w:val="18"/>
                <w:szCs w:val="18"/>
              </w:rPr>
            </w:pPr>
            <w:r w:rsidRPr="003F2F07">
              <w:rPr>
                <w:noProof/>
                <w:sz w:val="18"/>
                <w:szCs w:val="18"/>
              </w:rPr>
              <w:t xml:space="preserve">(Opzione </w:t>
            </w:r>
            <w:r w:rsidRPr="00993F0C">
              <w:rPr>
                <w:noProof/>
                <w:sz w:val="18"/>
                <w:szCs w:val="18"/>
              </w:rPr>
              <w:t>3</w:t>
            </w:r>
            <w:r w:rsidRPr="003F2F07">
              <w:rPr>
                <w:noProof/>
                <w:sz w:val="18"/>
                <w:szCs w:val="18"/>
              </w:rPr>
              <w:t xml:space="preserve"> - PCDD/F: </w:t>
            </w:r>
            <w:r w:rsidRPr="00993F0C">
              <w:rPr>
                <w:noProof/>
                <w:sz w:val="18"/>
                <w:szCs w:val="18"/>
              </w:rPr>
              <w:t>0</w:t>
            </w:r>
            <w:r w:rsidRPr="003F2F07">
              <w:rPr>
                <w:noProof/>
                <w:sz w:val="18"/>
                <w:szCs w:val="18"/>
              </w:rPr>
              <w:t>,</w:t>
            </w:r>
            <w:r w:rsidRPr="00993F0C">
              <w:rPr>
                <w:noProof/>
                <w:sz w:val="18"/>
                <w:szCs w:val="18"/>
              </w:rPr>
              <w:t>005</w:t>
            </w:r>
            <w:r w:rsidRPr="003F2F07">
              <w:rPr>
                <w:noProof/>
                <w:sz w:val="18"/>
                <w:szCs w:val="18"/>
              </w:rPr>
              <w:t> mg TEQ/kg)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51C7F9E0"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r>
      <w:tr w:rsidR="00E815A8" w:rsidRPr="003F2F07" w14:paraId="203D148F"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7FC802D8" w14:textId="77777777" w:rsidR="00D9400B" w:rsidRPr="003F2F07" w:rsidRDefault="00D9400B" w:rsidP="0080700C">
            <w:pPr>
              <w:spacing w:before="60"/>
              <w:jc w:val="left"/>
              <w:rPr>
                <w:rFonts w:eastAsia="Calibri"/>
                <w:noProof/>
                <w:sz w:val="18"/>
                <w:szCs w:val="18"/>
              </w:rPr>
            </w:pPr>
            <w:r w:rsidRPr="003F2F07">
              <w:rPr>
                <w:noProof/>
                <w:sz w:val="18"/>
                <w:szCs w:val="18"/>
              </w:rPr>
              <w:t>Paraffine clorurate a catena corta (SCCP)</w:t>
            </w:r>
          </w:p>
        </w:tc>
        <w:tc>
          <w:tcPr>
            <w:tcW w:w="1425" w:type="dxa"/>
            <w:tcBorders>
              <w:top w:val="single" w:sz="4" w:space="0" w:color="auto"/>
              <w:left w:val="single" w:sz="4" w:space="0" w:color="auto"/>
              <w:bottom w:val="single" w:sz="4" w:space="0" w:color="auto"/>
              <w:right w:val="single" w:sz="4" w:space="0" w:color="auto"/>
            </w:tcBorders>
            <w:hideMark/>
          </w:tcPr>
          <w:p w14:paraId="3722264F" w14:textId="0FA39E83" w:rsidR="00D9400B" w:rsidRPr="003F2F07" w:rsidRDefault="00207FB3" w:rsidP="00AE2F80">
            <w:pPr>
              <w:spacing w:before="60"/>
              <w:jc w:val="center"/>
              <w:rPr>
                <w:rFonts w:eastAsia="Calibri"/>
                <w:noProof/>
                <w:sz w:val="18"/>
                <w:szCs w:val="18"/>
              </w:rPr>
            </w:pPr>
            <w:r w:rsidRPr="00993F0C">
              <w:rPr>
                <w:noProof/>
                <w:sz w:val="18"/>
                <w:szCs w:val="18"/>
              </w:rPr>
              <w:t>10</w:t>
            </w:r>
            <w:r>
              <w:rPr>
                <w:noProof/>
                <w:sz w:val="18"/>
                <w:szCs w:val="18"/>
              </w:rPr>
              <w:t> </w:t>
            </w:r>
            <w:r w:rsidR="00D9400B" w:rsidRPr="00993F0C">
              <w:rPr>
                <w:noProof/>
                <w:sz w:val="18"/>
                <w:szCs w:val="18"/>
              </w:rPr>
              <w:t>000</w:t>
            </w:r>
            <w:r w:rsidR="00D9400B" w:rsidRPr="003F2F07">
              <w:rPr>
                <w:noProof/>
                <w:sz w:val="18"/>
                <w:szCs w:val="18"/>
              </w:rPr>
              <w:t xml:space="preserve"> mg/kg</w:t>
            </w:r>
          </w:p>
        </w:tc>
        <w:tc>
          <w:tcPr>
            <w:tcW w:w="169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42478B2" w14:textId="56E16DCB" w:rsidR="00D9400B" w:rsidRPr="003F2F07" w:rsidRDefault="00207FB3" w:rsidP="00AE2F80">
            <w:pPr>
              <w:spacing w:before="60"/>
              <w:jc w:val="center"/>
              <w:rPr>
                <w:rFonts w:eastAsia="Calibri"/>
                <w:noProof/>
                <w:sz w:val="18"/>
                <w:szCs w:val="18"/>
              </w:rPr>
            </w:pPr>
            <w:r w:rsidRPr="00993F0C">
              <w:rPr>
                <w:noProof/>
                <w:sz w:val="18"/>
                <w:szCs w:val="18"/>
              </w:rPr>
              <w:t>1</w:t>
            </w:r>
            <w:r>
              <w:rPr>
                <w:noProof/>
                <w:sz w:val="18"/>
                <w:szCs w:val="18"/>
              </w:rPr>
              <w:t> </w:t>
            </w:r>
            <w:r w:rsidR="00D9400B" w:rsidRPr="00993F0C">
              <w:rPr>
                <w:noProof/>
                <w:sz w:val="18"/>
                <w:szCs w:val="18"/>
              </w:rPr>
              <w:t>500</w:t>
            </w:r>
            <w:r w:rsidR="00D9400B" w:rsidRPr="003F2F07">
              <w:rPr>
                <w:noProof/>
                <w:sz w:val="18"/>
                <w:szCs w:val="18"/>
              </w:rPr>
              <w:t> mg/kg</w:t>
            </w:r>
          </w:p>
        </w:tc>
        <w:tc>
          <w:tcPr>
            <w:tcW w:w="3103" w:type="dxa"/>
            <w:tcBorders>
              <w:top w:val="single" w:sz="4" w:space="0" w:color="auto"/>
              <w:left w:val="single" w:sz="4" w:space="0" w:color="auto"/>
              <w:bottom w:val="single" w:sz="4" w:space="0" w:color="auto"/>
              <w:right w:val="single" w:sz="4" w:space="0" w:color="auto"/>
            </w:tcBorders>
            <w:hideMark/>
          </w:tcPr>
          <w:p w14:paraId="76370FE4" w14:textId="77777777" w:rsidR="00D9400B" w:rsidRPr="003F2F07" w:rsidRDefault="00D9400B" w:rsidP="0080700C">
            <w:pPr>
              <w:spacing w:before="60"/>
              <w:jc w:val="center"/>
              <w:rPr>
                <w:rFonts w:eastAsia="Calibri"/>
                <w:noProof/>
                <w:sz w:val="18"/>
                <w:szCs w:val="18"/>
              </w:rPr>
            </w:pPr>
            <w:r w:rsidRPr="00993F0C">
              <w:rPr>
                <w:noProof/>
                <w:sz w:val="18"/>
                <w:szCs w:val="18"/>
              </w:rPr>
              <w:t>420</w:t>
            </w:r>
            <w:r w:rsidRPr="003F2F07">
              <w:rPr>
                <w:noProof/>
                <w:sz w:val="18"/>
                <w:szCs w:val="18"/>
              </w:rPr>
              <w:t> mg/kg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396985C1"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r>
      <w:tr w:rsidR="00E815A8" w:rsidRPr="003F2F07" w14:paraId="22BEB33D"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624A6473" w14:textId="77777777" w:rsidR="00D9400B" w:rsidRPr="003F2F07" w:rsidRDefault="00D9400B" w:rsidP="0080700C">
            <w:pPr>
              <w:spacing w:before="60"/>
              <w:jc w:val="left"/>
              <w:rPr>
                <w:rFonts w:eastAsia="Calibri"/>
                <w:noProof/>
                <w:sz w:val="18"/>
                <w:szCs w:val="18"/>
              </w:rPr>
            </w:pPr>
            <w:r w:rsidRPr="003F2F07">
              <w:rPr>
                <w:noProof/>
                <w:sz w:val="18"/>
                <w:szCs w:val="18"/>
              </w:rPr>
              <w:t>PFOA, suoi sali e composti correlati</w:t>
            </w:r>
          </w:p>
        </w:tc>
        <w:tc>
          <w:tcPr>
            <w:tcW w:w="1425" w:type="dxa"/>
            <w:tcBorders>
              <w:top w:val="single" w:sz="4" w:space="0" w:color="auto"/>
              <w:left w:val="single" w:sz="4" w:space="0" w:color="auto"/>
              <w:bottom w:val="single" w:sz="4" w:space="0" w:color="auto"/>
              <w:right w:val="single" w:sz="4" w:space="0" w:color="auto"/>
            </w:tcBorders>
            <w:hideMark/>
          </w:tcPr>
          <w:p w14:paraId="5AFC79F3" w14:textId="77777777" w:rsidR="00D9400B" w:rsidRPr="003F2F07" w:rsidRDefault="00D9400B" w:rsidP="00AE2F80">
            <w:pPr>
              <w:spacing w:before="60"/>
              <w:jc w:val="center"/>
              <w:rPr>
                <w:rFonts w:eastAsia="Calibri"/>
                <w:noProof/>
                <w:sz w:val="18"/>
                <w:szCs w:val="18"/>
              </w:rPr>
            </w:pPr>
            <w:r w:rsidRPr="003F2F07">
              <w:rPr>
                <w:noProof/>
                <w:sz w:val="18"/>
                <w:szCs w:val="18"/>
              </w:rPr>
              <w:t>Non esistono limiti</w:t>
            </w:r>
          </w:p>
        </w:tc>
        <w:tc>
          <w:tcPr>
            <w:tcW w:w="1696" w:type="dxa"/>
            <w:tcBorders>
              <w:top w:val="single" w:sz="4" w:space="0" w:color="auto"/>
              <w:left w:val="single" w:sz="4" w:space="0" w:color="auto"/>
              <w:bottom w:val="single" w:sz="4" w:space="0" w:color="auto"/>
              <w:right w:val="single" w:sz="4" w:space="0" w:color="auto"/>
            </w:tcBorders>
            <w:hideMark/>
          </w:tcPr>
          <w:p w14:paraId="22DF47E1" w14:textId="2A2B6CA3" w:rsidR="00D9400B" w:rsidRPr="003F2F07" w:rsidRDefault="00D9400B" w:rsidP="00AE2F80">
            <w:pPr>
              <w:spacing w:before="60"/>
              <w:jc w:val="center"/>
              <w:rPr>
                <w:rFonts w:eastAsia="Calibri"/>
                <w:noProof/>
                <w:sz w:val="18"/>
                <w:szCs w:val="18"/>
              </w:rPr>
            </w:pPr>
            <w:r w:rsidRPr="00993F0C">
              <w:rPr>
                <w:noProof/>
                <w:sz w:val="18"/>
                <w:szCs w:val="18"/>
              </w:rPr>
              <w:t>50</w:t>
            </w:r>
            <w:r w:rsidRPr="003F2F07">
              <w:rPr>
                <w:noProof/>
                <w:sz w:val="18"/>
                <w:szCs w:val="18"/>
              </w:rPr>
              <w:t> mg/kg (PFOA e sali)</w:t>
            </w:r>
          </w:p>
          <w:p w14:paraId="6AD54C17" w14:textId="5EF37CE8" w:rsidR="00D9400B" w:rsidRPr="003F2F07" w:rsidRDefault="00D9400B" w:rsidP="00AE2F80">
            <w:pPr>
              <w:spacing w:before="60"/>
              <w:jc w:val="center"/>
              <w:rPr>
                <w:rFonts w:eastAsia="Calibri"/>
                <w:noProof/>
                <w:sz w:val="18"/>
                <w:szCs w:val="18"/>
              </w:rPr>
            </w:pPr>
            <w:r w:rsidRPr="00993F0C">
              <w:rPr>
                <w:noProof/>
                <w:sz w:val="18"/>
                <w:szCs w:val="18"/>
              </w:rPr>
              <w:t>2</w:t>
            </w:r>
            <w:r w:rsidRPr="003F2F07">
              <w:rPr>
                <w:noProof/>
                <w:sz w:val="18"/>
                <w:szCs w:val="18"/>
              </w:rPr>
              <w:t> </w:t>
            </w:r>
            <w:r w:rsidRPr="00993F0C">
              <w:rPr>
                <w:noProof/>
                <w:sz w:val="18"/>
                <w:szCs w:val="18"/>
              </w:rPr>
              <w:t>000</w:t>
            </w:r>
            <w:r w:rsidRPr="003F2F07">
              <w:rPr>
                <w:noProof/>
                <w:sz w:val="18"/>
                <w:szCs w:val="18"/>
              </w:rPr>
              <w:t xml:space="preserve"> mg/kg (per i composti ad esso correlati)</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3D507E4" w14:textId="3E0BCC5D" w:rsidR="00D9400B" w:rsidRPr="003F2F07" w:rsidRDefault="00D9400B" w:rsidP="0080700C">
            <w:pPr>
              <w:spacing w:before="60"/>
              <w:jc w:val="center"/>
              <w:rPr>
                <w:rFonts w:eastAsia="Calibri"/>
                <w:b/>
                <w:noProof/>
                <w:sz w:val="18"/>
                <w:szCs w:val="18"/>
              </w:rPr>
            </w:pPr>
            <w:r w:rsidRPr="00993F0C">
              <w:rPr>
                <w:b/>
                <w:noProof/>
                <w:sz w:val="18"/>
                <w:szCs w:val="18"/>
              </w:rPr>
              <w:t>1</w:t>
            </w:r>
            <w:r w:rsidRPr="003F2F07">
              <w:rPr>
                <w:b/>
                <w:noProof/>
                <w:sz w:val="18"/>
                <w:szCs w:val="18"/>
              </w:rPr>
              <w:t xml:space="preserve"> mg/kg per il PFOA e i suoi sali e </w:t>
            </w:r>
            <w:r w:rsidRPr="00993F0C">
              <w:rPr>
                <w:b/>
                <w:noProof/>
                <w:sz w:val="18"/>
                <w:szCs w:val="18"/>
              </w:rPr>
              <w:t>40</w:t>
            </w:r>
            <w:r w:rsidRPr="003F2F07">
              <w:rPr>
                <w:b/>
                <w:noProof/>
                <w:sz w:val="18"/>
                <w:szCs w:val="18"/>
              </w:rPr>
              <w:t> mg/kg per i composti ad esso correlati</w:t>
            </w:r>
          </w:p>
          <w:p w14:paraId="6E9C8147" w14:textId="243A6A1A" w:rsidR="00D9400B" w:rsidRPr="003F2F07" w:rsidRDefault="00D9400B" w:rsidP="0080700C">
            <w:pPr>
              <w:spacing w:before="60"/>
              <w:jc w:val="center"/>
              <w:rPr>
                <w:rFonts w:eastAsia="Calibri"/>
                <w:noProof/>
                <w:sz w:val="18"/>
                <w:szCs w:val="18"/>
              </w:rPr>
            </w:pPr>
            <w:r w:rsidRPr="003F2F07">
              <w:rPr>
                <w:noProof/>
                <w:sz w:val="18"/>
                <w:szCs w:val="18"/>
              </w:rPr>
              <w:t>[Nota: il valore di cui sopra è proposto al posto dell</w:t>
            </w:r>
            <w:r w:rsidR="00207FB3">
              <w:rPr>
                <w:noProof/>
                <w:sz w:val="18"/>
                <w:szCs w:val="18"/>
              </w:rPr>
              <w:t>'</w:t>
            </w:r>
            <w:r w:rsidRPr="003F2F07">
              <w:rPr>
                <w:noProof/>
                <w:sz w:val="18"/>
                <w:szCs w:val="18"/>
              </w:rPr>
              <w:t xml:space="preserve">opzione </w:t>
            </w:r>
            <w:r w:rsidRPr="00993F0C">
              <w:rPr>
                <w:noProof/>
                <w:sz w:val="18"/>
                <w:szCs w:val="18"/>
              </w:rPr>
              <w:t>3</w:t>
            </w:r>
            <w:r w:rsidRPr="003F2F07">
              <w:rPr>
                <w:noProof/>
                <w:sz w:val="18"/>
                <w:szCs w:val="18"/>
              </w:rPr>
              <w:t xml:space="preserve"> considerata inizialmente:</w:t>
            </w:r>
          </w:p>
          <w:p w14:paraId="05187DA1" w14:textId="65ABDDD4" w:rsidR="00D9400B" w:rsidRPr="003F2F07" w:rsidRDefault="00D9400B" w:rsidP="0080700C">
            <w:pPr>
              <w:spacing w:before="60"/>
              <w:ind w:left="30"/>
              <w:contextualSpacing/>
              <w:jc w:val="center"/>
              <w:rPr>
                <w:rFonts w:eastAsia="Calibri"/>
                <w:noProof/>
                <w:sz w:val="18"/>
                <w:szCs w:val="18"/>
              </w:rPr>
            </w:pPr>
            <w:r w:rsidRPr="00993F0C">
              <w:rPr>
                <w:noProof/>
                <w:sz w:val="18"/>
                <w:szCs w:val="18"/>
              </w:rPr>
              <w:t>0</w:t>
            </w:r>
            <w:r w:rsidRPr="003F2F07">
              <w:rPr>
                <w:noProof/>
                <w:sz w:val="18"/>
                <w:szCs w:val="18"/>
              </w:rPr>
              <w:t>,</w:t>
            </w:r>
            <w:r w:rsidRPr="00993F0C">
              <w:rPr>
                <w:noProof/>
                <w:sz w:val="18"/>
                <w:szCs w:val="18"/>
              </w:rPr>
              <w:t>025</w:t>
            </w:r>
            <w:r w:rsidRPr="003F2F07">
              <w:rPr>
                <w:noProof/>
                <w:sz w:val="18"/>
                <w:szCs w:val="18"/>
              </w:rPr>
              <w:t> mg/kg (PFOA e sali)</w:t>
            </w:r>
          </w:p>
          <w:p w14:paraId="17982E48" w14:textId="77777777" w:rsidR="00D9400B" w:rsidRPr="003F2F07" w:rsidRDefault="00D9400B" w:rsidP="0080700C">
            <w:pPr>
              <w:spacing w:before="60"/>
              <w:jc w:val="center"/>
              <w:rPr>
                <w:rFonts w:eastAsia="Calibri"/>
                <w:noProof/>
                <w:sz w:val="18"/>
                <w:szCs w:val="18"/>
              </w:rPr>
            </w:pPr>
            <w:r w:rsidRPr="00993F0C">
              <w:rPr>
                <w:noProof/>
                <w:sz w:val="18"/>
                <w:szCs w:val="18"/>
              </w:rPr>
              <w:t>1</w:t>
            </w:r>
            <w:r w:rsidRPr="003F2F07">
              <w:rPr>
                <w:noProof/>
                <w:sz w:val="18"/>
                <w:szCs w:val="18"/>
              </w:rPr>
              <w:t> mg/kg (per i composti ad esso correlati)]</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43AC0"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r>
      <w:tr w:rsidR="00E815A8" w:rsidRPr="003F2F07" w14:paraId="3907A716"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6080FCC6" w14:textId="46E0E5FD" w:rsidR="00D9400B" w:rsidRPr="003F2F07" w:rsidRDefault="00D9400B" w:rsidP="0080700C">
            <w:pPr>
              <w:spacing w:before="60"/>
              <w:jc w:val="left"/>
              <w:rPr>
                <w:rFonts w:eastAsia="Calibri"/>
                <w:noProof/>
                <w:sz w:val="18"/>
                <w:szCs w:val="18"/>
              </w:rPr>
            </w:pPr>
            <w:r w:rsidRPr="003F2F07">
              <w:rPr>
                <w:noProof/>
                <w:sz w:val="18"/>
                <w:szCs w:val="18"/>
              </w:rPr>
              <w:t>Pentaclorofenolo (PCP)</w:t>
            </w:r>
            <w:r w:rsidR="003F2F07">
              <w:rPr>
                <w:noProof/>
                <w:sz w:val="18"/>
                <w:szCs w:val="18"/>
              </w:rPr>
              <w:t>,</w:t>
            </w:r>
            <w:r w:rsidRPr="003F2F07">
              <w:rPr>
                <w:noProof/>
                <w:sz w:val="18"/>
                <w:szCs w:val="18"/>
              </w:rPr>
              <w:t xml:space="preserve"> suoi sali ed esteri</w:t>
            </w:r>
          </w:p>
        </w:tc>
        <w:tc>
          <w:tcPr>
            <w:tcW w:w="1425" w:type="dxa"/>
            <w:tcBorders>
              <w:top w:val="single" w:sz="4" w:space="0" w:color="auto"/>
              <w:left w:val="single" w:sz="4" w:space="0" w:color="auto"/>
              <w:bottom w:val="single" w:sz="4" w:space="0" w:color="auto"/>
              <w:right w:val="single" w:sz="4" w:space="0" w:color="auto"/>
            </w:tcBorders>
            <w:hideMark/>
          </w:tcPr>
          <w:p w14:paraId="4F6E2A0B" w14:textId="77777777" w:rsidR="00D9400B" w:rsidRPr="003F2F07" w:rsidRDefault="00D9400B" w:rsidP="00AE2F80">
            <w:pPr>
              <w:spacing w:before="60"/>
              <w:jc w:val="center"/>
              <w:rPr>
                <w:rFonts w:eastAsia="Calibri"/>
                <w:noProof/>
                <w:sz w:val="18"/>
                <w:szCs w:val="18"/>
              </w:rPr>
            </w:pPr>
            <w:r w:rsidRPr="003F2F07">
              <w:rPr>
                <w:noProof/>
                <w:sz w:val="18"/>
                <w:szCs w:val="18"/>
              </w:rPr>
              <w:t>Non esistono limiti</w:t>
            </w:r>
          </w:p>
        </w:tc>
        <w:tc>
          <w:tcPr>
            <w:tcW w:w="1696" w:type="dxa"/>
            <w:tcBorders>
              <w:top w:val="single" w:sz="4" w:space="0" w:color="auto"/>
              <w:left w:val="single" w:sz="4" w:space="0" w:color="auto"/>
              <w:bottom w:val="single" w:sz="4" w:space="0" w:color="auto"/>
              <w:right w:val="single" w:sz="4" w:space="0" w:color="auto"/>
            </w:tcBorders>
            <w:hideMark/>
          </w:tcPr>
          <w:p w14:paraId="504FDA56"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277F620" w14:textId="77777777" w:rsidR="00D9400B" w:rsidRPr="003F2F07" w:rsidRDefault="00D9400B" w:rsidP="0080700C">
            <w:pPr>
              <w:spacing w:before="60"/>
              <w:jc w:val="center"/>
              <w:rPr>
                <w:rFonts w:eastAsia="Calibri"/>
                <w:noProof/>
                <w:sz w:val="18"/>
                <w:szCs w:val="18"/>
              </w:rPr>
            </w:pPr>
            <w:r w:rsidRPr="00993F0C">
              <w:rPr>
                <w:noProof/>
                <w:sz w:val="18"/>
                <w:szCs w:val="18"/>
              </w:rPr>
              <w:t>100</w:t>
            </w:r>
            <w:r w:rsidRPr="003F2F07">
              <w:rPr>
                <w:noProof/>
                <w:sz w:val="18"/>
                <w:szCs w:val="18"/>
              </w:rPr>
              <w:t> mg/kg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6F29FE24"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r>
      <w:tr w:rsidR="00E815A8" w:rsidRPr="003F2F07" w14:paraId="379A1CF1" w14:textId="77777777" w:rsidTr="00E815A8">
        <w:trPr>
          <w:cantSplit/>
        </w:trPr>
        <w:tc>
          <w:tcPr>
            <w:tcW w:w="1832" w:type="dxa"/>
            <w:tcBorders>
              <w:top w:val="single" w:sz="4" w:space="0" w:color="auto"/>
              <w:left w:val="single" w:sz="4" w:space="0" w:color="auto"/>
              <w:bottom w:val="single" w:sz="4" w:space="0" w:color="auto"/>
              <w:right w:val="single" w:sz="4" w:space="0" w:color="auto"/>
            </w:tcBorders>
            <w:hideMark/>
          </w:tcPr>
          <w:p w14:paraId="75A1C224" w14:textId="77777777" w:rsidR="00D9400B" w:rsidRPr="003F2F07" w:rsidRDefault="00D9400B" w:rsidP="0080700C">
            <w:pPr>
              <w:spacing w:before="60"/>
              <w:jc w:val="left"/>
              <w:rPr>
                <w:rFonts w:eastAsia="Calibri"/>
                <w:noProof/>
                <w:sz w:val="18"/>
                <w:szCs w:val="18"/>
              </w:rPr>
            </w:pPr>
            <w:r w:rsidRPr="003F2F07">
              <w:rPr>
                <w:noProof/>
                <w:sz w:val="18"/>
                <w:szCs w:val="18"/>
              </w:rPr>
              <w:t>Dicofol</w:t>
            </w:r>
          </w:p>
        </w:tc>
        <w:tc>
          <w:tcPr>
            <w:tcW w:w="1425" w:type="dxa"/>
            <w:tcBorders>
              <w:top w:val="single" w:sz="4" w:space="0" w:color="auto"/>
              <w:left w:val="single" w:sz="4" w:space="0" w:color="auto"/>
              <w:bottom w:val="single" w:sz="4" w:space="0" w:color="auto"/>
              <w:right w:val="single" w:sz="4" w:space="0" w:color="auto"/>
            </w:tcBorders>
            <w:hideMark/>
          </w:tcPr>
          <w:p w14:paraId="59A1E666" w14:textId="77777777" w:rsidR="00D9400B" w:rsidRPr="003F2F07" w:rsidRDefault="00D9400B" w:rsidP="00AE2F80">
            <w:pPr>
              <w:spacing w:before="60"/>
              <w:jc w:val="center"/>
              <w:rPr>
                <w:rFonts w:eastAsia="Calibri"/>
                <w:noProof/>
                <w:sz w:val="18"/>
                <w:szCs w:val="18"/>
              </w:rPr>
            </w:pPr>
            <w:r w:rsidRPr="003F2F07">
              <w:rPr>
                <w:noProof/>
                <w:sz w:val="18"/>
                <w:szCs w:val="18"/>
              </w:rPr>
              <w:t>Non esistono limiti</w:t>
            </w:r>
          </w:p>
        </w:tc>
        <w:tc>
          <w:tcPr>
            <w:tcW w:w="1696" w:type="dxa"/>
            <w:tcBorders>
              <w:top w:val="single" w:sz="4" w:space="0" w:color="auto"/>
              <w:left w:val="single" w:sz="4" w:space="0" w:color="auto"/>
              <w:bottom w:val="single" w:sz="4" w:space="0" w:color="auto"/>
              <w:right w:val="single" w:sz="4" w:space="0" w:color="auto"/>
            </w:tcBorders>
            <w:hideMark/>
          </w:tcPr>
          <w:p w14:paraId="3310B2B1"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c>
          <w:tcPr>
            <w:tcW w:w="310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2A40FC3" w14:textId="0355DBDD" w:rsidR="00D9400B" w:rsidRPr="003F2F07" w:rsidRDefault="00D9400B" w:rsidP="0080700C">
            <w:pPr>
              <w:spacing w:before="60"/>
              <w:jc w:val="center"/>
              <w:rPr>
                <w:rFonts w:eastAsia="Calibri"/>
                <w:noProof/>
                <w:sz w:val="18"/>
                <w:szCs w:val="18"/>
              </w:rPr>
            </w:pPr>
            <w:r w:rsidRPr="00993F0C">
              <w:rPr>
                <w:noProof/>
                <w:sz w:val="18"/>
                <w:szCs w:val="18"/>
              </w:rPr>
              <w:t>50</w:t>
            </w:r>
            <w:r w:rsidRPr="003F2F07">
              <w:rPr>
                <w:noProof/>
                <w:sz w:val="18"/>
                <w:szCs w:val="18"/>
              </w:rPr>
              <w:t> mg/kg</w:t>
            </w: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tcPr>
          <w:p w14:paraId="0AFD6F0E" w14:textId="77777777" w:rsidR="00D9400B" w:rsidRPr="003F2F07" w:rsidRDefault="00D9400B" w:rsidP="00AE2F80">
            <w:pPr>
              <w:spacing w:before="60"/>
              <w:jc w:val="center"/>
              <w:rPr>
                <w:rFonts w:eastAsia="Calibri"/>
                <w:noProof/>
                <w:sz w:val="18"/>
                <w:szCs w:val="18"/>
              </w:rPr>
            </w:pPr>
            <w:r w:rsidRPr="003F2F07">
              <w:rPr>
                <w:noProof/>
                <w:sz w:val="18"/>
                <w:szCs w:val="18"/>
              </w:rPr>
              <w:t>N.P.</w:t>
            </w:r>
          </w:p>
        </w:tc>
      </w:tr>
    </w:tbl>
    <w:p w14:paraId="2E550D83" w14:textId="6965CD62" w:rsidR="00E815A8" w:rsidRPr="003F2F07" w:rsidRDefault="00E815A8" w:rsidP="00E815A8">
      <w:pPr>
        <w:autoSpaceDE w:val="0"/>
        <w:autoSpaceDN w:val="0"/>
        <w:adjustRightInd w:val="0"/>
        <w:rPr>
          <w:noProof/>
          <w:szCs w:val="24"/>
        </w:rPr>
      </w:pPr>
      <w:r w:rsidRPr="003F2F07">
        <w:rPr>
          <w:noProof/>
        </w:rPr>
        <w:t>Oltre ai succitati valori per l</w:t>
      </w:r>
      <w:r w:rsidR="00207FB3">
        <w:rPr>
          <w:noProof/>
        </w:rPr>
        <w:t>'</w:t>
      </w:r>
      <w:r w:rsidRPr="003F2F07">
        <w:rPr>
          <w:noProof/>
        </w:rPr>
        <w:t>allegato IV, la valutazione d</w:t>
      </w:r>
      <w:r w:rsidR="00207FB3">
        <w:rPr>
          <w:noProof/>
        </w:rPr>
        <w:t>'</w:t>
      </w:r>
      <w:r w:rsidRPr="003F2F07">
        <w:rPr>
          <w:noProof/>
        </w:rPr>
        <w:t>impatto prende in considerazione anche, per le sostanze per le quali è proposto un nuovo elenco, un</w:t>
      </w:r>
      <w:r w:rsidR="00207FB3">
        <w:rPr>
          <w:noProof/>
        </w:rPr>
        <w:t>'</w:t>
      </w:r>
      <w:r w:rsidRPr="003F2F07">
        <w:rPr>
          <w:noProof/>
        </w:rPr>
        <w:t>unica opzione strategica che rappresenta un valore da includere nell</w:t>
      </w:r>
      <w:r w:rsidR="00207FB3">
        <w:rPr>
          <w:noProof/>
        </w:rPr>
        <w:t>'</w:t>
      </w:r>
      <w:r w:rsidRPr="003F2F07">
        <w:rPr>
          <w:noProof/>
        </w:rPr>
        <w:t xml:space="preserve">allegato V del regolamento. A fini di coerenza, si propone inoltre di includere la sostanza decaBDE nel valore </w:t>
      </w:r>
      <w:r w:rsidR="00207FB3">
        <w:rPr>
          <w:noProof/>
        </w:rPr>
        <w:t>limite per i PBDE (elencati). I </w:t>
      </w:r>
      <w:r w:rsidRPr="003F2F07">
        <w:rPr>
          <w:noProof/>
        </w:rPr>
        <w:t>valori per l</w:t>
      </w:r>
      <w:r w:rsidR="00207FB3">
        <w:rPr>
          <w:noProof/>
        </w:rPr>
        <w:t>'</w:t>
      </w:r>
      <w:r w:rsidRPr="003F2F07">
        <w:rPr>
          <w:noProof/>
        </w:rPr>
        <w:t>allegato V sono menzionati all</w:t>
      </w:r>
      <w:r w:rsidR="00207FB3">
        <w:rPr>
          <w:noProof/>
        </w:rPr>
        <w:t>'</w:t>
      </w:r>
      <w:r w:rsidRPr="003F2F07">
        <w:rPr>
          <w:noProof/>
        </w:rPr>
        <w:t>articolo </w:t>
      </w:r>
      <w:r w:rsidRPr="00993F0C">
        <w:rPr>
          <w:noProof/>
        </w:rPr>
        <w:t>7</w:t>
      </w:r>
      <w:r w:rsidRPr="003F2F07">
        <w:rPr>
          <w:noProof/>
        </w:rPr>
        <w:t>, paragrafo </w:t>
      </w:r>
      <w:r w:rsidRPr="00993F0C">
        <w:rPr>
          <w:noProof/>
        </w:rPr>
        <w:t>4</w:t>
      </w:r>
      <w:r w:rsidRPr="003F2F07">
        <w:rPr>
          <w:noProof/>
        </w:rPr>
        <w:t xml:space="preserve">, lettera b), del regolamento POP e sono noti anche come </w:t>
      </w:r>
      <w:r w:rsidR="00207FB3">
        <w:rPr>
          <w:noProof/>
        </w:rPr>
        <w:t>"</w:t>
      </w:r>
      <w:r w:rsidRPr="003F2F07">
        <w:rPr>
          <w:noProof/>
        </w:rPr>
        <w:t>limiti massimi di concentrazione dei POP</w:t>
      </w:r>
      <w:r w:rsidR="00207FB3">
        <w:rPr>
          <w:noProof/>
        </w:rPr>
        <w:t>"</w:t>
      </w:r>
      <w:r w:rsidRPr="003F2F07">
        <w:rPr>
          <w:noProof/>
        </w:rPr>
        <w:t>.</w:t>
      </w:r>
    </w:p>
    <w:p w14:paraId="0FF42AC4" w14:textId="1A872EBD" w:rsidR="00E815A8" w:rsidRPr="003F2F07" w:rsidRDefault="00E815A8" w:rsidP="00E815A8">
      <w:pPr>
        <w:pStyle w:val="Caption"/>
        <w:keepNext/>
        <w:ind w:left="-567" w:firstLine="567"/>
        <w:rPr>
          <w:b w:val="0"/>
          <w:i/>
          <w:noProof/>
        </w:rPr>
      </w:pPr>
      <w:r w:rsidRPr="003F2F07">
        <w:rPr>
          <w:i/>
          <w:noProof/>
        </w:rPr>
        <w:t xml:space="preserve">Tabella </w:t>
      </w:r>
      <w:r w:rsidRPr="00993F0C">
        <w:rPr>
          <w:i/>
          <w:noProof/>
        </w:rPr>
        <w:t>4</w:t>
      </w:r>
      <w:r w:rsidRPr="003F2F07">
        <w:rPr>
          <w:b w:val="0"/>
          <w:i/>
          <w:noProof/>
        </w:rPr>
        <w:t>: Valori li</w:t>
      </w:r>
      <w:r w:rsidR="003F2F07">
        <w:rPr>
          <w:b w:val="0"/>
          <w:i/>
          <w:noProof/>
        </w:rPr>
        <w:t>mite proposti per l</w:t>
      </w:r>
      <w:r w:rsidR="00207FB3">
        <w:rPr>
          <w:b w:val="0"/>
          <w:i/>
          <w:noProof/>
        </w:rPr>
        <w:t>'</w:t>
      </w:r>
      <w:r w:rsidR="003F2F07">
        <w:rPr>
          <w:b w:val="0"/>
          <w:i/>
          <w:noProof/>
        </w:rPr>
        <w:t>allegato V</w:t>
      </w:r>
    </w:p>
    <w:tbl>
      <w:tblPr>
        <w:tblStyle w:val="TableGrid"/>
        <w:tblW w:w="6663" w:type="dxa"/>
        <w:tblInd w:w="108" w:type="dxa"/>
        <w:tblLook w:val="04A0" w:firstRow="1" w:lastRow="0" w:firstColumn="1" w:lastColumn="0" w:noHBand="0" w:noVBand="1"/>
      </w:tblPr>
      <w:tblGrid>
        <w:gridCol w:w="1716"/>
        <w:gridCol w:w="4947"/>
      </w:tblGrid>
      <w:tr w:rsidR="00E815A8" w:rsidRPr="003F2F07" w14:paraId="241DC798" w14:textId="77777777" w:rsidTr="00E815A8">
        <w:trPr>
          <w:cantSplit/>
          <w:trHeight w:val="699"/>
          <w:tblHeader/>
        </w:trPr>
        <w:tc>
          <w:tcPr>
            <w:tcW w:w="1716" w:type="dxa"/>
            <w:shd w:val="clear" w:color="auto" w:fill="DAEEF3" w:themeFill="accent5" w:themeFillTint="33"/>
            <w:vAlign w:val="center"/>
          </w:tcPr>
          <w:p w14:paraId="25196251" w14:textId="77777777" w:rsidR="00E815A8" w:rsidRPr="003F2F07" w:rsidRDefault="00E815A8" w:rsidP="00AE2F80">
            <w:pPr>
              <w:jc w:val="center"/>
              <w:rPr>
                <w:b/>
                <w:bCs/>
                <w:noProof/>
                <w:sz w:val="18"/>
                <w:szCs w:val="18"/>
              </w:rPr>
            </w:pPr>
            <w:r w:rsidRPr="003F2F07">
              <w:rPr>
                <w:b/>
                <w:bCs/>
                <w:noProof/>
                <w:sz w:val="18"/>
                <w:szCs w:val="18"/>
              </w:rPr>
              <w:t>Sostanza</w:t>
            </w:r>
          </w:p>
        </w:tc>
        <w:tc>
          <w:tcPr>
            <w:tcW w:w="4947" w:type="dxa"/>
            <w:shd w:val="clear" w:color="auto" w:fill="DAEEF3" w:themeFill="accent5" w:themeFillTint="33"/>
            <w:vAlign w:val="center"/>
          </w:tcPr>
          <w:p w14:paraId="59DD9158" w14:textId="77777777" w:rsidR="00E815A8" w:rsidRPr="003F2F07" w:rsidRDefault="00E815A8" w:rsidP="00AE2F80">
            <w:pPr>
              <w:jc w:val="center"/>
              <w:rPr>
                <w:b/>
                <w:bCs/>
                <w:noProof/>
                <w:sz w:val="18"/>
                <w:szCs w:val="18"/>
              </w:rPr>
            </w:pPr>
            <w:r w:rsidRPr="003F2F07">
              <w:rPr>
                <w:b/>
                <w:bCs/>
                <w:noProof/>
                <w:sz w:val="18"/>
                <w:szCs w:val="18"/>
              </w:rPr>
              <w:t>Valore</w:t>
            </w:r>
          </w:p>
        </w:tc>
      </w:tr>
      <w:tr w:rsidR="00E815A8" w:rsidRPr="003F2F07" w14:paraId="04F6B311" w14:textId="77777777" w:rsidTr="00E815A8">
        <w:trPr>
          <w:cantSplit/>
        </w:trPr>
        <w:tc>
          <w:tcPr>
            <w:tcW w:w="1716" w:type="dxa"/>
            <w:shd w:val="clear" w:color="auto" w:fill="auto"/>
          </w:tcPr>
          <w:p w14:paraId="257ED7E7" w14:textId="2781DD15" w:rsidR="00E815A8" w:rsidRPr="003F2F07" w:rsidRDefault="00E815A8" w:rsidP="00E815A8">
            <w:pPr>
              <w:spacing w:before="60"/>
              <w:jc w:val="left"/>
              <w:rPr>
                <w:noProof/>
                <w:sz w:val="18"/>
                <w:szCs w:val="18"/>
              </w:rPr>
            </w:pPr>
            <w:r w:rsidRPr="003F2F07">
              <w:rPr>
                <w:noProof/>
                <w:sz w:val="18"/>
                <w:szCs w:val="18"/>
              </w:rPr>
              <w:t>PBDE (ivi compreso il decaBDE)</w:t>
            </w:r>
          </w:p>
        </w:tc>
        <w:tc>
          <w:tcPr>
            <w:tcW w:w="4947" w:type="dxa"/>
            <w:shd w:val="clear" w:color="auto" w:fill="auto"/>
          </w:tcPr>
          <w:p w14:paraId="0E2D8FEA" w14:textId="11B3B329" w:rsidR="00E815A8" w:rsidRPr="003F2F07" w:rsidRDefault="00207FB3" w:rsidP="00E815A8">
            <w:pPr>
              <w:spacing w:before="60"/>
              <w:jc w:val="left"/>
              <w:rPr>
                <w:noProof/>
                <w:sz w:val="18"/>
                <w:szCs w:val="18"/>
              </w:rPr>
            </w:pPr>
            <w:r w:rsidRPr="00993F0C">
              <w:rPr>
                <w:noProof/>
                <w:sz w:val="18"/>
                <w:szCs w:val="18"/>
              </w:rPr>
              <w:t>10</w:t>
            </w:r>
            <w:r>
              <w:rPr>
                <w:noProof/>
                <w:sz w:val="18"/>
                <w:szCs w:val="18"/>
              </w:rPr>
              <w:t> </w:t>
            </w:r>
            <w:r w:rsidR="00E815A8" w:rsidRPr="00993F0C">
              <w:rPr>
                <w:noProof/>
                <w:sz w:val="18"/>
                <w:szCs w:val="18"/>
              </w:rPr>
              <w:t>000</w:t>
            </w:r>
            <w:r w:rsidR="00E815A8" w:rsidRPr="003F2F07">
              <w:rPr>
                <w:noProof/>
                <w:sz w:val="18"/>
                <w:szCs w:val="18"/>
              </w:rPr>
              <w:t xml:space="preserve"> mg/kg</w:t>
            </w:r>
          </w:p>
        </w:tc>
      </w:tr>
      <w:tr w:rsidR="00E815A8" w:rsidRPr="003F2F07" w14:paraId="38015C2A" w14:textId="77777777" w:rsidTr="00E815A8">
        <w:trPr>
          <w:cantSplit/>
        </w:trPr>
        <w:tc>
          <w:tcPr>
            <w:tcW w:w="1716" w:type="dxa"/>
            <w:shd w:val="clear" w:color="auto" w:fill="auto"/>
          </w:tcPr>
          <w:p w14:paraId="0740495A" w14:textId="77777777" w:rsidR="00E815A8" w:rsidRPr="003F2F07" w:rsidRDefault="00E815A8" w:rsidP="00E815A8">
            <w:pPr>
              <w:spacing w:before="60"/>
              <w:jc w:val="left"/>
              <w:rPr>
                <w:noProof/>
                <w:sz w:val="18"/>
                <w:szCs w:val="18"/>
              </w:rPr>
            </w:pPr>
            <w:r w:rsidRPr="003F2F07">
              <w:rPr>
                <w:noProof/>
                <w:sz w:val="18"/>
                <w:szCs w:val="18"/>
              </w:rPr>
              <w:t>PFOA, suoi sali e composti correlati</w:t>
            </w:r>
          </w:p>
        </w:tc>
        <w:tc>
          <w:tcPr>
            <w:tcW w:w="4947" w:type="dxa"/>
            <w:shd w:val="clear" w:color="auto" w:fill="auto"/>
          </w:tcPr>
          <w:p w14:paraId="484AC1AF" w14:textId="6D62DD7A" w:rsidR="00E815A8" w:rsidRPr="003F2F07" w:rsidRDefault="003F2F07" w:rsidP="00E815A8">
            <w:pPr>
              <w:spacing w:before="60"/>
              <w:jc w:val="left"/>
              <w:rPr>
                <w:noProof/>
                <w:sz w:val="18"/>
                <w:szCs w:val="18"/>
              </w:rPr>
            </w:pPr>
            <w:r w:rsidRPr="00993F0C">
              <w:rPr>
                <w:noProof/>
                <w:sz w:val="18"/>
                <w:szCs w:val="18"/>
              </w:rPr>
              <w:t>50</w:t>
            </w:r>
            <w:r>
              <w:rPr>
                <w:noProof/>
                <w:sz w:val="18"/>
                <w:szCs w:val="18"/>
              </w:rPr>
              <w:t xml:space="preserve"> mg/kg </w:t>
            </w:r>
            <w:r w:rsidR="00E815A8" w:rsidRPr="003F2F07">
              <w:rPr>
                <w:noProof/>
                <w:sz w:val="18"/>
                <w:szCs w:val="18"/>
              </w:rPr>
              <w:t>per PFOA e sali</w:t>
            </w:r>
          </w:p>
          <w:p w14:paraId="76F5350E" w14:textId="0CAF2102" w:rsidR="00E815A8" w:rsidRPr="003F2F07" w:rsidRDefault="00E815A8" w:rsidP="00E815A8">
            <w:pPr>
              <w:spacing w:before="60"/>
              <w:jc w:val="left"/>
              <w:rPr>
                <w:noProof/>
                <w:sz w:val="18"/>
                <w:szCs w:val="18"/>
              </w:rPr>
            </w:pPr>
            <w:r w:rsidRPr="00993F0C">
              <w:rPr>
                <w:noProof/>
                <w:sz w:val="18"/>
                <w:szCs w:val="18"/>
              </w:rPr>
              <w:t>2</w:t>
            </w:r>
            <w:r w:rsidRPr="003F2F07">
              <w:rPr>
                <w:noProof/>
                <w:sz w:val="18"/>
                <w:szCs w:val="18"/>
              </w:rPr>
              <w:t> </w:t>
            </w:r>
            <w:r w:rsidRPr="00993F0C">
              <w:rPr>
                <w:noProof/>
                <w:sz w:val="18"/>
                <w:szCs w:val="18"/>
              </w:rPr>
              <w:t>000</w:t>
            </w:r>
            <w:r w:rsidRPr="003F2F07">
              <w:rPr>
                <w:noProof/>
                <w:sz w:val="18"/>
                <w:szCs w:val="18"/>
              </w:rPr>
              <w:t xml:space="preserve"> mg/kg (per i composti ad esso correlati) </w:t>
            </w:r>
          </w:p>
        </w:tc>
      </w:tr>
      <w:tr w:rsidR="00E815A8" w:rsidRPr="003F2F07" w14:paraId="30714EB4" w14:textId="77777777" w:rsidTr="00E815A8">
        <w:trPr>
          <w:cantSplit/>
        </w:trPr>
        <w:tc>
          <w:tcPr>
            <w:tcW w:w="1716" w:type="dxa"/>
            <w:shd w:val="clear" w:color="auto" w:fill="auto"/>
          </w:tcPr>
          <w:p w14:paraId="6F336C2C" w14:textId="77777777" w:rsidR="00E815A8" w:rsidRPr="003F2F07" w:rsidRDefault="00E815A8" w:rsidP="00E815A8">
            <w:pPr>
              <w:spacing w:before="60"/>
              <w:jc w:val="left"/>
              <w:rPr>
                <w:noProof/>
                <w:sz w:val="18"/>
                <w:szCs w:val="18"/>
              </w:rPr>
            </w:pPr>
            <w:r w:rsidRPr="003F2F07">
              <w:rPr>
                <w:noProof/>
                <w:sz w:val="18"/>
                <w:szCs w:val="18"/>
              </w:rPr>
              <w:t>Pentaclorofenolo (PCP)</w:t>
            </w:r>
          </w:p>
        </w:tc>
        <w:tc>
          <w:tcPr>
            <w:tcW w:w="4947" w:type="dxa"/>
            <w:shd w:val="clear" w:color="auto" w:fill="auto"/>
          </w:tcPr>
          <w:p w14:paraId="22C9BD56" w14:textId="3C676DBB" w:rsidR="00E815A8" w:rsidRPr="003F2F07" w:rsidRDefault="00207FB3" w:rsidP="00E815A8">
            <w:pPr>
              <w:spacing w:before="60"/>
              <w:jc w:val="left"/>
              <w:rPr>
                <w:noProof/>
                <w:sz w:val="18"/>
                <w:szCs w:val="18"/>
              </w:rPr>
            </w:pPr>
            <w:r w:rsidRPr="00993F0C">
              <w:rPr>
                <w:noProof/>
                <w:sz w:val="18"/>
                <w:szCs w:val="18"/>
              </w:rPr>
              <w:t>1</w:t>
            </w:r>
            <w:r>
              <w:rPr>
                <w:noProof/>
                <w:sz w:val="18"/>
                <w:szCs w:val="18"/>
              </w:rPr>
              <w:t> </w:t>
            </w:r>
            <w:r w:rsidR="00E815A8" w:rsidRPr="00993F0C">
              <w:rPr>
                <w:noProof/>
                <w:sz w:val="18"/>
                <w:szCs w:val="18"/>
              </w:rPr>
              <w:t>000</w:t>
            </w:r>
            <w:r w:rsidR="00E815A8" w:rsidRPr="003F2F07">
              <w:rPr>
                <w:noProof/>
                <w:sz w:val="18"/>
                <w:szCs w:val="18"/>
              </w:rPr>
              <w:t xml:space="preserve"> mg/kg</w:t>
            </w:r>
          </w:p>
        </w:tc>
      </w:tr>
      <w:tr w:rsidR="00E815A8" w:rsidRPr="003F2F07" w14:paraId="7A71E2BE" w14:textId="77777777" w:rsidTr="00E815A8">
        <w:trPr>
          <w:cantSplit/>
        </w:trPr>
        <w:tc>
          <w:tcPr>
            <w:tcW w:w="1716" w:type="dxa"/>
            <w:shd w:val="clear" w:color="auto" w:fill="auto"/>
          </w:tcPr>
          <w:p w14:paraId="05E52DA7" w14:textId="77777777" w:rsidR="00E815A8" w:rsidRPr="003F2F07" w:rsidRDefault="00E815A8" w:rsidP="00E815A8">
            <w:pPr>
              <w:spacing w:before="60"/>
              <w:jc w:val="left"/>
              <w:rPr>
                <w:noProof/>
                <w:sz w:val="18"/>
                <w:szCs w:val="18"/>
              </w:rPr>
            </w:pPr>
            <w:r w:rsidRPr="003F2F07">
              <w:rPr>
                <w:noProof/>
                <w:sz w:val="18"/>
                <w:szCs w:val="18"/>
              </w:rPr>
              <w:t>Dicofol</w:t>
            </w:r>
          </w:p>
        </w:tc>
        <w:tc>
          <w:tcPr>
            <w:tcW w:w="4947" w:type="dxa"/>
            <w:shd w:val="clear" w:color="auto" w:fill="auto"/>
          </w:tcPr>
          <w:p w14:paraId="4415267A" w14:textId="4EC54E56" w:rsidR="00E815A8" w:rsidRPr="003F2F07" w:rsidRDefault="00207FB3" w:rsidP="00E815A8">
            <w:pPr>
              <w:spacing w:before="60"/>
              <w:jc w:val="left"/>
              <w:rPr>
                <w:noProof/>
                <w:sz w:val="18"/>
                <w:szCs w:val="18"/>
              </w:rPr>
            </w:pPr>
            <w:r w:rsidRPr="00993F0C">
              <w:rPr>
                <w:noProof/>
                <w:sz w:val="18"/>
                <w:szCs w:val="18"/>
              </w:rPr>
              <w:t>5</w:t>
            </w:r>
            <w:r>
              <w:rPr>
                <w:noProof/>
                <w:sz w:val="18"/>
                <w:szCs w:val="18"/>
              </w:rPr>
              <w:t> </w:t>
            </w:r>
            <w:r w:rsidR="00E815A8" w:rsidRPr="00993F0C">
              <w:rPr>
                <w:noProof/>
                <w:sz w:val="18"/>
                <w:szCs w:val="18"/>
              </w:rPr>
              <w:t>000</w:t>
            </w:r>
            <w:r w:rsidR="00E815A8" w:rsidRPr="003F2F07">
              <w:rPr>
                <w:noProof/>
                <w:sz w:val="18"/>
                <w:szCs w:val="18"/>
              </w:rPr>
              <w:t xml:space="preserve"> mg/kg</w:t>
            </w:r>
          </w:p>
        </w:tc>
      </w:tr>
    </w:tbl>
    <w:p w14:paraId="3410117A" w14:textId="56BBB831" w:rsidR="008928D0" w:rsidRPr="003F2F07" w:rsidRDefault="00361DAF" w:rsidP="006A6C43">
      <w:pPr>
        <w:autoSpaceDE w:val="0"/>
        <w:autoSpaceDN w:val="0"/>
        <w:adjustRightInd w:val="0"/>
        <w:rPr>
          <w:noProof/>
          <w:szCs w:val="24"/>
        </w:rPr>
      </w:pPr>
      <w:r w:rsidRPr="003F2F07">
        <w:rPr>
          <w:noProof/>
        </w:rPr>
        <w:t xml:space="preserve">Le opzioni strategiche prescelte sono supportate dalla metodologia descritta nella sezione </w:t>
      </w:r>
      <w:r w:rsidRPr="00993F0C">
        <w:rPr>
          <w:noProof/>
        </w:rPr>
        <w:t>5</w:t>
      </w:r>
      <w:r w:rsidRPr="003F2F07">
        <w:rPr>
          <w:noProof/>
        </w:rPr>
        <w:t>.</w:t>
      </w:r>
      <w:r w:rsidRPr="00993F0C">
        <w:rPr>
          <w:noProof/>
        </w:rPr>
        <w:t>2</w:t>
      </w:r>
      <w:r w:rsidRPr="003F2F07">
        <w:rPr>
          <w:noProof/>
        </w:rPr>
        <w:t xml:space="preserve"> e nell</w:t>
      </w:r>
      <w:r w:rsidR="00207FB3">
        <w:rPr>
          <w:noProof/>
        </w:rPr>
        <w:t>'</w:t>
      </w:r>
      <w:r w:rsidRPr="003F2F07">
        <w:rPr>
          <w:noProof/>
        </w:rPr>
        <w:t>allegato IV della relazione sulla valutazione d</w:t>
      </w:r>
      <w:r w:rsidR="00207FB3">
        <w:rPr>
          <w:noProof/>
        </w:rPr>
        <w:t>'</w:t>
      </w:r>
      <w:r w:rsidRPr="003F2F07">
        <w:rPr>
          <w:noProof/>
        </w:rPr>
        <w:t>impatto. Esse tengono conto degli obiettivi generali di tutela della salute umana e dell</w:t>
      </w:r>
      <w:r w:rsidR="00207FB3">
        <w:rPr>
          <w:noProof/>
        </w:rPr>
        <w:t>'</w:t>
      </w:r>
      <w:r w:rsidRPr="003F2F07">
        <w:rPr>
          <w:noProof/>
        </w:rPr>
        <w:t>ambiente (come obiettivo globale), dell</w:t>
      </w:r>
      <w:r w:rsidR="00207FB3">
        <w:rPr>
          <w:noProof/>
        </w:rPr>
        <w:t>'</w:t>
      </w:r>
      <w:r w:rsidRPr="003F2F07">
        <w:rPr>
          <w:noProof/>
        </w:rPr>
        <w:t>incremento del riciclaggio e dell</w:t>
      </w:r>
      <w:r w:rsidR="00207FB3">
        <w:rPr>
          <w:noProof/>
        </w:rPr>
        <w:t>'</w:t>
      </w:r>
      <w:r w:rsidRPr="003F2F07">
        <w:rPr>
          <w:noProof/>
        </w:rPr>
        <w:t>utilizzo di materie prime secondarie e del contributo alla riduzione delle emissioni di gas a effetto serra (a sostegno degli obiettivi climatici dell</w:t>
      </w:r>
      <w:r w:rsidR="00207FB3">
        <w:rPr>
          <w:noProof/>
        </w:rPr>
        <w:t>'</w:t>
      </w:r>
      <w:r w:rsidRPr="003F2F07">
        <w:rPr>
          <w:noProof/>
        </w:rPr>
        <w:t xml:space="preserve">UE). </w:t>
      </w:r>
    </w:p>
    <w:p w14:paraId="7E149DB6" w14:textId="3E1FAC05" w:rsidR="00361DAF" w:rsidRPr="003F2F07" w:rsidRDefault="00361DAF" w:rsidP="006A6C43">
      <w:pPr>
        <w:autoSpaceDE w:val="0"/>
        <w:autoSpaceDN w:val="0"/>
        <w:adjustRightInd w:val="0"/>
        <w:rPr>
          <w:noProof/>
          <w:szCs w:val="24"/>
        </w:rPr>
      </w:pPr>
      <w:r w:rsidRPr="003F2F07">
        <w:rPr>
          <w:noProof/>
        </w:rPr>
        <w:t>I valori proposti per l</w:t>
      </w:r>
      <w:r w:rsidR="00207FB3">
        <w:rPr>
          <w:noProof/>
        </w:rPr>
        <w:t>'</w:t>
      </w:r>
      <w:r w:rsidRPr="003F2F07">
        <w:rPr>
          <w:noProof/>
        </w:rPr>
        <w:t>allegato V si basano sui risultati dell</w:t>
      </w:r>
      <w:r w:rsidR="00207FB3">
        <w:rPr>
          <w:noProof/>
        </w:rPr>
        <w:t>'</w:t>
      </w:r>
      <w:r w:rsidRPr="003F2F07">
        <w:rPr>
          <w:noProof/>
        </w:rPr>
        <w:t>applicazione della metodologia e, in ultima analisi, sui valori concordati già esistenti per sostanze simili di cui all</w:t>
      </w:r>
      <w:r w:rsidR="00207FB3">
        <w:rPr>
          <w:noProof/>
        </w:rPr>
        <w:t>'</w:t>
      </w:r>
      <w:r w:rsidRPr="003F2F07">
        <w:rPr>
          <w:noProof/>
        </w:rPr>
        <w:t xml:space="preserve">allegato V. </w:t>
      </w:r>
    </w:p>
    <w:p w14:paraId="2347B87D" w14:textId="2D50F6CA" w:rsidR="008D1C10" w:rsidRPr="003F2F07" w:rsidRDefault="008D1C10" w:rsidP="00404EF3">
      <w:pPr>
        <w:autoSpaceDE w:val="0"/>
        <w:autoSpaceDN w:val="0"/>
        <w:adjustRightInd w:val="0"/>
        <w:rPr>
          <w:noProof/>
          <w:szCs w:val="24"/>
        </w:rPr>
      </w:pPr>
      <w:r w:rsidRPr="003F2F07">
        <w:rPr>
          <w:noProof/>
        </w:rPr>
        <w:t>Oltre alle sostanze sopra elencate, la valutazione d</w:t>
      </w:r>
      <w:r w:rsidR="00207FB3">
        <w:rPr>
          <w:noProof/>
        </w:rPr>
        <w:t>'</w:t>
      </w:r>
      <w:r w:rsidRPr="003F2F07">
        <w:rPr>
          <w:noProof/>
        </w:rPr>
        <w:t>impatto ha esaminato un</w:t>
      </w:r>
      <w:r w:rsidR="00207FB3">
        <w:rPr>
          <w:noProof/>
        </w:rPr>
        <w:t>'</w:t>
      </w:r>
      <w:r w:rsidRPr="003F2F07">
        <w:rPr>
          <w:noProof/>
        </w:rPr>
        <w:t>ulteriore sostanza, l</w:t>
      </w:r>
      <w:r w:rsidR="00207FB3">
        <w:rPr>
          <w:noProof/>
        </w:rPr>
        <w:t>'</w:t>
      </w:r>
      <w:r w:rsidRPr="003F2F07">
        <w:rPr>
          <w:noProof/>
        </w:rPr>
        <w:t>acido perfluoroesano sulfonico (PFHxS). Il comitato di esame sui POP, previsto dalla convenzione di Stoccolma, ha adottato una decisione in cui raccomanda alla Conferenza delle parti (COP) di considerare l</w:t>
      </w:r>
      <w:r w:rsidR="00207FB3">
        <w:rPr>
          <w:noProof/>
        </w:rPr>
        <w:t>'</w:t>
      </w:r>
      <w:r w:rsidRPr="003F2F07">
        <w:rPr>
          <w:noProof/>
        </w:rPr>
        <w:t>inclusione del PFHxS, dei suoi sali e dei composti ad esso correlati nell</w:t>
      </w:r>
      <w:r w:rsidR="00207FB3">
        <w:rPr>
          <w:noProof/>
        </w:rPr>
        <w:t>'</w:t>
      </w:r>
      <w:r w:rsidRPr="003F2F07">
        <w:rPr>
          <w:noProof/>
        </w:rPr>
        <w:t>allegato A della convenzione senza deroghe specifiche. A causa della pandemia di COVID-</w:t>
      </w:r>
      <w:r w:rsidRPr="00993F0C">
        <w:rPr>
          <w:noProof/>
        </w:rPr>
        <w:t>19</w:t>
      </w:r>
      <w:r w:rsidRPr="003F2F07">
        <w:rPr>
          <w:noProof/>
        </w:rPr>
        <w:t xml:space="preserve">, la decisione relativa a tale inclusione, originariamente prevista per luglio </w:t>
      </w:r>
      <w:r w:rsidRPr="00993F0C">
        <w:rPr>
          <w:noProof/>
        </w:rPr>
        <w:t>2021</w:t>
      </w:r>
      <w:r w:rsidRPr="003F2F07">
        <w:rPr>
          <w:noProof/>
        </w:rPr>
        <w:t xml:space="preserve">, è stata rinviata ed è ora prevista nella riunione in presenza della COP </w:t>
      </w:r>
      <w:r w:rsidRPr="00993F0C">
        <w:rPr>
          <w:noProof/>
        </w:rPr>
        <w:t>10</w:t>
      </w:r>
      <w:r w:rsidRPr="003F2F07">
        <w:rPr>
          <w:noProof/>
        </w:rPr>
        <w:t xml:space="preserve"> della convenzione di Stoccolma programmata dal </w:t>
      </w:r>
      <w:r w:rsidRPr="00993F0C">
        <w:rPr>
          <w:noProof/>
        </w:rPr>
        <w:t>6</w:t>
      </w:r>
      <w:r w:rsidRPr="003F2F07">
        <w:rPr>
          <w:noProof/>
        </w:rPr>
        <w:t xml:space="preserve"> al </w:t>
      </w:r>
      <w:r w:rsidRPr="00993F0C">
        <w:rPr>
          <w:noProof/>
        </w:rPr>
        <w:t>17</w:t>
      </w:r>
      <w:r w:rsidRPr="003F2F07">
        <w:rPr>
          <w:noProof/>
        </w:rPr>
        <w:t xml:space="preserve"> giugno </w:t>
      </w:r>
      <w:r w:rsidRPr="00993F0C">
        <w:rPr>
          <w:noProof/>
        </w:rPr>
        <w:t>2022</w:t>
      </w:r>
      <w:r w:rsidRPr="003F2F07">
        <w:rPr>
          <w:noProof/>
        </w:rPr>
        <w:t>. Dato che il PFHxS non figura ancora nell</w:t>
      </w:r>
      <w:r w:rsidR="00207FB3">
        <w:rPr>
          <w:noProof/>
        </w:rPr>
        <w:t>'</w:t>
      </w:r>
      <w:r w:rsidRPr="003F2F07">
        <w:rPr>
          <w:noProof/>
        </w:rPr>
        <w:t>elenco della convenzione, non viene attualmente proposto il suo inserimento nel regolamento POP. Se l</w:t>
      </w:r>
      <w:r w:rsidR="00207FB3">
        <w:rPr>
          <w:noProof/>
        </w:rPr>
        <w:t>'</w:t>
      </w:r>
      <w:r w:rsidRPr="003F2F07">
        <w:rPr>
          <w:noProof/>
        </w:rPr>
        <w:t>inserimento nell</w:t>
      </w:r>
      <w:r w:rsidR="00207FB3">
        <w:rPr>
          <w:noProof/>
        </w:rPr>
        <w:t>'</w:t>
      </w:r>
      <w:r w:rsidRPr="003F2F07">
        <w:rPr>
          <w:noProof/>
        </w:rPr>
        <w:t>elenco a norma della convenzione avviene nel corso del processo di codecisione, il suo inserimento nel regolamento può essere proposto sulla base dell</w:t>
      </w:r>
      <w:r w:rsidR="00207FB3">
        <w:rPr>
          <w:noProof/>
        </w:rPr>
        <w:t>'</w:t>
      </w:r>
      <w:r w:rsidRPr="003F2F07">
        <w:rPr>
          <w:noProof/>
        </w:rPr>
        <w:t>analisi effettuata nella valutazione d</w:t>
      </w:r>
      <w:r w:rsidR="00207FB3">
        <w:rPr>
          <w:noProof/>
        </w:rPr>
        <w:t>'</w:t>
      </w:r>
      <w:r w:rsidRPr="003F2F07">
        <w:rPr>
          <w:noProof/>
        </w:rPr>
        <w:t>impatto.</w:t>
      </w:r>
    </w:p>
    <w:p w14:paraId="1AA77B79" w14:textId="77777777" w:rsidR="008D1C10" w:rsidRPr="003F2F07" w:rsidRDefault="008D1C10" w:rsidP="00404EF3">
      <w:pPr>
        <w:autoSpaceDE w:val="0"/>
        <w:autoSpaceDN w:val="0"/>
        <w:adjustRightInd w:val="0"/>
        <w:rPr>
          <w:noProof/>
          <w:szCs w:val="24"/>
        </w:rPr>
      </w:pPr>
    </w:p>
    <w:p w14:paraId="4D78C00D"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Efficienza normativa e semplificazione</w:t>
      </w:r>
    </w:p>
    <w:p w14:paraId="2C6C91F5" w14:textId="586DDF87" w:rsidR="002C147D" w:rsidRDefault="002C147D" w:rsidP="002C147D">
      <w:pPr>
        <w:rPr>
          <w:noProof/>
        </w:rPr>
      </w:pPr>
      <w:r w:rsidRPr="003F2F07">
        <w:rPr>
          <w:noProof/>
        </w:rPr>
        <w:t>Non sono state individuate misure di semplificazione, in quanto il regolamento POP è stato recentemente oggetto di una rifusione. L</w:t>
      </w:r>
      <w:r w:rsidR="00207FB3">
        <w:rPr>
          <w:noProof/>
        </w:rPr>
        <w:t>'</w:t>
      </w:r>
      <w:r w:rsidRPr="003F2F07">
        <w:rPr>
          <w:noProof/>
        </w:rPr>
        <w:t xml:space="preserve">iniziativa si limita a fissare valori per sostanze specifiche di cui agli allegati IV e V del regolamento POP; la proposta pertanto si attiene ad un ambito giuridico e un formato rigorosamente definiti. </w:t>
      </w:r>
    </w:p>
    <w:p w14:paraId="0A252A18" w14:textId="77777777" w:rsidR="00993F0C" w:rsidRPr="003F2F07" w:rsidRDefault="00993F0C" w:rsidP="002C147D">
      <w:pPr>
        <w:rPr>
          <w:noProof/>
        </w:rPr>
      </w:pPr>
    </w:p>
    <w:p w14:paraId="5C2838AC"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Diritti fondamentali</w:t>
      </w:r>
    </w:p>
    <w:p w14:paraId="5FE00C7A" w14:textId="7BB12E41" w:rsidR="0080700C" w:rsidRPr="003F2F07" w:rsidRDefault="002C147D" w:rsidP="002C147D">
      <w:pPr>
        <w:pBdr>
          <w:top w:val="nil"/>
          <w:left w:val="nil"/>
          <w:bottom w:val="nil"/>
          <w:right w:val="nil"/>
          <w:between w:val="nil"/>
          <w:bar w:val="nil"/>
        </w:pBdr>
        <w:spacing w:before="0" w:after="240"/>
        <w:rPr>
          <w:noProof/>
        </w:rPr>
      </w:pPr>
      <w:r w:rsidRPr="003F2F07">
        <w:rPr>
          <w:noProof/>
        </w:rPr>
        <w:t>L</w:t>
      </w:r>
      <w:r w:rsidR="00207FB3">
        <w:rPr>
          <w:noProof/>
        </w:rPr>
        <w:t>'</w:t>
      </w:r>
      <w:r w:rsidRPr="003F2F07">
        <w:rPr>
          <w:noProof/>
        </w:rPr>
        <w:t>inadeguata gestione delle sostanze pericolose, in particolare dei POP, contribuisce all</w:t>
      </w:r>
      <w:r w:rsidR="00207FB3">
        <w:rPr>
          <w:noProof/>
        </w:rPr>
        <w:t>'</w:t>
      </w:r>
      <w:r w:rsidRPr="003F2F07">
        <w:rPr>
          <w:noProof/>
        </w:rPr>
        <w:t>inquinamento ambientale globale, che può avere gravi ripercussioni sul diritto alla vita, sul diritto all</w:t>
      </w:r>
      <w:r w:rsidR="00207FB3">
        <w:rPr>
          <w:noProof/>
        </w:rPr>
        <w:t>'</w:t>
      </w:r>
      <w:r w:rsidRPr="003F2F07">
        <w:rPr>
          <w:noProof/>
        </w:rPr>
        <w:t xml:space="preserve">integrità della persona, sul diritto a condizioni di lavoro giuste ed eque e sul diritto a un ambiente sano. </w:t>
      </w:r>
    </w:p>
    <w:p w14:paraId="0E130211" w14:textId="39D7F596" w:rsidR="002C147D" w:rsidRPr="003F2F07" w:rsidRDefault="002C147D" w:rsidP="002C147D">
      <w:pPr>
        <w:pBdr>
          <w:top w:val="nil"/>
          <w:left w:val="nil"/>
          <w:bottom w:val="nil"/>
          <w:right w:val="nil"/>
          <w:between w:val="nil"/>
          <w:bar w:val="nil"/>
        </w:pBdr>
        <w:spacing w:before="0" w:after="240"/>
        <w:rPr>
          <w:rFonts w:eastAsiaTheme="minorEastAsia"/>
          <w:noProof/>
          <w:szCs w:val="24"/>
        </w:rPr>
      </w:pPr>
      <w:r w:rsidRPr="003F2F07">
        <w:rPr>
          <w:noProof/>
        </w:rPr>
        <w:t>Il regolamento POP attua le disposizioni della convenzione di Stoccolma e del protocollo POP nell</w:t>
      </w:r>
      <w:r w:rsidR="00207FB3">
        <w:rPr>
          <w:noProof/>
        </w:rPr>
        <w:t>'</w:t>
      </w:r>
      <w:r w:rsidRPr="003F2F07">
        <w:rPr>
          <w:noProof/>
        </w:rPr>
        <w:t xml:space="preserve">Unione. Tenendo presenti i principi </w:t>
      </w:r>
      <w:r w:rsidRPr="00993F0C">
        <w:rPr>
          <w:noProof/>
        </w:rPr>
        <w:t>14</w:t>
      </w:r>
      <w:r w:rsidRPr="003F2F07">
        <w:rPr>
          <w:noProof/>
        </w:rPr>
        <w:t xml:space="preserve"> e </w:t>
      </w:r>
      <w:r w:rsidRPr="00993F0C">
        <w:rPr>
          <w:noProof/>
        </w:rPr>
        <w:t>15</w:t>
      </w:r>
      <w:r w:rsidRPr="003F2F07">
        <w:rPr>
          <w:noProof/>
        </w:rPr>
        <w:t xml:space="preserve"> della dichiarazione di Rio sull</w:t>
      </w:r>
      <w:r w:rsidR="00207FB3">
        <w:rPr>
          <w:noProof/>
        </w:rPr>
        <w:t>'</w:t>
      </w:r>
      <w:r w:rsidRPr="003F2F07">
        <w:rPr>
          <w:noProof/>
        </w:rPr>
        <w:t xml:space="preserve">ambiente e lo sviluppo, il regolamento stabilisce </w:t>
      </w:r>
      <w:r w:rsidR="003F2F07">
        <w:rPr>
          <w:noProof/>
        </w:rPr>
        <w:t xml:space="preserve">misure per ridurre al minimo – </w:t>
      </w:r>
      <w:r w:rsidRPr="003F2F07">
        <w:rPr>
          <w:noProof/>
        </w:rPr>
        <w:t>con l</w:t>
      </w:r>
      <w:r w:rsidR="00207FB3">
        <w:rPr>
          <w:noProof/>
        </w:rPr>
        <w:t>'</w:t>
      </w:r>
      <w:r w:rsidRPr="003F2F07">
        <w:rPr>
          <w:noProof/>
        </w:rPr>
        <w:t>obiettivo di eliminare, ove possibile, quanto prima – le emissioni di POP. Stabilisce inoltre disposizioni relative ai rifiuti composti da, contenenti o contaminati da una di queste sostanze.</w:t>
      </w:r>
    </w:p>
    <w:p w14:paraId="0A430904" w14:textId="77777777" w:rsidR="002C147D" w:rsidRPr="003F2F07" w:rsidRDefault="002C147D" w:rsidP="002C147D">
      <w:pPr>
        <w:pBdr>
          <w:top w:val="nil"/>
          <w:left w:val="nil"/>
          <w:bottom w:val="nil"/>
          <w:right w:val="nil"/>
          <w:between w:val="nil"/>
          <w:bar w:val="nil"/>
        </w:pBdr>
        <w:spacing w:before="0" w:after="240"/>
        <w:rPr>
          <w:rFonts w:eastAsia="Arial Unicode MS"/>
          <w:noProof/>
        </w:rPr>
      </w:pPr>
      <w:r w:rsidRPr="003F2F07">
        <w:rPr>
          <w:noProof/>
        </w:rPr>
        <w:t>La proposta modifica gli allegati IV e V del regolamento POP, consentendo all</w:t>
      </w:r>
      <w:r w:rsidR="00207FB3">
        <w:rPr>
          <w:noProof/>
        </w:rPr>
        <w:t>'</w:t>
      </w:r>
      <w:r w:rsidRPr="003F2F07">
        <w:rPr>
          <w:noProof/>
        </w:rPr>
        <w:t>Unione di rispettare, per le sostanze che rientrano nel campo di applicazione della proposta, gli impegni assunti a norma della convenzione di Stoccolma e del protocollo.</w:t>
      </w:r>
    </w:p>
    <w:p w14:paraId="48BD92D4" w14:textId="77777777" w:rsidR="007D09E1" w:rsidRPr="003F2F07" w:rsidRDefault="007D09E1" w:rsidP="00194FA1">
      <w:pPr>
        <w:pStyle w:val="ManualHeading1"/>
        <w:rPr>
          <w:noProof/>
        </w:rPr>
      </w:pPr>
      <w:r w:rsidRPr="00993F0C">
        <w:rPr>
          <w:noProof/>
        </w:rPr>
        <w:t>4</w:t>
      </w:r>
      <w:r w:rsidRPr="003F2F07">
        <w:rPr>
          <w:noProof/>
        </w:rPr>
        <w:t>.</w:t>
      </w:r>
      <w:r w:rsidRPr="003F2F07">
        <w:rPr>
          <w:noProof/>
        </w:rPr>
        <w:tab/>
        <w:t>INCIDENZA SUL BILANCIO</w:t>
      </w:r>
    </w:p>
    <w:p w14:paraId="2BB6A795" w14:textId="3934D05D" w:rsidR="001652DA" w:rsidRPr="003F2F07" w:rsidRDefault="001652DA" w:rsidP="001652DA">
      <w:pPr>
        <w:rPr>
          <w:noProof/>
        </w:rPr>
      </w:pPr>
      <w:r w:rsidRPr="003F2F07">
        <w:rPr>
          <w:noProof/>
        </w:rPr>
        <w:t>La misura proposta non comporta incidenze sul bilancio</w:t>
      </w:r>
      <w:r w:rsidR="00207FB3">
        <w:rPr>
          <w:noProof/>
        </w:rPr>
        <w:t xml:space="preserve"> per la Commissione europea. Di </w:t>
      </w:r>
      <w:r w:rsidRPr="003F2F07">
        <w:rPr>
          <w:noProof/>
        </w:rPr>
        <w:t xml:space="preserve">conseguenza, </w:t>
      </w:r>
      <w:r w:rsidRPr="003F2F07">
        <w:rPr>
          <w:b/>
          <w:bCs/>
          <w:noProof/>
        </w:rPr>
        <w:t>non viene fornita la scheda finanziaria legislativa</w:t>
      </w:r>
      <w:r w:rsidRPr="003F2F07">
        <w:rPr>
          <w:noProof/>
        </w:rPr>
        <w:t xml:space="preserve">. </w:t>
      </w:r>
    </w:p>
    <w:p w14:paraId="1947CD6F" w14:textId="77777777" w:rsidR="007D09E1" w:rsidRPr="003F2F07" w:rsidRDefault="007D09E1" w:rsidP="00194FA1">
      <w:pPr>
        <w:pStyle w:val="ManualHeading1"/>
        <w:rPr>
          <w:noProof/>
        </w:rPr>
      </w:pPr>
      <w:r w:rsidRPr="00993F0C">
        <w:rPr>
          <w:noProof/>
        </w:rPr>
        <w:t>5</w:t>
      </w:r>
      <w:r w:rsidRPr="003F2F07">
        <w:rPr>
          <w:noProof/>
        </w:rPr>
        <w:t>.</w:t>
      </w:r>
      <w:r w:rsidRPr="003F2F07">
        <w:rPr>
          <w:noProof/>
        </w:rPr>
        <w:tab/>
        <w:t>ALTRI ELEMENTI</w:t>
      </w:r>
    </w:p>
    <w:p w14:paraId="72A0C7AE"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Piani attuativi e modalità di monitoraggio, valutazione e informazione</w:t>
      </w:r>
    </w:p>
    <w:p w14:paraId="1D194C6F" w14:textId="777B46C7" w:rsidR="00F30847" w:rsidRPr="003F2F07" w:rsidRDefault="00F30847" w:rsidP="00F30847">
      <w:pPr>
        <w:rPr>
          <w:rFonts w:eastAsia="Times New Roman"/>
          <w:noProof/>
          <w:szCs w:val="24"/>
        </w:rPr>
      </w:pPr>
      <w:r w:rsidRPr="003F2F07">
        <w:rPr>
          <w:noProof/>
        </w:rPr>
        <w:t>Il monitoraggio dell</w:t>
      </w:r>
      <w:r w:rsidR="00207FB3">
        <w:rPr>
          <w:noProof/>
        </w:rPr>
        <w:t>'</w:t>
      </w:r>
      <w:r w:rsidRPr="003F2F07">
        <w:rPr>
          <w:noProof/>
        </w:rPr>
        <w:t>impatto e dell</w:t>
      </w:r>
      <w:r w:rsidR="00207FB3">
        <w:rPr>
          <w:noProof/>
        </w:rPr>
        <w:t>'</w:t>
      </w:r>
      <w:r w:rsidRPr="003F2F07">
        <w:rPr>
          <w:noProof/>
        </w:rPr>
        <w:t>efficacia del regolamento POP, comprese le sue disposizioni in materia di rifiuti, è un obbligo esistente ai sensi del regolamento; la presente proposta non prevede quindi misure o meccanismi supplementari. Le relazioni di sintesi preparate dalla Commissione, sulla base delle relazioni degli Stati membri sull</w:t>
      </w:r>
      <w:r w:rsidR="00207FB3">
        <w:rPr>
          <w:noProof/>
        </w:rPr>
        <w:t>'</w:t>
      </w:r>
      <w:r w:rsidRPr="003F2F07">
        <w:rPr>
          <w:noProof/>
        </w:rPr>
        <w:t>attuazione del regolamento sui POP, sono pubblicate a scadenze regolari</w:t>
      </w:r>
      <w:r w:rsidRPr="003F2F07">
        <w:rPr>
          <w:rStyle w:val="FootnoteReference"/>
          <w:rFonts w:eastAsia="Times New Roman"/>
          <w:noProof/>
          <w:szCs w:val="24"/>
        </w:rPr>
        <w:footnoteReference w:id="18"/>
      </w:r>
      <w:r w:rsidRPr="003F2F07">
        <w:rPr>
          <w:noProof/>
        </w:rPr>
        <w:t xml:space="preserve">. </w:t>
      </w:r>
    </w:p>
    <w:p w14:paraId="6E95F94A"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Documenti esplicativi</w:t>
      </w:r>
    </w:p>
    <w:p w14:paraId="0A898A37" w14:textId="77777777" w:rsidR="0025444C" w:rsidRPr="003F2F07" w:rsidRDefault="0025444C" w:rsidP="0025444C">
      <w:pPr>
        <w:pBdr>
          <w:top w:val="nil"/>
          <w:left w:val="nil"/>
          <w:bottom w:val="nil"/>
          <w:right w:val="nil"/>
          <w:between w:val="nil"/>
          <w:bar w:val="nil"/>
        </w:pBdr>
        <w:rPr>
          <w:noProof/>
        </w:rPr>
      </w:pPr>
      <w:r w:rsidRPr="003F2F07">
        <w:rPr>
          <w:noProof/>
        </w:rPr>
        <w:t>Lo strumento giuridico proposto è un regolamento direttamente applicabile negli Stati membri, per tanto non è necessario un documento esplicativo.</w:t>
      </w:r>
    </w:p>
    <w:p w14:paraId="59881D0C" w14:textId="77777777" w:rsidR="007D09E1" w:rsidRPr="003F2F07" w:rsidRDefault="007D09E1" w:rsidP="00194FA1">
      <w:pPr>
        <w:pStyle w:val="ManualHeading2"/>
        <w:rPr>
          <w:rFonts w:eastAsia="Arial Unicode MS"/>
          <w:noProof/>
          <w:u w:color="000000"/>
          <w:bdr w:val="nil"/>
        </w:rPr>
      </w:pPr>
      <w:r w:rsidRPr="003F2F07">
        <w:rPr>
          <w:noProof/>
          <w:u w:color="000000"/>
          <w:bdr w:val="nil"/>
        </w:rPr>
        <w:t>•</w:t>
      </w:r>
      <w:r w:rsidRPr="003F2F07">
        <w:rPr>
          <w:noProof/>
        </w:rPr>
        <w:tab/>
      </w:r>
      <w:r w:rsidRPr="003F2F07">
        <w:rPr>
          <w:noProof/>
          <w:u w:color="000000"/>
          <w:bdr w:val="nil"/>
        </w:rPr>
        <w:t>Illustrazione dettagliata delle singole disposizioni della proposta</w:t>
      </w:r>
    </w:p>
    <w:p w14:paraId="55CF309F" w14:textId="5F1333BF" w:rsidR="0025444C" w:rsidRPr="003F2F07" w:rsidRDefault="0025444C" w:rsidP="0025444C">
      <w:pPr>
        <w:pBdr>
          <w:top w:val="nil"/>
          <w:left w:val="nil"/>
          <w:bottom w:val="nil"/>
          <w:right w:val="nil"/>
          <w:between w:val="nil"/>
          <w:bar w:val="nil"/>
        </w:pBdr>
        <w:ind w:left="284" w:firstLine="11"/>
        <w:rPr>
          <w:rFonts w:eastAsia="Arial Unicode MS"/>
          <w:noProof/>
          <w:color w:val="000000"/>
          <w:szCs w:val="24"/>
          <w:u w:color="000000"/>
          <w:bdr w:val="nil"/>
        </w:rPr>
      </w:pPr>
      <w:r w:rsidRPr="003F2F07">
        <w:rPr>
          <w:noProof/>
        </w:rPr>
        <w:t>L</w:t>
      </w:r>
      <w:r w:rsidR="00207FB3">
        <w:rPr>
          <w:noProof/>
        </w:rPr>
        <w:t>'</w:t>
      </w:r>
      <w:r w:rsidRPr="003F2F07">
        <w:rPr>
          <w:b/>
          <w:noProof/>
        </w:rPr>
        <w:t xml:space="preserve">articolo </w:t>
      </w:r>
      <w:r w:rsidRPr="00993F0C">
        <w:rPr>
          <w:b/>
          <w:noProof/>
        </w:rPr>
        <w:t>1</w:t>
      </w:r>
      <w:r w:rsidRPr="003F2F07">
        <w:rPr>
          <w:noProof/>
        </w:rPr>
        <w:t xml:space="preserve"> prevede la modifica degli allegati IV e V del regolamento (UE) </w:t>
      </w:r>
      <w:r w:rsidRPr="00993F0C">
        <w:rPr>
          <w:noProof/>
        </w:rPr>
        <w:t>2019</w:t>
      </w:r>
      <w:r w:rsidRPr="003F2F07">
        <w:rPr>
          <w:noProof/>
        </w:rPr>
        <w:t>/</w:t>
      </w:r>
      <w:r w:rsidRPr="00993F0C">
        <w:rPr>
          <w:noProof/>
        </w:rPr>
        <w:t>1021</w:t>
      </w:r>
      <w:r w:rsidRPr="003F2F07">
        <w:rPr>
          <w:noProof/>
        </w:rPr>
        <w:t>.</w:t>
      </w:r>
    </w:p>
    <w:p w14:paraId="088926BF" w14:textId="70916087" w:rsidR="0025444C" w:rsidRPr="003F2F07" w:rsidRDefault="0025444C" w:rsidP="0025444C">
      <w:pPr>
        <w:pBdr>
          <w:top w:val="nil"/>
          <w:left w:val="nil"/>
          <w:bottom w:val="nil"/>
          <w:right w:val="nil"/>
          <w:between w:val="nil"/>
          <w:bar w:val="nil"/>
        </w:pBdr>
        <w:ind w:left="284" w:firstLine="11"/>
        <w:rPr>
          <w:rFonts w:eastAsia="Arial Unicode MS"/>
          <w:noProof/>
          <w:color w:val="000000"/>
          <w:szCs w:val="24"/>
          <w:u w:color="000000"/>
          <w:bdr w:val="nil"/>
        </w:rPr>
      </w:pPr>
      <w:r w:rsidRPr="003F2F07">
        <w:rPr>
          <w:noProof/>
          <w:color w:val="000000"/>
          <w:szCs w:val="24"/>
          <w:u w:color="000000"/>
          <w:bdr w:val="nil"/>
        </w:rPr>
        <w:t>L</w:t>
      </w:r>
      <w:r w:rsidR="00207FB3">
        <w:rPr>
          <w:noProof/>
          <w:color w:val="000000"/>
          <w:szCs w:val="24"/>
          <w:u w:color="000000"/>
          <w:bdr w:val="nil"/>
        </w:rPr>
        <w:t>'</w:t>
      </w:r>
      <w:r w:rsidRPr="003F2F07">
        <w:rPr>
          <w:b/>
          <w:noProof/>
          <w:color w:val="000000"/>
          <w:szCs w:val="24"/>
          <w:u w:color="000000"/>
          <w:bdr w:val="nil"/>
        </w:rPr>
        <w:t xml:space="preserve">articolo </w:t>
      </w:r>
      <w:r w:rsidRPr="00993F0C">
        <w:rPr>
          <w:b/>
          <w:noProof/>
          <w:color w:val="000000"/>
          <w:szCs w:val="24"/>
          <w:u w:color="000000"/>
          <w:bdr w:val="nil"/>
        </w:rPr>
        <w:t>2</w:t>
      </w:r>
      <w:r w:rsidRPr="003F2F07">
        <w:rPr>
          <w:noProof/>
          <w:color w:val="000000"/>
          <w:szCs w:val="24"/>
          <w:u w:color="000000"/>
          <w:bdr w:val="nil"/>
        </w:rPr>
        <w:t xml:space="preserve"> contiene disposizioni relative all</w:t>
      </w:r>
      <w:r w:rsidR="00207FB3">
        <w:rPr>
          <w:noProof/>
          <w:color w:val="000000"/>
          <w:szCs w:val="24"/>
          <w:u w:color="000000"/>
          <w:bdr w:val="nil"/>
        </w:rPr>
        <w:t>'</w:t>
      </w:r>
      <w:r w:rsidRPr="003F2F07">
        <w:rPr>
          <w:noProof/>
          <w:color w:val="000000"/>
          <w:szCs w:val="24"/>
          <w:u w:color="000000"/>
          <w:bdr w:val="nil"/>
        </w:rPr>
        <w:t>entrata in vigore della misura.</w:t>
      </w:r>
    </w:p>
    <w:p w14:paraId="10A01ED8" w14:textId="73A6604E" w:rsidR="007D09E1" w:rsidRPr="003F2F07" w:rsidRDefault="009D77FC" w:rsidP="009D77FC">
      <w:pPr>
        <w:pBdr>
          <w:top w:val="nil"/>
          <w:left w:val="nil"/>
          <w:bottom w:val="nil"/>
          <w:right w:val="nil"/>
          <w:between w:val="nil"/>
          <w:bar w:val="nil"/>
        </w:pBdr>
        <w:ind w:left="284" w:firstLine="11"/>
        <w:rPr>
          <w:rFonts w:eastAsia="Arial Unicode MS"/>
          <w:noProof/>
          <w:color w:val="000000"/>
          <w:szCs w:val="24"/>
          <w:u w:color="000000"/>
          <w:bdr w:val="nil"/>
        </w:rPr>
        <w:sectPr w:rsidR="007D09E1" w:rsidRPr="003F2F07" w:rsidSect="009E3B6E">
          <w:footerReference w:type="default" r:id="rId10"/>
          <w:footerReference w:type="first" r:id="rId11"/>
          <w:pgSz w:w="11907" w:h="16839"/>
          <w:pgMar w:top="1134" w:right="1417" w:bottom="1134" w:left="1417" w:header="709" w:footer="709" w:gutter="0"/>
          <w:cols w:space="708"/>
          <w:docGrid w:linePitch="360"/>
        </w:sectPr>
      </w:pPr>
      <w:r w:rsidRPr="003F2F07">
        <w:rPr>
          <w:noProof/>
          <w:color w:val="000000"/>
          <w:szCs w:val="24"/>
          <w:u w:color="000000"/>
          <w:bdr w:val="nil"/>
        </w:rPr>
        <w:t>L</w:t>
      </w:r>
      <w:r w:rsidR="00207FB3">
        <w:rPr>
          <w:noProof/>
          <w:color w:val="000000"/>
          <w:szCs w:val="24"/>
          <w:u w:color="000000"/>
          <w:bdr w:val="nil"/>
        </w:rPr>
        <w:t>'</w:t>
      </w:r>
      <w:r w:rsidRPr="003F2F07">
        <w:rPr>
          <w:b/>
          <w:noProof/>
          <w:color w:val="000000"/>
          <w:szCs w:val="24"/>
          <w:u w:color="000000"/>
          <w:bdr w:val="nil"/>
        </w:rPr>
        <w:t>allegato</w:t>
      </w:r>
      <w:r w:rsidRPr="003F2F07">
        <w:rPr>
          <w:noProof/>
          <w:color w:val="000000"/>
          <w:szCs w:val="24"/>
          <w:u w:color="000000"/>
          <w:bdr w:val="nil"/>
        </w:rPr>
        <w:t xml:space="preserve"> contiene disposizioni specifiche che modificano gli allegati IV e V</w:t>
      </w:r>
      <w:r w:rsidR="00207FB3">
        <w:rPr>
          <w:noProof/>
        </w:rPr>
        <w:t xml:space="preserve"> del regolamento (UE) </w:t>
      </w:r>
      <w:r w:rsidRPr="00993F0C">
        <w:rPr>
          <w:noProof/>
        </w:rPr>
        <w:t>2019</w:t>
      </w:r>
      <w:r w:rsidRPr="003F2F07">
        <w:rPr>
          <w:noProof/>
        </w:rPr>
        <w:t>/</w:t>
      </w:r>
      <w:r w:rsidRPr="00993F0C">
        <w:rPr>
          <w:noProof/>
        </w:rPr>
        <w:t>1021</w:t>
      </w:r>
      <w:r w:rsidRPr="003F2F07">
        <w:rPr>
          <w:noProof/>
        </w:rPr>
        <w:t>.</w:t>
      </w:r>
    </w:p>
    <w:p w14:paraId="426967D0" w14:textId="34AD6310" w:rsidR="00B33230" w:rsidRDefault="00B33230" w:rsidP="00B33230">
      <w:pPr>
        <w:pStyle w:val="Rfrenceinterinstitutionnelle"/>
        <w:rPr>
          <w:noProof/>
        </w:rPr>
      </w:pPr>
      <w:r w:rsidRPr="00B33230">
        <w:t>2021/0340 (COD)</w:t>
      </w:r>
    </w:p>
    <w:p w14:paraId="69CBF372" w14:textId="5443A6F8" w:rsidR="007D09E1" w:rsidRPr="003F2F07" w:rsidRDefault="00EB6D34" w:rsidP="00EB6D34">
      <w:pPr>
        <w:pStyle w:val="Statut"/>
        <w:rPr>
          <w:noProof/>
        </w:rPr>
      </w:pPr>
      <w:r w:rsidRPr="00EB6D34">
        <w:rPr>
          <w:noProof/>
        </w:rPr>
        <w:t>Proposta di</w:t>
      </w:r>
    </w:p>
    <w:p w14:paraId="50475858" w14:textId="7729262C" w:rsidR="007D09E1" w:rsidRPr="003F2F07" w:rsidRDefault="00EB6D34" w:rsidP="00EB6D34">
      <w:pPr>
        <w:pStyle w:val="Typedudocument"/>
        <w:rPr>
          <w:noProof/>
        </w:rPr>
      </w:pPr>
      <w:r w:rsidRPr="00EB6D34">
        <w:rPr>
          <w:noProof/>
        </w:rPr>
        <w:t>REGOLAMENTO DEL PARLAMENTO EUROPEO E DEL CONSIGLIO</w:t>
      </w:r>
    </w:p>
    <w:p w14:paraId="5C151271" w14:textId="0C28BCF9" w:rsidR="00355AFA" w:rsidRPr="003F2F07" w:rsidRDefault="00EB6D34" w:rsidP="00EB6D34">
      <w:pPr>
        <w:pStyle w:val="Titreobjet"/>
        <w:rPr>
          <w:noProof/>
        </w:rPr>
      </w:pPr>
      <w:r w:rsidRPr="00EB6D34">
        <w:rPr>
          <w:noProof/>
        </w:rPr>
        <w:t xml:space="preserve">recante modifica degli allegati IV e V del regolamento (CE) </w:t>
      </w:r>
      <w:r w:rsidRPr="00993F0C">
        <w:rPr>
          <w:noProof/>
        </w:rPr>
        <w:t>2019</w:t>
      </w:r>
      <w:r w:rsidRPr="00EB6D34">
        <w:rPr>
          <w:noProof/>
        </w:rPr>
        <w:t>/</w:t>
      </w:r>
      <w:r w:rsidRPr="00993F0C">
        <w:rPr>
          <w:noProof/>
        </w:rPr>
        <w:t>1021</w:t>
      </w:r>
      <w:r w:rsidRPr="00EB6D34">
        <w:rPr>
          <w:noProof/>
        </w:rPr>
        <w:t xml:space="preserve"> del Parlamento europeo e del Consiglio relativo agli inquinanti organici persistenti</w:t>
      </w:r>
    </w:p>
    <w:p w14:paraId="2F715729" w14:textId="1C0F1EED" w:rsidR="00322390" w:rsidRPr="003F2F07" w:rsidRDefault="00EB6D34" w:rsidP="00EB6D34">
      <w:pPr>
        <w:pStyle w:val="IntrtEEE"/>
        <w:rPr>
          <w:noProof/>
        </w:rPr>
      </w:pPr>
      <w:r w:rsidRPr="00EB6D34">
        <w:rPr>
          <w:noProof/>
        </w:rPr>
        <w:t>(Testo rilevante ai fini del SEE)</w:t>
      </w:r>
    </w:p>
    <w:p w14:paraId="2A299F21" w14:textId="710B0E33" w:rsidR="00194FA1" w:rsidRPr="003F2F07" w:rsidRDefault="00194FA1" w:rsidP="00F6470F">
      <w:pPr>
        <w:pStyle w:val="Institutionquiagit"/>
        <w:rPr>
          <w:noProof/>
        </w:rPr>
      </w:pPr>
      <w:r w:rsidRPr="003F2F07">
        <w:rPr>
          <w:noProof/>
        </w:rPr>
        <w:t>IL PARLAMENTO EUROPEO E IL CONSIGLIO DELL</w:t>
      </w:r>
      <w:r w:rsidR="00207FB3">
        <w:rPr>
          <w:noProof/>
        </w:rPr>
        <w:t>'</w:t>
      </w:r>
      <w:r w:rsidRPr="003F2F07">
        <w:rPr>
          <w:noProof/>
        </w:rPr>
        <w:t>UNIONE EUROPEA,</w:t>
      </w:r>
    </w:p>
    <w:p w14:paraId="19CA89A9" w14:textId="11546E1F" w:rsidR="00194FA1" w:rsidRPr="003F2F07" w:rsidRDefault="00194FA1" w:rsidP="00194FA1">
      <w:pPr>
        <w:rPr>
          <w:noProof/>
        </w:rPr>
      </w:pPr>
      <w:r w:rsidRPr="003F2F07">
        <w:rPr>
          <w:noProof/>
        </w:rPr>
        <w:t>visto il trattato sul funzionamento dell</w:t>
      </w:r>
      <w:r w:rsidR="00207FB3">
        <w:rPr>
          <w:noProof/>
        </w:rPr>
        <w:t>'</w:t>
      </w:r>
      <w:r w:rsidRPr="003F2F07">
        <w:rPr>
          <w:noProof/>
        </w:rPr>
        <w:t>Unione europea, in particolare l</w:t>
      </w:r>
      <w:r w:rsidR="00207FB3">
        <w:rPr>
          <w:noProof/>
        </w:rPr>
        <w:t>'</w:t>
      </w:r>
      <w:r w:rsidRPr="003F2F07">
        <w:rPr>
          <w:noProof/>
        </w:rPr>
        <w:t>articolo</w:t>
      </w:r>
      <w:r w:rsidR="00D16234">
        <w:rPr>
          <w:noProof/>
        </w:rPr>
        <w:t> </w:t>
      </w:r>
      <w:r w:rsidRPr="00993F0C">
        <w:rPr>
          <w:noProof/>
        </w:rPr>
        <w:t>192</w:t>
      </w:r>
      <w:r w:rsidRPr="003F2F07">
        <w:rPr>
          <w:noProof/>
        </w:rPr>
        <w:t>,</w:t>
      </w:r>
      <w:r w:rsidR="00D16234">
        <w:rPr>
          <w:noProof/>
        </w:rPr>
        <w:t xml:space="preserve"> paragrafo </w:t>
      </w:r>
      <w:r w:rsidR="00D16234" w:rsidRPr="00993F0C">
        <w:rPr>
          <w:noProof/>
        </w:rPr>
        <w:t>1</w:t>
      </w:r>
      <w:r w:rsidR="00D16234">
        <w:rPr>
          <w:noProof/>
        </w:rPr>
        <w:t>,</w:t>
      </w:r>
    </w:p>
    <w:p w14:paraId="0A0FD59D" w14:textId="77777777" w:rsidR="00194FA1" w:rsidRPr="003F2F07" w:rsidRDefault="00194FA1" w:rsidP="00194FA1">
      <w:pPr>
        <w:rPr>
          <w:noProof/>
        </w:rPr>
      </w:pPr>
      <w:r w:rsidRPr="003F2F07">
        <w:rPr>
          <w:noProof/>
        </w:rPr>
        <w:t>vista la proposta della Commissione europea,</w:t>
      </w:r>
    </w:p>
    <w:p w14:paraId="1C82AAE0" w14:textId="77777777" w:rsidR="00194FA1" w:rsidRPr="003F2F07" w:rsidRDefault="00194FA1" w:rsidP="00194FA1">
      <w:pPr>
        <w:rPr>
          <w:noProof/>
        </w:rPr>
      </w:pPr>
      <w:r w:rsidRPr="003F2F07">
        <w:rPr>
          <w:noProof/>
        </w:rPr>
        <w:t>previa trasmissione del progetto di atto legislativo ai parlamenti nazionali,</w:t>
      </w:r>
    </w:p>
    <w:p w14:paraId="5BE207C0" w14:textId="24B670A0" w:rsidR="00194FA1" w:rsidRPr="003F2F07" w:rsidRDefault="00194FA1" w:rsidP="0057634B">
      <w:pPr>
        <w:rPr>
          <w:noProof/>
        </w:rPr>
      </w:pPr>
      <w:r w:rsidRPr="003F2F07">
        <w:rPr>
          <w:noProof/>
        </w:rPr>
        <w:t>visto il parere del Comitato economico e sociale europeo</w:t>
      </w:r>
      <w:r w:rsidRPr="003F2F07">
        <w:rPr>
          <w:rStyle w:val="FootnoteReference"/>
          <w:noProof/>
        </w:rPr>
        <w:footnoteReference w:id="19"/>
      </w:r>
      <w:r w:rsidR="0057634B">
        <w:rPr>
          <w:noProof/>
        </w:rPr>
        <w:t>,</w:t>
      </w:r>
    </w:p>
    <w:p w14:paraId="09502952" w14:textId="77777777" w:rsidR="00194FA1" w:rsidRPr="003F2F07" w:rsidRDefault="00194FA1" w:rsidP="00194FA1">
      <w:pPr>
        <w:rPr>
          <w:noProof/>
        </w:rPr>
      </w:pPr>
      <w:r w:rsidRPr="003F2F07">
        <w:rPr>
          <w:noProof/>
        </w:rPr>
        <w:t>visto il parere del Comitato delle regioni</w:t>
      </w:r>
      <w:r w:rsidRPr="003F2F07">
        <w:rPr>
          <w:rStyle w:val="FootnoteReference"/>
          <w:noProof/>
        </w:rPr>
        <w:footnoteReference w:id="20"/>
      </w:r>
      <w:r w:rsidRPr="003F2F07">
        <w:rPr>
          <w:noProof/>
        </w:rPr>
        <w:t xml:space="preserve">, </w:t>
      </w:r>
    </w:p>
    <w:p w14:paraId="634DD6B9" w14:textId="77777777" w:rsidR="00194FA1" w:rsidRPr="003F2F07" w:rsidRDefault="00194FA1" w:rsidP="00194FA1">
      <w:pPr>
        <w:rPr>
          <w:noProof/>
        </w:rPr>
      </w:pPr>
      <w:r w:rsidRPr="003F2F07">
        <w:rPr>
          <w:noProof/>
        </w:rPr>
        <w:t>deliberando secondo la procedura legislativa ordinaria,</w:t>
      </w:r>
    </w:p>
    <w:p w14:paraId="3C33704B" w14:textId="77777777" w:rsidR="00194FA1" w:rsidRPr="003F2F07" w:rsidRDefault="00194FA1" w:rsidP="00194FA1">
      <w:pPr>
        <w:rPr>
          <w:noProof/>
        </w:rPr>
      </w:pPr>
      <w:r w:rsidRPr="003F2F07">
        <w:rPr>
          <w:noProof/>
        </w:rPr>
        <w:t>considerando quanto segue:</w:t>
      </w:r>
    </w:p>
    <w:p w14:paraId="1C67B51B" w14:textId="07C5C2A8" w:rsidR="00322390" w:rsidRPr="003F2F07" w:rsidRDefault="00C362D5" w:rsidP="00C362D5">
      <w:pPr>
        <w:pStyle w:val="ManualConsidrant"/>
        <w:rPr>
          <w:noProof/>
        </w:rPr>
      </w:pPr>
      <w:r w:rsidRPr="00C362D5">
        <w:t>(1)</w:t>
      </w:r>
      <w:r w:rsidRPr="00C362D5">
        <w:tab/>
      </w:r>
      <w:r w:rsidR="00322390" w:rsidRPr="003F2F07">
        <w:rPr>
          <w:noProof/>
        </w:rPr>
        <w:t xml:space="preserve">Il regolamento (UE) </w:t>
      </w:r>
      <w:r w:rsidR="00322390" w:rsidRPr="00993F0C">
        <w:rPr>
          <w:noProof/>
        </w:rPr>
        <w:t>2019</w:t>
      </w:r>
      <w:r w:rsidR="00322390" w:rsidRPr="003F2F07">
        <w:rPr>
          <w:noProof/>
        </w:rPr>
        <w:t>/</w:t>
      </w:r>
      <w:r w:rsidR="00322390" w:rsidRPr="00993F0C">
        <w:rPr>
          <w:noProof/>
        </w:rPr>
        <w:t>1021</w:t>
      </w:r>
      <w:r w:rsidR="00322390" w:rsidRPr="003F2F07">
        <w:rPr>
          <w:noProof/>
        </w:rPr>
        <w:t xml:space="preserve"> del Parlamento europeo e del Consiglio</w:t>
      </w:r>
      <w:r w:rsidR="00322390" w:rsidRPr="003F2F07">
        <w:rPr>
          <w:rStyle w:val="FootnoteReference"/>
          <w:noProof/>
        </w:rPr>
        <w:footnoteReference w:id="21"/>
      </w:r>
      <w:r w:rsidR="00322390" w:rsidRPr="003F2F07">
        <w:rPr>
          <w:noProof/>
        </w:rPr>
        <w:t xml:space="preserve"> relativo agli inquinanti organici persistenti recepisce nel diritto dell</w:t>
      </w:r>
      <w:r w:rsidR="00207FB3">
        <w:rPr>
          <w:noProof/>
        </w:rPr>
        <w:t>'</w:t>
      </w:r>
      <w:r w:rsidR="00322390" w:rsidRPr="003F2F07">
        <w:rPr>
          <w:noProof/>
        </w:rPr>
        <w:t xml:space="preserve">Unione gli impegni sanciti dalla convenzione di Stoccolma sugli inquinanti organici persistenti (di seguito </w:t>
      </w:r>
      <w:r w:rsidR="00207FB3">
        <w:rPr>
          <w:noProof/>
        </w:rPr>
        <w:t>"la </w:t>
      </w:r>
      <w:r w:rsidR="00322390" w:rsidRPr="003F2F07">
        <w:rPr>
          <w:noProof/>
        </w:rPr>
        <w:t>convenzione</w:t>
      </w:r>
      <w:r w:rsidR="00207FB3">
        <w:rPr>
          <w:noProof/>
        </w:rPr>
        <w:t>"</w:t>
      </w:r>
      <w:r w:rsidR="00322390" w:rsidRPr="003F2F07">
        <w:rPr>
          <w:noProof/>
        </w:rPr>
        <w:t xml:space="preserve">), approvata a nome della Comunità con decisione </w:t>
      </w:r>
      <w:r w:rsidR="00322390" w:rsidRPr="00993F0C">
        <w:rPr>
          <w:noProof/>
        </w:rPr>
        <w:t>2006</w:t>
      </w:r>
      <w:r w:rsidR="00322390" w:rsidRPr="003F2F07">
        <w:rPr>
          <w:noProof/>
        </w:rPr>
        <w:t>/</w:t>
      </w:r>
      <w:r w:rsidR="00322390" w:rsidRPr="00993F0C">
        <w:rPr>
          <w:noProof/>
        </w:rPr>
        <w:t>507</w:t>
      </w:r>
      <w:r w:rsidR="00322390" w:rsidRPr="003F2F07">
        <w:rPr>
          <w:noProof/>
        </w:rPr>
        <w:t>/CE del Consiglio</w:t>
      </w:r>
      <w:r w:rsidR="00322390" w:rsidRPr="003F2F07">
        <w:rPr>
          <w:rStyle w:val="FootnoteReference"/>
          <w:noProof/>
        </w:rPr>
        <w:footnoteReference w:id="22"/>
      </w:r>
      <w:r w:rsidR="00322390" w:rsidRPr="003F2F07">
        <w:rPr>
          <w:noProof/>
        </w:rPr>
        <w:t xml:space="preserve">, nonché dal protocollo sugli inquinanti organici persistenti della convenzione del </w:t>
      </w:r>
      <w:r w:rsidR="00322390" w:rsidRPr="00993F0C">
        <w:rPr>
          <w:noProof/>
        </w:rPr>
        <w:t>1979</w:t>
      </w:r>
      <w:r w:rsidR="00322390" w:rsidRPr="003F2F07">
        <w:rPr>
          <w:noProof/>
        </w:rPr>
        <w:t xml:space="preserve"> sull</w:t>
      </w:r>
      <w:r w:rsidR="00207FB3">
        <w:rPr>
          <w:noProof/>
        </w:rPr>
        <w:t>'</w:t>
      </w:r>
      <w:r w:rsidR="00322390" w:rsidRPr="003F2F07">
        <w:rPr>
          <w:noProof/>
        </w:rPr>
        <w:t xml:space="preserve">inquinamento atmosferico transfrontaliero a grande distanza, approvato a nome della Comunità con decisione </w:t>
      </w:r>
      <w:r w:rsidR="00322390" w:rsidRPr="00993F0C">
        <w:rPr>
          <w:noProof/>
        </w:rPr>
        <w:t>2004</w:t>
      </w:r>
      <w:r w:rsidR="00322390" w:rsidRPr="003F2F07">
        <w:rPr>
          <w:noProof/>
        </w:rPr>
        <w:t>/</w:t>
      </w:r>
      <w:r w:rsidR="00322390" w:rsidRPr="00993F0C">
        <w:rPr>
          <w:noProof/>
        </w:rPr>
        <w:t>259</w:t>
      </w:r>
      <w:r w:rsidR="00322390" w:rsidRPr="003F2F07">
        <w:rPr>
          <w:noProof/>
        </w:rPr>
        <w:t>/CE del Consiglio</w:t>
      </w:r>
      <w:r w:rsidR="00322390" w:rsidRPr="003F2F07">
        <w:rPr>
          <w:rStyle w:val="FootnoteReference"/>
          <w:noProof/>
        </w:rPr>
        <w:footnoteReference w:id="23"/>
      </w:r>
      <w:r w:rsidR="00322390" w:rsidRPr="003F2F07">
        <w:rPr>
          <w:noProof/>
        </w:rPr>
        <w:t>.</w:t>
      </w:r>
    </w:p>
    <w:p w14:paraId="519B87B4" w14:textId="24B67C28" w:rsidR="00DD4D33" w:rsidRPr="003F2F07" w:rsidRDefault="00C362D5" w:rsidP="00C362D5">
      <w:pPr>
        <w:pStyle w:val="ManualConsidrant"/>
        <w:rPr>
          <w:noProof/>
        </w:rPr>
      </w:pPr>
      <w:r w:rsidRPr="00C362D5">
        <w:t>(2)</w:t>
      </w:r>
      <w:r w:rsidRPr="00C362D5">
        <w:tab/>
      </w:r>
      <w:r w:rsidR="00D032E5" w:rsidRPr="003F2F07">
        <w:rPr>
          <w:noProof/>
        </w:rPr>
        <w:t xml:space="preserve">Alla settima riunione della conferenza delle parti della convenzione, tenutasi dal </w:t>
      </w:r>
      <w:r w:rsidR="00D032E5" w:rsidRPr="00993F0C">
        <w:rPr>
          <w:noProof/>
        </w:rPr>
        <w:t>4</w:t>
      </w:r>
      <w:r w:rsidR="00D032E5" w:rsidRPr="003F2F07">
        <w:rPr>
          <w:noProof/>
        </w:rPr>
        <w:t xml:space="preserve"> al </w:t>
      </w:r>
      <w:r w:rsidR="00D032E5" w:rsidRPr="00993F0C">
        <w:rPr>
          <w:noProof/>
        </w:rPr>
        <w:t>15</w:t>
      </w:r>
      <w:r w:rsidR="00D032E5" w:rsidRPr="003F2F07">
        <w:rPr>
          <w:noProof/>
        </w:rPr>
        <w:t xml:space="preserve"> maggio </w:t>
      </w:r>
      <w:r w:rsidR="00D032E5" w:rsidRPr="00993F0C">
        <w:rPr>
          <w:noProof/>
        </w:rPr>
        <w:t>2015</w:t>
      </w:r>
      <w:r w:rsidR="00D032E5" w:rsidRPr="003F2F07">
        <w:rPr>
          <w:noProof/>
        </w:rPr>
        <w:t xml:space="preserve">, è stato convenuto di inserire il pentaclorofenolo e i suoi sali ed esteri (di seguito, il </w:t>
      </w:r>
      <w:r w:rsidR="00207FB3">
        <w:rPr>
          <w:noProof/>
        </w:rPr>
        <w:t>"</w:t>
      </w:r>
      <w:r w:rsidR="00D032E5" w:rsidRPr="003F2F07">
        <w:rPr>
          <w:noProof/>
        </w:rPr>
        <w:t>pentaclorofenolo</w:t>
      </w:r>
      <w:r w:rsidR="00207FB3">
        <w:rPr>
          <w:noProof/>
        </w:rPr>
        <w:t>"</w:t>
      </w:r>
      <w:r w:rsidR="00D032E5" w:rsidRPr="003F2F07">
        <w:rPr>
          <w:noProof/>
        </w:rPr>
        <w:t>) nell</w:t>
      </w:r>
      <w:r w:rsidR="00207FB3">
        <w:rPr>
          <w:noProof/>
        </w:rPr>
        <w:t>'</w:t>
      </w:r>
      <w:r w:rsidR="00D032E5" w:rsidRPr="003F2F07">
        <w:rPr>
          <w:noProof/>
        </w:rPr>
        <w:t>allegato A della convenzione. Alla nona riunione della conferenza delle parti della convenzion</w:t>
      </w:r>
      <w:r w:rsidR="00207FB3">
        <w:rPr>
          <w:noProof/>
        </w:rPr>
        <w:t xml:space="preserve">e, tenutasi dal </w:t>
      </w:r>
      <w:r w:rsidR="00207FB3" w:rsidRPr="00993F0C">
        <w:rPr>
          <w:noProof/>
        </w:rPr>
        <w:t>29</w:t>
      </w:r>
      <w:r w:rsidR="00207FB3">
        <w:rPr>
          <w:noProof/>
        </w:rPr>
        <w:t xml:space="preserve"> aprile al </w:t>
      </w:r>
      <w:r w:rsidR="00207FB3" w:rsidRPr="00993F0C">
        <w:rPr>
          <w:noProof/>
        </w:rPr>
        <w:t>10</w:t>
      </w:r>
      <w:r w:rsidR="00207FB3">
        <w:rPr>
          <w:noProof/>
        </w:rPr>
        <w:t> </w:t>
      </w:r>
      <w:r w:rsidR="00D032E5" w:rsidRPr="003F2F07">
        <w:rPr>
          <w:noProof/>
        </w:rPr>
        <w:t xml:space="preserve">maggio </w:t>
      </w:r>
      <w:r w:rsidR="00D032E5" w:rsidRPr="00993F0C">
        <w:rPr>
          <w:noProof/>
        </w:rPr>
        <w:t>2019</w:t>
      </w:r>
      <w:r w:rsidR="00D032E5" w:rsidRPr="003F2F07">
        <w:rPr>
          <w:noProof/>
        </w:rPr>
        <w:t>, è stato convenuto di inserire il dicofol e l</w:t>
      </w:r>
      <w:r w:rsidR="00207FB3">
        <w:rPr>
          <w:noProof/>
        </w:rPr>
        <w:t>'</w:t>
      </w:r>
      <w:r w:rsidR="00D032E5" w:rsidRPr="003F2F07">
        <w:rPr>
          <w:noProof/>
        </w:rPr>
        <w:t>acido perfluoroottanoico (PFOA), i suoi sali e i composti a esso correlati nell</w:t>
      </w:r>
      <w:r w:rsidR="00207FB3">
        <w:rPr>
          <w:noProof/>
        </w:rPr>
        <w:t>'</w:t>
      </w:r>
      <w:r w:rsidR="00D032E5" w:rsidRPr="003F2F07">
        <w:rPr>
          <w:noProof/>
        </w:rPr>
        <w:t>all</w:t>
      </w:r>
      <w:r w:rsidR="00207FB3">
        <w:rPr>
          <w:noProof/>
        </w:rPr>
        <w:t>egato A della convenzione. Alla </w:t>
      </w:r>
      <w:r w:rsidR="00D032E5" w:rsidRPr="003F2F07">
        <w:rPr>
          <w:noProof/>
        </w:rPr>
        <w:t xml:space="preserve">luce di tali modifiche della convenzione e al fine di garantire che i rifiuti contenenti tali sostanze siano gestiti conformemente alle disposizioni della convenzione, è necessario modificare anche gli allegati IV e V del regolamento (UE) </w:t>
      </w:r>
      <w:r w:rsidR="00D032E5" w:rsidRPr="00993F0C">
        <w:rPr>
          <w:noProof/>
        </w:rPr>
        <w:t>2019</w:t>
      </w:r>
      <w:r w:rsidR="00D032E5" w:rsidRPr="003F2F07">
        <w:rPr>
          <w:noProof/>
        </w:rPr>
        <w:t>/</w:t>
      </w:r>
      <w:r w:rsidR="00D032E5" w:rsidRPr="00993F0C">
        <w:rPr>
          <w:noProof/>
        </w:rPr>
        <w:t>1021</w:t>
      </w:r>
      <w:r w:rsidR="00D032E5" w:rsidRPr="003F2F07">
        <w:rPr>
          <w:noProof/>
        </w:rPr>
        <w:t xml:space="preserve"> includendo il pentaclorofenolo, il dicofol e l</w:t>
      </w:r>
      <w:r w:rsidR="00207FB3">
        <w:rPr>
          <w:noProof/>
        </w:rPr>
        <w:t>'</w:t>
      </w:r>
      <w:r w:rsidR="00D032E5" w:rsidRPr="003F2F07">
        <w:rPr>
          <w:noProof/>
        </w:rPr>
        <w:t>acido perfluoroottanoico (PFOA), i suoi sali e i composti a esso correlati negli allegati e indicando i rispe</w:t>
      </w:r>
      <w:r w:rsidR="003F2F07">
        <w:rPr>
          <w:noProof/>
        </w:rPr>
        <w:t>ttivi limiti di concentrazione.</w:t>
      </w:r>
      <w:r w:rsidR="00D032E5" w:rsidRPr="003F2F07">
        <w:rPr>
          <w:noProof/>
        </w:rPr>
        <w:t xml:space="preserve"> </w:t>
      </w:r>
    </w:p>
    <w:p w14:paraId="56B1D563" w14:textId="45CB5631" w:rsidR="00DD4D33" w:rsidRPr="003F2F07" w:rsidRDefault="00C362D5" w:rsidP="00C362D5">
      <w:pPr>
        <w:pStyle w:val="ManualConsidrant"/>
        <w:rPr>
          <w:noProof/>
        </w:rPr>
      </w:pPr>
      <w:r w:rsidRPr="00C362D5">
        <w:t>(3)</w:t>
      </w:r>
      <w:r w:rsidRPr="00C362D5">
        <w:tab/>
      </w:r>
      <w:r w:rsidR="00DD4D33" w:rsidRPr="003F2F07">
        <w:rPr>
          <w:noProof/>
        </w:rPr>
        <w:t>Il pentaclorofenolo era stato precedentemente inserito negli allegati IV e V</w:t>
      </w:r>
      <w:r w:rsidR="00207FB3">
        <w:rPr>
          <w:noProof/>
        </w:rPr>
        <w:t xml:space="preserve"> del regolamento (CE) n. </w:t>
      </w:r>
      <w:r w:rsidR="00DD4D33" w:rsidRPr="00993F0C">
        <w:rPr>
          <w:noProof/>
        </w:rPr>
        <w:t>850</w:t>
      </w:r>
      <w:r w:rsidR="00DD4D33" w:rsidRPr="003F2F07">
        <w:rPr>
          <w:noProof/>
        </w:rPr>
        <w:t>/</w:t>
      </w:r>
      <w:r w:rsidR="00DD4D33" w:rsidRPr="00993F0C">
        <w:rPr>
          <w:noProof/>
        </w:rPr>
        <w:t>2004</w:t>
      </w:r>
      <w:r w:rsidR="00DD4D33" w:rsidRPr="003F2F07">
        <w:rPr>
          <w:noProof/>
        </w:rPr>
        <w:t xml:space="preserve"> del Parlamento europeo e del Consiglio</w:t>
      </w:r>
      <w:r w:rsidR="00DD4D33" w:rsidRPr="003F2F07">
        <w:rPr>
          <w:rStyle w:val="FootnoteReference"/>
          <w:noProof/>
        </w:rPr>
        <w:footnoteReference w:id="24"/>
      </w:r>
      <w:r w:rsidR="00DD4D33" w:rsidRPr="003F2F07">
        <w:rPr>
          <w:noProof/>
        </w:rPr>
        <w:t xml:space="preserve"> dal regolamento (UE) </w:t>
      </w:r>
      <w:r w:rsidR="00DD4D33" w:rsidRPr="00993F0C">
        <w:rPr>
          <w:noProof/>
        </w:rPr>
        <w:t>2019</w:t>
      </w:r>
      <w:r w:rsidR="00DD4D33" w:rsidRPr="003F2F07">
        <w:rPr>
          <w:noProof/>
        </w:rPr>
        <w:t>/</w:t>
      </w:r>
      <w:r w:rsidR="00DD4D33" w:rsidRPr="00993F0C">
        <w:rPr>
          <w:noProof/>
        </w:rPr>
        <w:t>636</w:t>
      </w:r>
      <w:r w:rsidR="00DD4D33" w:rsidRPr="003F2F07">
        <w:rPr>
          <w:noProof/>
        </w:rPr>
        <w:t xml:space="preserve"> della Commissione</w:t>
      </w:r>
      <w:r w:rsidR="00DD4D33" w:rsidRPr="003F2F07">
        <w:rPr>
          <w:rStyle w:val="FootnoteReference"/>
          <w:noProof/>
        </w:rPr>
        <w:footnoteReference w:id="25"/>
      </w:r>
      <w:r w:rsidR="00DD4D33" w:rsidRPr="003F2F07">
        <w:rPr>
          <w:noProof/>
        </w:rPr>
        <w:t>, con un valore per l</w:t>
      </w:r>
      <w:r w:rsidR="00207FB3">
        <w:rPr>
          <w:noProof/>
        </w:rPr>
        <w:t>'</w:t>
      </w:r>
      <w:r w:rsidR="003B073B">
        <w:rPr>
          <w:noProof/>
        </w:rPr>
        <w:t>allegato IV di </w:t>
      </w:r>
      <w:r w:rsidR="00DD4D33" w:rsidRPr="00993F0C">
        <w:rPr>
          <w:noProof/>
        </w:rPr>
        <w:t>100</w:t>
      </w:r>
      <w:r w:rsidR="00DD4D33" w:rsidRPr="003F2F07">
        <w:rPr>
          <w:noProof/>
        </w:rPr>
        <w:t> mg/kg e un valore per l</w:t>
      </w:r>
      <w:r w:rsidR="00207FB3">
        <w:rPr>
          <w:noProof/>
        </w:rPr>
        <w:t>'</w:t>
      </w:r>
      <w:r w:rsidR="00DD4D33" w:rsidRPr="003F2F07">
        <w:rPr>
          <w:noProof/>
        </w:rPr>
        <w:t>allegato</w:t>
      </w:r>
      <w:r w:rsidR="003B073B">
        <w:rPr>
          <w:noProof/>
        </w:rPr>
        <w:t> </w:t>
      </w:r>
      <w:r w:rsidR="00DD4D33" w:rsidRPr="003F2F07">
        <w:rPr>
          <w:noProof/>
        </w:rPr>
        <w:t xml:space="preserve">V di </w:t>
      </w:r>
      <w:r w:rsidR="00DD4D33" w:rsidRPr="00993F0C">
        <w:rPr>
          <w:noProof/>
        </w:rPr>
        <w:t>1</w:t>
      </w:r>
      <w:r w:rsidR="00DD4D33" w:rsidRPr="003F2F07">
        <w:rPr>
          <w:noProof/>
        </w:rPr>
        <w:t> </w:t>
      </w:r>
      <w:r w:rsidR="00DD4D33" w:rsidRPr="00993F0C">
        <w:rPr>
          <w:noProof/>
        </w:rPr>
        <w:t>000</w:t>
      </w:r>
      <w:r w:rsidR="00DD4D33" w:rsidRPr="003F2F07">
        <w:rPr>
          <w:noProof/>
        </w:rPr>
        <w:t> mg/kg. Il regolamento (CE) n. </w:t>
      </w:r>
      <w:r w:rsidR="00DD4D33" w:rsidRPr="00993F0C">
        <w:rPr>
          <w:noProof/>
        </w:rPr>
        <w:t>850</w:t>
      </w:r>
      <w:r w:rsidR="00DD4D33" w:rsidRPr="003F2F07">
        <w:rPr>
          <w:noProof/>
        </w:rPr>
        <w:t>/</w:t>
      </w:r>
      <w:r w:rsidR="00DD4D33" w:rsidRPr="00993F0C">
        <w:rPr>
          <w:noProof/>
        </w:rPr>
        <w:t>2004</w:t>
      </w:r>
      <w:r w:rsidR="00DD4D33" w:rsidRPr="003F2F07">
        <w:rPr>
          <w:noProof/>
        </w:rPr>
        <w:t xml:space="preserve"> è stato abrogato dal regolamento (UE) </w:t>
      </w:r>
      <w:r w:rsidR="00DD4D33" w:rsidRPr="00993F0C">
        <w:rPr>
          <w:noProof/>
        </w:rPr>
        <w:t>2019</w:t>
      </w:r>
      <w:r w:rsidR="00DD4D33" w:rsidRPr="003F2F07">
        <w:rPr>
          <w:noProof/>
        </w:rPr>
        <w:t>/</w:t>
      </w:r>
      <w:r w:rsidR="00DD4D33" w:rsidRPr="00993F0C">
        <w:rPr>
          <w:noProof/>
        </w:rPr>
        <w:t>1021</w:t>
      </w:r>
      <w:r w:rsidR="00DD4D33" w:rsidRPr="003F2F07">
        <w:rPr>
          <w:noProof/>
        </w:rPr>
        <w:t xml:space="preserve">, ma il pentaclorofenolo è stato involontariamente omesso da tale regolamento. È pertanto necessario modificare gli allegati IV e V del regolamento (UE) </w:t>
      </w:r>
      <w:r w:rsidR="00DD4D33" w:rsidRPr="00993F0C">
        <w:rPr>
          <w:noProof/>
        </w:rPr>
        <w:t>2019</w:t>
      </w:r>
      <w:r w:rsidR="00DD4D33" w:rsidRPr="003F2F07">
        <w:rPr>
          <w:noProof/>
        </w:rPr>
        <w:t>/</w:t>
      </w:r>
      <w:r w:rsidR="00DD4D33" w:rsidRPr="00993F0C">
        <w:rPr>
          <w:noProof/>
        </w:rPr>
        <w:t>1021</w:t>
      </w:r>
      <w:r w:rsidR="00DD4D33" w:rsidRPr="003F2F07">
        <w:rPr>
          <w:noProof/>
        </w:rPr>
        <w:t xml:space="preserve"> per includervi il pentaclorofenolo.</w:t>
      </w:r>
    </w:p>
    <w:p w14:paraId="7F541E5D" w14:textId="3BF875C8" w:rsidR="00EE4090" w:rsidRPr="003F2F07" w:rsidRDefault="00C362D5" w:rsidP="00C362D5">
      <w:pPr>
        <w:pStyle w:val="ManualConsidrant"/>
        <w:rPr>
          <w:noProof/>
        </w:rPr>
      </w:pPr>
      <w:r w:rsidRPr="00C362D5">
        <w:t>(4)</w:t>
      </w:r>
      <w:r w:rsidRPr="00C362D5">
        <w:tab/>
      </w:r>
      <w:r w:rsidR="008B2CAE" w:rsidRPr="003F2F07">
        <w:rPr>
          <w:noProof/>
        </w:rPr>
        <w:t xml:space="preserve">Gli allegati IV e V del regolamento (UE) </w:t>
      </w:r>
      <w:r w:rsidR="008B2CAE" w:rsidRPr="00993F0C">
        <w:rPr>
          <w:noProof/>
        </w:rPr>
        <w:t>2019</w:t>
      </w:r>
      <w:r w:rsidR="008B2CAE" w:rsidRPr="003F2F07">
        <w:rPr>
          <w:noProof/>
        </w:rPr>
        <w:t>/</w:t>
      </w:r>
      <w:r w:rsidR="008B2CAE" w:rsidRPr="00993F0C">
        <w:rPr>
          <w:noProof/>
        </w:rPr>
        <w:t>1021</w:t>
      </w:r>
      <w:r w:rsidR="008B2CAE" w:rsidRPr="003F2F07">
        <w:rPr>
          <w:noProof/>
        </w:rPr>
        <w:t xml:space="preserve"> contengono già limiti di concentrazione per le seguenti sostanze o gruppi di sostanze: a) la somma delle concentrazioni di tetrabromodifeniletere, pentabromodifeniletere, esabromodifeniletere, eptabromodifeniletere e decabromodifeniletere (ad eccezione di quest</w:t>
      </w:r>
      <w:r w:rsidR="00207FB3">
        <w:rPr>
          <w:noProof/>
        </w:rPr>
        <w:t>'</w:t>
      </w:r>
      <w:r w:rsidR="008B2CAE" w:rsidRPr="003F2F07">
        <w:rPr>
          <w:noProof/>
        </w:rPr>
        <w:t>ultimo, che non figura nell</w:t>
      </w:r>
      <w:r w:rsidR="00207FB3">
        <w:rPr>
          <w:noProof/>
        </w:rPr>
        <w:t>'</w:t>
      </w:r>
      <w:r w:rsidR="008B2CAE" w:rsidRPr="003F2F07">
        <w:rPr>
          <w:noProof/>
        </w:rPr>
        <w:t>alleg</w:t>
      </w:r>
      <w:r w:rsidR="00207FB3">
        <w:rPr>
          <w:noProof/>
        </w:rPr>
        <w:t>ato V di detto regolamento); b) </w:t>
      </w:r>
      <w:r w:rsidR="008B2CAE" w:rsidRPr="003F2F07">
        <w:rPr>
          <w:noProof/>
        </w:rPr>
        <w:t>esabromociclododecano; c) alcani, C</w:t>
      </w:r>
      <w:r w:rsidR="008B2CAE" w:rsidRPr="00993F0C">
        <w:rPr>
          <w:noProof/>
        </w:rPr>
        <w:t>10</w:t>
      </w:r>
      <w:r w:rsidR="008B2CAE" w:rsidRPr="003F2F07">
        <w:rPr>
          <w:noProof/>
        </w:rPr>
        <w:t>-C</w:t>
      </w:r>
      <w:r w:rsidR="008B2CAE" w:rsidRPr="00993F0C">
        <w:rPr>
          <w:noProof/>
        </w:rPr>
        <w:t>13</w:t>
      </w:r>
      <w:r w:rsidR="008B2CAE" w:rsidRPr="003F2F07">
        <w:rPr>
          <w:noProof/>
        </w:rPr>
        <w:t>, cloro (paraffine clorurate a catena corta) (SCCP); e d) dibenzo-p-diossine e dibenzofurani policlorurati (PCDD/PCDF). A norma dell</w:t>
      </w:r>
      <w:r w:rsidR="00207FB3">
        <w:rPr>
          <w:noProof/>
        </w:rPr>
        <w:t>'</w:t>
      </w:r>
      <w:r w:rsidR="008B2CAE" w:rsidRPr="003F2F07">
        <w:rPr>
          <w:noProof/>
        </w:rPr>
        <w:t>articolo </w:t>
      </w:r>
      <w:r w:rsidR="008B2CAE" w:rsidRPr="00993F0C">
        <w:rPr>
          <w:noProof/>
        </w:rPr>
        <w:t>15</w:t>
      </w:r>
      <w:r w:rsidR="008B2CAE" w:rsidRPr="003F2F07">
        <w:rPr>
          <w:noProof/>
        </w:rPr>
        <w:t>, paragrafo </w:t>
      </w:r>
      <w:r w:rsidR="008B2CAE" w:rsidRPr="00993F0C">
        <w:rPr>
          <w:noProof/>
        </w:rPr>
        <w:t>2</w:t>
      </w:r>
      <w:r w:rsidR="008B2CAE" w:rsidRPr="003F2F07">
        <w:rPr>
          <w:noProof/>
        </w:rPr>
        <w:t xml:space="preserve">, del regolamento (UE) </w:t>
      </w:r>
      <w:r w:rsidR="008B2CAE" w:rsidRPr="00993F0C">
        <w:rPr>
          <w:noProof/>
        </w:rPr>
        <w:t>2019</w:t>
      </w:r>
      <w:r w:rsidR="008B2CAE" w:rsidRPr="003F2F07">
        <w:rPr>
          <w:noProof/>
        </w:rPr>
        <w:t>/</w:t>
      </w:r>
      <w:r w:rsidR="008B2CAE" w:rsidRPr="00993F0C">
        <w:rPr>
          <w:noProof/>
        </w:rPr>
        <w:t>1021</w:t>
      </w:r>
      <w:r w:rsidR="008B2CAE" w:rsidRPr="003F2F07">
        <w:rPr>
          <w:noProof/>
        </w:rPr>
        <w:t>, è opportuno modificare i limiti di concentrazione di cui all</w:t>
      </w:r>
      <w:r w:rsidR="00207FB3">
        <w:rPr>
          <w:noProof/>
        </w:rPr>
        <w:t>'</w:t>
      </w:r>
      <w:r w:rsidR="008B2CAE" w:rsidRPr="003F2F07">
        <w:rPr>
          <w:noProof/>
        </w:rPr>
        <w:t>allegato IV per tali sostanze al fine di adeguare i valori limite al progresso scientifico e tecnico. Per coerenza con l</w:t>
      </w:r>
      <w:r w:rsidR="00207FB3">
        <w:rPr>
          <w:noProof/>
        </w:rPr>
        <w:t>'</w:t>
      </w:r>
      <w:r w:rsidR="008B2CAE" w:rsidRPr="003F2F07">
        <w:rPr>
          <w:noProof/>
        </w:rPr>
        <w:t>elenco degli eteri di difenile polibromurato (PBDE) di cui all</w:t>
      </w:r>
      <w:r w:rsidR="00207FB3">
        <w:rPr>
          <w:noProof/>
        </w:rPr>
        <w:t>'</w:t>
      </w:r>
      <w:r w:rsidR="008B2CAE" w:rsidRPr="003F2F07">
        <w:rPr>
          <w:noProof/>
        </w:rPr>
        <w:t xml:space="preserve">allegato IV del regolamento (UE) </w:t>
      </w:r>
      <w:r w:rsidR="008B2CAE" w:rsidRPr="00993F0C">
        <w:rPr>
          <w:noProof/>
        </w:rPr>
        <w:t>2019</w:t>
      </w:r>
      <w:r w:rsidR="008B2CAE" w:rsidRPr="003F2F07">
        <w:rPr>
          <w:noProof/>
        </w:rPr>
        <w:t>/</w:t>
      </w:r>
      <w:r w:rsidR="008B2CAE" w:rsidRPr="00993F0C">
        <w:rPr>
          <w:noProof/>
        </w:rPr>
        <w:t>1021</w:t>
      </w:r>
      <w:r w:rsidR="008B2CAE" w:rsidRPr="003F2F07">
        <w:rPr>
          <w:noProof/>
        </w:rPr>
        <w:t>, la sostanza decabromodifeniletere dovrebbe essere inclusa tra i PBDE elencati nella terza colonna dell</w:t>
      </w:r>
      <w:r w:rsidR="00207FB3">
        <w:rPr>
          <w:noProof/>
        </w:rPr>
        <w:t>'</w:t>
      </w:r>
      <w:r w:rsidR="008B2CAE" w:rsidRPr="003F2F07">
        <w:rPr>
          <w:noProof/>
        </w:rPr>
        <w:t>allegato V di tale regolamento.</w:t>
      </w:r>
      <w:r w:rsidR="008B2CAE" w:rsidRPr="003F2F07">
        <w:rPr>
          <w:noProof/>
          <w:color w:val="212121"/>
          <w:szCs w:val="24"/>
        </w:rPr>
        <w:t xml:space="preserve"> </w:t>
      </w:r>
    </w:p>
    <w:p w14:paraId="66B8B2E6" w14:textId="03ADC202" w:rsidR="00E90E6D" w:rsidRPr="003F2F07" w:rsidRDefault="00C362D5" w:rsidP="00C362D5">
      <w:pPr>
        <w:pStyle w:val="ManualConsidrant"/>
        <w:rPr>
          <w:noProof/>
        </w:rPr>
      </w:pPr>
      <w:r w:rsidRPr="00C362D5">
        <w:t>(5)</w:t>
      </w:r>
      <w:r w:rsidRPr="00C362D5">
        <w:tab/>
      </w:r>
      <w:r w:rsidR="00473C72" w:rsidRPr="003F2F07">
        <w:rPr>
          <w:noProof/>
        </w:rPr>
        <w:t xml:space="preserve">Considerando che un sottogruppo di </w:t>
      </w:r>
      <w:r w:rsidR="00473C72" w:rsidRPr="00993F0C">
        <w:rPr>
          <w:noProof/>
        </w:rPr>
        <w:t>12</w:t>
      </w:r>
      <w:r w:rsidR="00473C72" w:rsidRPr="003F2F07">
        <w:rPr>
          <w:noProof/>
        </w:rPr>
        <w:t xml:space="preserve"> congeneri di PCB</w:t>
      </w:r>
      <w:r w:rsidR="00473C72" w:rsidRPr="003F2F07">
        <w:rPr>
          <w:rStyle w:val="FootnoteReference"/>
          <w:noProof/>
        </w:rPr>
        <w:footnoteReference w:id="26"/>
      </w:r>
      <w:r w:rsidR="00207FB3">
        <w:rPr>
          <w:noProof/>
        </w:rPr>
        <w:t>, noti come PCB diossina</w:t>
      </w:r>
      <w:r w:rsidR="00207FB3">
        <w:rPr>
          <w:noProof/>
        </w:rPr>
        <w:noBreakHyphen/>
      </w:r>
      <w:r w:rsidR="00473C72" w:rsidRPr="003F2F07">
        <w:rPr>
          <w:noProof/>
        </w:rPr>
        <w:t>simili (dl-PCB), possiede proprietà tossicologiche molto simili a quelle dei PCDD/PCDF e per tenere conto dell</w:t>
      </w:r>
      <w:r w:rsidR="00207FB3">
        <w:rPr>
          <w:noProof/>
        </w:rPr>
        <w:t>'</w:t>
      </w:r>
      <w:r w:rsidR="00473C72" w:rsidRPr="003F2F07">
        <w:rPr>
          <w:noProof/>
        </w:rPr>
        <w:t>effetto aggrega</w:t>
      </w:r>
      <w:r w:rsidR="00207FB3">
        <w:rPr>
          <w:noProof/>
        </w:rPr>
        <w:t>to di tutti i composti diossina</w:t>
      </w:r>
      <w:r w:rsidR="00207FB3">
        <w:rPr>
          <w:noProof/>
        </w:rPr>
        <w:noBreakHyphen/>
      </w:r>
      <w:r w:rsidR="00473C72" w:rsidRPr="003F2F07">
        <w:rPr>
          <w:noProof/>
        </w:rPr>
        <w:t xml:space="preserve">simili elencati nel regolamento (UE) </w:t>
      </w:r>
      <w:r w:rsidR="00473C72" w:rsidRPr="00993F0C">
        <w:rPr>
          <w:noProof/>
        </w:rPr>
        <w:t>2019</w:t>
      </w:r>
      <w:r w:rsidR="00473C72" w:rsidRPr="003F2F07">
        <w:rPr>
          <w:noProof/>
        </w:rPr>
        <w:t>/</w:t>
      </w:r>
      <w:r w:rsidR="00473C72" w:rsidRPr="00993F0C">
        <w:rPr>
          <w:noProof/>
        </w:rPr>
        <w:t>1</w:t>
      </w:r>
      <w:r w:rsidR="00207FB3" w:rsidRPr="00993F0C">
        <w:rPr>
          <w:noProof/>
        </w:rPr>
        <w:t>021</w:t>
      </w:r>
      <w:r w:rsidR="00207FB3">
        <w:rPr>
          <w:noProof/>
        </w:rPr>
        <w:t>, è opportuno includere i dl</w:t>
      </w:r>
      <w:r w:rsidR="00207FB3">
        <w:rPr>
          <w:noProof/>
        </w:rPr>
        <w:noBreakHyphen/>
      </w:r>
      <w:r w:rsidR="00473C72" w:rsidRPr="003F2F07">
        <w:rPr>
          <w:noProof/>
        </w:rPr>
        <w:t>PCB nella voce esistente per il gruppo di sostan</w:t>
      </w:r>
      <w:r w:rsidR="0057634B">
        <w:rPr>
          <w:noProof/>
        </w:rPr>
        <w:t>ze dei PCDD/PCDF negli allegati </w:t>
      </w:r>
      <w:r w:rsidR="00473C72" w:rsidRPr="003F2F07">
        <w:rPr>
          <w:noProof/>
        </w:rPr>
        <w:t xml:space="preserve">IV e V del regolamento (UE) </w:t>
      </w:r>
      <w:r w:rsidR="00473C72" w:rsidRPr="00993F0C">
        <w:rPr>
          <w:noProof/>
        </w:rPr>
        <w:t>2019</w:t>
      </w:r>
      <w:r w:rsidR="00473C72" w:rsidRPr="003F2F07">
        <w:rPr>
          <w:noProof/>
        </w:rPr>
        <w:t>/</w:t>
      </w:r>
      <w:r w:rsidR="00473C72" w:rsidRPr="00993F0C">
        <w:rPr>
          <w:noProof/>
        </w:rPr>
        <w:t>1021</w:t>
      </w:r>
      <w:r w:rsidR="00473C72" w:rsidRPr="003F2F07">
        <w:rPr>
          <w:noProof/>
        </w:rPr>
        <w:t>. Anche l</w:t>
      </w:r>
      <w:r w:rsidR="00207FB3">
        <w:rPr>
          <w:noProof/>
        </w:rPr>
        <w:t>'</w:t>
      </w:r>
      <w:r w:rsidR="00473C72" w:rsidRPr="003F2F07">
        <w:rPr>
          <w:noProof/>
        </w:rPr>
        <w:t>elenco dei valori del fattore di tossicità equivalente di cui all</w:t>
      </w:r>
      <w:r w:rsidR="00207FB3">
        <w:rPr>
          <w:noProof/>
        </w:rPr>
        <w:t>'</w:t>
      </w:r>
      <w:r w:rsidR="00473C72" w:rsidRPr="003F2F07">
        <w:rPr>
          <w:noProof/>
        </w:rPr>
        <w:t xml:space="preserve">allegato V, parte </w:t>
      </w:r>
      <w:r w:rsidR="00473C72" w:rsidRPr="00993F0C">
        <w:rPr>
          <w:noProof/>
        </w:rPr>
        <w:t>2</w:t>
      </w:r>
      <w:r w:rsidR="00473C72" w:rsidRPr="003F2F07">
        <w:rPr>
          <w:noProof/>
        </w:rPr>
        <w:t>, di detto regolamento dovrebbe essere modificato per introdurre i corrispondenti valor</w:t>
      </w:r>
      <w:r w:rsidR="00207FB3">
        <w:rPr>
          <w:noProof/>
        </w:rPr>
        <w:t>i per i singoli congeneri di dl</w:t>
      </w:r>
      <w:r w:rsidR="00207FB3">
        <w:rPr>
          <w:noProof/>
        </w:rPr>
        <w:noBreakHyphen/>
      </w:r>
      <w:r w:rsidR="00473C72" w:rsidRPr="003F2F07">
        <w:rPr>
          <w:noProof/>
        </w:rPr>
        <w:t>PCB.</w:t>
      </w:r>
    </w:p>
    <w:p w14:paraId="5577988E" w14:textId="138580E0" w:rsidR="00D032E5" w:rsidRPr="003F2F07" w:rsidRDefault="00C362D5" w:rsidP="00C362D5">
      <w:pPr>
        <w:pStyle w:val="ManualConsidrant"/>
        <w:rPr>
          <w:noProof/>
        </w:rPr>
      </w:pPr>
      <w:r w:rsidRPr="00C362D5">
        <w:t>(6)</w:t>
      </w:r>
      <w:r w:rsidRPr="00C362D5">
        <w:tab/>
      </w:r>
      <w:r w:rsidR="00D032E5" w:rsidRPr="003F2F07">
        <w:rPr>
          <w:noProof/>
        </w:rPr>
        <w:t xml:space="preserve">I limiti di concentrazione proposti negli allegati IV e V del regolamento (CE) </w:t>
      </w:r>
      <w:r w:rsidR="00D032E5" w:rsidRPr="00993F0C">
        <w:rPr>
          <w:noProof/>
        </w:rPr>
        <w:t>2019</w:t>
      </w:r>
      <w:r w:rsidR="00D032E5" w:rsidRPr="003F2F07">
        <w:rPr>
          <w:noProof/>
        </w:rPr>
        <w:t>/</w:t>
      </w:r>
      <w:r w:rsidR="00D032E5" w:rsidRPr="00993F0C">
        <w:rPr>
          <w:noProof/>
        </w:rPr>
        <w:t>1021</w:t>
      </w:r>
      <w:r w:rsidR="00D032E5" w:rsidRPr="003F2F07">
        <w:rPr>
          <w:noProof/>
        </w:rPr>
        <w:t xml:space="preserve"> sono stati calcolati applicando la stessa metodologia utilizzata per determinare i limiti di concentrazione nelle precedenti modifiche degli allegati</w:t>
      </w:r>
      <w:r w:rsidR="00207FB3">
        <w:rPr>
          <w:noProof/>
        </w:rPr>
        <w:t xml:space="preserve"> IV e V del regolamento (CE) n. </w:t>
      </w:r>
      <w:r w:rsidR="00D032E5" w:rsidRPr="00993F0C">
        <w:rPr>
          <w:noProof/>
        </w:rPr>
        <w:t>850</w:t>
      </w:r>
      <w:r w:rsidR="00D032E5" w:rsidRPr="003F2F07">
        <w:rPr>
          <w:noProof/>
        </w:rPr>
        <w:t>/</w:t>
      </w:r>
      <w:r w:rsidR="00D032E5" w:rsidRPr="00993F0C">
        <w:rPr>
          <w:noProof/>
        </w:rPr>
        <w:t>2004</w:t>
      </w:r>
      <w:r w:rsidR="00D032E5" w:rsidRPr="003F2F07">
        <w:rPr>
          <w:noProof/>
        </w:rPr>
        <w:t>. I limiti di concentrazione proposti dovrebbero raggiungere l</w:t>
      </w:r>
      <w:r w:rsidR="00207FB3">
        <w:rPr>
          <w:noProof/>
        </w:rPr>
        <w:t>'</w:t>
      </w:r>
      <w:r w:rsidR="00D032E5" w:rsidRPr="003F2F07">
        <w:rPr>
          <w:noProof/>
        </w:rPr>
        <w:t>obiettivo di un elevato livello di protezione della salute umana e dell</w:t>
      </w:r>
      <w:r w:rsidR="00207FB3">
        <w:rPr>
          <w:noProof/>
        </w:rPr>
        <w:t>'</w:t>
      </w:r>
      <w:r w:rsidR="00D032E5" w:rsidRPr="003F2F07">
        <w:rPr>
          <w:noProof/>
        </w:rPr>
        <w:t>ambiente associato alla distruzione o alla trasformazione irreversibile delle sostanze in questione. Tali limiti dovrebbero inoltre tenere conto dell</w:t>
      </w:r>
      <w:r w:rsidR="00207FB3">
        <w:rPr>
          <w:noProof/>
        </w:rPr>
        <w:t>'</w:t>
      </w:r>
      <w:r w:rsidR="00D032E5" w:rsidRPr="003F2F07">
        <w:rPr>
          <w:noProof/>
        </w:rPr>
        <w:t>obiettivo politico più ampio di realizzare un</w:t>
      </w:r>
      <w:r w:rsidR="00207FB3">
        <w:rPr>
          <w:noProof/>
        </w:rPr>
        <w:t>'</w:t>
      </w:r>
      <w:r w:rsidR="00D032E5" w:rsidRPr="003F2F07">
        <w:rPr>
          <w:noProof/>
        </w:rPr>
        <w:t>economia climaticamente neutra e circolare, sancito dal Green Deal europeo</w:t>
      </w:r>
      <w:r w:rsidR="00D032E5" w:rsidRPr="003F2F07">
        <w:rPr>
          <w:rStyle w:val="FootnoteReference"/>
          <w:noProof/>
        </w:rPr>
        <w:footnoteReference w:id="27"/>
      </w:r>
      <w:r w:rsidR="003F2F07">
        <w:rPr>
          <w:noProof/>
        </w:rPr>
        <w:t>.</w:t>
      </w:r>
      <w:r w:rsidR="00D032E5" w:rsidRPr="003F2F07">
        <w:rPr>
          <w:noProof/>
        </w:rPr>
        <w:t xml:space="preserve"> </w:t>
      </w:r>
    </w:p>
    <w:p w14:paraId="0D440B95" w14:textId="7729A400" w:rsidR="003301B5" w:rsidRPr="003F2F07" w:rsidRDefault="00C362D5" w:rsidP="00C362D5">
      <w:pPr>
        <w:pStyle w:val="ManualConsidrant"/>
        <w:rPr>
          <w:noProof/>
        </w:rPr>
      </w:pPr>
      <w:r w:rsidRPr="00C362D5">
        <w:t>(7)</w:t>
      </w:r>
      <w:r w:rsidRPr="00C362D5">
        <w:tab/>
      </w:r>
      <w:r w:rsidR="003301B5" w:rsidRPr="003F2F07">
        <w:rPr>
          <w:noProof/>
        </w:rPr>
        <w:t xml:space="preserve">È pertanto opportuno modificare di conseguenza il regolamento (UE) </w:t>
      </w:r>
      <w:r w:rsidR="003301B5" w:rsidRPr="00993F0C">
        <w:rPr>
          <w:noProof/>
        </w:rPr>
        <w:t>2019</w:t>
      </w:r>
      <w:r w:rsidR="003301B5" w:rsidRPr="003F2F07">
        <w:rPr>
          <w:noProof/>
        </w:rPr>
        <w:t>/</w:t>
      </w:r>
      <w:r w:rsidR="003301B5" w:rsidRPr="00993F0C">
        <w:rPr>
          <w:noProof/>
        </w:rPr>
        <w:t>1021</w:t>
      </w:r>
      <w:r w:rsidR="003301B5" w:rsidRPr="003F2F07">
        <w:rPr>
          <w:noProof/>
        </w:rPr>
        <w:t>.</w:t>
      </w:r>
    </w:p>
    <w:p w14:paraId="682469FB" w14:textId="5794811A" w:rsidR="00D032E5" w:rsidRPr="003F2F07" w:rsidRDefault="00C362D5" w:rsidP="00C362D5">
      <w:pPr>
        <w:pStyle w:val="ManualConsidrant"/>
        <w:rPr>
          <w:noProof/>
        </w:rPr>
      </w:pPr>
      <w:r w:rsidRPr="00C362D5">
        <w:t>(8)</w:t>
      </w:r>
      <w:r w:rsidRPr="00C362D5">
        <w:tab/>
      </w:r>
      <w:r w:rsidR="00D032E5" w:rsidRPr="003F2F07">
        <w:rPr>
          <w:noProof/>
        </w:rPr>
        <w:t>È opportuno prevedere un periodo di tempo sufficiente per consentire alle imprese e alle autorità competenti di adeguarsi alle nuove prescrizioni,</w:t>
      </w:r>
    </w:p>
    <w:p w14:paraId="5802BFB0" w14:textId="77777777" w:rsidR="007D09E1" w:rsidRPr="003F2F07" w:rsidRDefault="007D09E1" w:rsidP="00194FA1">
      <w:pPr>
        <w:pStyle w:val="Formuledadoption"/>
        <w:rPr>
          <w:noProof/>
        </w:rPr>
      </w:pPr>
      <w:r w:rsidRPr="003F2F07">
        <w:rPr>
          <w:noProof/>
        </w:rPr>
        <w:t>HANNO ADOTTATO IL PRESENTE REGOLAMENTO:</w:t>
      </w:r>
    </w:p>
    <w:p w14:paraId="7C80A64A" w14:textId="77777777" w:rsidR="00322390" w:rsidRPr="003F2F07" w:rsidRDefault="00322390" w:rsidP="00322390">
      <w:pPr>
        <w:pStyle w:val="Titrearticle"/>
        <w:rPr>
          <w:noProof/>
        </w:rPr>
      </w:pPr>
    </w:p>
    <w:p w14:paraId="6E785F8A" w14:textId="77777777" w:rsidR="00194FA1" w:rsidRPr="003F2F07" w:rsidRDefault="00194FA1" w:rsidP="00194FA1">
      <w:pPr>
        <w:pStyle w:val="Titrearticle"/>
        <w:rPr>
          <w:noProof/>
        </w:rPr>
      </w:pPr>
      <w:bookmarkStart w:id="1" w:name="_Toc45722794"/>
      <w:r w:rsidRPr="003F2F07">
        <w:rPr>
          <w:noProof/>
        </w:rPr>
        <w:t>Articolo </w:t>
      </w:r>
      <w:r w:rsidRPr="00993F0C">
        <w:rPr>
          <w:noProof/>
        </w:rPr>
        <w:t>1</w:t>
      </w:r>
      <w:r w:rsidRPr="003F2F07">
        <w:rPr>
          <w:noProof/>
        </w:rPr>
        <w:t xml:space="preserve"> </w:t>
      </w:r>
      <w:r w:rsidRPr="003F2F07">
        <w:rPr>
          <w:noProof/>
        </w:rPr>
        <w:br/>
      </w:r>
      <w:bookmarkEnd w:id="1"/>
    </w:p>
    <w:p w14:paraId="1AF61850" w14:textId="26DDCA61" w:rsidR="00271551" w:rsidRPr="003F2F07" w:rsidRDefault="00271551" w:rsidP="006F75A9">
      <w:pPr>
        <w:rPr>
          <w:noProof/>
        </w:rPr>
      </w:pPr>
      <w:r w:rsidRPr="003F2F07">
        <w:rPr>
          <w:noProof/>
        </w:rPr>
        <w:t xml:space="preserve">Gli allegati IV e V del regolamento (UE) </w:t>
      </w:r>
      <w:r w:rsidRPr="00993F0C">
        <w:rPr>
          <w:noProof/>
        </w:rPr>
        <w:t>2019</w:t>
      </w:r>
      <w:r w:rsidRPr="003F2F07">
        <w:rPr>
          <w:noProof/>
        </w:rPr>
        <w:t>/</w:t>
      </w:r>
      <w:r w:rsidRPr="00993F0C">
        <w:rPr>
          <w:noProof/>
        </w:rPr>
        <w:t>1021</w:t>
      </w:r>
      <w:r w:rsidRPr="003F2F07">
        <w:rPr>
          <w:noProof/>
        </w:rPr>
        <w:t xml:space="preserve"> sono modificati conformemente all</w:t>
      </w:r>
      <w:r w:rsidR="00207FB3">
        <w:rPr>
          <w:noProof/>
        </w:rPr>
        <w:t>'</w:t>
      </w:r>
      <w:r w:rsidRPr="003F2F07">
        <w:rPr>
          <w:noProof/>
        </w:rPr>
        <w:t>all</w:t>
      </w:r>
      <w:r w:rsidR="003F2F07">
        <w:rPr>
          <w:noProof/>
        </w:rPr>
        <w:t>egato del presente regolamento.</w:t>
      </w:r>
      <w:r w:rsidRPr="003F2F07">
        <w:rPr>
          <w:noProof/>
        </w:rPr>
        <w:t xml:space="preserve"> </w:t>
      </w:r>
    </w:p>
    <w:p w14:paraId="6E0F6D2E" w14:textId="77777777" w:rsidR="00194FA1" w:rsidRPr="003F2F07" w:rsidRDefault="00194FA1" w:rsidP="00194FA1">
      <w:pPr>
        <w:pStyle w:val="Titrearticle"/>
        <w:rPr>
          <w:noProof/>
        </w:rPr>
      </w:pPr>
      <w:bookmarkStart w:id="2" w:name="_Toc45722795"/>
      <w:r w:rsidRPr="003F2F07">
        <w:rPr>
          <w:noProof/>
        </w:rPr>
        <w:t>Articolo </w:t>
      </w:r>
      <w:r w:rsidRPr="00993F0C">
        <w:rPr>
          <w:noProof/>
        </w:rPr>
        <w:t>2</w:t>
      </w:r>
      <w:r w:rsidRPr="003F2F07">
        <w:rPr>
          <w:noProof/>
        </w:rPr>
        <w:t xml:space="preserve"> </w:t>
      </w:r>
      <w:r w:rsidRPr="003F2F07">
        <w:rPr>
          <w:noProof/>
        </w:rPr>
        <w:br/>
      </w:r>
      <w:bookmarkEnd w:id="2"/>
    </w:p>
    <w:p w14:paraId="60DC7FC9" w14:textId="79E6C55F" w:rsidR="00271551" w:rsidRPr="003F2F07" w:rsidRDefault="00271551" w:rsidP="00271551">
      <w:pPr>
        <w:rPr>
          <w:noProof/>
        </w:rPr>
      </w:pPr>
      <w:bookmarkStart w:id="3" w:name="_Toc45722796"/>
      <w:r w:rsidRPr="003F2F07">
        <w:rPr>
          <w:noProof/>
        </w:rPr>
        <w:t xml:space="preserve">Il presente regolamento entra in vigore il ventesimo giorno successivo alla pubblicazione nella </w:t>
      </w:r>
      <w:r w:rsidRPr="003F2F07">
        <w:rPr>
          <w:i/>
          <w:noProof/>
        </w:rPr>
        <w:t>Gazzetta ufficiale dell</w:t>
      </w:r>
      <w:r w:rsidR="00207FB3">
        <w:rPr>
          <w:i/>
          <w:noProof/>
        </w:rPr>
        <w:t>'</w:t>
      </w:r>
      <w:r w:rsidRPr="003F2F07">
        <w:rPr>
          <w:i/>
          <w:noProof/>
        </w:rPr>
        <w:t>Unione europea</w:t>
      </w:r>
      <w:r w:rsidRPr="003F2F07">
        <w:rPr>
          <w:noProof/>
        </w:rPr>
        <w:t>.</w:t>
      </w:r>
    </w:p>
    <w:p w14:paraId="061F2873" w14:textId="1A963CF2" w:rsidR="00CA5939" w:rsidRPr="003F2F07" w:rsidRDefault="00212DDB" w:rsidP="00271551">
      <w:pPr>
        <w:rPr>
          <w:noProof/>
        </w:rPr>
      </w:pPr>
      <w:r w:rsidRPr="003F2F07">
        <w:rPr>
          <w:noProof/>
        </w:rPr>
        <w:t>Il presente regolamento si applica a decorrere dal [</w:t>
      </w:r>
      <w:r w:rsidRPr="003F2F07">
        <w:rPr>
          <w:i/>
          <w:noProof/>
        </w:rPr>
        <w:t>OP: inse</w:t>
      </w:r>
      <w:r w:rsidR="00207FB3">
        <w:rPr>
          <w:i/>
          <w:noProof/>
        </w:rPr>
        <w:t xml:space="preserve">rire la data corrispondente a </w:t>
      </w:r>
      <w:r w:rsidR="00207FB3" w:rsidRPr="00993F0C">
        <w:rPr>
          <w:i/>
          <w:noProof/>
        </w:rPr>
        <w:t>6</w:t>
      </w:r>
      <w:r w:rsidR="00207FB3">
        <w:rPr>
          <w:i/>
          <w:noProof/>
        </w:rPr>
        <w:t> </w:t>
      </w:r>
      <w:r w:rsidRPr="003F2F07">
        <w:rPr>
          <w:i/>
          <w:noProof/>
        </w:rPr>
        <w:t>mesi dopo la pubblicazione nella Gazzetta ufficiale dell</w:t>
      </w:r>
      <w:r w:rsidR="00207FB3">
        <w:rPr>
          <w:i/>
          <w:noProof/>
        </w:rPr>
        <w:t>'</w:t>
      </w:r>
      <w:r w:rsidRPr="003F2F07">
        <w:rPr>
          <w:i/>
          <w:noProof/>
        </w:rPr>
        <w:t>Unione europea</w:t>
      </w:r>
      <w:r w:rsidRPr="003F2F07">
        <w:rPr>
          <w:noProof/>
        </w:rPr>
        <w:t xml:space="preserve">]. </w:t>
      </w:r>
    </w:p>
    <w:bookmarkEnd w:id="3"/>
    <w:p w14:paraId="0F2C563E" w14:textId="389C0A3B" w:rsidR="00D24718" w:rsidRPr="003F2F07" w:rsidRDefault="00D24718" w:rsidP="00D24718">
      <w:pPr>
        <w:pStyle w:val="Applicationdirecte"/>
        <w:rPr>
          <w:noProof/>
        </w:rPr>
      </w:pPr>
      <w:r w:rsidRPr="003F2F07">
        <w:rPr>
          <w:noProof/>
        </w:rPr>
        <w:t>Il presente regolamento è obbligatorio in tutti i suoi elementi e direttamente applicabile in ciascuno degli Stati membri.</w:t>
      </w:r>
    </w:p>
    <w:p w14:paraId="32F5490A" w14:textId="356479C1" w:rsidR="00D24718" w:rsidRPr="003F2F07" w:rsidRDefault="0025061B" w:rsidP="008C0D5F">
      <w:pPr>
        <w:pStyle w:val="Fait"/>
        <w:rPr>
          <w:noProof/>
        </w:rPr>
      </w:pPr>
      <w:r w:rsidRPr="0025061B">
        <w:t>Fatto a Bruxelles, il</w:t>
      </w:r>
    </w:p>
    <w:p w14:paraId="06FFC72C" w14:textId="77777777" w:rsidR="00D24718" w:rsidRPr="003F2F07" w:rsidRDefault="00D24718" w:rsidP="008C0D5F">
      <w:pPr>
        <w:pStyle w:val="Institutionquisigne"/>
        <w:rPr>
          <w:noProof/>
        </w:rPr>
      </w:pPr>
      <w:r w:rsidRPr="003F2F07">
        <w:rPr>
          <w:noProof/>
        </w:rPr>
        <w:t>Per il Parlamento europeo</w:t>
      </w:r>
      <w:r w:rsidRPr="003F2F07">
        <w:rPr>
          <w:noProof/>
        </w:rPr>
        <w:tab/>
        <w:t>Per il Consiglio</w:t>
      </w:r>
    </w:p>
    <w:p w14:paraId="1D88A1DA" w14:textId="77777777" w:rsidR="007D09E1" w:rsidRPr="003F2F07" w:rsidRDefault="00D24718" w:rsidP="007D09E1">
      <w:pPr>
        <w:pStyle w:val="Personnequisigne"/>
        <w:rPr>
          <w:noProof/>
        </w:rPr>
      </w:pPr>
      <w:r w:rsidRPr="003F2F07">
        <w:rPr>
          <w:noProof/>
        </w:rPr>
        <w:t>Il presidente</w:t>
      </w:r>
      <w:r w:rsidRPr="003F2F07">
        <w:rPr>
          <w:noProof/>
        </w:rPr>
        <w:tab/>
        <w:t xml:space="preserve">Il presidente </w:t>
      </w:r>
    </w:p>
    <w:sectPr w:rsidR="007D09E1" w:rsidRPr="003F2F07" w:rsidSect="009E3B6E">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D473" w14:textId="77777777" w:rsidR="00D16234" w:rsidRDefault="00D16234" w:rsidP="007D09E1">
      <w:pPr>
        <w:spacing w:before="0" w:after="0"/>
      </w:pPr>
      <w:r>
        <w:separator/>
      </w:r>
    </w:p>
  </w:endnote>
  <w:endnote w:type="continuationSeparator" w:id="0">
    <w:p w14:paraId="09759A57" w14:textId="77777777" w:rsidR="00D16234" w:rsidRDefault="00D16234" w:rsidP="007D09E1">
      <w:pPr>
        <w:spacing w:before="0" w:after="0"/>
      </w:pPr>
      <w:r>
        <w:continuationSeparator/>
      </w:r>
    </w:p>
  </w:endnote>
  <w:endnote w:type="continuationNotice" w:id="1">
    <w:p w14:paraId="69438409" w14:textId="77777777" w:rsidR="00D16234" w:rsidRDefault="00D162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font>
  <w:font w:name="EUAlbertina">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1F19" w14:textId="7893E6D3" w:rsidR="00D16234" w:rsidRPr="009E3B6E" w:rsidRDefault="009E3B6E" w:rsidP="009E3B6E">
    <w:pPr>
      <w:pStyle w:val="Footer"/>
      <w:rPr>
        <w:rFonts w:ascii="Arial" w:hAnsi="Arial" w:cs="Arial"/>
        <w:b/>
        <w:sz w:val="48"/>
      </w:rPr>
    </w:pPr>
    <w:r w:rsidRPr="009E3B6E">
      <w:rPr>
        <w:rFonts w:ascii="Arial" w:hAnsi="Arial" w:cs="Arial"/>
        <w:b/>
        <w:sz w:val="48"/>
      </w:rPr>
      <w:t>IT</w:t>
    </w:r>
    <w:r w:rsidRPr="009E3B6E">
      <w:rPr>
        <w:rFonts w:ascii="Arial" w:hAnsi="Arial" w:cs="Arial"/>
        <w:b/>
        <w:sz w:val="48"/>
      </w:rPr>
      <w:tab/>
    </w:r>
    <w:r w:rsidRPr="009E3B6E">
      <w:rPr>
        <w:rFonts w:ascii="Arial" w:hAnsi="Arial" w:cs="Arial"/>
        <w:b/>
        <w:sz w:val="48"/>
      </w:rPr>
      <w:tab/>
    </w:r>
    <w:r w:rsidRPr="009E3B6E">
      <w:tab/>
    </w:r>
    <w:r w:rsidRPr="009E3B6E">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63EB" w14:textId="6333B144" w:rsidR="009E3B6E" w:rsidRPr="009E3B6E" w:rsidRDefault="009E3B6E" w:rsidP="009E3B6E">
    <w:pPr>
      <w:pStyle w:val="Footer"/>
      <w:rPr>
        <w:rFonts w:ascii="Arial" w:hAnsi="Arial" w:cs="Arial"/>
        <w:b/>
        <w:sz w:val="48"/>
      </w:rPr>
    </w:pPr>
    <w:r w:rsidRPr="009E3B6E">
      <w:rPr>
        <w:rFonts w:ascii="Arial" w:hAnsi="Arial" w:cs="Arial"/>
        <w:b/>
        <w:sz w:val="48"/>
      </w:rPr>
      <w:t>IT</w:t>
    </w:r>
    <w:r w:rsidRPr="009E3B6E">
      <w:rPr>
        <w:rFonts w:ascii="Arial" w:hAnsi="Arial" w:cs="Arial"/>
        <w:b/>
        <w:sz w:val="48"/>
      </w:rPr>
      <w:tab/>
    </w:r>
    <w:r>
      <w:fldChar w:fldCharType="begin"/>
    </w:r>
    <w:r>
      <w:instrText xml:space="preserve"> PAGE  \* MERGEFORMAT </w:instrText>
    </w:r>
    <w:r>
      <w:fldChar w:fldCharType="separate"/>
    </w:r>
    <w:r w:rsidR="008C0D5F">
      <w:rPr>
        <w:noProof/>
      </w:rPr>
      <w:t>13</w:t>
    </w:r>
    <w:r>
      <w:fldChar w:fldCharType="end"/>
    </w:r>
    <w:r>
      <w:tab/>
    </w:r>
    <w:r w:rsidRPr="009E3B6E">
      <w:tab/>
    </w:r>
    <w:r w:rsidRPr="009E3B6E">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A5D7" w14:textId="77777777" w:rsidR="009E3B6E" w:rsidRPr="009E3B6E" w:rsidRDefault="009E3B6E" w:rsidP="009E3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5394E" w14:textId="77777777" w:rsidR="00D16234" w:rsidRDefault="00D16234" w:rsidP="007D09E1">
      <w:pPr>
        <w:spacing w:before="0" w:after="0"/>
      </w:pPr>
      <w:r>
        <w:separator/>
      </w:r>
    </w:p>
  </w:footnote>
  <w:footnote w:type="continuationSeparator" w:id="0">
    <w:p w14:paraId="0910D6A5" w14:textId="77777777" w:rsidR="00D16234" w:rsidRDefault="00D16234" w:rsidP="007D09E1">
      <w:pPr>
        <w:spacing w:before="0" w:after="0"/>
      </w:pPr>
      <w:r>
        <w:continuationSeparator/>
      </w:r>
    </w:p>
  </w:footnote>
  <w:footnote w:type="continuationNotice" w:id="1">
    <w:p w14:paraId="3F2FF5FB" w14:textId="77777777" w:rsidR="00D16234" w:rsidRDefault="00D16234">
      <w:pPr>
        <w:spacing w:before="0" w:after="0"/>
      </w:pPr>
    </w:p>
  </w:footnote>
  <w:footnote w:id="2">
    <w:p w14:paraId="7D91BCBB" w14:textId="760105D4" w:rsidR="00D16234" w:rsidRPr="003F2F07" w:rsidRDefault="00D16234" w:rsidP="00FF1898">
      <w:pPr>
        <w:pStyle w:val="FootnoteText"/>
      </w:pPr>
      <w:r>
        <w:rPr>
          <w:rStyle w:val="FootnoteReference"/>
        </w:rPr>
        <w:footnoteRef/>
      </w:r>
      <w:r w:rsidRPr="003F2F07">
        <w:tab/>
        <w:t>Regolamento (UE) 2019/1021 del Parlamento europeo e del Consiglio, del 20 giugno 2019, relativo agli inquinanti organic</w:t>
      </w:r>
      <w:r>
        <w:t>i persistenti (rifusione) (GU L </w:t>
      </w:r>
      <w:r w:rsidRPr="003F2F07">
        <w:t>169 del 25.6.2019, pag. 45).</w:t>
      </w:r>
    </w:p>
  </w:footnote>
  <w:footnote w:id="3">
    <w:p w14:paraId="5B023EE1" w14:textId="2E12BCB6" w:rsidR="00D16234" w:rsidRPr="003F2F07" w:rsidRDefault="00D16234" w:rsidP="00FF1898">
      <w:pPr>
        <w:pStyle w:val="FootnoteText"/>
      </w:pPr>
      <w:r>
        <w:rPr>
          <w:rStyle w:val="FootnoteReference"/>
        </w:rPr>
        <w:footnoteRef/>
      </w:r>
      <w:r w:rsidRPr="003F2F07">
        <w:tab/>
        <w:t>Decisione 2006/507/CE del Consiglio, del 14 ottobre 2004, relativa alla conclusione, a nome della Comunità europea, della convenzione di Stoccolma sugli inquin</w:t>
      </w:r>
      <w:r>
        <w:t>anti organici persistenti (GU L 209 del </w:t>
      </w:r>
      <w:r w:rsidRPr="003F2F07">
        <w:t>31.7.2006, pag. 1).</w:t>
      </w:r>
    </w:p>
  </w:footnote>
  <w:footnote w:id="4">
    <w:p w14:paraId="00331BC7" w14:textId="016FDA64" w:rsidR="00D16234" w:rsidRPr="003F2F07" w:rsidRDefault="00D16234" w:rsidP="00FF1898">
      <w:pPr>
        <w:pStyle w:val="FootnoteText"/>
      </w:pPr>
      <w:r>
        <w:rPr>
          <w:rStyle w:val="FootnoteReference"/>
        </w:rPr>
        <w:footnoteRef/>
      </w:r>
      <w:r w:rsidRPr="003F2F07">
        <w:tab/>
        <w:t>Decisione 2004/259/CE del Consiglio, del 19 febbraio 2004, relativa alla conclusione, a nome della Comunità europea, del protocollo sugli inquinanti organici persistenti della convenzione del 1979 sull</w:t>
      </w:r>
      <w:r>
        <w:t>'</w:t>
      </w:r>
      <w:r w:rsidRPr="003F2F07">
        <w:t>inquinamento atmosferico transfron</w:t>
      </w:r>
      <w:r>
        <w:t>taliero a grande distanza (GU L </w:t>
      </w:r>
      <w:r w:rsidRPr="003F2F07">
        <w:t>81 del 19.3.2004, pag. 35).</w:t>
      </w:r>
    </w:p>
  </w:footnote>
  <w:footnote w:id="5">
    <w:p w14:paraId="7DD26955" w14:textId="6D3A3383" w:rsidR="00D16234" w:rsidRPr="003F2F07" w:rsidRDefault="00D16234">
      <w:pPr>
        <w:pStyle w:val="FootnoteText"/>
      </w:pPr>
      <w:r>
        <w:rPr>
          <w:rStyle w:val="FootnoteReference"/>
        </w:rPr>
        <w:footnoteRef/>
      </w:r>
      <w:r w:rsidRPr="003F2F07">
        <w:tab/>
        <w:t>Regolamento (UE) n. 649/2012 del Parlamento europeo e del Consiglio, del 4 luglio 2012, sull</w:t>
      </w:r>
      <w:r>
        <w:t>'</w:t>
      </w:r>
      <w:r w:rsidRPr="003F2F07">
        <w:t>esportazione e importazione di sostanze chimiche pericolose (GU L 201 del 27.7.2012, pag. 60).</w:t>
      </w:r>
    </w:p>
  </w:footnote>
  <w:footnote w:id="6">
    <w:p w14:paraId="062DE07F" w14:textId="6E25D649" w:rsidR="00D16234" w:rsidRPr="00207FB3" w:rsidRDefault="00D16234">
      <w:pPr>
        <w:pStyle w:val="FootnoteText"/>
        <w:rPr>
          <w:lang w:val="en-IE"/>
        </w:rPr>
      </w:pPr>
      <w:r>
        <w:rPr>
          <w:rStyle w:val="FootnoteReference"/>
        </w:rPr>
        <w:footnoteRef/>
      </w:r>
      <w:r w:rsidRPr="00207FB3">
        <w:rPr>
          <w:lang w:val="en-IE"/>
        </w:rPr>
        <w:tab/>
        <w:t>COM(2020) 667 final.</w:t>
      </w:r>
    </w:p>
  </w:footnote>
  <w:footnote w:id="7">
    <w:p w14:paraId="27EA4336" w14:textId="153F002E" w:rsidR="00D16234" w:rsidRPr="00207FB3" w:rsidRDefault="00D16234">
      <w:pPr>
        <w:pStyle w:val="FootnoteText"/>
        <w:rPr>
          <w:lang w:val="en-IE"/>
        </w:rPr>
      </w:pPr>
      <w:r>
        <w:rPr>
          <w:rStyle w:val="FootnoteReference"/>
        </w:rPr>
        <w:footnoteRef/>
      </w:r>
      <w:r w:rsidRPr="00207FB3">
        <w:rPr>
          <w:lang w:val="en-IE"/>
        </w:rPr>
        <w:tab/>
        <w:t>COM(2019) 640 final.</w:t>
      </w:r>
    </w:p>
  </w:footnote>
  <w:footnote w:id="8">
    <w:p w14:paraId="18A9B773" w14:textId="0E3E7853" w:rsidR="00D16234" w:rsidRPr="00207FB3" w:rsidRDefault="00D16234">
      <w:pPr>
        <w:pStyle w:val="FootnoteText"/>
        <w:rPr>
          <w:lang w:val="en-IE"/>
        </w:rPr>
      </w:pPr>
      <w:r>
        <w:rPr>
          <w:rStyle w:val="FootnoteReference"/>
        </w:rPr>
        <w:footnoteRef/>
      </w:r>
      <w:r w:rsidRPr="00207FB3">
        <w:rPr>
          <w:lang w:val="en-IE"/>
        </w:rPr>
        <w:tab/>
        <w:t>COM(2020) 98 final.</w:t>
      </w:r>
    </w:p>
  </w:footnote>
  <w:footnote w:id="9">
    <w:p w14:paraId="789068D5" w14:textId="04A3FB16" w:rsidR="00D16234" w:rsidRPr="00207FB3" w:rsidRDefault="00D16234">
      <w:pPr>
        <w:pStyle w:val="FootnoteText"/>
        <w:rPr>
          <w:lang w:val="en-IE"/>
        </w:rPr>
      </w:pPr>
      <w:r>
        <w:rPr>
          <w:rStyle w:val="FootnoteReference"/>
        </w:rPr>
        <w:footnoteRef/>
      </w:r>
      <w:r w:rsidRPr="00207FB3">
        <w:rPr>
          <w:lang w:val="en-IE"/>
        </w:rPr>
        <w:tab/>
        <w:t>COM(2021) 400 final.</w:t>
      </w:r>
    </w:p>
  </w:footnote>
  <w:footnote w:id="10">
    <w:p w14:paraId="44E94B77" w14:textId="4300E960" w:rsidR="00D16234" w:rsidRPr="00207FB3" w:rsidRDefault="00D16234">
      <w:pPr>
        <w:pStyle w:val="FootnoteText"/>
        <w:rPr>
          <w:lang w:val="en-IE"/>
        </w:rPr>
      </w:pPr>
      <w:r>
        <w:rPr>
          <w:rStyle w:val="FootnoteReference"/>
        </w:rPr>
        <w:footnoteRef/>
      </w:r>
      <w:r w:rsidRPr="00207FB3">
        <w:rPr>
          <w:lang w:val="en-IE"/>
        </w:rPr>
        <w:tab/>
      </w:r>
      <w:r w:rsidRPr="00207FB3">
        <w:rPr>
          <w:sz w:val="18"/>
          <w:szCs w:val="18"/>
          <w:lang w:val="en-IE"/>
        </w:rPr>
        <w:t>COM(2018) 32.</w:t>
      </w:r>
    </w:p>
  </w:footnote>
  <w:footnote w:id="11">
    <w:p w14:paraId="3C6796D8" w14:textId="50C4C112" w:rsidR="00D16234" w:rsidRPr="00207FB3" w:rsidRDefault="00D16234">
      <w:pPr>
        <w:pStyle w:val="FootnoteText"/>
        <w:rPr>
          <w:lang w:val="en-IE"/>
        </w:rPr>
      </w:pPr>
      <w:r>
        <w:rPr>
          <w:rStyle w:val="FootnoteReference"/>
        </w:rPr>
        <w:footnoteRef/>
      </w:r>
      <w:r w:rsidRPr="00207FB3">
        <w:rPr>
          <w:lang w:val="en-IE"/>
        </w:rPr>
        <w:tab/>
      </w:r>
      <w:hyperlink r:id="rId1" w:history="1">
        <w:r w:rsidRPr="00207FB3">
          <w:rPr>
            <w:rStyle w:val="Hyperlink"/>
            <w:sz w:val="18"/>
            <w:szCs w:val="18"/>
            <w:lang w:val="en-IE"/>
          </w:rPr>
          <w:t>https://ec.europa.eu/info/sites/info/files/summary-report-public-consultation-chemical-product-waste-legilsation.pdf</w:t>
        </w:r>
      </w:hyperlink>
    </w:p>
  </w:footnote>
  <w:footnote w:id="12">
    <w:p w14:paraId="1A6334D3" w14:textId="06F23FEF" w:rsidR="00D16234" w:rsidRPr="003F2F07" w:rsidRDefault="00D16234">
      <w:pPr>
        <w:pStyle w:val="FootnoteText"/>
      </w:pPr>
      <w:r>
        <w:rPr>
          <w:rStyle w:val="FootnoteReference"/>
        </w:rPr>
        <w:footnoteRef/>
      </w:r>
      <w:r w:rsidRPr="003F2F07">
        <w:tab/>
      </w:r>
      <w:r w:rsidRPr="003F2F07">
        <w:rPr>
          <w:sz w:val="18"/>
          <w:szCs w:val="18"/>
        </w:rPr>
        <w:t>Come spiegato nella sezione 3.1 della relazione sulla valutazione d</w:t>
      </w:r>
      <w:r>
        <w:rPr>
          <w:sz w:val="18"/>
          <w:szCs w:val="18"/>
        </w:rPr>
        <w:t>'</w:t>
      </w:r>
      <w:r w:rsidRPr="003F2F07">
        <w:rPr>
          <w:sz w:val="18"/>
          <w:szCs w:val="18"/>
        </w:rPr>
        <w:t>impatto, si tratta di un</w:t>
      </w:r>
      <w:r>
        <w:rPr>
          <w:sz w:val="18"/>
          <w:szCs w:val="18"/>
        </w:rPr>
        <w:t>'</w:t>
      </w:r>
      <w:r w:rsidRPr="003F2F07">
        <w:rPr>
          <w:sz w:val="18"/>
          <w:szCs w:val="18"/>
        </w:rPr>
        <w:t>opzione puramente ipotetica di status quo, in quanto tale inclusione è obbligatoria e la mancata inclusione di tali sostanze nell</w:t>
      </w:r>
      <w:r>
        <w:rPr>
          <w:sz w:val="18"/>
          <w:szCs w:val="18"/>
        </w:rPr>
        <w:t>'allegato </w:t>
      </w:r>
      <w:r w:rsidRPr="003F2F07">
        <w:rPr>
          <w:sz w:val="18"/>
          <w:szCs w:val="18"/>
        </w:rPr>
        <w:t>IV non consentirebbe all</w:t>
      </w:r>
      <w:r>
        <w:rPr>
          <w:sz w:val="18"/>
          <w:szCs w:val="18"/>
        </w:rPr>
        <w:t>'</w:t>
      </w:r>
      <w:r w:rsidRPr="003F2F07">
        <w:rPr>
          <w:sz w:val="18"/>
          <w:szCs w:val="18"/>
        </w:rPr>
        <w:t>UE di adempiere l</w:t>
      </w:r>
      <w:r>
        <w:rPr>
          <w:sz w:val="18"/>
          <w:szCs w:val="18"/>
        </w:rPr>
        <w:t>'</w:t>
      </w:r>
      <w:r w:rsidRPr="003F2F07">
        <w:rPr>
          <w:sz w:val="18"/>
          <w:szCs w:val="18"/>
        </w:rPr>
        <w:t>obbligo di garantire una gestione ecologicamente corretta dei rifiuti contenenti i POP</w:t>
      </w:r>
      <w:r w:rsidRPr="003F2F07">
        <w:t>.</w:t>
      </w:r>
      <w:r w:rsidRPr="003F2F07">
        <w:rPr>
          <w:sz w:val="18"/>
          <w:szCs w:val="18"/>
        </w:rPr>
        <w:t xml:space="preserve"> </w:t>
      </w:r>
    </w:p>
  </w:footnote>
  <w:footnote w:id="13">
    <w:p w14:paraId="5DDE4819" w14:textId="0509E7EB" w:rsidR="00D16234" w:rsidRPr="003F2F07" w:rsidRDefault="00D16234">
      <w:pPr>
        <w:pStyle w:val="FootnoteText"/>
      </w:pPr>
      <w:r>
        <w:rPr>
          <w:rStyle w:val="FootnoteReference"/>
        </w:rPr>
        <w:footnoteRef/>
      </w:r>
      <w:r w:rsidRPr="003F2F07">
        <w:tab/>
      </w:r>
      <w:r w:rsidRPr="003F2F07">
        <w:rPr>
          <w:sz w:val="18"/>
          <w:szCs w:val="18"/>
        </w:rPr>
        <w:t>Si noti che, per i PCB diossina-simili, la valutazione si incentra sulla loro integrazione nel valore limite esisten</w:t>
      </w:r>
      <w:r>
        <w:rPr>
          <w:sz w:val="18"/>
          <w:szCs w:val="18"/>
        </w:rPr>
        <w:t>te per le diossine e i furani.</w:t>
      </w:r>
    </w:p>
  </w:footnote>
  <w:footnote w:id="14">
    <w:p w14:paraId="01840D1B" w14:textId="333EB1AE" w:rsidR="00D16234" w:rsidRPr="003F2F07" w:rsidRDefault="00D16234" w:rsidP="00D16234">
      <w:pPr>
        <w:pStyle w:val="FootnoteText"/>
        <w:keepNext/>
      </w:pPr>
      <w:r>
        <w:rPr>
          <w:rStyle w:val="FootnoteReference"/>
        </w:rPr>
        <w:footnoteRef/>
      </w:r>
      <w:r w:rsidRPr="003F2F07">
        <w:tab/>
      </w:r>
      <w:r w:rsidRPr="003F2F07">
        <w:rPr>
          <w:sz w:val="18"/>
          <w:szCs w:val="18"/>
        </w:rPr>
        <w:t>Valori di riferimento attuali di cui all</w:t>
      </w:r>
      <w:r>
        <w:rPr>
          <w:sz w:val="18"/>
          <w:szCs w:val="18"/>
        </w:rPr>
        <w:t>'</w:t>
      </w:r>
      <w:r w:rsidRPr="003F2F07">
        <w:rPr>
          <w:sz w:val="18"/>
          <w:szCs w:val="18"/>
        </w:rPr>
        <w:t>allegato IV del regolamento POP</w:t>
      </w:r>
      <w:r w:rsidRPr="003F2F07">
        <w:t>.</w:t>
      </w:r>
    </w:p>
  </w:footnote>
  <w:footnote w:id="15">
    <w:p w14:paraId="40D90092" w14:textId="511EEF39" w:rsidR="00D16234" w:rsidRPr="003F2F07" w:rsidRDefault="00D16234">
      <w:pPr>
        <w:pStyle w:val="FootnoteText"/>
        <w:rPr>
          <w:sz w:val="18"/>
          <w:szCs w:val="18"/>
        </w:rPr>
      </w:pPr>
      <w:r>
        <w:rPr>
          <w:rStyle w:val="FootnoteReference"/>
        </w:rPr>
        <w:footnoteRef/>
      </w:r>
      <w:r w:rsidRPr="003F2F07">
        <w:tab/>
      </w:r>
      <w:r w:rsidRPr="003F2F07">
        <w:rPr>
          <w:sz w:val="18"/>
          <w:szCs w:val="18"/>
        </w:rPr>
        <w:t>O il valore della somma dei PBDE elencati nell</w:t>
      </w:r>
      <w:r>
        <w:rPr>
          <w:sz w:val="18"/>
          <w:szCs w:val="18"/>
        </w:rPr>
        <w:t>'</w:t>
      </w:r>
      <w:r w:rsidRPr="003F2F07">
        <w:rPr>
          <w:sz w:val="18"/>
          <w:szCs w:val="18"/>
        </w:rPr>
        <w:t>allegato I, per le miscele o gli articoli, se tale valore è più elevato in quel momento</w:t>
      </w:r>
      <w:r w:rsidRPr="003F2F07">
        <w:t>.</w:t>
      </w:r>
    </w:p>
  </w:footnote>
  <w:footnote w:id="16">
    <w:p w14:paraId="12DD4B37" w14:textId="7E12AC20" w:rsidR="00D16234" w:rsidRPr="003F2F07" w:rsidRDefault="00D16234">
      <w:pPr>
        <w:pStyle w:val="FootnoteText"/>
      </w:pPr>
      <w:r>
        <w:rPr>
          <w:rStyle w:val="FootnoteReference"/>
        </w:rPr>
        <w:footnoteRef/>
      </w:r>
      <w:r w:rsidRPr="003F2F07">
        <w:tab/>
      </w:r>
      <w:r w:rsidRPr="003F2F07">
        <w:rPr>
          <w:sz w:val="18"/>
          <w:szCs w:val="18"/>
        </w:rPr>
        <w:t>Le sotto-opzioni 3 e 4, che includono un ulteriore valore specifico inferiore per l</w:t>
      </w:r>
      <w:r>
        <w:rPr>
          <w:sz w:val="18"/>
          <w:szCs w:val="18"/>
        </w:rPr>
        <w:t>'</w:t>
      </w:r>
      <w:r w:rsidRPr="003F2F07">
        <w:rPr>
          <w:sz w:val="18"/>
          <w:szCs w:val="18"/>
        </w:rPr>
        <w:t>applicazione sui terreni, sono state prese in considerazione e successivamente scartate a causa del loro impatto sproporzionato e di considerazioni relative all</w:t>
      </w:r>
      <w:r>
        <w:rPr>
          <w:sz w:val="18"/>
          <w:szCs w:val="18"/>
        </w:rPr>
        <w:t>'</w:t>
      </w:r>
      <w:r w:rsidRPr="003F2F07">
        <w:rPr>
          <w:sz w:val="18"/>
          <w:szCs w:val="18"/>
        </w:rPr>
        <w:t>adeguatezza dello strumento (un</w:t>
      </w:r>
      <w:r>
        <w:rPr>
          <w:sz w:val="18"/>
          <w:szCs w:val="18"/>
        </w:rPr>
        <w:t>'</w:t>
      </w:r>
      <w:r w:rsidRPr="003F2F07">
        <w:rPr>
          <w:sz w:val="18"/>
          <w:szCs w:val="18"/>
        </w:rPr>
        <w:t>altra normativa specifica sembra più appropriata). Cfr. la sezione 5.2 della relazione sulla valutazione di impatto.</w:t>
      </w:r>
      <w:r w:rsidRPr="003F2F07">
        <w:tab/>
      </w:r>
    </w:p>
  </w:footnote>
  <w:footnote w:id="17">
    <w:p w14:paraId="4176BC4D" w14:textId="45A1834F" w:rsidR="00D16234" w:rsidRPr="003F2F07" w:rsidRDefault="00D16234">
      <w:pPr>
        <w:pStyle w:val="FootnoteText"/>
      </w:pPr>
      <w:r>
        <w:rPr>
          <w:rStyle w:val="FootnoteReference"/>
        </w:rPr>
        <w:footnoteRef/>
      </w:r>
      <w:r w:rsidRPr="003F2F07">
        <w:tab/>
      </w:r>
      <w:r w:rsidRPr="003F2F07">
        <w:rPr>
          <w:sz w:val="18"/>
          <w:szCs w:val="18"/>
        </w:rPr>
        <w:t>Le opzioni 2 e 3 non rappresentano valori numerici, ma approcci diversi per la fissazione di un limite per i dl-PCB.</w:t>
      </w:r>
    </w:p>
  </w:footnote>
  <w:footnote w:id="18">
    <w:p w14:paraId="4C853259" w14:textId="42C915ED" w:rsidR="00D16234" w:rsidRPr="003F2F07" w:rsidRDefault="00D16234">
      <w:pPr>
        <w:pStyle w:val="FootnoteText"/>
      </w:pPr>
      <w:r>
        <w:rPr>
          <w:rStyle w:val="FootnoteReference"/>
        </w:rPr>
        <w:footnoteRef/>
      </w:r>
      <w:r w:rsidRPr="003F2F07">
        <w:tab/>
      </w:r>
      <w:hyperlink r:id="rId2" w:history="1">
        <w:r w:rsidRPr="003F2F07">
          <w:rPr>
            <w:rStyle w:val="Hyperlink"/>
            <w:sz w:val="18"/>
            <w:szCs w:val="18"/>
          </w:rPr>
          <w:t>https://ec.europa.eu/environment/chemicals/international_conventions/index_en.htm</w:t>
        </w:r>
      </w:hyperlink>
    </w:p>
  </w:footnote>
  <w:footnote w:id="19">
    <w:p w14:paraId="67478E7B" w14:textId="0622E1AF" w:rsidR="00D16234" w:rsidRPr="003F2F07" w:rsidRDefault="00D16234" w:rsidP="00950C1C">
      <w:pPr>
        <w:pStyle w:val="FootnoteText"/>
        <w:ind w:left="709" w:hanging="709"/>
      </w:pPr>
      <w:r w:rsidRPr="00854BF6">
        <w:rPr>
          <w:rStyle w:val="FootnoteReference"/>
        </w:rPr>
        <w:footnoteRef/>
      </w:r>
      <w:r w:rsidRPr="003F2F07">
        <w:tab/>
        <w:t>GU C  del , pag. .</w:t>
      </w:r>
    </w:p>
  </w:footnote>
  <w:footnote w:id="20">
    <w:p w14:paraId="3F31FA79" w14:textId="37D82B3A" w:rsidR="00D16234" w:rsidRPr="003F2F07" w:rsidRDefault="00D16234" w:rsidP="00950C1C">
      <w:pPr>
        <w:pStyle w:val="FootnoteText"/>
        <w:ind w:left="709" w:hanging="709"/>
      </w:pPr>
      <w:r w:rsidRPr="00854BF6">
        <w:rPr>
          <w:rStyle w:val="FootnoteReference"/>
        </w:rPr>
        <w:footnoteRef/>
      </w:r>
      <w:r w:rsidRPr="003F2F07">
        <w:tab/>
        <w:t>GU C  del , pag. .</w:t>
      </w:r>
    </w:p>
  </w:footnote>
  <w:footnote w:id="21">
    <w:p w14:paraId="7B62BC1C" w14:textId="66E6B8C9" w:rsidR="00D16234" w:rsidRPr="003F2F07" w:rsidRDefault="00D16234" w:rsidP="00BF6DB9">
      <w:pPr>
        <w:pStyle w:val="FootnoteText"/>
      </w:pPr>
      <w:r>
        <w:rPr>
          <w:rStyle w:val="FootnoteReference"/>
        </w:rPr>
        <w:footnoteRef/>
      </w:r>
      <w:r w:rsidRPr="003F2F07">
        <w:tab/>
        <w:t>Regolamento (UE) 2019/1021 del Parlamento europeo e del Consiglio, del 20 giugno 2019, relativo agli inquinanti organic</w:t>
      </w:r>
      <w:r>
        <w:t>i persistenti (rifusione) (GU L </w:t>
      </w:r>
      <w:r w:rsidRPr="003F2F07">
        <w:t>169 del 25.6.2019, pag. 45).</w:t>
      </w:r>
    </w:p>
  </w:footnote>
  <w:footnote w:id="22">
    <w:p w14:paraId="15D77B4E" w14:textId="375929A2" w:rsidR="00D16234" w:rsidRPr="003F2F07" w:rsidRDefault="00D16234" w:rsidP="00322390">
      <w:pPr>
        <w:pStyle w:val="FootnoteText"/>
      </w:pPr>
      <w:r>
        <w:rPr>
          <w:rStyle w:val="FootnoteReference"/>
        </w:rPr>
        <w:footnoteRef/>
      </w:r>
      <w:r w:rsidRPr="003F2F07">
        <w:tab/>
        <w:t>Decisione 2006/507/CE del Consiglio, del 14 ottobre 2004, relativa alla conclusione, a nome della Comunità europea, della convenzione di Stoccolma sugli inquin</w:t>
      </w:r>
      <w:r>
        <w:t>anti organici persistenti (GU</w:t>
      </w:r>
      <w:r w:rsidR="003B073B">
        <w:t> </w:t>
      </w:r>
      <w:r>
        <w:t>L </w:t>
      </w:r>
      <w:r w:rsidR="003B073B">
        <w:t>209 del </w:t>
      </w:r>
      <w:r w:rsidRPr="003F2F07">
        <w:t>31.7.2006, pag. 1).</w:t>
      </w:r>
    </w:p>
  </w:footnote>
  <w:footnote w:id="23">
    <w:p w14:paraId="06A22001" w14:textId="2BAFE11D" w:rsidR="00D16234" w:rsidRPr="003F2F07" w:rsidRDefault="00D16234" w:rsidP="00322390">
      <w:pPr>
        <w:pStyle w:val="FootnoteText"/>
      </w:pPr>
      <w:r>
        <w:rPr>
          <w:rStyle w:val="FootnoteReference"/>
        </w:rPr>
        <w:footnoteRef/>
      </w:r>
      <w:r w:rsidRPr="003F2F07">
        <w:tab/>
        <w:t>Decisione 259/2004/CE del Consiglio, del 19 febbraio 2004, relativa alla conclusione, a nome della Comunità europea, del protocollo sugli inquinanti organici persistenti della convenzione del 1979 sull</w:t>
      </w:r>
      <w:r>
        <w:t>'</w:t>
      </w:r>
      <w:r w:rsidRPr="003F2F07">
        <w:t>inquinamento atmosferico transfron</w:t>
      </w:r>
      <w:r>
        <w:t>taliero a grande distanza (GU L </w:t>
      </w:r>
      <w:r w:rsidRPr="003F2F07">
        <w:t>81 del 19.3.2004, pag. 35).</w:t>
      </w:r>
    </w:p>
  </w:footnote>
  <w:footnote w:id="24">
    <w:p w14:paraId="14B2707A" w14:textId="7E7093F3" w:rsidR="00D16234" w:rsidRPr="003F2F07" w:rsidRDefault="00D16234" w:rsidP="00943357">
      <w:pPr>
        <w:pStyle w:val="FootnoteText"/>
      </w:pPr>
      <w:r>
        <w:rPr>
          <w:rStyle w:val="FootnoteReference"/>
        </w:rPr>
        <w:footnoteRef/>
      </w:r>
      <w:r w:rsidRPr="003F2F07">
        <w:tab/>
        <w:t>Regolamento (CE) n. 850/2004 del Parlamento europeo e del Consiglio, del 29 aprile 2004, relativo agli inquinanti organici persistenti e che modific</w:t>
      </w:r>
      <w:r>
        <w:t>a la direttiva 79/117/CEE (GU L </w:t>
      </w:r>
      <w:r w:rsidRPr="003F2F07">
        <w:t>158 del 30.4.2004, pag. 7).</w:t>
      </w:r>
    </w:p>
  </w:footnote>
  <w:footnote w:id="25">
    <w:p w14:paraId="3861E357" w14:textId="3EE0CC37" w:rsidR="00D16234" w:rsidRPr="003F2F07" w:rsidRDefault="00D16234">
      <w:pPr>
        <w:pStyle w:val="FootnoteText"/>
      </w:pPr>
      <w:r>
        <w:rPr>
          <w:rStyle w:val="FootnoteReference"/>
        </w:rPr>
        <w:footnoteRef/>
      </w:r>
      <w:r w:rsidRPr="003F2F07">
        <w:tab/>
        <w:t>Regolamento (UE) 2019/636 della Commissione, del 23 aprile 2019, recante modifica degli allegati IV e V del regolamento (CE) n. 850/2004 del Parlamento europeo e del Consiglio relativo agli inquin</w:t>
      </w:r>
      <w:r>
        <w:t>anti organici persistenti (GU L </w:t>
      </w:r>
      <w:r w:rsidRPr="003F2F07">
        <w:t>109 del 24.4.2019, pag. 6).</w:t>
      </w:r>
    </w:p>
  </w:footnote>
  <w:footnote w:id="26">
    <w:p w14:paraId="03C6345A" w14:textId="0914688E" w:rsidR="00D16234" w:rsidRPr="003F2F07" w:rsidRDefault="00D16234">
      <w:pPr>
        <w:pStyle w:val="FootnoteText"/>
      </w:pPr>
      <w:r>
        <w:rPr>
          <w:rStyle w:val="FootnoteReference"/>
        </w:rPr>
        <w:footnoteRef/>
      </w:r>
      <w:r w:rsidRPr="003F2F07">
        <w:tab/>
      </w:r>
      <w:r w:rsidRPr="003F2F07">
        <w:rPr>
          <w:sz w:val="18"/>
          <w:szCs w:val="18"/>
        </w:rPr>
        <w:t>PCB-77, PCB-81, PCB-105, PCB-114, PCB-118, PCB-123, PCB-126, PCB-156, PCB-157, PCB-167, PCB-169 e PCB 189.</w:t>
      </w:r>
    </w:p>
  </w:footnote>
  <w:footnote w:id="27">
    <w:p w14:paraId="283CAD02" w14:textId="3DF49A42" w:rsidR="00D16234" w:rsidRPr="0091433A" w:rsidRDefault="00D16234">
      <w:pPr>
        <w:pStyle w:val="FootnoteText"/>
      </w:pPr>
      <w:r>
        <w:rPr>
          <w:rStyle w:val="FootnoteReference"/>
        </w:rPr>
        <w:footnoteRef/>
      </w:r>
      <w:r>
        <w:tab/>
        <w:t xml:space="preserve">COM(2019) 640 final.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C410405A"/>
    <w:lvl w:ilvl="0">
      <w:start w:val="1"/>
      <w:numFmt w:val="lowerLetter"/>
      <w:lvlText w:val="(%1)"/>
      <w:lvlJc w:val="left"/>
      <w:pPr>
        <w:ind w:left="360" w:hanging="360"/>
      </w:pPr>
      <w:rPr>
        <w:rFonts w:hint="default"/>
      </w:rPr>
    </w:lvl>
    <w:lvl w:ilvl="1">
      <w:start w:val="1"/>
      <w:numFmt w:val="lowerLetter"/>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7638E9"/>
    <w:multiLevelType w:val="hybridMultilevel"/>
    <w:tmpl w:val="1E2AB872"/>
    <w:lvl w:ilvl="0" w:tplc="148A42B0">
      <w:start w:val="1"/>
      <w:numFmt w:val="lowerLetter"/>
      <w:pStyle w:val="1NumPar"/>
      <w:lvlText w:val="(%1)"/>
      <w:lvlJc w:val="left"/>
      <w:pPr>
        <w:ind w:left="1570" w:hanging="360"/>
      </w:pPr>
      <w:rPr>
        <w:rFonts w:hint="default"/>
      </w:rPr>
    </w:lvl>
    <w:lvl w:ilvl="1" w:tplc="BE0E9DC2">
      <w:start w:val="5"/>
      <w:numFmt w:val="bullet"/>
      <w:lvlText w:val="-"/>
      <w:lvlJc w:val="left"/>
      <w:pPr>
        <w:ind w:left="2290" w:hanging="360"/>
      </w:pPr>
      <w:rPr>
        <w:rFonts w:ascii="Times New Roman" w:eastAsia="Verdana" w:hAnsi="Times New Roman" w:cs="Times New Roman" w:hint="default"/>
      </w:rPr>
    </w:lvl>
    <w:lvl w:ilvl="2" w:tplc="804A39F4">
      <w:start w:val="1"/>
      <w:numFmt w:val="lowerRoman"/>
      <w:lvlText w:val="%3)"/>
      <w:lvlJc w:val="left"/>
      <w:pPr>
        <w:ind w:left="3550" w:hanging="720"/>
      </w:pPr>
      <w:rPr>
        <w:rFonts w:hint="default"/>
      </w:rPr>
    </w:lvl>
    <w:lvl w:ilvl="3" w:tplc="148A42B0">
      <w:start w:val="1"/>
      <w:numFmt w:val="lowerLetter"/>
      <w:lvlText w:val="(%4)"/>
      <w:lvlJc w:val="left"/>
      <w:pPr>
        <w:ind w:left="3730" w:hanging="360"/>
      </w:pPr>
      <w:rPr>
        <w:rFonts w:hint="default"/>
      </w:r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15:restartNumberingAfterBreak="0">
    <w:nsid w:val="7F3A3085"/>
    <w:multiLevelType w:val="multilevel"/>
    <w:tmpl w:val="2A989518"/>
    <w:styleLink w:val="Style1"/>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1"/>
  </w:num>
  <w:num w:numId="3">
    <w:abstractNumId w:val="9"/>
  </w:num>
  <w:num w:numId="4">
    <w:abstractNumId w:val="18"/>
  </w:num>
  <w:num w:numId="5">
    <w:abstractNumId w:val="17"/>
  </w:num>
  <w:num w:numId="6">
    <w:abstractNumId w:val="28"/>
  </w:num>
  <w:num w:numId="7">
    <w:abstractNumId w:val="25"/>
  </w:num>
  <w:num w:numId="8">
    <w:abstractNumId w:val="29"/>
  </w:num>
  <w:num w:numId="9">
    <w:abstractNumId w:val="30"/>
  </w:num>
  <w:num w:numId="10">
    <w:abstractNumId w:val="1"/>
  </w:num>
  <w:num w:numId="11">
    <w:abstractNumId w:val="11"/>
  </w:num>
  <w:num w:numId="12">
    <w:abstractNumId w:val="2"/>
  </w:num>
  <w:num w:numId="13">
    <w:abstractNumId w:val="12"/>
  </w:num>
  <w:num w:numId="14">
    <w:abstractNumId w:val="10"/>
  </w:num>
  <w:num w:numId="15">
    <w:abstractNumId w:val="19"/>
  </w:num>
  <w:num w:numId="16">
    <w:abstractNumId w:val="32"/>
  </w:num>
  <w:num w:numId="17">
    <w:abstractNumId w:val="8"/>
  </w:num>
  <w:num w:numId="18">
    <w:abstractNumId w:val="7"/>
  </w:num>
  <w:num w:numId="19">
    <w:abstractNumId w:val="31"/>
    <w:lvlOverride w:ilvl="0">
      <w:startOverride w:val="1"/>
    </w:lvlOverride>
  </w:num>
  <w:num w:numId="20">
    <w:abstractNumId w:val="22"/>
    <w:lvlOverride w:ilvl="0">
      <w:startOverride w:val="1"/>
    </w:lvlOverride>
  </w:num>
  <w:num w:numId="21">
    <w:abstractNumId w:val="24"/>
  </w:num>
  <w:num w:numId="22">
    <w:abstractNumId w:val="13"/>
  </w:num>
  <w:num w:numId="23">
    <w:abstractNumId w:val="27"/>
  </w:num>
  <w:num w:numId="24">
    <w:abstractNumId w:val="6"/>
  </w:num>
  <w:num w:numId="25">
    <w:abstractNumId w:val="14"/>
  </w:num>
  <w:num w:numId="26">
    <w:abstractNumId w:val="3"/>
  </w:num>
  <w:num w:numId="27">
    <w:abstractNumId w:val="16"/>
  </w:num>
  <w:num w:numId="28">
    <w:abstractNumId w:val="22"/>
  </w:num>
  <w:num w:numId="29">
    <w:abstractNumId w:val="23"/>
  </w:num>
  <w:num w:numId="30">
    <w:abstractNumId w:val="5"/>
  </w:num>
  <w:num w:numId="31">
    <w:abstractNumId w:val="20"/>
  </w:num>
  <w:num w:numId="32">
    <w:abstractNumId w:val="31"/>
  </w:num>
  <w:num w:numId="33">
    <w:abstractNumId w:val="26"/>
  </w:num>
  <w:num w:numId="34">
    <w:abstractNumId w:val="15"/>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de-DE" w:vendorID="64" w:dllVersion="131078" w:nlCheck="1" w:checkStyle="0"/>
  <w:activeWritingStyle w:appName="MSWord" w:lang="fr-BE"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0-25 11:25: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BC7D23F9-CFA9-4943-BA6A-FC5CF4D869AE"/>
    <w:docVar w:name="LW_COVERPAGE_TYPE" w:val="1"/>
    <w:docVar w:name="LW_CROSSREFERENCE" w:val="{SEC(2021) 379 final} - {SWD(2021) 299 final} - {SWD(2021) 300 final} - {SWD(2021) 301 final}"/>
    <w:docVar w:name="LW_DocType" w:val="COM"/>
    <w:docVar w:name="LW_EMISSION" w:val="28.10.2021"/>
    <w:docVar w:name="LW_EMISSION_ISODATE" w:val="2021-10-28"/>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340"/>
    <w:docVar w:name="LW_REF.II.NEW.CP_YEAR" w:val="2021"/>
    <w:docVar w:name="LW_REF.INST.NEW" w:val="COM"/>
    <w:docVar w:name="LW_REF.INST.NEW_ADOPTED" w:val="final"/>
    <w:docVar w:name="LW_REF.INST.NEW_TEXT" w:val="(2021)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cante modifica degli allegati IV e V del regolamento (CE) 2019/1021 del Parlamento europeo e del Consiglio relativo agli inquinanti organici persistenti"/>
    <w:docVar w:name="LW_TYPE.DOC.CP" w:val="REGOLAMENTO DEL PARLAMENTO EUROPEO E DEL CONSIGLIO"/>
    <w:docVar w:name="LwApiVersions" w:val="LW4CoDe 1.23.1.0; LW 8.0, Build 20210728"/>
  </w:docVars>
  <w:rsids>
    <w:rsidRoot w:val="007D09E1"/>
    <w:rsid w:val="000006AF"/>
    <w:rsid w:val="0000093F"/>
    <w:rsid w:val="000009C0"/>
    <w:rsid w:val="0000120D"/>
    <w:rsid w:val="00001474"/>
    <w:rsid w:val="0000158B"/>
    <w:rsid w:val="00001FF5"/>
    <w:rsid w:val="000024C6"/>
    <w:rsid w:val="00002B49"/>
    <w:rsid w:val="00003FCE"/>
    <w:rsid w:val="00004551"/>
    <w:rsid w:val="000048E8"/>
    <w:rsid w:val="00004C60"/>
    <w:rsid w:val="00005CC9"/>
    <w:rsid w:val="00006689"/>
    <w:rsid w:val="00006ABB"/>
    <w:rsid w:val="0001069F"/>
    <w:rsid w:val="00010962"/>
    <w:rsid w:val="00011985"/>
    <w:rsid w:val="00011EE1"/>
    <w:rsid w:val="0001262A"/>
    <w:rsid w:val="00012FA6"/>
    <w:rsid w:val="0001365F"/>
    <w:rsid w:val="00013787"/>
    <w:rsid w:val="000141DD"/>
    <w:rsid w:val="000144C5"/>
    <w:rsid w:val="00014DAF"/>
    <w:rsid w:val="00014DD8"/>
    <w:rsid w:val="00015688"/>
    <w:rsid w:val="00015AC6"/>
    <w:rsid w:val="00016CBE"/>
    <w:rsid w:val="00017268"/>
    <w:rsid w:val="000219C9"/>
    <w:rsid w:val="00021AD0"/>
    <w:rsid w:val="0002237E"/>
    <w:rsid w:val="0002286C"/>
    <w:rsid w:val="00022B83"/>
    <w:rsid w:val="00022D02"/>
    <w:rsid w:val="00023233"/>
    <w:rsid w:val="00023F09"/>
    <w:rsid w:val="00024028"/>
    <w:rsid w:val="00024173"/>
    <w:rsid w:val="0002441C"/>
    <w:rsid w:val="00026B7A"/>
    <w:rsid w:val="00030B90"/>
    <w:rsid w:val="0003198C"/>
    <w:rsid w:val="0003465F"/>
    <w:rsid w:val="0003495C"/>
    <w:rsid w:val="000354A0"/>
    <w:rsid w:val="00035906"/>
    <w:rsid w:val="0004173E"/>
    <w:rsid w:val="00041DF6"/>
    <w:rsid w:val="00044582"/>
    <w:rsid w:val="00044E6C"/>
    <w:rsid w:val="0004568B"/>
    <w:rsid w:val="00046092"/>
    <w:rsid w:val="00046479"/>
    <w:rsid w:val="00046B93"/>
    <w:rsid w:val="000470E4"/>
    <w:rsid w:val="00047355"/>
    <w:rsid w:val="00047FB4"/>
    <w:rsid w:val="0005101C"/>
    <w:rsid w:val="00051CB8"/>
    <w:rsid w:val="00051EC9"/>
    <w:rsid w:val="00052909"/>
    <w:rsid w:val="00055131"/>
    <w:rsid w:val="0005542A"/>
    <w:rsid w:val="000564BE"/>
    <w:rsid w:val="00056A39"/>
    <w:rsid w:val="0005732D"/>
    <w:rsid w:val="00057A7A"/>
    <w:rsid w:val="00057C0E"/>
    <w:rsid w:val="000600DA"/>
    <w:rsid w:val="00060221"/>
    <w:rsid w:val="00060B21"/>
    <w:rsid w:val="0006108B"/>
    <w:rsid w:val="00061566"/>
    <w:rsid w:val="0006157F"/>
    <w:rsid w:val="00061823"/>
    <w:rsid w:val="00062F22"/>
    <w:rsid w:val="00063363"/>
    <w:rsid w:val="00064B8E"/>
    <w:rsid w:val="00064C1E"/>
    <w:rsid w:val="00065529"/>
    <w:rsid w:val="00065704"/>
    <w:rsid w:val="000659D6"/>
    <w:rsid w:val="00065A67"/>
    <w:rsid w:val="000668E1"/>
    <w:rsid w:val="00070B9F"/>
    <w:rsid w:val="00071345"/>
    <w:rsid w:val="00071537"/>
    <w:rsid w:val="00072CCF"/>
    <w:rsid w:val="00073689"/>
    <w:rsid w:val="0007462F"/>
    <w:rsid w:val="00075D1C"/>
    <w:rsid w:val="0007670B"/>
    <w:rsid w:val="00076CA8"/>
    <w:rsid w:val="000774A4"/>
    <w:rsid w:val="00077A6A"/>
    <w:rsid w:val="00077D0B"/>
    <w:rsid w:val="00077D73"/>
    <w:rsid w:val="00080FA4"/>
    <w:rsid w:val="0008141D"/>
    <w:rsid w:val="000824F3"/>
    <w:rsid w:val="00083661"/>
    <w:rsid w:val="00083F08"/>
    <w:rsid w:val="000858EC"/>
    <w:rsid w:val="000860AA"/>
    <w:rsid w:val="000865BF"/>
    <w:rsid w:val="00086EA3"/>
    <w:rsid w:val="0008723B"/>
    <w:rsid w:val="00087622"/>
    <w:rsid w:val="00087F56"/>
    <w:rsid w:val="00090124"/>
    <w:rsid w:val="00090213"/>
    <w:rsid w:val="000905B3"/>
    <w:rsid w:val="00090F8A"/>
    <w:rsid w:val="0009101A"/>
    <w:rsid w:val="00092188"/>
    <w:rsid w:val="00092E51"/>
    <w:rsid w:val="00093ABF"/>
    <w:rsid w:val="00093E5A"/>
    <w:rsid w:val="000943D4"/>
    <w:rsid w:val="00095472"/>
    <w:rsid w:val="0009547E"/>
    <w:rsid w:val="00095ADA"/>
    <w:rsid w:val="00095D2C"/>
    <w:rsid w:val="00095F04"/>
    <w:rsid w:val="0009641B"/>
    <w:rsid w:val="000A0487"/>
    <w:rsid w:val="000A1FD5"/>
    <w:rsid w:val="000A226A"/>
    <w:rsid w:val="000A4CB3"/>
    <w:rsid w:val="000A5F0F"/>
    <w:rsid w:val="000A645E"/>
    <w:rsid w:val="000A6BAC"/>
    <w:rsid w:val="000A7517"/>
    <w:rsid w:val="000A758F"/>
    <w:rsid w:val="000A7828"/>
    <w:rsid w:val="000A7ACB"/>
    <w:rsid w:val="000A7C42"/>
    <w:rsid w:val="000B2E55"/>
    <w:rsid w:val="000B3505"/>
    <w:rsid w:val="000B36AF"/>
    <w:rsid w:val="000B391B"/>
    <w:rsid w:val="000B3AA0"/>
    <w:rsid w:val="000B3CA8"/>
    <w:rsid w:val="000B3E37"/>
    <w:rsid w:val="000B460F"/>
    <w:rsid w:val="000B5B82"/>
    <w:rsid w:val="000B7589"/>
    <w:rsid w:val="000B7EEA"/>
    <w:rsid w:val="000C0D88"/>
    <w:rsid w:val="000C1FB2"/>
    <w:rsid w:val="000C241D"/>
    <w:rsid w:val="000C3C3E"/>
    <w:rsid w:val="000C3DF1"/>
    <w:rsid w:val="000C4E00"/>
    <w:rsid w:val="000C4F36"/>
    <w:rsid w:val="000C4FB8"/>
    <w:rsid w:val="000C59CA"/>
    <w:rsid w:val="000C64CF"/>
    <w:rsid w:val="000C65AF"/>
    <w:rsid w:val="000C6AC7"/>
    <w:rsid w:val="000C6DDD"/>
    <w:rsid w:val="000C72E3"/>
    <w:rsid w:val="000C7953"/>
    <w:rsid w:val="000D060D"/>
    <w:rsid w:val="000D132E"/>
    <w:rsid w:val="000D1A73"/>
    <w:rsid w:val="000D1F7C"/>
    <w:rsid w:val="000D254F"/>
    <w:rsid w:val="000D2A41"/>
    <w:rsid w:val="000D2BA0"/>
    <w:rsid w:val="000D2D5B"/>
    <w:rsid w:val="000D3476"/>
    <w:rsid w:val="000D4512"/>
    <w:rsid w:val="000D4A16"/>
    <w:rsid w:val="000D4C0F"/>
    <w:rsid w:val="000D55FD"/>
    <w:rsid w:val="000D5BA2"/>
    <w:rsid w:val="000D63C2"/>
    <w:rsid w:val="000D6CA3"/>
    <w:rsid w:val="000D7D92"/>
    <w:rsid w:val="000E0BC1"/>
    <w:rsid w:val="000E13D1"/>
    <w:rsid w:val="000E198E"/>
    <w:rsid w:val="000E1B47"/>
    <w:rsid w:val="000E39E5"/>
    <w:rsid w:val="000E4399"/>
    <w:rsid w:val="000E4AF3"/>
    <w:rsid w:val="000E51BF"/>
    <w:rsid w:val="000E52F6"/>
    <w:rsid w:val="000E5CA4"/>
    <w:rsid w:val="000E6041"/>
    <w:rsid w:val="000E6BF8"/>
    <w:rsid w:val="000E7D09"/>
    <w:rsid w:val="000E7F43"/>
    <w:rsid w:val="000F0404"/>
    <w:rsid w:val="000F0BBE"/>
    <w:rsid w:val="000F0DB5"/>
    <w:rsid w:val="000F101B"/>
    <w:rsid w:val="000F14D3"/>
    <w:rsid w:val="000F1920"/>
    <w:rsid w:val="000F21EE"/>
    <w:rsid w:val="000F2340"/>
    <w:rsid w:val="000F2BC6"/>
    <w:rsid w:val="000F3D15"/>
    <w:rsid w:val="000F43FF"/>
    <w:rsid w:val="000F45E9"/>
    <w:rsid w:val="000F4A64"/>
    <w:rsid w:val="000F4B26"/>
    <w:rsid w:val="000F599B"/>
    <w:rsid w:val="000F5FC7"/>
    <w:rsid w:val="000F61C7"/>
    <w:rsid w:val="000F646A"/>
    <w:rsid w:val="000F6C59"/>
    <w:rsid w:val="000F6D9E"/>
    <w:rsid w:val="000F6E16"/>
    <w:rsid w:val="001007FC"/>
    <w:rsid w:val="00100ECD"/>
    <w:rsid w:val="0010164D"/>
    <w:rsid w:val="001016A9"/>
    <w:rsid w:val="00101E35"/>
    <w:rsid w:val="0010218E"/>
    <w:rsid w:val="00102253"/>
    <w:rsid w:val="001030D4"/>
    <w:rsid w:val="0010332B"/>
    <w:rsid w:val="00103C62"/>
    <w:rsid w:val="001043A0"/>
    <w:rsid w:val="00105411"/>
    <w:rsid w:val="00106137"/>
    <w:rsid w:val="00106979"/>
    <w:rsid w:val="001078C2"/>
    <w:rsid w:val="00107C31"/>
    <w:rsid w:val="00107D86"/>
    <w:rsid w:val="00107F8A"/>
    <w:rsid w:val="00110CD5"/>
    <w:rsid w:val="00110ECB"/>
    <w:rsid w:val="0011212C"/>
    <w:rsid w:val="00112414"/>
    <w:rsid w:val="00112754"/>
    <w:rsid w:val="0011288D"/>
    <w:rsid w:val="00112F09"/>
    <w:rsid w:val="00112F81"/>
    <w:rsid w:val="00113070"/>
    <w:rsid w:val="00113CD2"/>
    <w:rsid w:val="001143BF"/>
    <w:rsid w:val="00115CE0"/>
    <w:rsid w:val="00115D71"/>
    <w:rsid w:val="00116718"/>
    <w:rsid w:val="0011766C"/>
    <w:rsid w:val="0012054A"/>
    <w:rsid w:val="00120765"/>
    <w:rsid w:val="00120D2D"/>
    <w:rsid w:val="0012173F"/>
    <w:rsid w:val="0012192C"/>
    <w:rsid w:val="001232A0"/>
    <w:rsid w:val="001238C8"/>
    <w:rsid w:val="00124489"/>
    <w:rsid w:val="00124E78"/>
    <w:rsid w:val="0012626E"/>
    <w:rsid w:val="00126299"/>
    <w:rsid w:val="00127B91"/>
    <w:rsid w:val="00130E8C"/>
    <w:rsid w:val="00131323"/>
    <w:rsid w:val="0013142C"/>
    <w:rsid w:val="00131572"/>
    <w:rsid w:val="00132491"/>
    <w:rsid w:val="00134074"/>
    <w:rsid w:val="0013420D"/>
    <w:rsid w:val="0013423D"/>
    <w:rsid w:val="00134345"/>
    <w:rsid w:val="0013507B"/>
    <w:rsid w:val="0013574F"/>
    <w:rsid w:val="001361E4"/>
    <w:rsid w:val="0013631B"/>
    <w:rsid w:val="0014044C"/>
    <w:rsid w:val="00140530"/>
    <w:rsid w:val="001411D8"/>
    <w:rsid w:val="001416D1"/>
    <w:rsid w:val="001419FB"/>
    <w:rsid w:val="00141EEB"/>
    <w:rsid w:val="0014265D"/>
    <w:rsid w:val="0014340C"/>
    <w:rsid w:val="00143A74"/>
    <w:rsid w:val="00143CFC"/>
    <w:rsid w:val="00144F4A"/>
    <w:rsid w:val="0014534F"/>
    <w:rsid w:val="00145E0E"/>
    <w:rsid w:val="0014707A"/>
    <w:rsid w:val="00147802"/>
    <w:rsid w:val="00147A81"/>
    <w:rsid w:val="00147EF5"/>
    <w:rsid w:val="00147F06"/>
    <w:rsid w:val="001502D5"/>
    <w:rsid w:val="00151692"/>
    <w:rsid w:val="0015198B"/>
    <w:rsid w:val="00152C85"/>
    <w:rsid w:val="00152FA3"/>
    <w:rsid w:val="0015306E"/>
    <w:rsid w:val="00153791"/>
    <w:rsid w:val="00154CAA"/>
    <w:rsid w:val="0015530C"/>
    <w:rsid w:val="00155ADC"/>
    <w:rsid w:val="001560A3"/>
    <w:rsid w:val="00157680"/>
    <w:rsid w:val="001600A9"/>
    <w:rsid w:val="00160B1F"/>
    <w:rsid w:val="00161AA1"/>
    <w:rsid w:val="00161C39"/>
    <w:rsid w:val="00162158"/>
    <w:rsid w:val="00162348"/>
    <w:rsid w:val="00162998"/>
    <w:rsid w:val="00162C80"/>
    <w:rsid w:val="00162DDD"/>
    <w:rsid w:val="00164E9F"/>
    <w:rsid w:val="001652DA"/>
    <w:rsid w:val="00165499"/>
    <w:rsid w:val="00166896"/>
    <w:rsid w:val="001670B5"/>
    <w:rsid w:val="0017034B"/>
    <w:rsid w:val="001708C3"/>
    <w:rsid w:val="001708DE"/>
    <w:rsid w:val="00170CAA"/>
    <w:rsid w:val="001718B6"/>
    <w:rsid w:val="00171BDB"/>
    <w:rsid w:val="001723B9"/>
    <w:rsid w:val="00172756"/>
    <w:rsid w:val="001735F8"/>
    <w:rsid w:val="0017535B"/>
    <w:rsid w:val="0017540A"/>
    <w:rsid w:val="001755B2"/>
    <w:rsid w:val="0017560B"/>
    <w:rsid w:val="001758A6"/>
    <w:rsid w:val="001760D6"/>
    <w:rsid w:val="00177F7C"/>
    <w:rsid w:val="00180CE8"/>
    <w:rsid w:val="00181860"/>
    <w:rsid w:val="0018241C"/>
    <w:rsid w:val="001824FB"/>
    <w:rsid w:val="00183E83"/>
    <w:rsid w:val="0018457C"/>
    <w:rsid w:val="0018488C"/>
    <w:rsid w:val="00184E9D"/>
    <w:rsid w:val="00185139"/>
    <w:rsid w:val="00190C09"/>
    <w:rsid w:val="0019222C"/>
    <w:rsid w:val="00192A36"/>
    <w:rsid w:val="00192C0C"/>
    <w:rsid w:val="00193671"/>
    <w:rsid w:val="00194019"/>
    <w:rsid w:val="001941B1"/>
    <w:rsid w:val="001942AE"/>
    <w:rsid w:val="001949B5"/>
    <w:rsid w:val="00194FA1"/>
    <w:rsid w:val="001953D8"/>
    <w:rsid w:val="001957ED"/>
    <w:rsid w:val="00195A0C"/>
    <w:rsid w:val="00196347"/>
    <w:rsid w:val="00196D8F"/>
    <w:rsid w:val="0019745B"/>
    <w:rsid w:val="00197A37"/>
    <w:rsid w:val="001A0A03"/>
    <w:rsid w:val="001A1117"/>
    <w:rsid w:val="001A2068"/>
    <w:rsid w:val="001A2158"/>
    <w:rsid w:val="001A22F1"/>
    <w:rsid w:val="001A2732"/>
    <w:rsid w:val="001A3E42"/>
    <w:rsid w:val="001A4643"/>
    <w:rsid w:val="001A46D1"/>
    <w:rsid w:val="001A4DD7"/>
    <w:rsid w:val="001A4E4D"/>
    <w:rsid w:val="001A4E8B"/>
    <w:rsid w:val="001A511B"/>
    <w:rsid w:val="001A73D8"/>
    <w:rsid w:val="001A7631"/>
    <w:rsid w:val="001A7BAA"/>
    <w:rsid w:val="001A7D6E"/>
    <w:rsid w:val="001B1279"/>
    <w:rsid w:val="001B1324"/>
    <w:rsid w:val="001B33BD"/>
    <w:rsid w:val="001B4D72"/>
    <w:rsid w:val="001B5AD2"/>
    <w:rsid w:val="001B6079"/>
    <w:rsid w:val="001B61C4"/>
    <w:rsid w:val="001C0DA1"/>
    <w:rsid w:val="001C0F3E"/>
    <w:rsid w:val="001C175E"/>
    <w:rsid w:val="001C1827"/>
    <w:rsid w:val="001C1AB3"/>
    <w:rsid w:val="001C1DC0"/>
    <w:rsid w:val="001C1EF6"/>
    <w:rsid w:val="001C2816"/>
    <w:rsid w:val="001C39E8"/>
    <w:rsid w:val="001C3FF9"/>
    <w:rsid w:val="001C48A6"/>
    <w:rsid w:val="001C598C"/>
    <w:rsid w:val="001C59CF"/>
    <w:rsid w:val="001C5B14"/>
    <w:rsid w:val="001C5B7F"/>
    <w:rsid w:val="001C5F8E"/>
    <w:rsid w:val="001C6066"/>
    <w:rsid w:val="001C6670"/>
    <w:rsid w:val="001C6A1E"/>
    <w:rsid w:val="001C7993"/>
    <w:rsid w:val="001C7B36"/>
    <w:rsid w:val="001C7BEB"/>
    <w:rsid w:val="001D0C21"/>
    <w:rsid w:val="001D13AF"/>
    <w:rsid w:val="001D1A63"/>
    <w:rsid w:val="001D2C9A"/>
    <w:rsid w:val="001D2E70"/>
    <w:rsid w:val="001D304B"/>
    <w:rsid w:val="001D3840"/>
    <w:rsid w:val="001D4014"/>
    <w:rsid w:val="001D4959"/>
    <w:rsid w:val="001D5886"/>
    <w:rsid w:val="001D5FC3"/>
    <w:rsid w:val="001D6C5C"/>
    <w:rsid w:val="001D6CED"/>
    <w:rsid w:val="001D78FA"/>
    <w:rsid w:val="001E00C1"/>
    <w:rsid w:val="001E0567"/>
    <w:rsid w:val="001E0C4A"/>
    <w:rsid w:val="001E1429"/>
    <w:rsid w:val="001E219B"/>
    <w:rsid w:val="001E2DF2"/>
    <w:rsid w:val="001E2ED6"/>
    <w:rsid w:val="001E4362"/>
    <w:rsid w:val="001E45F0"/>
    <w:rsid w:val="001E46FA"/>
    <w:rsid w:val="001E5FFB"/>
    <w:rsid w:val="001E6644"/>
    <w:rsid w:val="001E7002"/>
    <w:rsid w:val="001E747F"/>
    <w:rsid w:val="001E7A4F"/>
    <w:rsid w:val="001E7B55"/>
    <w:rsid w:val="001E7DF1"/>
    <w:rsid w:val="001F0131"/>
    <w:rsid w:val="001F1B02"/>
    <w:rsid w:val="001F399B"/>
    <w:rsid w:val="001F3EA6"/>
    <w:rsid w:val="001F3EF7"/>
    <w:rsid w:val="001F41D2"/>
    <w:rsid w:val="001F46E4"/>
    <w:rsid w:val="001F50A3"/>
    <w:rsid w:val="001F54A6"/>
    <w:rsid w:val="001F57CC"/>
    <w:rsid w:val="001F66D4"/>
    <w:rsid w:val="001F6BEF"/>
    <w:rsid w:val="001F7432"/>
    <w:rsid w:val="0020007E"/>
    <w:rsid w:val="00200EC0"/>
    <w:rsid w:val="00200ECE"/>
    <w:rsid w:val="0020127A"/>
    <w:rsid w:val="00201633"/>
    <w:rsid w:val="002016C4"/>
    <w:rsid w:val="0020227E"/>
    <w:rsid w:val="00202D4B"/>
    <w:rsid w:val="0020365B"/>
    <w:rsid w:val="002037F9"/>
    <w:rsid w:val="002040DB"/>
    <w:rsid w:val="00204860"/>
    <w:rsid w:val="00204A82"/>
    <w:rsid w:val="002050A1"/>
    <w:rsid w:val="00206BAB"/>
    <w:rsid w:val="002070E1"/>
    <w:rsid w:val="00207D0A"/>
    <w:rsid w:val="00207D5C"/>
    <w:rsid w:val="00207FB3"/>
    <w:rsid w:val="002101BA"/>
    <w:rsid w:val="002103DB"/>
    <w:rsid w:val="00210BB2"/>
    <w:rsid w:val="002116C1"/>
    <w:rsid w:val="002117BB"/>
    <w:rsid w:val="002119DE"/>
    <w:rsid w:val="00212DDB"/>
    <w:rsid w:val="00212EC1"/>
    <w:rsid w:val="00214371"/>
    <w:rsid w:val="00214A45"/>
    <w:rsid w:val="00214F42"/>
    <w:rsid w:val="00214FC6"/>
    <w:rsid w:val="00215FC1"/>
    <w:rsid w:val="00220EF0"/>
    <w:rsid w:val="002211A5"/>
    <w:rsid w:val="002220DE"/>
    <w:rsid w:val="002224C2"/>
    <w:rsid w:val="002227BA"/>
    <w:rsid w:val="00222B7C"/>
    <w:rsid w:val="00222E21"/>
    <w:rsid w:val="00223639"/>
    <w:rsid w:val="002238A1"/>
    <w:rsid w:val="00223FCD"/>
    <w:rsid w:val="0022410F"/>
    <w:rsid w:val="00230615"/>
    <w:rsid w:val="002315E1"/>
    <w:rsid w:val="002317FC"/>
    <w:rsid w:val="00231E89"/>
    <w:rsid w:val="00232147"/>
    <w:rsid w:val="0023247E"/>
    <w:rsid w:val="00232759"/>
    <w:rsid w:val="002330FD"/>
    <w:rsid w:val="00234694"/>
    <w:rsid w:val="002347D8"/>
    <w:rsid w:val="002353D5"/>
    <w:rsid w:val="0023593B"/>
    <w:rsid w:val="00235AF2"/>
    <w:rsid w:val="002363DB"/>
    <w:rsid w:val="002364F8"/>
    <w:rsid w:val="00237E4E"/>
    <w:rsid w:val="002406D0"/>
    <w:rsid w:val="00240A96"/>
    <w:rsid w:val="0024139D"/>
    <w:rsid w:val="0024173A"/>
    <w:rsid w:val="00242462"/>
    <w:rsid w:val="002429D3"/>
    <w:rsid w:val="002438A7"/>
    <w:rsid w:val="002447DB"/>
    <w:rsid w:val="00244D44"/>
    <w:rsid w:val="0024527B"/>
    <w:rsid w:val="002455C6"/>
    <w:rsid w:val="00245823"/>
    <w:rsid w:val="00245EAB"/>
    <w:rsid w:val="0024614C"/>
    <w:rsid w:val="002470FC"/>
    <w:rsid w:val="00247284"/>
    <w:rsid w:val="00247EF8"/>
    <w:rsid w:val="0025061B"/>
    <w:rsid w:val="002509C3"/>
    <w:rsid w:val="00250DC4"/>
    <w:rsid w:val="002510BE"/>
    <w:rsid w:val="0025122B"/>
    <w:rsid w:val="0025180D"/>
    <w:rsid w:val="00251874"/>
    <w:rsid w:val="00251BC4"/>
    <w:rsid w:val="00251D40"/>
    <w:rsid w:val="00252425"/>
    <w:rsid w:val="00252670"/>
    <w:rsid w:val="0025444C"/>
    <w:rsid w:val="00254B50"/>
    <w:rsid w:val="00256D2D"/>
    <w:rsid w:val="002570B0"/>
    <w:rsid w:val="00260A9A"/>
    <w:rsid w:val="00261334"/>
    <w:rsid w:val="00261C6A"/>
    <w:rsid w:val="00262A6D"/>
    <w:rsid w:val="0026336F"/>
    <w:rsid w:val="00263E69"/>
    <w:rsid w:val="00264075"/>
    <w:rsid w:val="00265F5E"/>
    <w:rsid w:val="00266251"/>
    <w:rsid w:val="0026638A"/>
    <w:rsid w:val="002663BE"/>
    <w:rsid w:val="002664D4"/>
    <w:rsid w:val="00266824"/>
    <w:rsid w:val="0026748A"/>
    <w:rsid w:val="002676B4"/>
    <w:rsid w:val="002677AA"/>
    <w:rsid w:val="002701D6"/>
    <w:rsid w:val="00270F9A"/>
    <w:rsid w:val="00271551"/>
    <w:rsid w:val="00272E20"/>
    <w:rsid w:val="002730CB"/>
    <w:rsid w:val="002731A5"/>
    <w:rsid w:val="0027344C"/>
    <w:rsid w:val="002742AC"/>
    <w:rsid w:val="00274C50"/>
    <w:rsid w:val="002753CE"/>
    <w:rsid w:val="00276AFD"/>
    <w:rsid w:val="002770C3"/>
    <w:rsid w:val="002774D6"/>
    <w:rsid w:val="00277AFD"/>
    <w:rsid w:val="00277DB3"/>
    <w:rsid w:val="00280246"/>
    <w:rsid w:val="00282A8E"/>
    <w:rsid w:val="00283368"/>
    <w:rsid w:val="00283D3E"/>
    <w:rsid w:val="00283D98"/>
    <w:rsid w:val="00283E95"/>
    <w:rsid w:val="00284457"/>
    <w:rsid w:val="00285F11"/>
    <w:rsid w:val="00286DDA"/>
    <w:rsid w:val="00287774"/>
    <w:rsid w:val="0029133F"/>
    <w:rsid w:val="00291A1D"/>
    <w:rsid w:val="0029263D"/>
    <w:rsid w:val="00292B7B"/>
    <w:rsid w:val="00292BBD"/>
    <w:rsid w:val="00293046"/>
    <w:rsid w:val="00293969"/>
    <w:rsid w:val="00294B35"/>
    <w:rsid w:val="00294D7F"/>
    <w:rsid w:val="00295063"/>
    <w:rsid w:val="00295E23"/>
    <w:rsid w:val="00295FB4"/>
    <w:rsid w:val="00296772"/>
    <w:rsid w:val="00297FA7"/>
    <w:rsid w:val="002A28D9"/>
    <w:rsid w:val="002A293C"/>
    <w:rsid w:val="002A2B3D"/>
    <w:rsid w:val="002A2C01"/>
    <w:rsid w:val="002A312E"/>
    <w:rsid w:val="002A440D"/>
    <w:rsid w:val="002A4CE4"/>
    <w:rsid w:val="002A4DD3"/>
    <w:rsid w:val="002A4E85"/>
    <w:rsid w:val="002A5DDE"/>
    <w:rsid w:val="002A6825"/>
    <w:rsid w:val="002A6F39"/>
    <w:rsid w:val="002A7C15"/>
    <w:rsid w:val="002B0256"/>
    <w:rsid w:val="002B036A"/>
    <w:rsid w:val="002B08D3"/>
    <w:rsid w:val="002B0D82"/>
    <w:rsid w:val="002B0DC9"/>
    <w:rsid w:val="002B1B43"/>
    <w:rsid w:val="002B1E82"/>
    <w:rsid w:val="002B3C0F"/>
    <w:rsid w:val="002B4065"/>
    <w:rsid w:val="002B4CE2"/>
    <w:rsid w:val="002B568A"/>
    <w:rsid w:val="002B6C4B"/>
    <w:rsid w:val="002C0965"/>
    <w:rsid w:val="002C1284"/>
    <w:rsid w:val="002C136A"/>
    <w:rsid w:val="002C147D"/>
    <w:rsid w:val="002C1879"/>
    <w:rsid w:val="002C18FE"/>
    <w:rsid w:val="002C2020"/>
    <w:rsid w:val="002C238F"/>
    <w:rsid w:val="002C393C"/>
    <w:rsid w:val="002C3C6F"/>
    <w:rsid w:val="002C3EC7"/>
    <w:rsid w:val="002C4371"/>
    <w:rsid w:val="002C441F"/>
    <w:rsid w:val="002C4A76"/>
    <w:rsid w:val="002C594A"/>
    <w:rsid w:val="002C64FF"/>
    <w:rsid w:val="002C660C"/>
    <w:rsid w:val="002C6C69"/>
    <w:rsid w:val="002C7A36"/>
    <w:rsid w:val="002C7F62"/>
    <w:rsid w:val="002D0974"/>
    <w:rsid w:val="002D1034"/>
    <w:rsid w:val="002D137E"/>
    <w:rsid w:val="002D2A23"/>
    <w:rsid w:val="002D4783"/>
    <w:rsid w:val="002D4DCB"/>
    <w:rsid w:val="002D512E"/>
    <w:rsid w:val="002D61A5"/>
    <w:rsid w:val="002E003F"/>
    <w:rsid w:val="002E00D4"/>
    <w:rsid w:val="002E01FB"/>
    <w:rsid w:val="002E0529"/>
    <w:rsid w:val="002E0761"/>
    <w:rsid w:val="002E0F91"/>
    <w:rsid w:val="002E14F1"/>
    <w:rsid w:val="002E1AF5"/>
    <w:rsid w:val="002E1B04"/>
    <w:rsid w:val="002E20EB"/>
    <w:rsid w:val="002E2154"/>
    <w:rsid w:val="002E2CBC"/>
    <w:rsid w:val="002E2FA6"/>
    <w:rsid w:val="002E2FA9"/>
    <w:rsid w:val="002E2FDB"/>
    <w:rsid w:val="002E3287"/>
    <w:rsid w:val="002E38C2"/>
    <w:rsid w:val="002E3B77"/>
    <w:rsid w:val="002E4D97"/>
    <w:rsid w:val="002E4DC0"/>
    <w:rsid w:val="002E511F"/>
    <w:rsid w:val="002E529C"/>
    <w:rsid w:val="002E5810"/>
    <w:rsid w:val="002E5843"/>
    <w:rsid w:val="002E5E86"/>
    <w:rsid w:val="002E68D8"/>
    <w:rsid w:val="002E7472"/>
    <w:rsid w:val="002E7496"/>
    <w:rsid w:val="002E79EE"/>
    <w:rsid w:val="002E7B1E"/>
    <w:rsid w:val="002F00D9"/>
    <w:rsid w:val="002F05B6"/>
    <w:rsid w:val="002F113B"/>
    <w:rsid w:val="002F160A"/>
    <w:rsid w:val="002F3249"/>
    <w:rsid w:val="002F3756"/>
    <w:rsid w:val="002F37B8"/>
    <w:rsid w:val="002F3A18"/>
    <w:rsid w:val="002F4083"/>
    <w:rsid w:val="002F422A"/>
    <w:rsid w:val="002F4CD6"/>
    <w:rsid w:val="002F5033"/>
    <w:rsid w:val="002F5289"/>
    <w:rsid w:val="002F6926"/>
    <w:rsid w:val="002F6DD4"/>
    <w:rsid w:val="00302CFA"/>
    <w:rsid w:val="0030386F"/>
    <w:rsid w:val="0030602D"/>
    <w:rsid w:val="003075AB"/>
    <w:rsid w:val="00307C93"/>
    <w:rsid w:val="003114F8"/>
    <w:rsid w:val="00312861"/>
    <w:rsid w:val="003129C6"/>
    <w:rsid w:val="003136F0"/>
    <w:rsid w:val="00314DA9"/>
    <w:rsid w:val="00315120"/>
    <w:rsid w:val="00315E0D"/>
    <w:rsid w:val="003167C8"/>
    <w:rsid w:val="00316AF5"/>
    <w:rsid w:val="00316B2B"/>
    <w:rsid w:val="003177EC"/>
    <w:rsid w:val="00317A34"/>
    <w:rsid w:val="003206D7"/>
    <w:rsid w:val="00320D3E"/>
    <w:rsid w:val="00320E77"/>
    <w:rsid w:val="0032107A"/>
    <w:rsid w:val="003217A0"/>
    <w:rsid w:val="00321955"/>
    <w:rsid w:val="00321C4F"/>
    <w:rsid w:val="00322390"/>
    <w:rsid w:val="00322A04"/>
    <w:rsid w:val="00323167"/>
    <w:rsid w:val="00323800"/>
    <w:rsid w:val="0032620E"/>
    <w:rsid w:val="00326887"/>
    <w:rsid w:val="00326FC6"/>
    <w:rsid w:val="003301B5"/>
    <w:rsid w:val="00330F6A"/>
    <w:rsid w:val="003311D3"/>
    <w:rsid w:val="00331242"/>
    <w:rsid w:val="00331728"/>
    <w:rsid w:val="00331C2F"/>
    <w:rsid w:val="00331D50"/>
    <w:rsid w:val="00332626"/>
    <w:rsid w:val="00333B6C"/>
    <w:rsid w:val="00333BBC"/>
    <w:rsid w:val="003345A3"/>
    <w:rsid w:val="003361C1"/>
    <w:rsid w:val="00336358"/>
    <w:rsid w:val="0033661A"/>
    <w:rsid w:val="003367C5"/>
    <w:rsid w:val="00336BDE"/>
    <w:rsid w:val="003402FA"/>
    <w:rsid w:val="00340CA2"/>
    <w:rsid w:val="00345BBF"/>
    <w:rsid w:val="003468F2"/>
    <w:rsid w:val="00346CA5"/>
    <w:rsid w:val="00347099"/>
    <w:rsid w:val="003478F5"/>
    <w:rsid w:val="00350481"/>
    <w:rsid w:val="0035080E"/>
    <w:rsid w:val="0035089B"/>
    <w:rsid w:val="00350CCE"/>
    <w:rsid w:val="00351037"/>
    <w:rsid w:val="00351096"/>
    <w:rsid w:val="00351F2E"/>
    <w:rsid w:val="00352533"/>
    <w:rsid w:val="00352E07"/>
    <w:rsid w:val="00352EE5"/>
    <w:rsid w:val="00353190"/>
    <w:rsid w:val="003534E2"/>
    <w:rsid w:val="00353B94"/>
    <w:rsid w:val="00353D26"/>
    <w:rsid w:val="00353EC8"/>
    <w:rsid w:val="00353F4D"/>
    <w:rsid w:val="003541C4"/>
    <w:rsid w:val="00354DFF"/>
    <w:rsid w:val="00355386"/>
    <w:rsid w:val="0035545D"/>
    <w:rsid w:val="00355673"/>
    <w:rsid w:val="00355AFA"/>
    <w:rsid w:val="00360C46"/>
    <w:rsid w:val="00360D85"/>
    <w:rsid w:val="00360E0E"/>
    <w:rsid w:val="0036196D"/>
    <w:rsid w:val="00361DAF"/>
    <w:rsid w:val="0036267F"/>
    <w:rsid w:val="003627DB"/>
    <w:rsid w:val="003631BF"/>
    <w:rsid w:val="00363898"/>
    <w:rsid w:val="00364E67"/>
    <w:rsid w:val="0036559B"/>
    <w:rsid w:val="00365B62"/>
    <w:rsid w:val="003664DE"/>
    <w:rsid w:val="00366FE1"/>
    <w:rsid w:val="0036758D"/>
    <w:rsid w:val="00367D06"/>
    <w:rsid w:val="003704AD"/>
    <w:rsid w:val="003704E1"/>
    <w:rsid w:val="00370594"/>
    <w:rsid w:val="0037179A"/>
    <w:rsid w:val="00371FEC"/>
    <w:rsid w:val="0037267D"/>
    <w:rsid w:val="003728E5"/>
    <w:rsid w:val="0037295D"/>
    <w:rsid w:val="00373DC6"/>
    <w:rsid w:val="00375E31"/>
    <w:rsid w:val="00375FB9"/>
    <w:rsid w:val="0037640B"/>
    <w:rsid w:val="00376E22"/>
    <w:rsid w:val="00377285"/>
    <w:rsid w:val="00377738"/>
    <w:rsid w:val="00381CD2"/>
    <w:rsid w:val="0038350C"/>
    <w:rsid w:val="003837E0"/>
    <w:rsid w:val="00383B11"/>
    <w:rsid w:val="003847D3"/>
    <w:rsid w:val="0038506A"/>
    <w:rsid w:val="003852AB"/>
    <w:rsid w:val="00385591"/>
    <w:rsid w:val="0038578D"/>
    <w:rsid w:val="0038588B"/>
    <w:rsid w:val="00385DD2"/>
    <w:rsid w:val="00387AEB"/>
    <w:rsid w:val="0039088B"/>
    <w:rsid w:val="0039275E"/>
    <w:rsid w:val="00392954"/>
    <w:rsid w:val="00393235"/>
    <w:rsid w:val="0039372F"/>
    <w:rsid w:val="00393E2A"/>
    <w:rsid w:val="00394C91"/>
    <w:rsid w:val="00394D18"/>
    <w:rsid w:val="003972B3"/>
    <w:rsid w:val="003979B5"/>
    <w:rsid w:val="003A0683"/>
    <w:rsid w:val="003A0BDB"/>
    <w:rsid w:val="003A13E0"/>
    <w:rsid w:val="003A18EA"/>
    <w:rsid w:val="003A194A"/>
    <w:rsid w:val="003A2139"/>
    <w:rsid w:val="003A2316"/>
    <w:rsid w:val="003A2763"/>
    <w:rsid w:val="003A2BE0"/>
    <w:rsid w:val="003A3591"/>
    <w:rsid w:val="003A3BB3"/>
    <w:rsid w:val="003A6BF6"/>
    <w:rsid w:val="003A71B0"/>
    <w:rsid w:val="003A7DA1"/>
    <w:rsid w:val="003B004D"/>
    <w:rsid w:val="003B02EE"/>
    <w:rsid w:val="003B073B"/>
    <w:rsid w:val="003B199F"/>
    <w:rsid w:val="003B1C37"/>
    <w:rsid w:val="003B1D48"/>
    <w:rsid w:val="003B24B8"/>
    <w:rsid w:val="003B30DB"/>
    <w:rsid w:val="003B320A"/>
    <w:rsid w:val="003B33C7"/>
    <w:rsid w:val="003B3DDC"/>
    <w:rsid w:val="003B46C4"/>
    <w:rsid w:val="003B46EE"/>
    <w:rsid w:val="003B4AC9"/>
    <w:rsid w:val="003B4DEC"/>
    <w:rsid w:val="003B5971"/>
    <w:rsid w:val="003B5B1C"/>
    <w:rsid w:val="003B6246"/>
    <w:rsid w:val="003B6DD4"/>
    <w:rsid w:val="003B7591"/>
    <w:rsid w:val="003B7CB4"/>
    <w:rsid w:val="003C0180"/>
    <w:rsid w:val="003C0206"/>
    <w:rsid w:val="003C04B6"/>
    <w:rsid w:val="003C0C0C"/>
    <w:rsid w:val="003C0D59"/>
    <w:rsid w:val="003C0FC8"/>
    <w:rsid w:val="003C13D6"/>
    <w:rsid w:val="003C2D36"/>
    <w:rsid w:val="003C3723"/>
    <w:rsid w:val="003C4811"/>
    <w:rsid w:val="003C52F6"/>
    <w:rsid w:val="003C56B7"/>
    <w:rsid w:val="003C5B5F"/>
    <w:rsid w:val="003C63CF"/>
    <w:rsid w:val="003C66C1"/>
    <w:rsid w:val="003C76DE"/>
    <w:rsid w:val="003D0B16"/>
    <w:rsid w:val="003D0EAB"/>
    <w:rsid w:val="003D0F46"/>
    <w:rsid w:val="003D1086"/>
    <w:rsid w:val="003D2106"/>
    <w:rsid w:val="003D2798"/>
    <w:rsid w:val="003D2ADA"/>
    <w:rsid w:val="003D2EB6"/>
    <w:rsid w:val="003D310C"/>
    <w:rsid w:val="003D3944"/>
    <w:rsid w:val="003D4BA1"/>
    <w:rsid w:val="003D54D6"/>
    <w:rsid w:val="003D58D7"/>
    <w:rsid w:val="003D6516"/>
    <w:rsid w:val="003D6931"/>
    <w:rsid w:val="003D78EE"/>
    <w:rsid w:val="003D7B72"/>
    <w:rsid w:val="003E12FF"/>
    <w:rsid w:val="003E172A"/>
    <w:rsid w:val="003E2904"/>
    <w:rsid w:val="003E35D6"/>
    <w:rsid w:val="003E3E3B"/>
    <w:rsid w:val="003E519B"/>
    <w:rsid w:val="003E56E8"/>
    <w:rsid w:val="003E6946"/>
    <w:rsid w:val="003E7417"/>
    <w:rsid w:val="003E7C91"/>
    <w:rsid w:val="003F13BD"/>
    <w:rsid w:val="003F1FC0"/>
    <w:rsid w:val="003F2645"/>
    <w:rsid w:val="003F2910"/>
    <w:rsid w:val="003F29A9"/>
    <w:rsid w:val="003F2B41"/>
    <w:rsid w:val="003F2F07"/>
    <w:rsid w:val="003F2F3E"/>
    <w:rsid w:val="003F3216"/>
    <w:rsid w:val="003F3B9B"/>
    <w:rsid w:val="003F55CD"/>
    <w:rsid w:val="003F5F1B"/>
    <w:rsid w:val="003F6906"/>
    <w:rsid w:val="003F6E47"/>
    <w:rsid w:val="003F7265"/>
    <w:rsid w:val="004008E5"/>
    <w:rsid w:val="004009EC"/>
    <w:rsid w:val="00401280"/>
    <w:rsid w:val="00401C4B"/>
    <w:rsid w:val="004022AE"/>
    <w:rsid w:val="00403C78"/>
    <w:rsid w:val="004046EC"/>
    <w:rsid w:val="0040475F"/>
    <w:rsid w:val="00404E4D"/>
    <w:rsid w:val="00404EF3"/>
    <w:rsid w:val="00405464"/>
    <w:rsid w:val="0040612C"/>
    <w:rsid w:val="00406CF1"/>
    <w:rsid w:val="0041067D"/>
    <w:rsid w:val="00410B31"/>
    <w:rsid w:val="00410F69"/>
    <w:rsid w:val="0041109E"/>
    <w:rsid w:val="00411D14"/>
    <w:rsid w:val="00412021"/>
    <w:rsid w:val="00412325"/>
    <w:rsid w:val="00412512"/>
    <w:rsid w:val="0041286E"/>
    <w:rsid w:val="00412CE7"/>
    <w:rsid w:val="0041334D"/>
    <w:rsid w:val="00413427"/>
    <w:rsid w:val="00413C67"/>
    <w:rsid w:val="0041403D"/>
    <w:rsid w:val="0041496D"/>
    <w:rsid w:val="00414B66"/>
    <w:rsid w:val="00414C2D"/>
    <w:rsid w:val="004154C3"/>
    <w:rsid w:val="004157FD"/>
    <w:rsid w:val="00416157"/>
    <w:rsid w:val="004161EF"/>
    <w:rsid w:val="00416794"/>
    <w:rsid w:val="00416831"/>
    <w:rsid w:val="0042010B"/>
    <w:rsid w:val="00421253"/>
    <w:rsid w:val="004219ED"/>
    <w:rsid w:val="00421A55"/>
    <w:rsid w:val="00421D83"/>
    <w:rsid w:val="00422626"/>
    <w:rsid w:val="00423261"/>
    <w:rsid w:val="004236E0"/>
    <w:rsid w:val="00423C02"/>
    <w:rsid w:val="00424602"/>
    <w:rsid w:val="0042546D"/>
    <w:rsid w:val="00425504"/>
    <w:rsid w:val="00425EB9"/>
    <w:rsid w:val="004264A3"/>
    <w:rsid w:val="004267ED"/>
    <w:rsid w:val="00426F79"/>
    <w:rsid w:val="00427136"/>
    <w:rsid w:val="00427FD2"/>
    <w:rsid w:val="004302EE"/>
    <w:rsid w:val="00430751"/>
    <w:rsid w:val="004308AD"/>
    <w:rsid w:val="00430B7C"/>
    <w:rsid w:val="00430DBA"/>
    <w:rsid w:val="00430F59"/>
    <w:rsid w:val="00431198"/>
    <w:rsid w:val="004325F6"/>
    <w:rsid w:val="00433469"/>
    <w:rsid w:val="00433686"/>
    <w:rsid w:val="004342D5"/>
    <w:rsid w:val="00434603"/>
    <w:rsid w:val="00435429"/>
    <w:rsid w:val="00435F7F"/>
    <w:rsid w:val="004361AF"/>
    <w:rsid w:val="00436E1F"/>
    <w:rsid w:val="00436F45"/>
    <w:rsid w:val="00437C34"/>
    <w:rsid w:val="00437DDA"/>
    <w:rsid w:val="00437EE3"/>
    <w:rsid w:val="0044007F"/>
    <w:rsid w:val="00440CCB"/>
    <w:rsid w:val="0044100B"/>
    <w:rsid w:val="004415B6"/>
    <w:rsid w:val="00441A67"/>
    <w:rsid w:val="0044311B"/>
    <w:rsid w:val="00443414"/>
    <w:rsid w:val="00444FDB"/>
    <w:rsid w:val="004453FA"/>
    <w:rsid w:val="0044572B"/>
    <w:rsid w:val="00446EC6"/>
    <w:rsid w:val="004477A8"/>
    <w:rsid w:val="00450A0E"/>
    <w:rsid w:val="00451047"/>
    <w:rsid w:val="0045128D"/>
    <w:rsid w:val="00451759"/>
    <w:rsid w:val="00452233"/>
    <w:rsid w:val="00452489"/>
    <w:rsid w:val="00452598"/>
    <w:rsid w:val="0045286F"/>
    <w:rsid w:val="00452C43"/>
    <w:rsid w:val="00452D26"/>
    <w:rsid w:val="0045384F"/>
    <w:rsid w:val="00453EF5"/>
    <w:rsid w:val="004547DE"/>
    <w:rsid w:val="004551D7"/>
    <w:rsid w:val="00455AC0"/>
    <w:rsid w:val="00456E4B"/>
    <w:rsid w:val="004575B9"/>
    <w:rsid w:val="00457B48"/>
    <w:rsid w:val="00457C13"/>
    <w:rsid w:val="00460313"/>
    <w:rsid w:val="00462624"/>
    <w:rsid w:val="0046271F"/>
    <w:rsid w:val="0046274E"/>
    <w:rsid w:val="0046282D"/>
    <w:rsid w:val="00462BD6"/>
    <w:rsid w:val="004631C1"/>
    <w:rsid w:val="00463811"/>
    <w:rsid w:val="00463B64"/>
    <w:rsid w:val="004649E7"/>
    <w:rsid w:val="0046522F"/>
    <w:rsid w:val="00465533"/>
    <w:rsid w:val="00466508"/>
    <w:rsid w:val="004706F1"/>
    <w:rsid w:val="00472C8F"/>
    <w:rsid w:val="00472CBC"/>
    <w:rsid w:val="00473093"/>
    <w:rsid w:val="00473C72"/>
    <w:rsid w:val="004746C2"/>
    <w:rsid w:val="00474731"/>
    <w:rsid w:val="00474774"/>
    <w:rsid w:val="00475CAD"/>
    <w:rsid w:val="00475DC7"/>
    <w:rsid w:val="00476AA5"/>
    <w:rsid w:val="00480071"/>
    <w:rsid w:val="0048016B"/>
    <w:rsid w:val="0048154C"/>
    <w:rsid w:val="00481EF2"/>
    <w:rsid w:val="004828C7"/>
    <w:rsid w:val="004829CF"/>
    <w:rsid w:val="00482D23"/>
    <w:rsid w:val="004831C4"/>
    <w:rsid w:val="00484206"/>
    <w:rsid w:val="004842E7"/>
    <w:rsid w:val="0048432F"/>
    <w:rsid w:val="00485243"/>
    <w:rsid w:val="00486D93"/>
    <w:rsid w:val="004871CC"/>
    <w:rsid w:val="0048749D"/>
    <w:rsid w:val="00491401"/>
    <w:rsid w:val="00491809"/>
    <w:rsid w:val="004921E2"/>
    <w:rsid w:val="00492C0B"/>
    <w:rsid w:val="00492CC5"/>
    <w:rsid w:val="00493478"/>
    <w:rsid w:val="00494B47"/>
    <w:rsid w:val="00495052"/>
    <w:rsid w:val="00496ED6"/>
    <w:rsid w:val="004A0EC2"/>
    <w:rsid w:val="004A1130"/>
    <w:rsid w:val="004A1AD2"/>
    <w:rsid w:val="004A23F2"/>
    <w:rsid w:val="004A2CE4"/>
    <w:rsid w:val="004A2D00"/>
    <w:rsid w:val="004A39E9"/>
    <w:rsid w:val="004A3D5B"/>
    <w:rsid w:val="004A4735"/>
    <w:rsid w:val="004A4C4B"/>
    <w:rsid w:val="004A4EBE"/>
    <w:rsid w:val="004A4F7C"/>
    <w:rsid w:val="004A5196"/>
    <w:rsid w:val="004A56F5"/>
    <w:rsid w:val="004A5A07"/>
    <w:rsid w:val="004A5EA1"/>
    <w:rsid w:val="004A7D0C"/>
    <w:rsid w:val="004A7EC8"/>
    <w:rsid w:val="004B0042"/>
    <w:rsid w:val="004B009D"/>
    <w:rsid w:val="004B1504"/>
    <w:rsid w:val="004B28FC"/>
    <w:rsid w:val="004B2C67"/>
    <w:rsid w:val="004B36AE"/>
    <w:rsid w:val="004B386D"/>
    <w:rsid w:val="004B3B25"/>
    <w:rsid w:val="004B42BC"/>
    <w:rsid w:val="004B42E0"/>
    <w:rsid w:val="004B4C95"/>
    <w:rsid w:val="004B55E8"/>
    <w:rsid w:val="004B59D2"/>
    <w:rsid w:val="004B5A2C"/>
    <w:rsid w:val="004B6673"/>
    <w:rsid w:val="004B7BA5"/>
    <w:rsid w:val="004B7E1A"/>
    <w:rsid w:val="004C07F2"/>
    <w:rsid w:val="004C0DD2"/>
    <w:rsid w:val="004C0E25"/>
    <w:rsid w:val="004C1897"/>
    <w:rsid w:val="004C1A7F"/>
    <w:rsid w:val="004C439D"/>
    <w:rsid w:val="004C4FB3"/>
    <w:rsid w:val="004C60B7"/>
    <w:rsid w:val="004C6699"/>
    <w:rsid w:val="004C6FEC"/>
    <w:rsid w:val="004C7BFB"/>
    <w:rsid w:val="004D074F"/>
    <w:rsid w:val="004D2363"/>
    <w:rsid w:val="004D329C"/>
    <w:rsid w:val="004D342C"/>
    <w:rsid w:val="004D3D35"/>
    <w:rsid w:val="004D3D8C"/>
    <w:rsid w:val="004D3FE4"/>
    <w:rsid w:val="004D5E71"/>
    <w:rsid w:val="004D6321"/>
    <w:rsid w:val="004D6323"/>
    <w:rsid w:val="004D6B48"/>
    <w:rsid w:val="004D7331"/>
    <w:rsid w:val="004D7593"/>
    <w:rsid w:val="004D76C5"/>
    <w:rsid w:val="004D77BF"/>
    <w:rsid w:val="004D7831"/>
    <w:rsid w:val="004E0BFB"/>
    <w:rsid w:val="004E0F21"/>
    <w:rsid w:val="004E1A7B"/>
    <w:rsid w:val="004E1A80"/>
    <w:rsid w:val="004E28C2"/>
    <w:rsid w:val="004E304E"/>
    <w:rsid w:val="004E325D"/>
    <w:rsid w:val="004E3379"/>
    <w:rsid w:val="004E51FC"/>
    <w:rsid w:val="004E5899"/>
    <w:rsid w:val="004E5C3C"/>
    <w:rsid w:val="004E6BF0"/>
    <w:rsid w:val="004E71C6"/>
    <w:rsid w:val="004E782F"/>
    <w:rsid w:val="004F10F4"/>
    <w:rsid w:val="004F19FD"/>
    <w:rsid w:val="004F1C6F"/>
    <w:rsid w:val="004F26D0"/>
    <w:rsid w:val="004F4878"/>
    <w:rsid w:val="004F62EA"/>
    <w:rsid w:val="00500030"/>
    <w:rsid w:val="005001F1"/>
    <w:rsid w:val="00500281"/>
    <w:rsid w:val="005008A4"/>
    <w:rsid w:val="00501801"/>
    <w:rsid w:val="00501D34"/>
    <w:rsid w:val="0050206E"/>
    <w:rsid w:val="005021F9"/>
    <w:rsid w:val="00502799"/>
    <w:rsid w:val="005027B4"/>
    <w:rsid w:val="00502997"/>
    <w:rsid w:val="00503006"/>
    <w:rsid w:val="00503195"/>
    <w:rsid w:val="00503A32"/>
    <w:rsid w:val="00503BC8"/>
    <w:rsid w:val="00504117"/>
    <w:rsid w:val="005047E0"/>
    <w:rsid w:val="00505001"/>
    <w:rsid w:val="0050511C"/>
    <w:rsid w:val="005053E2"/>
    <w:rsid w:val="0050544A"/>
    <w:rsid w:val="00505F98"/>
    <w:rsid w:val="00505FA7"/>
    <w:rsid w:val="00506605"/>
    <w:rsid w:val="0050660F"/>
    <w:rsid w:val="005067EE"/>
    <w:rsid w:val="005068DC"/>
    <w:rsid w:val="00506E41"/>
    <w:rsid w:val="005071B2"/>
    <w:rsid w:val="00507934"/>
    <w:rsid w:val="0051234A"/>
    <w:rsid w:val="005135CF"/>
    <w:rsid w:val="005148F1"/>
    <w:rsid w:val="005149FA"/>
    <w:rsid w:val="0051503F"/>
    <w:rsid w:val="005155A9"/>
    <w:rsid w:val="00515A16"/>
    <w:rsid w:val="00515AD2"/>
    <w:rsid w:val="00516C7F"/>
    <w:rsid w:val="00516F9B"/>
    <w:rsid w:val="00517989"/>
    <w:rsid w:val="005206C4"/>
    <w:rsid w:val="00520713"/>
    <w:rsid w:val="0052205E"/>
    <w:rsid w:val="005220BD"/>
    <w:rsid w:val="00522239"/>
    <w:rsid w:val="0052300E"/>
    <w:rsid w:val="005240B2"/>
    <w:rsid w:val="005252E2"/>
    <w:rsid w:val="005254A2"/>
    <w:rsid w:val="005256B0"/>
    <w:rsid w:val="00525A60"/>
    <w:rsid w:val="00525C6C"/>
    <w:rsid w:val="00526587"/>
    <w:rsid w:val="00526AAF"/>
    <w:rsid w:val="00527299"/>
    <w:rsid w:val="00527B0E"/>
    <w:rsid w:val="00527B38"/>
    <w:rsid w:val="00530067"/>
    <w:rsid w:val="005304CB"/>
    <w:rsid w:val="0053083A"/>
    <w:rsid w:val="00530A5F"/>
    <w:rsid w:val="005343F1"/>
    <w:rsid w:val="00534551"/>
    <w:rsid w:val="0053481F"/>
    <w:rsid w:val="005378C0"/>
    <w:rsid w:val="00540505"/>
    <w:rsid w:val="00540F7F"/>
    <w:rsid w:val="0054113F"/>
    <w:rsid w:val="00541233"/>
    <w:rsid w:val="00541762"/>
    <w:rsid w:val="0054238F"/>
    <w:rsid w:val="00543772"/>
    <w:rsid w:val="00543AF3"/>
    <w:rsid w:val="00543D73"/>
    <w:rsid w:val="00545D6A"/>
    <w:rsid w:val="00545ED3"/>
    <w:rsid w:val="005470B8"/>
    <w:rsid w:val="005471A4"/>
    <w:rsid w:val="00547BC5"/>
    <w:rsid w:val="00547DE7"/>
    <w:rsid w:val="00547FF1"/>
    <w:rsid w:val="005504FD"/>
    <w:rsid w:val="005512E1"/>
    <w:rsid w:val="00551502"/>
    <w:rsid w:val="00553113"/>
    <w:rsid w:val="00554FDB"/>
    <w:rsid w:val="00556B03"/>
    <w:rsid w:val="00557336"/>
    <w:rsid w:val="00560044"/>
    <w:rsid w:val="00560B51"/>
    <w:rsid w:val="00560F58"/>
    <w:rsid w:val="00562944"/>
    <w:rsid w:val="00562A60"/>
    <w:rsid w:val="00562E9D"/>
    <w:rsid w:val="00564333"/>
    <w:rsid w:val="00565011"/>
    <w:rsid w:val="0056654A"/>
    <w:rsid w:val="005701E8"/>
    <w:rsid w:val="0057065E"/>
    <w:rsid w:val="00571200"/>
    <w:rsid w:val="005725D3"/>
    <w:rsid w:val="00573142"/>
    <w:rsid w:val="0057345A"/>
    <w:rsid w:val="005734A5"/>
    <w:rsid w:val="005746B4"/>
    <w:rsid w:val="00574DA8"/>
    <w:rsid w:val="00575763"/>
    <w:rsid w:val="0057634B"/>
    <w:rsid w:val="00576827"/>
    <w:rsid w:val="00576A3E"/>
    <w:rsid w:val="00577F34"/>
    <w:rsid w:val="00580BE1"/>
    <w:rsid w:val="00581788"/>
    <w:rsid w:val="00581E0B"/>
    <w:rsid w:val="00582750"/>
    <w:rsid w:val="00583574"/>
    <w:rsid w:val="00583602"/>
    <w:rsid w:val="00583E74"/>
    <w:rsid w:val="00584DDD"/>
    <w:rsid w:val="00585217"/>
    <w:rsid w:val="00585E97"/>
    <w:rsid w:val="0058606F"/>
    <w:rsid w:val="0058639D"/>
    <w:rsid w:val="005867B1"/>
    <w:rsid w:val="0058750C"/>
    <w:rsid w:val="00587D13"/>
    <w:rsid w:val="00590197"/>
    <w:rsid w:val="005905D5"/>
    <w:rsid w:val="00590869"/>
    <w:rsid w:val="00590BAF"/>
    <w:rsid w:val="00590DD6"/>
    <w:rsid w:val="00592A1C"/>
    <w:rsid w:val="00592E50"/>
    <w:rsid w:val="005932BA"/>
    <w:rsid w:val="00593D9B"/>
    <w:rsid w:val="0059466C"/>
    <w:rsid w:val="00594AAA"/>
    <w:rsid w:val="00595954"/>
    <w:rsid w:val="0059650C"/>
    <w:rsid w:val="0059717D"/>
    <w:rsid w:val="00597B72"/>
    <w:rsid w:val="00597DC6"/>
    <w:rsid w:val="00597E95"/>
    <w:rsid w:val="005A1E2E"/>
    <w:rsid w:val="005A2194"/>
    <w:rsid w:val="005A2702"/>
    <w:rsid w:val="005A2C4C"/>
    <w:rsid w:val="005A3CFE"/>
    <w:rsid w:val="005A6CC0"/>
    <w:rsid w:val="005A7929"/>
    <w:rsid w:val="005A7D32"/>
    <w:rsid w:val="005A7D57"/>
    <w:rsid w:val="005A7FDD"/>
    <w:rsid w:val="005B051F"/>
    <w:rsid w:val="005B0B96"/>
    <w:rsid w:val="005B0EB8"/>
    <w:rsid w:val="005B1956"/>
    <w:rsid w:val="005B2DAB"/>
    <w:rsid w:val="005B2DED"/>
    <w:rsid w:val="005B317C"/>
    <w:rsid w:val="005B41B3"/>
    <w:rsid w:val="005B46CF"/>
    <w:rsid w:val="005B4A6F"/>
    <w:rsid w:val="005B5B63"/>
    <w:rsid w:val="005B64CE"/>
    <w:rsid w:val="005B682A"/>
    <w:rsid w:val="005B6ECF"/>
    <w:rsid w:val="005B7611"/>
    <w:rsid w:val="005B7631"/>
    <w:rsid w:val="005C0690"/>
    <w:rsid w:val="005C0C50"/>
    <w:rsid w:val="005C27C6"/>
    <w:rsid w:val="005C28EE"/>
    <w:rsid w:val="005C2957"/>
    <w:rsid w:val="005C29BF"/>
    <w:rsid w:val="005C2DD9"/>
    <w:rsid w:val="005C3088"/>
    <w:rsid w:val="005C320B"/>
    <w:rsid w:val="005C371B"/>
    <w:rsid w:val="005C3826"/>
    <w:rsid w:val="005C3B13"/>
    <w:rsid w:val="005C440B"/>
    <w:rsid w:val="005C4A91"/>
    <w:rsid w:val="005C4D8C"/>
    <w:rsid w:val="005C734A"/>
    <w:rsid w:val="005C7661"/>
    <w:rsid w:val="005C7E2E"/>
    <w:rsid w:val="005D0894"/>
    <w:rsid w:val="005D0A3C"/>
    <w:rsid w:val="005D1463"/>
    <w:rsid w:val="005D2AB8"/>
    <w:rsid w:val="005D321F"/>
    <w:rsid w:val="005D32C9"/>
    <w:rsid w:val="005D4C77"/>
    <w:rsid w:val="005D4E15"/>
    <w:rsid w:val="005D53DF"/>
    <w:rsid w:val="005D6089"/>
    <w:rsid w:val="005D6A89"/>
    <w:rsid w:val="005D7D50"/>
    <w:rsid w:val="005E0303"/>
    <w:rsid w:val="005E0399"/>
    <w:rsid w:val="005E05AA"/>
    <w:rsid w:val="005E05D4"/>
    <w:rsid w:val="005E0EA7"/>
    <w:rsid w:val="005E10BA"/>
    <w:rsid w:val="005E1D83"/>
    <w:rsid w:val="005E2245"/>
    <w:rsid w:val="005E2C9B"/>
    <w:rsid w:val="005E2F1B"/>
    <w:rsid w:val="005E34D1"/>
    <w:rsid w:val="005E5ADE"/>
    <w:rsid w:val="005E6013"/>
    <w:rsid w:val="005E7330"/>
    <w:rsid w:val="005E74BF"/>
    <w:rsid w:val="005E750D"/>
    <w:rsid w:val="005E79FE"/>
    <w:rsid w:val="005E7A24"/>
    <w:rsid w:val="005E7AC1"/>
    <w:rsid w:val="005F0AE2"/>
    <w:rsid w:val="005F0BFF"/>
    <w:rsid w:val="005F17CE"/>
    <w:rsid w:val="005F17FC"/>
    <w:rsid w:val="005F3F19"/>
    <w:rsid w:val="005F3FBD"/>
    <w:rsid w:val="005F43FC"/>
    <w:rsid w:val="005F4B01"/>
    <w:rsid w:val="005F5403"/>
    <w:rsid w:val="005F545D"/>
    <w:rsid w:val="005F6159"/>
    <w:rsid w:val="005F66D1"/>
    <w:rsid w:val="005F676E"/>
    <w:rsid w:val="005F683B"/>
    <w:rsid w:val="005F69E4"/>
    <w:rsid w:val="006000D7"/>
    <w:rsid w:val="00600276"/>
    <w:rsid w:val="006007C1"/>
    <w:rsid w:val="006009A0"/>
    <w:rsid w:val="00600D0C"/>
    <w:rsid w:val="00601A5C"/>
    <w:rsid w:val="006027CD"/>
    <w:rsid w:val="00602CD4"/>
    <w:rsid w:val="00603C40"/>
    <w:rsid w:val="00604591"/>
    <w:rsid w:val="00604626"/>
    <w:rsid w:val="00607124"/>
    <w:rsid w:val="00607938"/>
    <w:rsid w:val="00607C02"/>
    <w:rsid w:val="0061018C"/>
    <w:rsid w:val="0061052B"/>
    <w:rsid w:val="0061067A"/>
    <w:rsid w:val="0061090E"/>
    <w:rsid w:val="00610B37"/>
    <w:rsid w:val="00610C9F"/>
    <w:rsid w:val="00612F17"/>
    <w:rsid w:val="006139AC"/>
    <w:rsid w:val="0061492E"/>
    <w:rsid w:val="006155F9"/>
    <w:rsid w:val="00615F44"/>
    <w:rsid w:val="006162A6"/>
    <w:rsid w:val="0061753B"/>
    <w:rsid w:val="00617728"/>
    <w:rsid w:val="00617814"/>
    <w:rsid w:val="00617DAF"/>
    <w:rsid w:val="006205AF"/>
    <w:rsid w:val="006207A0"/>
    <w:rsid w:val="00621119"/>
    <w:rsid w:val="0062111D"/>
    <w:rsid w:val="006214DE"/>
    <w:rsid w:val="0062172A"/>
    <w:rsid w:val="00621EB5"/>
    <w:rsid w:val="00622100"/>
    <w:rsid w:val="00622759"/>
    <w:rsid w:val="006241B3"/>
    <w:rsid w:val="006243F8"/>
    <w:rsid w:val="0062457E"/>
    <w:rsid w:val="006247F7"/>
    <w:rsid w:val="00624BF9"/>
    <w:rsid w:val="0062563D"/>
    <w:rsid w:val="00625CDE"/>
    <w:rsid w:val="00627C38"/>
    <w:rsid w:val="00627E31"/>
    <w:rsid w:val="00631032"/>
    <w:rsid w:val="00631283"/>
    <w:rsid w:val="006312EC"/>
    <w:rsid w:val="006319D2"/>
    <w:rsid w:val="00631B08"/>
    <w:rsid w:val="006322FC"/>
    <w:rsid w:val="00632424"/>
    <w:rsid w:val="00633EFC"/>
    <w:rsid w:val="006344C6"/>
    <w:rsid w:val="006346E0"/>
    <w:rsid w:val="00635887"/>
    <w:rsid w:val="006400BF"/>
    <w:rsid w:val="00640802"/>
    <w:rsid w:val="006420CC"/>
    <w:rsid w:val="0064235B"/>
    <w:rsid w:val="0064358F"/>
    <w:rsid w:val="00643807"/>
    <w:rsid w:val="006438D6"/>
    <w:rsid w:val="006439AB"/>
    <w:rsid w:val="0064468F"/>
    <w:rsid w:val="00644758"/>
    <w:rsid w:val="00645789"/>
    <w:rsid w:val="00645949"/>
    <w:rsid w:val="00645D1E"/>
    <w:rsid w:val="00646A5D"/>
    <w:rsid w:val="00646AC4"/>
    <w:rsid w:val="00646FDC"/>
    <w:rsid w:val="0064767D"/>
    <w:rsid w:val="00647876"/>
    <w:rsid w:val="00650825"/>
    <w:rsid w:val="00650E4B"/>
    <w:rsid w:val="00651142"/>
    <w:rsid w:val="00651EF7"/>
    <w:rsid w:val="006533F5"/>
    <w:rsid w:val="00654F58"/>
    <w:rsid w:val="006555D1"/>
    <w:rsid w:val="0065590C"/>
    <w:rsid w:val="0065715A"/>
    <w:rsid w:val="006574E0"/>
    <w:rsid w:val="006603B1"/>
    <w:rsid w:val="00660E9C"/>
    <w:rsid w:val="00660F00"/>
    <w:rsid w:val="0066182B"/>
    <w:rsid w:val="00661F38"/>
    <w:rsid w:val="0066224D"/>
    <w:rsid w:val="006633FB"/>
    <w:rsid w:val="006636D6"/>
    <w:rsid w:val="00664002"/>
    <w:rsid w:val="00664594"/>
    <w:rsid w:val="00665277"/>
    <w:rsid w:val="0066648E"/>
    <w:rsid w:val="0066757E"/>
    <w:rsid w:val="006675F0"/>
    <w:rsid w:val="00667A54"/>
    <w:rsid w:val="0067095B"/>
    <w:rsid w:val="00670C47"/>
    <w:rsid w:val="00670F12"/>
    <w:rsid w:val="00672A01"/>
    <w:rsid w:val="0067318A"/>
    <w:rsid w:val="00673A38"/>
    <w:rsid w:val="00674A63"/>
    <w:rsid w:val="00674DC4"/>
    <w:rsid w:val="00674F95"/>
    <w:rsid w:val="0067620F"/>
    <w:rsid w:val="006778BF"/>
    <w:rsid w:val="0068026C"/>
    <w:rsid w:val="00680AE5"/>
    <w:rsid w:val="006812EF"/>
    <w:rsid w:val="006813C6"/>
    <w:rsid w:val="0068193F"/>
    <w:rsid w:val="00681BA9"/>
    <w:rsid w:val="00682732"/>
    <w:rsid w:val="0068299D"/>
    <w:rsid w:val="006829A1"/>
    <w:rsid w:val="00682E4F"/>
    <w:rsid w:val="00683858"/>
    <w:rsid w:val="0068438A"/>
    <w:rsid w:val="00684991"/>
    <w:rsid w:val="00686088"/>
    <w:rsid w:val="00687AD0"/>
    <w:rsid w:val="00687BE1"/>
    <w:rsid w:val="006903B9"/>
    <w:rsid w:val="00691F35"/>
    <w:rsid w:val="00693228"/>
    <w:rsid w:val="00693A8C"/>
    <w:rsid w:val="00693EF9"/>
    <w:rsid w:val="006942AB"/>
    <w:rsid w:val="00694519"/>
    <w:rsid w:val="00694E70"/>
    <w:rsid w:val="00695135"/>
    <w:rsid w:val="00695352"/>
    <w:rsid w:val="00696117"/>
    <w:rsid w:val="0069642D"/>
    <w:rsid w:val="00696D6E"/>
    <w:rsid w:val="0069760B"/>
    <w:rsid w:val="006A02D4"/>
    <w:rsid w:val="006A10CD"/>
    <w:rsid w:val="006A19C0"/>
    <w:rsid w:val="006A19DC"/>
    <w:rsid w:val="006A1C53"/>
    <w:rsid w:val="006A2923"/>
    <w:rsid w:val="006A29F7"/>
    <w:rsid w:val="006A2F87"/>
    <w:rsid w:val="006A34DC"/>
    <w:rsid w:val="006A3A21"/>
    <w:rsid w:val="006A3A89"/>
    <w:rsid w:val="006A49E7"/>
    <w:rsid w:val="006A4B06"/>
    <w:rsid w:val="006A64D4"/>
    <w:rsid w:val="006A684E"/>
    <w:rsid w:val="006A6C43"/>
    <w:rsid w:val="006A7362"/>
    <w:rsid w:val="006A76BA"/>
    <w:rsid w:val="006B0773"/>
    <w:rsid w:val="006B0987"/>
    <w:rsid w:val="006B17E2"/>
    <w:rsid w:val="006B2136"/>
    <w:rsid w:val="006B302D"/>
    <w:rsid w:val="006B30D5"/>
    <w:rsid w:val="006B33B5"/>
    <w:rsid w:val="006B3C44"/>
    <w:rsid w:val="006B41CD"/>
    <w:rsid w:val="006B4229"/>
    <w:rsid w:val="006B4829"/>
    <w:rsid w:val="006B54DE"/>
    <w:rsid w:val="006B658B"/>
    <w:rsid w:val="006B6879"/>
    <w:rsid w:val="006B7C40"/>
    <w:rsid w:val="006C04C8"/>
    <w:rsid w:val="006C0500"/>
    <w:rsid w:val="006C06AC"/>
    <w:rsid w:val="006C1048"/>
    <w:rsid w:val="006C10BD"/>
    <w:rsid w:val="006C17B7"/>
    <w:rsid w:val="006C1832"/>
    <w:rsid w:val="006C26AA"/>
    <w:rsid w:val="006C2708"/>
    <w:rsid w:val="006C325E"/>
    <w:rsid w:val="006C36D8"/>
    <w:rsid w:val="006C3B7C"/>
    <w:rsid w:val="006C3D6B"/>
    <w:rsid w:val="006C6A94"/>
    <w:rsid w:val="006C6EAE"/>
    <w:rsid w:val="006D0A2B"/>
    <w:rsid w:val="006D0F96"/>
    <w:rsid w:val="006D1072"/>
    <w:rsid w:val="006D2306"/>
    <w:rsid w:val="006D328B"/>
    <w:rsid w:val="006D3437"/>
    <w:rsid w:val="006D4355"/>
    <w:rsid w:val="006D497B"/>
    <w:rsid w:val="006D4AA3"/>
    <w:rsid w:val="006D5B9C"/>
    <w:rsid w:val="006D60C5"/>
    <w:rsid w:val="006D7817"/>
    <w:rsid w:val="006E038C"/>
    <w:rsid w:val="006E0CCD"/>
    <w:rsid w:val="006E1564"/>
    <w:rsid w:val="006E2015"/>
    <w:rsid w:val="006E23AC"/>
    <w:rsid w:val="006E23B3"/>
    <w:rsid w:val="006E2794"/>
    <w:rsid w:val="006E2846"/>
    <w:rsid w:val="006E2FB3"/>
    <w:rsid w:val="006E37BB"/>
    <w:rsid w:val="006E3953"/>
    <w:rsid w:val="006E3CDA"/>
    <w:rsid w:val="006E4106"/>
    <w:rsid w:val="006E43B7"/>
    <w:rsid w:val="006E462D"/>
    <w:rsid w:val="006E4F70"/>
    <w:rsid w:val="006E558E"/>
    <w:rsid w:val="006E5E9F"/>
    <w:rsid w:val="006E619C"/>
    <w:rsid w:val="006E6291"/>
    <w:rsid w:val="006E6C19"/>
    <w:rsid w:val="006F0196"/>
    <w:rsid w:val="006F0C8A"/>
    <w:rsid w:val="006F193B"/>
    <w:rsid w:val="006F1D7C"/>
    <w:rsid w:val="006F212E"/>
    <w:rsid w:val="006F34E5"/>
    <w:rsid w:val="006F58AE"/>
    <w:rsid w:val="006F66E9"/>
    <w:rsid w:val="006F73B0"/>
    <w:rsid w:val="006F75A9"/>
    <w:rsid w:val="006F79B3"/>
    <w:rsid w:val="006F7CE9"/>
    <w:rsid w:val="006F7F1C"/>
    <w:rsid w:val="007000D1"/>
    <w:rsid w:val="0070122B"/>
    <w:rsid w:val="0070128F"/>
    <w:rsid w:val="00701408"/>
    <w:rsid w:val="00701B31"/>
    <w:rsid w:val="0070275E"/>
    <w:rsid w:val="00702DFE"/>
    <w:rsid w:val="00703D97"/>
    <w:rsid w:val="00704618"/>
    <w:rsid w:val="0070465B"/>
    <w:rsid w:val="00704677"/>
    <w:rsid w:val="007064A7"/>
    <w:rsid w:val="00706DFD"/>
    <w:rsid w:val="00707F85"/>
    <w:rsid w:val="007100EE"/>
    <w:rsid w:val="0071029D"/>
    <w:rsid w:val="00710B2E"/>
    <w:rsid w:val="00712158"/>
    <w:rsid w:val="00713C1E"/>
    <w:rsid w:val="00715104"/>
    <w:rsid w:val="00715368"/>
    <w:rsid w:val="00715C6F"/>
    <w:rsid w:val="00716082"/>
    <w:rsid w:val="007167C1"/>
    <w:rsid w:val="00717BBD"/>
    <w:rsid w:val="00717F16"/>
    <w:rsid w:val="007203BD"/>
    <w:rsid w:val="00720BAA"/>
    <w:rsid w:val="007215CE"/>
    <w:rsid w:val="00722B1D"/>
    <w:rsid w:val="0072338A"/>
    <w:rsid w:val="00723C4B"/>
    <w:rsid w:val="0072442C"/>
    <w:rsid w:val="00725D7D"/>
    <w:rsid w:val="007266D2"/>
    <w:rsid w:val="00726A85"/>
    <w:rsid w:val="0072746A"/>
    <w:rsid w:val="007304C6"/>
    <w:rsid w:val="00730F44"/>
    <w:rsid w:val="007310E1"/>
    <w:rsid w:val="007314DE"/>
    <w:rsid w:val="007317A0"/>
    <w:rsid w:val="0073192D"/>
    <w:rsid w:val="00731B35"/>
    <w:rsid w:val="007323A7"/>
    <w:rsid w:val="0073290E"/>
    <w:rsid w:val="00733903"/>
    <w:rsid w:val="007340DA"/>
    <w:rsid w:val="00734DD9"/>
    <w:rsid w:val="00735261"/>
    <w:rsid w:val="00735FD4"/>
    <w:rsid w:val="00737212"/>
    <w:rsid w:val="00737DBB"/>
    <w:rsid w:val="00740047"/>
    <w:rsid w:val="007401E4"/>
    <w:rsid w:val="0074061E"/>
    <w:rsid w:val="00740C78"/>
    <w:rsid w:val="00741E12"/>
    <w:rsid w:val="00742264"/>
    <w:rsid w:val="0074275F"/>
    <w:rsid w:val="00742BBF"/>
    <w:rsid w:val="00743666"/>
    <w:rsid w:val="0074396C"/>
    <w:rsid w:val="00745093"/>
    <w:rsid w:val="007451EC"/>
    <w:rsid w:val="00745B4E"/>
    <w:rsid w:val="00746724"/>
    <w:rsid w:val="00746E4A"/>
    <w:rsid w:val="00746EAA"/>
    <w:rsid w:val="00747B1B"/>
    <w:rsid w:val="00747FA0"/>
    <w:rsid w:val="007529DD"/>
    <w:rsid w:val="00754EEE"/>
    <w:rsid w:val="00755826"/>
    <w:rsid w:val="0075630A"/>
    <w:rsid w:val="00757136"/>
    <w:rsid w:val="007577E6"/>
    <w:rsid w:val="00757D39"/>
    <w:rsid w:val="007602CF"/>
    <w:rsid w:val="007604F4"/>
    <w:rsid w:val="00760A1F"/>
    <w:rsid w:val="00761098"/>
    <w:rsid w:val="007610B2"/>
    <w:rsid w:val="00761F8C"/>
    <w:rsid w:val="00761F9F"/>
    <w:rsid w:val="007621B1"/>
    <w:rsid w:val="0076257C"/>
    <w:rsid w:val="00762730"/>
    <w:rsid w:val="00764776"/>
    <w:rsid w:val="007647CF"/>
    <w:rsid w:val="0076491E"/>
    <w:rsid w:val="00764A0E"/>
    <w:rsid w:val="00764C1D"/>
    <w:rsid w:val="00766904"/>
    <w:rsid w:val="00766DAD"/>
    <w:rsid w:val="007700B8"/>
    <w:rsid w:val="0077179E"/>
    <w:rsid w:val="0077265C"/>
    <w:rsid w:val="007729C2"/>
    <w:rsid w:val="00773999"/>
    <w:rsid w:val="00773D34"/>
    <w:rsid w:val="00774614"/>
    <w:rsid w:val="00775589"/>
    <w:rsid w:val="007757EB"/>
    <w:rsid w:val="00776286"/>
    <w:rsid w:val="00776460"/>
    <w:rsid w:val="00777FA1"/>
    <w:rsid w:val="007816A8"/>
    <w:rsid w:val="0078241B"/>
    <w:rsid w:val="007826EE"/>
    <w:rsid w:val="00782A02"/>
    <w:rsid w:val="0078310D"/>
    <w:rsid w:val="00784FE2"/>
    <w:rsid w:val="00784FED"/>
    <w:rsid w:val="00785961"/>
    <w:rsid w:val="00785FDE"/>
    <w:rsid w:val="00786288"/>
    <w:rsid w:val="00786471"/>
    <w:rsid w:val="007868DF"/>
    <w:rsid w:val="007871CE"/>
    <w:rsid w:val="007875EE"/>
    <w:rsid w:val="007879C9"/>
    <w:rsid w:val="00792297"/>
    <w:rsid w:val="0079256F"/>
    <w:rsid w:val="007925A4"/>
    <w:rsid w:val="00792CD8"/>
    <w:rsid w:val="00792EB9"/>
    <w:rsid w:val="0079363E"/>
    <w:rsid w:val="007941C3"/>
    <w:rsid w:val="0079452A"/>
    <w:rsid w:val="00794CBF"/>
    <w:rsid w:val="007952D8"/>
    <w:rsid w:val="0079581F"/>
    <w:rsid w:val="00795EB3"/>
    <w:rsid w:val="0079753C"/>
    <w:rsid w:val="00797A68"/>
    <w:rsid w:val="007A0261"/>
    <w:rsid w:val="007A1130"/>
    <w:rsid w:val="007A178B"/>
    <w:rsid w:val="007A1D03"/>
    <w:rsid w:val="007A273B"/>
    <w:rsid w:val="007A2896"/>
    <w:rsid w:val="007A36C9"/>
    <w:rsid w:val="007A3969"/>
    <w:rsid w:val="007A4A28"/>
    <w:rsid w:val="007A4F17"/>
    <w:rsid w:val="007A4FCC"/>
    <w:rsid w:val="007A5A1E"/>
    <w:rsid w:val="007A5FF8"/>
    <w:rsid w:val="007A66A3"/>
    <w:rsid w:val="007A7D41"/>
    <w:rsid w:val="007B0F65"/>
    <w:rsid w:val="007B1342"/>
    <w:rsid w:val="007B2604"/>
    <w:rsid w:val="007B43BB"/>
    <w:rsid w:val="007B4D23"/>
    <w:rsid w:val="007B634C"/>
    <w:rsid w:val="007B6633"/>
    <w:rsid w:val="007B689C"/>
    <w:rsid w:val="007B6B84"/>
    <w:rsid w:val="007B6DB7"/>
    <w:rsid w:val="007B73F3"/>
    <w:rsid w:val="007B76C0"/>
    <w:rsid w:val="007B793E"/>
    <w:rsid w:val="007C06F6"/>
    <w:rsid w:val="007C0AC8"/>
    <w:rsid w:val="007C0E51"/>
    <w:rsid w:val="007C2382"/>
    <w:rsid w:val="007C24AF"/>
    <w:rsid w:val="007C2DBF"/>
    <w:rsid w:val="007C41B8"/>
    <w:rsid w:val="007C45BB"/>
    <w:rsid w:val="007C4A7B"/>
    <w:rsid w:val="007C5C7F"/>
    <w:rsid w:val="007C62D1"/>
    <w:rsid w:val="007C69A7"/>
    <w:rsid w:val="007C6A0B"/>
    <w:rsid w:val="007D09E1"/>
    <w:rsid w:val="007D3319"/>
    <w:rsid w:val="007D33B9"/>
    <w:rsid w:val="007D380A"/>
    <w:rsid w:val="007D3EBF"/>
    <w:rsid w:val="007D42C6"/>
    <w:rsid w:val="007D431B"/>
    <w:rsid w:val="007D4BA9"/>
    <w:rsid w:val="007D4CD5"/>
    <w:rsid w:val="007D6BAA"/>
    <w:rsid w:val="007D7566"/>
    <w:rsid w:val="007D76BC"/>
    <w:rsid w:val="007E04EB"/>
    <w:rsid w:val="007E0F2F"/>
    <w:rsid w:val="007E124D"/>
    <w:rsid w:val="007E2B41"/>
    <w:rsid w:val="007E2BEE"/>
    <w:rsid w:val="007E3013"/>
    <w:rsid w:val="007E448C"/>
    <w:rsid w:val="007E4695"/>
    <w:rsid w:val="007E4E53"/>
    <w:rsid w:val="007E5177"/>
    <w:rsid w:val="007E60F0"/>
    <w:rsid w:val="007E6D1F"/>
    <w:rsid w:val="007E7172"/>
    <w:rsid w:val="007E7366"/>
    <w:rsid w:val="007E7900"/>
    <w:rsid w:val="007F0300"/>
    <w:rsid w:val="007F06FE"/>
    <w:rsid w:val="007F1460"/>
    <w:rsid w:val="007F1732"/>
    <w:rsid w:val="007F256E"/>
    <w:rsid w:val="007F2B40"/>
    <w:rsid w:val="007F3511"/>
    <w:rsid w:val="007F3A5B"/>
    <w:rsid w:val="007F45A9"/>
    <w:rsid w:val="007F4E2A"/>
    <w:rsid w:val="007F535D"/>
    <w:rsid w:val="007F6F98"/>
    <w:rsid w:val="007F785A"/>
    <w:rsid w:val="00801AAC"/>
    <w:rsid w:val="0080237C"/>
    <w:rsid w:val="008036F0"/>
    <w:rsid w:val="008038D7"/>
    <w:rsid w:val="00803A65"/>
    <w:rsid w:val="00803B95"/>
    <w:rsid w:val="008041B7"/>
    <w:rsid w:val="008041C1"/>
    <w:rsid w:val="00804E3C"/>
    <w:rsid w:val="008055C8"/>
    <w:rsid w:val="00805622"/>
    <w:rsid w:val="00805624"/>
    <w:rsid w:val="0080600B"/>
    <w:rsid w:val="00806428"/>
    <w:rsid w:val="008069B7"/>
    <w:rsid w:val="0080700C"/>
    <w:rsid w:val="00807164"/>
    <w:rsid w:val="0081097D"/>
    <w:rsid w:val="00810D9D"/>
    <w:rsid w:val="00810FB0"/>
    <w:rsid w:val="00811FCC"/>
    <w:rsid w:val="00812057"/>
    <w:rsid w:val="00812B04"/>
    <w:rsid w:val="00814268"/>
    <w:rsid w:val="0081792D"/>
    <w:rsid w:val="00817D38"/>
    <w:rsid w:val="008200BA"/>
    <w:rsid w:val="00820906"/>
    <w:rsid w:val="00820FA9"/>
    <w:rsid w:val="00821A4E"/>
    <w:rsid w:val="008226DA"/>
    <w:rsid w:val="00822929"/>
    <w:rsid w:val="00822B58"/>
    <w:rsid w:val="00822C09"/>
    <w:rsid w:val="0082383A"/>
    <w:rsid w:val="00823EC9"/>
    <w:rsid w:val="00824939"/>
    <w:rsid w:val="008261B0"/>
    <w:rsid w:val="008261C2"/>
    <w:rsid w:val="00826C7E"/>
    <w:rsid w:val="00827740"/>
    <w:rsid w:val="0083077B"/>
    <w:rsid w:val="008309C4"/>
    <w:rsid w:val="0083102E"/>
    <w:rsid w:val="008317FB"/>
    <w:rsid w:val="00831E36"/>
    <w:rsid w:val="00832797"/>
    <w:rsid w:val="00832B11"/>
    <w:rsid w:val="00832ED1"/>
    <w:rsid w:val="00833736"/>
    <w:rsid w:val="0083387B"/>
    <w:rsid w:val="00833B7B"/>
    <w:rsid w:val="0083482E"/>
    <w:rsid w:val="00834C69"/>
    <w:rsid w:val="00834D20"/>
    <w:rsid w:val="00835A32"/>
    <w:rsid w:val="00836F9F"/>
    <w:rsid w:val="00837450"/>
    <w:rsid w:val="00837E9F"/>
    <w:rsid w:val="00837FF5"/>
    <w:rsid w:val="00840D5A"/>
    <w:rsid w:val="00841BD9"/>
    <w:rsid w:val="00841F3E"/>
    <w:rsid w:val="00843B71"/>
    <w:rsid w:val="00844941"/>
    <w:rsid w:val="00847817"/>
    <w:rsid w:val="00847ACA"/>
    <w:rsid w:val="00847B32"/>
    <w:rsid w:val="008507E9"/>
    <w:rsid w:val="00850E7A"/>
    <w:rsid w:val="00850F8E"/>
    <w:rsid w:val="008511C1"/>
    <w:rsid w:val="00851452"/>
    <w:rsid w:val="00853C52"/>
    <w:rsid w:val="008541F3"/>
    <w:rsid w:val="00854B51"/>
    <w:rsid w:val="00854BF6"/>
    <w:rsid w:val="00856DF7"/>
    <w:rsid w:val="00857131"/>
    <w:rsid w:val="008571A1"/>
    <w:rsid w:val="0085734B"/>
    <w:rsid w:val="00857D2A"/>
    <w:rsid w:val="00857E69"/>
    <w:rsid w:val="00860EB9"/>
    <w:rsid w:val="00861062"/>
    <w:rsid w:val="0086180F"/>
    <w:rsid w:val="00862BBD"/>
    <w:rsid w:val="00864203"/>
    <w:rsid w:val="00864840"/>
    <w:rsid w:val="008649DD"/>
    <w:rsid w:val="00866417"/>
    <w:rsid w:val="008666A0"/>
    <w:rsid w:val="00866A78"/>
    <w:rsid w:val="00867771"/>
    <w:rsid w:val="00867DA5"/>
    <w:rsid w:val="00870662"/>
    <w:rsid w:val="00871928"/>
    <w:rsid w:val="00871B98"/>
    <w:rsid w:val="00873248"/>
    <w:rsid w:val="00873CD7"/>
    <w:rsid w:val="00873DC6"/>
    <w:rsid w:val="008749D1"/>
    <w:rsid w:val="00875B0C"/>
    <w:rsid w:val="00875C05"/>
    <w:rsid w:val="00875C25"/>
    <w:rsid w:val="0087601A"/>
    <w:rsid w:val="00876319"/>
    <w:rsid w:val="008771D7"/>
    <w:rsid w:val="00877D35"/>
    <w:rsid w:val="00880426"/>
    <w:rsid w:val="00880D15"/>
    <w:rsid w:val="0088118B"/>
    <w:rsid w:val="00881A78"/>
    <w:rsid w:val="0088286C"/>
    <w:rsid w:val="00882D59"/>
    <w:rsid w:val="00883237"/>
    <w:rsid w:val="00884CE1"/>
    <w:rsid w:val="00884DEF"/>
    <w:rsid w:val="008851A9"/>
    <w:rsid w:val="00885F4A"/>
    <w:rsid w:val="00886029"/>
    <w:rsid w:val="008863CD"/>
    <w:rsid w:val="00886CE7"/>
    <w:rsid w:val="0088742F"/>
    <w:rsid w:val="00887615"/>
    <w:rsid w:val="00887800"/>
    <w:rsid w:val="00887D98"/>
    <w:rsid w:val="00887DB7"/>
    <w:rsid w:val="0089092A"/>
    <w:rsid w:val="008911E5"/>
    <w:rsid w:val="00891E08"/>
    <w:rsid w:val="008928D0"/>
    <w:rsid w:val="008935D6"/>
    <w:rsid w:val="00894072"/>
    <w:rsid w:val="008949D6"/>
    <w:rsid w:val="00896A24"/>
    <w:rsid w:val="00896BB7"/>
    <w:rsid w:val="0089760B"/>
    <w:rsid w:val="0089792C"/>
    <w:rsid w:val="008A0ACA"/>
    <w:rsid w:val="008A0CD8"/>
    <w:rsid w:val="008A0F24"/>
    <w:rsid w:val="008A126A"/>
    <w:rsid w:val="008A18DE"/>
    <w:rsid w:val="008A25E2"/>
    <w:rsid w:val="008A270E"/>
    <w:rsid w:val="008A3CA7"/>
    <w:rsid w:val="008A57BE"/>
    <w:rsid w:val="008A70C4"/>
    <w:rsid w:val="008A7308"/>
    <w:rsid w:val="008A743D"/>
    <w:rsid w:val="008A7A2B"/>
    <w:rsid w:val="008B0245"/>
    <w:rsid w:val="008B0672"/>
    <w:rsid w:val="008B0A25"/>
    <w:rsid w:val="008B1623"/>
    <w:rsid w:val="008B1990"/>
    <w:rsid w:val="008B199F"/>
    <w:rsid w:val="008B1C22"/>
    <w:rsid w:val="008B2129"/>
    <w:rsid w:val="008B2959"/>
    <w:rsid w:val="008B2CAE"/>
    <w:rsid w:val="008B2E65"/>
    <w:rsid w:val="008B4666"/>
    <w:rsid w:val="008B55EB"/>
    <w:rsid w:val="008B5865"/>
    <w:rsid w:val="008B5AAC"/>
    <w:rsid w:val="008B5B30"/>
    <w:rsid w:val="008B5C4D"/>
    <w:rsid w:val="008B60A8"/>
    <w:rsid w:val="008B60C8"/>
    <w:rsid w:val="008B6DD2"/>
    <w:rsid w:val="008B7E8B"/>
    <w:rsid w:val="008C0D5F"/>
    <w:rsid w:val="008C1266"/>
    <w:rsid w:val="008C2DBD"/>
    <w:rsid w:val="008C2E12"/>
    <w:rsid w:val="008C4175"/>
    <w:rsid w:val="008C47D2"/>
    <w:rsid w:val="008C4991"/>
    <w:rsid w:val="008C4E93"/>
    <w:rsid w:val="008C5044"/>
    <w:rsid w:val="008C5335"/>
    <w:rsid w:val="008C54B9"/>
    <w:rsid w:val="008C56F1"/>
    <w:rsid w:val="008C578A"/>
    <w:rsid w:val="008C5DA7"/>
    <w:rsid w:val="008C5DAB"/>
    <w:rsid w:val="008C6E12"/>
    <w:rsid w:val="008C7222"/>
    <w:rsid w:val="008D0539"/>
    <w:rsid w:val="008D0890"/>
    <w:rsid w:val="008D152D"/>
    <w:rsid w:val="008D16C2"/>
    <w:rsid w:val="008D1805"/>
    <w:rsid w:val="008D1C10"/>
    <w:rsid w:val="008D1FE8"/>
    <w:rsid w:val="008D245E"/>
    <w:rsid w:val="008D3117"/>
    <w:rsid w:val="008D3EE1"/>
    <w:rsid w:val="008D4A8D"/>
    <w:rsid w:val="008D5328"/>
    <w:rsid w:val="008D5D79"/>
    <w:rsid w:val="008E01E5"/>
    <w:rsid w:val="008E0225"/>
    <w:rsid w:val="008E2861"/>
    <w:rsid w:val="008E34D8"/>
    <w:rsid w:val="008E3A48"/>
    <w:rsid w:val="008E4217"/>
    <w:rsid w:val="008E4519"/>
    <w:rsid w:val="008E462E"/>
    <w:rsid w:val="008E49C3"/>
    <w:rsid w:val="008E4ED2"/>
    <w:rsid w:val="008E5FEA"/>
    <w:rsid w:val="008E6166"/>
    <w:rsid w:val="008E70E6"/>
    <w:rsid w:val="008F0B84"/>
    <w:rsid w:val="008F1AFD"/>
    <w:rsid w:val="008F214A"/>
    <w:rsid w:val="008F2632"/>
    <w:rsid w:val="008F5643"/>
    <w:rsid w:val="008F61F4"/>
    <w:rsid w:val="008F7C49"/>
    <w:rsid w:val="008F7E0E"/>
    <w:rsid w:val="008F7E22"/>
    <w:rsid w:val="009004C7"/>
    <w:rsid w:val="00900974"/>
    <w:rsid w:val="00900D0C"/>
    <w:rsid w:val="00901EFF"/>
    <w:rsid w:val="009022EB"/>
    <w:rsid w:val="00903072"/>
    <w:rsid w:val="00903265"/>
    <w:rsid w:val="009036F7"/>
    <w:rsid w:val="00903B8C"/>
    <w:rsid w:val="00903F22"/>
    <w:rsid w:val="0090502A"/>
    <w:rsid w:val="009062F5"/>
    <w:rsid w:val="00906542"/>
    <w:rsid w:val="0090675B"/>
    <w:rsid w:val="0090782E"/>
    <w:rsid w:val="00910163"/>
    <w:rsid w:val="0091037E"/>
    <w:rsid w:val="00910829"/>
    <w:rsid w:val="009112E5"/>
    <w:rsid w:val="00911D1A"/>
    <w:rsid w:val="00912210"/>
    <w:rsid w:val="00912F2F"/>
    <w:rsid w:val="009138D6"/>
    <w:rsid w:val="00913B0E"/>
    <w:rsid w:val="009142B9"/>
    <w:rsid w:val="0091433A"/>
    <w:rsid w:val="00914791"/>
    <w:rsid w:val="009149DA"/>
    <w:rsid w:val="00914F97"/>
    <w:rsid w:val="00914FAC"/>
    <w:rsid w:val="00915E41"/>
    <w:rsid w:val="00916314"/>
    <w:rsid w:val="0091690C"/>
    <w:rsid w:val="00916DAE"/>
    <w:rsid w:val="00917228"/>
    <w:rsid w:val="00917B56"/>
    <w:rsid w:val="00917C80"/>
    <w:rsid w:val="009207B0"/>
    <w:rsid w:val="009211D7"/>
    <w:rsid w:val="00921B67"/>
    <w:rsid w:val="009221A4"/>
    <w:rsid w:val="00922A64"/>
    <w:rsid w:val="00923551"/>
    <w:rsid w:val="009239F6"/>
    <w:rsid w:val="00924246"/>
    <w:rsid w:val="00925712"/>
    <w:rsid w:val="009258A7"/>
    <w:rsid w:val="00925B43"/>
    <w:rsid w:val="00925DD6"/>
    <w:rsid w:val="00925F2E"/>
    <w:rsid w:val="00926025"/>
    <w:rsid w:val="00926FA0"/>
    <w:rsid w:val="00930760"/>
    <w:rsid w:val="00931190"/>
    <w:rsid w:val="009328EC"/>
    <w:rsid w:val="00933380"/>
    <w:rsid w:val="009333C7"/>
    <w:rsid w:val="00935503"/>
    <w:rsid w:val="00935C2E"/>
    <w:rsid w:val="00936B64"/>
    <w:rsid w:val="00936BFD"/>
    <w:rsid w:val="00936C53"/>
    <w:rsid w:val="00937C63"/>
    <w:rsid w:val="00940EE3"/>
    <w:rsid w:val="00941D10"/>
    <w:rsid w:val="009422BE"/>
    <w:rsid w:val="00942E5F"/>
    <w:rsid w:val="0094305B"/>
    <w:rsid w:val="00943357"/>
    <w:rsid w:val="00943A0E"/>
    <w:rsid w:val="00943A74"/>
    <w:rsid w:val="00944A4A"/>
    <w:rsid w:val="0094514D"/>
    <w:rsid w:val="009464E8"/>
    <w:rsid w:val="009467BE"/>
    <w:rsid w:val="00946B3E"/>
    <w:rsid w:val="00946FEB"/>
    <w:rsid w:val="00947BB2"/>
    <w:rsid w:val="00950022"/>
    <w:rsid w:val="0095057F"/>
    <w:rsid w:val="00950AD5"/>
    <w:rsid w:val="00950C1C"/>
    <w:rsid w:val="009510BD"/>
    <w:rsid w:val="00951518"/>
    <w:rsid w:val="0095190D"/>
    <w:rsid w:val="009519EE"/>
    <w:rsid w:val="00951EBA"/>
    <w:rsid w:val="0095235E"/>
    <w:rsid w:val="009526B3"/>
    <w:rsid w:val="0095272C"/>
    <w:rsid w:val="00952F4E"/>
    <w:rsid w:val="00954364"/>
    <w:rsid w:val="009543D9"/>
    <w:rsid w:val="009543FF"/>
    <w:rsid w:val="0095479A"/>
    <w:rsid w:val="00955DF8"/>
    <w:rsid w:val="00956310"/>
    <w:rsid w:val="0095672B"/>
    <w:rsid w:val="00956A3F"/>
    <w:rsid w:val="009575BF"/>
    <w:rsid w:val="00957A6F"/>
    <w:rsid w:val="00957BBE"/>
    <w:rsid w:val="00960700"/>
    <w:rsid w:val="009607EC"/>
    <w:rsid w:val="0096097F"/>
    <w:rsid w:val="00960A21"/>
    <w:rsid w:val="00961749"/>
    <w:rsid w:val="009631A7"/>
    <w:rsid w:val="00963FC8"/>
    <w:rsid w:val="00964222"/>
    <w:rsid w:val="0096472F"/>
    <w:rsid w:val="00964A17"/>
    <w:rsid w:val="00966E89"/>
    <w:rsid w:val="00966F9B"/>
    <w:rsid w:val="00970DAB"/>
    <w:rsid w:val="00970EFF"/>
    <w:rsid w:val="009711CB"/>
    <w:rsid w:val="0097175E"/>
    <w:rsid w:val="009729DC"/>
    <w:rsid w:val="00973BF5"/>
    <w:rsid w:val="009741DC"/>
    <w:rsid w:val="00974569"/>
    <w:rsid w:val="009749EB"/>
    <w:rsid w:val="00975393"/>
    <w:rsid w:val="00975462"/>
    <w:rsid w:val="009755E2"/>
    <w:rsid w:val="009757E7"/>
    <w:rsid w:val="009765DB"/>
    <w:rsid w:val="00976A1F"/>
    <w:rsid w:val="0098240F"/>
    <w:rsid w:val="009838CF"/>
    <w:rsid w:val="00985367"/>
    <w:rsid w:val="00985E87"/>
    <w:rsid w:val="00986042"/>
    <w:rsid w:val="009864C4"/>
    <w:rsid w:val="00986B33"/>
    <w:rsid w:val="00987280"/>
    <w:rsid w:val="00987858"/>
    <w:rsid w:val="00987AD5"/>
    <w:rsid w:val="00987E5F"/>
    <w:rsid w:val="0099040C"/>
    <w:rsid w:val="0099152F"/>
    <w:rsid w:val="00991F68"/>
    <w:rsid w:val="00992800"/>
    <w:rsid w:val="0099286D"/>
    <w:rsid w:val="00992BC7"/>
    <w:rsid w:val="00992CFD"/>
    <w:rsid w:val="00992F24"/>
    <w:rsid w:val="00993105"/>
    <w:rsid w:val="00993582"/>
    <w:rsid w:val="0099375F"/>
    <w:rsid w:val="00993F0C"/>
    <w:rsid w:val="00994DBC"/>
    <w:rsid w:val="00995108"/>
    <w:rsid w:val="00995C3C"/>
    <w:rsid w:val="00995ED3"/>
    <w:rsid w:val="00996529"/>
    <w:rsid w:val="009A0285"/>
    <w:rsid w:val="009A1B0E"/>
    <w:rsid w:val="009A2326"/>
    <w:rsid w:val="009A2AF7"/>
    <w:rsid w:val="009A3148"/>
    <w:rsid w:val="009A32F5"/>
    <w:rsid w:val="009A4483"/>
    <w:rsid w:val="009A5851"/>
    <w:rsid w:val="009A5895"/>
    <w:rsid w:val="009A5E6A"/>
    <w:rsid w:val="009A7046"/>
    <w:rsid w:val="009A773B"/>
    <w:rsid w:val="009B09F2"/>
    <w:rsid w:val="009B0A7C"/>
    <w:rsid w:val="009B18E0"/>
    <w:rsid w:val="009B1A8C"/>
    <w:rsid w:val="009B1C5B"/>
    <w:rsid w:val="009B1CD1"/>
    <w:rsid w:val="009B1D1D"/>
    <w:rsid w:val="009B223E"/>
    <w:rsid w:val="009B2A40"/>
    <w:rsid w:val="009B2ADD"/>
    <w:rsid w:val="009B2C48"/>
    <w:rsid w:val="009B3997"/>
    <w:rsid w:val="009B44A4"/>
    <w:rsid w:val="009B46DB"/>
    <w:rsid w:val="009B5117"/>
    <w:rsid w:val="009B64A9"/>
    <w:rsid w:val="009B6EDB"/>
    <w:rsid w:val="009B7138"/>
    <w:rsid w:val="009B72FE"/>
    <w:rsid w:val="009B78F5"/>
    <w:rsid w:val="009C04D2"/>
    <w:rsid w:val="009C050E"/>
    <w:rsid w:val="009C1221"/>
    <w:rsid w:val="009C1CA9"/>
    <w:rsid w:val="009C2667"/>
    <w:rsid w:val="009C2EB8"/>
    <w:rsid w:val="009C54F8"/>
    <w:rsid w:val="009C6050"/>
    <w:rsid w:val="009C619C"/>
    <w:rsid w:val="009C665E"/>
    <w:rsid w:val="009C7745"/>
    <w:rsid w:val="009C7C2C"/>
    <w:rsid w:val="009D02AE"/>
    <w:rsid w:val="009D0C8E"/>
    <w:rsid w:val="009D0EEC"/>
    <w:rsid w:val="009D1E35"/>
    <w:rsid w:val="009D288B"/>
    <w:rsid w:val="009D3DF2"/>
    <w:rsid w:val="009D52AB"/>
    <w:rsid w:val="009D54E1"/>
    <w:rsid w:val="009D587C"/>
    <w:rsid w:val="009D65F2"/>
    <w:rsid w:val="009D68D3"/>
    <w:rsid w:val="009D6C42"/>
    <w:rsid w:val="009D6EDA"/>
    <w:rsid w:val="009D7122"/>
    <w:rsid w:val="009D75D3"/>
    <w:rsid w:val="009D77FC"/>
    <w:rsid w:val="009D79F5"/>
    <w:rsid w:val="009D7D53"/>
    <w:rsid w:val="009E112D"/>
    <w:rsid w:val="009E2FCE"/>
    <w:rsid w:val="009E35F5"/>
    <w:rsid w:val="009E3B6E"/>
    <w:rsid w:val="009E5DA4"/>
    <w:rsid w:val="009E633F"/>
    <w:rsid w:val="009E7108"/>
    <w:rsid w:val="009E7550"/>
    <w:rsid w:val="009E7651"/>
    <w:rsid w:val="009E77A8"/>
    <w:rsid w:val="009E77C0"/>
    <w:rsid w:val="009E7A94"/>
    <w:rsid w:val="009E7C9B"/>
    <w:rsid w:val="009E7FE7"/>
    <w:rsid w:val="009F0369"/>
    <w:rsid w:val="009F17F2"/>
    <w:rsid w:val="009F1DE5"/>
    <w:rsid w:val="009F2A35"/>
    <w:rsid w:val="009F2B74"/>
    <w:rsid w:val="009F3393"/>
    <w:rsid w:val="009F3806"/>
    <w:rsid w:val="009F66B8"/>
    <w:rsid w:val="00A01DD4"/>
    <w:rsid w:val="00A02414"/>
    <w:rsid w:val="00A02F11"/>
    <w:rsid w:val="00A04CF1"/>
    <w:rsid w:val="00A05050"/>
    <w:rsid w:val="00A054F0"/>
    <w:rsid w:val="00A064A3"/>
    <w:rsid w:val="00A065C9"/>
    <w:rsid w:val="00A10075"/>
    <w:rsid w:val="00A103F8"/>
    <w:rsid w:val="00A111DD"/>
    <w:rsid w:val="00A11FFE"/>
    <w:rsid w:val="00A12735"/>
    <w:rsid w:val="00A1294B"/>
    <w:rsid w:val="00A1331A"/>
    <w:rsid w:val="00A1394F"/>
    <w:rsid w:val="00A13F73"/>
    <w:rsid w:val="00A149F1"/>
    <w:rsid w:val="00A151D2"/>
    <w:rsid w:val="00A15998"/>
    <w:rsid w:val="00A1659E"/>
    <w:rsid w:val="00A16697"/>
    <w:rsid w:val="00A173D1"/>
    <w:rsid w:val="00A17441"/>
    <w:rsid w:val="00A1773F"/>
    <w:rsid w:val="00A17793"/>
    <w:rsid w:val="00A20546"/>
    <w:rsid w:val="00A21683"/>
    <w:rsid w:val="00A22D85"/>
    <w:rsid w:val="00A230DF"/>
    <w:rsid w:val="00A2345F"/>
    <w:rsid w:val="00A23883"/>
    <w:rsid w:val="00A24AC2"/>
    <w:rsid w:val="00A24AC7"/>
    <w:rsid w:val="00A26615"/>
    <w:rsid w:val="00A27539"/>
    <w:rsid w:val="00A27A8E"/>
    <w:rsid w:val="00A305AB"/>
    <w:rsid w:val="00A305BE"/>
    <w:rsid w:val="00A307B8"/>
    <w:rsid w:val="00A31111"/>
    <w:rsid w:val="00A31442"/>
    <w:rsid w:val="00A3165A"/>
    <w:rsid w:val="00A31D7B"/>
    <w:rsid w:val="00A32A0D"/>
    <w:rsid w:val="00A32A4A"/>
    <w:rsid w:val="00A335E2"/>
    <w:rsid w:val="00A336EA"/>
    <w:rsid w:val="00A3420A"/>
    <w:rsid w:val="00A347E3"/>
    <w:rsid w:val="00A349CB"/>
    <w:rsid w:val="00A35923"/>
    <w:rsid w:val="00A36125"/>
    <w:rsid w:val="00A36352"/>
    <w:rsid w:val="00A372E7"/>
    <w:rsid w:val="00A37336"/>
    <w:rsid w:val="00A3785D"/>
    <w:rsid w:val="00A40F97"/>
    <w:rsid w:val="00A4130C"/>
    <w:rsid w:val="00A41894"/>
    <w:rsid w:val="00A43A13"/>
    <w:rsid w:val="00A447C2"/>
    <w:rsid w:val="00A44A34"/>
    <w:rsid w:val="00A452F0"/>
    <w:rsid w:val="00A4613D"/>
    <w:rsid w:val="00A46322"/>
    <w:rsid w:val="00A46344"/>
    <w:rsid w:val="00A47BA9"/>
    <w:rsid w:val="00A5038A"/>
    <w:rsid w:val="00A52A1D"/>
    <w:rsid w:val="00A54073"/>
    <w:rsid w:val="00A56991"/>
    <w:rsid w:val="00A56D51"/>
    <w:rsid w:val="00A57162"/>
    <w:rsid w:val="00A574B8"/>
    <w:rsid w:val="00A60CCF"/>
    <w:rsid w:val="00A61E9F"/>
    <w:rsid w:val="00A624ED"/>
    <w:rsid w:val="00A624FE"/>
    <w:rsid w:val="00A6285A"/>
    <w:rsid w:val="00A62885"/>
    <w:rsid w:val="00A62887"/>
    <w:rsid w:val="00A629AF"/>
    <w:rsid w:val="00A63316"/>
    <w:rsid w:val="00A639E6"/>
    <w:rsid w:val="00A647CF"/>
    <w:rsid w:val="00A64ED7"/>
    <w:rsid w:val="00A70408"/>
    <w:rsid w:val="00A7062D"/>
    <w:rsid w:val="00A70769"/>
    <w:rsid w:val="00A719AB"/>
    <w:rsid w:val="00A71FD7"/>
    <w:rsid w:val="00A7237B"/>
    <w:rsid w:val="00A723BF"/>
    <w:rsid w:val="00A72A28"/>
    <w:rsid w:val="00A72B89"/>
    <w:rsid w:val="00A72C2A"/>
    <w:rsid w:val="00A73479"/>
    <w:rsid w:val="00A73DA4"/>
    <w:rsid w:val="00A74246"/>
    <w:rsid w:val="00A742BD"/>
    <w:rsid w:val="00A752D6"/>
    <w:rsid w:val="00A766A1"/>
    <w:rsid w:val="00A76906"/>
    <w:rsid w:val="00A76AC3"/>
    <w:rsid w:val="00A77409"/>
    <w:rsid w:val="00A776A1"/>
    <w:rsid w:val="00A77846"/>
    <w:rsid w:val="00A77966"/>
    <w:rsid w:val="00A802CF"/>
    <w:rsid w:val="00A80483"/>
    <w:rsid w:val="00A8119F"/>
    <w:rsid w:val="00A81648"/>
    <w:rsid w:val="00A81846"/>
    <w:rsid w:val="00A818ED"/>
    <w:rsid w:val="00A81922"/>
    <w:rsid w:val="00A820E0"/>
    <w:rsid w:val="00A8221E"/>
    <w:rsid w:val="00A82832"/>
    <w:rsid w:val="00A8340F"/>
    <w:rsid w:val="00A834CA"/>
    <w:rsid w:val="00A834E4"/>
    <w:rsid w:val="00A83A11"/>
    <w:rsid w:val="00A83A2A"/>
    <w:rsid w:val="00A83C54"/>
    <w:rsid w:val="00A84B56"/>
    <w:rsid w:val="00A85129"/>
    <w:rsid w:val="00A852EC"/>
    <w:rsid w:val="00A86026"/>
    <w:rsid w:val="00A86B44"/>
    <w:rsid w:val="00A8713B"/>
    <w:rsid w:val="00A873B0"/>
    <w:rsid w:val="00A87471"/>
    <w:rsid w:val="00A8767A"/>
    <w:rsid w:val="00A915C1"/>
    <w:rsid w:val="00A9176C"/>
    <w:rsid w:val="00A9190A"/>
    <w:rsid w:val="00A934C9"/>
    <w:rsid w:val="00A9386F"/>
    <w:rsid w:val="00A938AA"/>
    <w:rsid w:val="00A93B29"/>
    <w:rsid w:val="00A93D25"/>
    <w:rsid w:val="00A943BA"/>
    <w:rsid w:val="00A953B6"/>
    <w:rsid w:val="00A95E0B"/>
    <w:rsid w:val="00A95E68"/>
    <w:rsid w:val="00A96F03"/>
    <w:rsid w:val="00AA0BD6"/>
    <w:rsid w:val="00AA115C"/>
    <w:rsid w:val="00AA1642"/>
    <w:rsid w:val="00AA1687"/>
    <w:rsid w:val="00AA2943"/>
    <w:rsid w:val="00AA30F9"/>
    <w:rsid w:val="00AA3328"/>
    <w:rsid w:val="00AA3A26"/>
    <w:rsid w:val="00AA45CB"/>
    <w:rsid w:val="00AA5E71"/>
    <w:rsid w:val="00AA5EC5"/>
    <w:rsid w:val="00AA750C"/>
    <w:rsid w:val="00AA7A07"/>
    <w:rsid w:val="00AB1981"/>
    <w:rsid w:val="00AB392A"/>
    <w:rsid w:val="00AB3CCB"/>
    <w:rsid w:val="00AB5383"/>
    <w:rsid w:val="00AB5496"/>
    <w:rsid w:val="00AB55BF"/>
    <w:rsid w:val="00AB6346"/>
    <w:rsid w:val="00AB65B6"/>
    <w:rsid w:val="00AB6B77"/>
    <w:rsid w:val="00AB7295"/>
    <w:rsid w:val="00AB763A"/>
    <w:rsid w:val="00AB773B"/>
    <w:rsid w:val="00AB7888"/>
    <w:rsid w:val="00AC0024"/>
    <w:rsid w:val="00AC108A"/>
    <w:rsid w:val="00AC1665"/>
    <w:rsid w:val="00AC1F59"/>
    <w:rsid w:val="00AC207F"/>
    <w:rsid w:val="00AC25B6"/>
    <w:rsid w:val="00AC283D"/>
    <w:rsid w:val="00AC2943"/>
    <w:rsid w:val="00AC391B"/>
    <w:rsid w:val="00AC4E16"/>
    <w:rsid w:val="00AC50F1"/>
    <w:rsid w:val="00AC5A08"/>
    <w:rsid w:val="00AC5F7C"/>
    <w:rsid w:val="00AC6D47"/>
    <w:rsid w:val="00AC6E8A"/>
    <w:rsid w:val="00AC719D"/>
    <w:rsid w:val="00AD0106"/>
    <w:rsid w:val="00AD121B"/>
    <w:rsid w:val="00AD142C"/>
    <w:rsid w:val="00AD1E21"/>
    <w:rsid w:val="00AD21CF"/>
    <w:rsid w:val="00AD23DC"/>
    <w:rsid w:val="00AD2A5E"/>
    <w:rsid w:val="00AD2DAC"/>
    <w:rsid w:val="00AD3AEC"/>
    <w:rsid w:val="00AD3FA5"/>
    <w:rsid w:val="00AD426B"/>
    <w:rsid w:val="00AE05B3"/>
    <w:rsid w:val="00AE1298"/>
    <w:rsid w:val="00AE1C84"/>
    <w:rsid w:val="00AE20B4"/>
    <w:rsid w:val="00AE29DF"/>
    <w:rsid w:val="00AE2F80"/>
    <w:rsid w:val="00AE350C"/>
    <w:rsid w:val="00AE3850"/>
    <w:rsid w:val="00AE39CE"/>
    <w:rsid w:val="00AE3D43"/>
    <w:rsid w:val="00AE4959"/>
    <w:rsid w:val="00AE5F2D"/>
    <w:rsid w:val="00AE6E23"/>
    <w:rsid w:val="00AE7229"/>
    <w:rsid w:val="00AE743D"/>
    <w:rsid w:val="00AF0966"/>
    <w:rsid w:val="00AF0E60"/>
    <w:rsid w:val="00AF1AF7"/>
    <w:rsid w:val="00AF24FC"/>
    <w:rsid w:val="00AF2B4D"/>
    <w:rsid w:val="00AF31D2"/>
    <w:rsid w:val="00AF35D3"/>
    <w:rsid w:val="00AF4BBF"/>
    <w:rsid w:val="00AF62ED"/>
    <w:rsid w:val="00AF6483"/>
    <w:rsid w:val="00AF6F17"/>
    <w:rsid w:val="00AF767F"/>
    <w:rsid w:val="00B00A29"/>
    <w:rsid w:val="00B00B30"/>
    <w:rsid w:val="00B01719"/>
    <w:rsid w:val="00B01C6C"/>
    <w:rsid w:val="00B027AD"/>
    <w:rsid w:val="00B02FCD"/>
    <w:rsid w:val="00B03EBA"/>
    <w:rsid w:val="00B048BF"/>
    <w:rsid w:val="00B04FF3"/>
    <w:rsid w:val="00B05084"/>
    <w:rsid w:val="00B050E7"/>
    <w:rsid w:val="00B05BF0"/>
    <w:rsid w:val="00B05C45"/>
    <w:rsid w:val="00B05D97"/>
    <w:rsid w:val="00B06A2E"/>
    <w:rsid w:val="00B073A5"/>
    <w:rsid w:val="00B0748E"/>
    <w:rsid w:val="00B077BD"/>
    <w:rsid w:val="00B07DBF"/>
    <w:rsid w:val="00B10904"/>
    <w:rsid w:val="00B10B62"/>
    <w:rsid w:val="00B11845"/>
    <w:rsid w:val="00B11B06"/>
    <w:rsid w:val="00B12256"/>
    <w:rsid w:val="00B12375"/>
    <w:rsid w:val="00B12778"/>
    <w:rsid w:val="00B12A84"/>
    <w:rsid w:val="00B1458A"/>
    <w:rsid w:val="00B1466E"/>
    <w:rsid w:val="00B148D1"/>
    <w:rsid w:val="00B1624F"/>
    <w:rsid w:val="00B17850"/>
    <w:rsid w:val="00B179E6"/>
    <w:rsid w:val="00B17CC2"/>
    <w:rsid w:val="00B17DB5"/>
    <w:rsid w:val="00B20E11"/>
    <w:rsid w:val="00B211F9"/>
    <w:rsid w:val="00B21293"/>
    <w:rsid w:val="00B21EE4"/>
    <w:rsid w:val="00B21F37"/>
    <w:rsid w:val="00B22C94"/>
    <w:rsid w:val="00B23963"/>
    <w:rsid w:val="00B2440D"/>
    <w:rsid w:val="00B27D11"/>
    <w:rsid w:val="00B314DD"/>
    <w:rsid w:val="00B31890"/>
    <w:rsid w:val="00B322FA"/>
    <w:rsid w:val="00B32BF4"/>
    <w:rsid w:val="00B3301D"/>
    <w:rsid w:val="00B3308E"/>
    <w:rsid w:val="00B33230"/>
    <w:rsid w:val="00B3342F"/>
    <w:rsid w:val="00B336B8"/>
    <w:rsid w:val="00B33D5A"/>
    <w:rsid w:val="00B33E7D"/>
    <w:rsid w:val="00B33F86"/>
    <w:rsid w:val="00B344E0"/>
    <w:rsid w:val="00B349B9"/>
    <w:rsid w:val="00B34DA9"/>
    <w:rsid w:val="00B34E4B"/>
    <w:rsid w:val="00B351DB"/>
    <w:rsid w:val="00B35A34"/>
    <w:rsid w:val="00B35C4D"/>
    <w:rsid w:val="00B360FD"/>
    <w:rsid w:val="00B37A80"/>
    <w:rsid w:val="00B37EE4"/>
    <w:rsid w:val="00B37FFA"/>
    <w:rsid w:val="00B40646"/>
    <w:rsid w:val="00B40803"/>
    <w:rsid w:val="00B409F9"/>
    <w:rsid w:val="00B42ABE"/>
    <w:rsid w:val="00B42D7F"/>
    <w:rsid w:val="00B42D94"/>
    <w:rsid w:val="00B442C7"/>
    <w:rsid w:val="00B442DA"/>
    <w:rsid w:val="00B4443A"/>
    <w:rsid w:val="00B44671"/>
    <w:rsid w:val="00B44EA2"/>
    <w:rsid w:val="00B45207"/>
    <w:rsid w:val="00B458CF"/>
    <w:rsid w:val="00B462A4"/>
    <w:rsid w:val="00B462D0"/>
    <w:rsid w:val="00B47DBA"/>
    <w:rsid w:val="00B502E1"/>
    <w:rsid w:val="00B5067D"/>
    <w:rsid w:val="00B5111F"/>
    <w:rsid w:val="00B51600"/>
    <w:rsid w:val="00B51BDB"/>
    <w:rsid w:val="00B52A9E"/>
    <w:rsid w:val="00B53707"/>
    <w:rsid w:val="00B5387B"/>
    <w:rsid w:val="00B53BDB"/>
    <w:rsid w:val="00B54012"/>
    <w:rsid w:val="00B544D1"/>
    <w:rsid w:val="00B5473A"/>
    <w:rsid w:val="00B54FC5"/>
    <w:rsid w:val="00B55A37"/>
    <w:rsid w:val="00B5615D"/>
    <w:rsid w:val="00B5631C"/>
    <w:rsid w:val="00B567CC"/>
    <w:rsid w:val="00B57027"/>
    <w:rsid w:val="00B57AD5"/>
    <w:rsid w:val="00B60289"/>
    <w:rsid w:val="00B61373"/>
    <w:rsid w:val="00B616AF"/>
    <w:rsid w:val="00B61AF8"/>
    <w:rsid w:val="00B61FFA"/>
    <w:rsid w:val="00B62A58"/>
    <w:rsid w:val="00B62FA3"/>
    <w:rsid w:val="00B642C7"/>
    <w:rsid w:val="00B65062"/>
    <w:rsid w:val="00B6586B"/>
    <w:rsid w:val="00B670E2"/>
    <w:rsid w:val="00B6788E"/>
    <w:rsid w:val="00B70383"/>
    <w:rsid w:val="00B71626"/>
    <w:rsid w:val="00B73906"/>
    <w:rsid w:val="00B73D44"/>
    <w:rsid w:val="00B74BB5"/>
    <w:rsid w:val="00B75591"/>
    <w:rsid w:val="00B756A2"/>
    <w:rsid w:val="00B76A90"/>
    <w:rsid w:val="00B77108"/>
    <w:rsid w:val="00B77C12"/>
    <w:rsid w:val="00B800CA"/>
    <w:rsid w:val="00B80533"/>
    <w:rsid w:val="00B80B18"/>
    <w:rsid w:val="00B81744"/>
    <w:rsid w:val="00B81E1C"/>
    <w:rsid w:val="00B81E22"/>
    <w:rsid w:val="00B825E1"/>
    <w:rsid w:val="00B8287E"/>
    <w:rsid w:val="00B82D5E"/>
    <w:rsid w:val="00B836B3"/>
    <w:rsid w:val="00B83C37"/>
    <w:rsid w:val="00B83FC5"/>
    <w:rsid w:val="00B85698"/>
    <w:rsid w:val="00B8598F"/>
    <w:rsid w:val="00B8690C"/>
    <w:rsid w:val="00B86C65"/>
    <w:rsid w:val="00B86F7A"/>
    <w:rsid w:val="00B873EE"/>
    <w:rsid w:val="00B8753E"/>
    <w:rsid w:val="00B87A08"/>
    <w:rsid w:val="00B902AC"/>
    <w:rsid w:val="00B902BA"/>
    <w:rsid w:val="00B905C8"/>
    <w:rsid w:val="00B90ED4"/>
    <w:rsid w:val="00B9112E"/>
    <w:rsid w:val="00B91CBA"/>
    <w:rsid w:val="00B926A3"/>
    <w:rsid w:val="00B92E66"/>
    <w:rsid w:val="00B936A9"/>
    <w:rsid w:val="00B9384F"/>
    <w:rsid w:val="00B93F6C"/>
    <w:rsid w:val="00B96862"/>
    <w:rsid w:val="00B970A0"/>
    <w:rsid w:val="00B970F0"/>
    <w:rsid w:val="00BA0333"/>
    <w:rsid w:val="00BA1D19"/>
    <w:rsid w:val="00BA1DFF"/>
    <w:rsid w:val="00BA2131"/>
    <w:rsid w:val="00BA2143"/>
    <w:rsid w:val="00BA2ACE"/>
    <w:rsid w:val="00BA2E9F"/>
    <w:rsid w:val="00BA3709"/>
    <w:rsid w:val="00BA484C"/>
    <w:rsid w:val="00BA5680"/>
    <w:rsid w:val="00BA5B83"/>
    <w:rsid w:val="00BA677B"/>
    <w:rsid w:val="00BA67FD"/>
    <w:rsid w:val="00BA6EEC"/>
    <w:rsid w:val="00BA7B5C"/>
    <w:rsid w:val="00BB0BA5"/>
    <w:rsid w:val="00BB0F3B"/>
    <w:rsid w:val="00BB1302"/>
    <w:rsid w:val="00BB1E4B"/>
    <w:rsid w:val="00BB35C9"/>
    <w:rsid w:val="00BB37B9"/>
    <w:rsid w:val="00BB3805"/>
    <w:rsid w:val="00BB3ACA"/>
    <w:rsid w:val="00BB3C65"/>
    <w:rsid w:val="00BB4F65"/>
    <w:rsid w:val="00BB543A"/>
    <w:rsid w:val="00BB5AF9"/>
    <w:rsid w:val="00BB5E95"/>
    <w:rsid w:val="00BB6C61"/>
    <w:rsid w:val="00BB6C83"/>
    <w:rsid w:val="00BC0CF1"/>
    <w:rsid w:val="00BC2088"/>
    <w:rsid w:val="00BC231C"/>
    <w:rsid w:val="00BC2728"/>
    <w:rsid w:val="00BC2D37"/>
    <w:rsid w:val="00BC37DA"/>
    <w:rsid w:val="00BC37DE"/>
    <w:rsid w:val="00BC54A9"/>
    <w:rsid w:val="00BC5732"/>
    <w:rsid w:val="00BC63D6"/>
    <w:rsid w:val="00BC6AF2"/>
    <w:rsid w:val="00BC77FB"/>
    <w:rsid w:val="00BD0026"/>
    <w:rsid w:val="00BD0DAC"/>
    <w:rsid w:val="00BD0E14"/>
    <w:rsid w:val="00BD143C"/>
    <w:rsid w:val="00BD27AE"/>
    <w:rsid w:val="00BD28A7"/>
    <w:rsid w:val="00BD3497"/>
    <w:rsid w:val="00BD35E9"/>
    <w:rsid w:val="00BD4532"/>
    <w:rsid w:val="00BD4736"/>
    <w:rsid w:val="00BD4C6E"/>
    <w:rsid w:val="00BD5986"/>
    <w:rsid w:val="00BD5BD8"/>
    <w:rsid w:val="00BD613E"/>
    <w:rsid w:val="00BD6527"/>
    <w:rsid w:val="00BD6797"/>
    <w:rsid w:val="00BD7315"/>
    <w:rsid w:val="00BD7C28"/>
    <w:rsid w:val="00BD7E0D"/>
    <w:rsid w:val="00BD7F70"/>
    <w:rsid w:val="00BE0952"/>
    <w:rsid w:val="00BE246D"/>
    <w:rsid w:val="00BE2EF6"/>
    <w:rsid w:val="00BE3618"/>
    <w:rsid w:val="00BE361E"/>
    <w:rsid w:val="00BE3A58"/>
    <w:rsid w:val="00BE3B15"/>
    <w:rsid w:val="00BE444C"/>
    <w:rsid w:val="00BE4B34"/>
    <w:rsid w:val="00BE4CA7"/>
    <w:rsid w:val="00BE5882"/>
    <w:rsid w:val="00BE589E"/>
    <w:rsid w:val="00BE5BCF"/>
    <w:rsid w:val="00BE5E91"/>
    <w:rsid w:val="00BE6321"/>
    <w:rsid w:val="00BE691D"/>
    <w:rsid w:val="00BE6E83"/>
    <w:rsid w:val="00BE7A88"/>
    <w:rsid w:val="00BF10A7"/>
    <w:rsid w:val="00BF17AA"/>
    <w:rsid w:val="00BF1A46"/>
    <w:rsid w:val="00BF1ACD"/>
    <w:rsid w:val="00BF1C8C"/>
    <w:rsid w:val="00BF20F2"/>
    <w:rsid w:val="00BF2820"/>
    <w:rsid w:val="00BF2C9D"/>
    <w:rsid w:val="00BF34EB"/>
    <w:rsid w:val="00BF3B26"/>
    <w:rsid w:val="00BF3BF6"/>
    <w:rsid w:val="00BF48EB"/>
    <w:rsid w:val="00BF6BCF"/>
    <w:rsid w:val="00BF6DB9"/>
    <w:rsid w:val="00BF78C9"/>
    <w:rsid w:val="00C00015"/>
    <w:rsid w:val="00C00778"/>
    <w:rsid w:val="00C00FAB"/>
    <w:rsid w:val="00C0143D"/>
    <w:rsid w:val="00C01A57"/>
    <w:rsid w:val="00C01E2B"/>
    <w:rsid w:val="00C01E30"/>
    <w:rsid w:val="00C0216C"/>
    <w:rsid w:val="00C02E03"/>
    <w:rsid w:val="00C04096"/>
    <w:rsid w:val="00C04178"/>
    <w:rsid w:val="00C042E4"/>
    <w:rsid w:val="00C0435C"/>
    <w:rsid w:val="00C061DB"/>
    <w:rsid w:val="00C06A4B"/>
    <w:rsid w:val="00C06AA7"/>
    <w:rsid w:val="00C079F8"/>
    <w:rsid w:val="00C07B74"/>
    <w:rsid w:val="00C103D0"/>
    <w:rsid w:val="00C1057C"/>
    <w:rsid w:val="00C10FF5"/>
    <w:rsid w:val="00C12128"/>
    <w:rsid w:val="00C1363E"/>
    <w:rsid w:val="00C14153"/>
    <w:rsid w:val="00C146A7"/>
    <w:rsid w:val="00C14C66"/>
    <w:rsid w:val="00C15223"/>
    <w:rsid w:val="00C15930"/>
    <w:rsid w:val="00C15D18"/>
    <w:rsid w:val="00C162F3"/>
    <w:rsid w:val="00C164CD"/>
    <w:rsid w:val="00C169AE"/>
    <w:rsid w:val="00C16F83"/>
    <w:rsid w:val="00C17244"/>
    <w:rsid w:val="00C178A4"/>
    <w:rsid w:val="00C2033A"/>
    <w:rsid w:val="00C20452"/>
    <w:rsid w:val="00C20DCB"/>
    <w:rsid w:val="00C2266E"/>
    <w:rsid w:val="00C23344"/>
    <w:rsid w:val="00C236F9"/>
    <w:rsid w:val="00C23C98"/>
    <w:rsid w:val="00C24404"/>
    <w:rsid w:val="00C24556"/>
    <w:rsid w:val="00C250C0"/>
    <w:rsid w:val="00C25310"/>
    <w:rsid w:val="00C26357"/>
    <w:rsid w:val="00C27FC5"/>
    <w:rsid w:val="00C31077"/>
    <w:rsid w:val="00C3112D"/>
    <w:rsid w:val="00C322A9"/>
    <w:rsid w:val="00C3235D"/>
    <w:rsid w:val="00C32BA8"/>
    <w:rsid w:val="00C335E0"/>
    <w:rsid w:val="00C33A3C"/>
    <w:rsid w:val="00C33DE1"/>
    <w:rsid w:val="00C34094"/>
    <w:rsid w:val="00C34F5D"/>
    <w:rsid w:val="00C3517C"/>
    <w:rsid w:val="00C35595"/>
    <w:rsid w:val="00C35873"/>
    <w:rsid w:val="00C362D5"/>
    <w:rsid w:val="00C3670E"/>
    <w:rsid w:val="00C37188"/>
    <w:rsid w:val="00C40828"/>
    <w:rsid w:val="00C41037"/>
    <w:rsid w:val="00C4131C"/>
    <w:rsid w:val="00C43B46"/>
    <w:rsid w:val="00C43CEE"/>
    <w:rsid w:val="00C4413C"/>
    <w:rsid w:val="00C44991"/>
    <w:rsid w:val="00C453C8"/>
    <w:rsid w:val="00C453E8"/>
    <w:rsid w:val="00C456A4"/>
    <w:rsid w:val="00C46298"/>
    <w:rsid w:val="00C46B6D"/>
    <w:rsid w:val="00C47DA4"/>
    <w:rsid w:val="00C5014E"/>
    <w:rsid w:val="00C52B48"/>
    <w:rsid w:val="00C52CAC"/>
    <w:rsid w:val="00C538A8"/>
    <w:rsid w:val="00C555E7"/>
    <w:rsid w:val="00C56351"/>
    <w:rsid w:val="00C56C51"/>
    <w:rsid w:val="00C56CB6"/>
    <w:rsid w:val="00C56E2E"/>
    <w:rsid w:val="00C60087"/>
    <w:rsid w:val="00C61726"/>
    <w:rsid w:val="00C61ABF"/>
    <w:rsid w:val="00C61EB4"/>
    <w:rsid w:val="00C62136"/>
    <w:rsid w:val="00C63067"/>
    <w:rsid w:val="00C63389"/>
    <w:rsid w:val="00C63D38"/>
    <w:rsid w:val="00C63F04"/>
    <w:rsid w:val="00C64536"/>
    <w:rsid w:val="00C646F5"/>
    <w:rsid w:val="00C64B12"/>
    <w:rsid w:val="00C65030"/>
    <w:rsid w:val="00C65CDE"/>
    <w:rsid w:val="00C66074"/>
    <w:rsid w:val="00C6778D"/>
    <w:rsid w:val="00C679BA"/>
    <w:rsid w:val="00C726B3"/>
    <w:rsid w:val="00C73372"/>
    <w:rsid w:val="00C73AC8"/>
    <w:rsid w:val="00C73D7E"/>
    <w:rsid w:val="00C740D5"/>
    <w:rsid w:val="00C7441B"/>
    <w:rsid w:val="00C74FC4"/>
    <w:rsid w:val="00C75241"/>
    <w:rsid w:val="00C75768"/>
    <w:rsid w:val="00C7581D"/>
    <w:rsid w:val="00C75FF4"/>
    <w:rsid w:val="00C76C2F"/>
    <w:rsid w:val="00C77F42"/>
    <w:rsid w:val="00C805AB"/>
    <w:rsid w:val="00C80C62"/>
    <w:rsid w:val="00C81213"/>
    <w:rsid w:val="00C815D0"/>
    <w:rsid w:val="00C81D51"/>
    <w:rsid w:val="00C8265B"/>
    <w:rsid w:val="00C82AF0"/>
    <w:rsid w:val="00C82D89"/>
    <w:rsid w:val="00C83053"/>
    <w:rsid w:val="00C8331C"/>
    <w:rsid w:val="00C83408"/>
    <w:rsid w:val="00C83677"/>
    <w:rsid w:val="00C83872"/>
    <w:rsid w:val="00C838D1"/>
    <w:rsid w:val="00C84565"/>
    <w:rsid w:val="00C85438"/>
    <w:rsid w:val="00C85916"/>
    <w:rsid w:val="00C866D2"/>
    <w:rsid w:val="00C87270"/>
    <w:rsid w:val="00C875BC"/>
    <w:rsid w:val="00C90028"/>
    <w:rsid w:val="00C904FE"/>
    <w:rsid w:val="00C9083C"/>
    <w:rsid w:val="00C9117C"/>
    <w:rsid w:val="00C91C4C"/>
    <w:rsid w:val="00C92592"/>
    <w:rsid w:val="00C92AA4"/>
    <w:rsid w:val="00C93A0F"/>
    <w:rsid w:val="00C93ECA"/>
    <w:rsid w:val="00C93F82"/>
    <w:rsid w:val="00C94238"/>
    <w:rsid w:val="00C94A4B"/>
    <w:rsid w:val="00C96505"/>
    <w:rsid w:val="00C97102"/>
    <w:rsid w:val="00C9788E"/>
    <w:rsid w:val="00C97C0D"/>
    <w:rsid w:val="00C97FC3"/>
    <w:rsid w:val="00CA025B"/>
    <w:rsid w:val="00CA0AD0"/>
    <w:rsid w:val="00CA152A"/>
    <w:rsid w:val="00CA1C95"/>
    <w:rsid w:val="00CA1F01"/>
    <w:rsid w:val="00CA1F91"/>
    <w:rsid w:val="00CA1F9F"/>
    <w:rsid w:val="00CA2083"/>
    <w:rsid w:val="00CA2F22"/>
    <w:rsid w:val="00CA3A6D"/>
    <w:rsid w:val="00CA53E9"/>
    <w:rsid w:val="00CA5939"/>
    <w:rsid w:val="00CA5D37"/>
    <w:rsid w:val="00CA6CF7"/>
    <w:rsid w:val="00CA767D"/>
    <w:rsid w:val="00CA7B0E"/>
    <w:rsid w:val="00CB0AF2"/>
    <w:rsid w:val="00CB1294"/>
    <w:rsid w:val="00CB1433"/>
    <w:rsid w:val="00CB1DAF"/>
    <w:rsid w:val="00CB24A4"/>
    <w:rsid w:val="00CB24C4"/>
    <w:rsid w:val="00CB27D3"/>
    <w:rsid w:val="00CB2C1B"/>
    <w:rsid w:val="00CB2E61"/>
    <w:rsid w:val="00CB3292"/>
    <w:rsid w:val="00CB355F"/>
    <w:rsid w:val="00CB3FD3"/>
    <w:rsid w:val="00CB4BE2"/>
    <w:rsid w:val="00CB5A3A"/>
    <w:rsid w:val="00CB68B3"/>
    <w:rsid w:val="00CB6F01"/>
    <w:rsid w:val="00CB7396"/>
    <w:rsid w:val="00CB7BF5"/>
    <w:rsid w:val="00CB7C81"/>
    <w:rsid w:val="00CB7CA8"/>
    <w:rsid w:val="00CC0B3D"/>
    <w:rsid w:val="00CC1041"/>
    <w:rsid w:val="00CC4A41"/>
    <w:rsid w:val="00CC55AE"/>
    <w:rsid w:val="00CC5A64"/>
    <w:rsid w:val="00CC5DEC"/>
    <w:rsid w:val="00CC6C86"/>
    <w:rsid w:val="00CC6F62"/>
    <w:rsid w:val="00CD0190"/>
    <w:rsid w:val="00CD0492"/>
    <w:rsid w:val="00CD05AB"/>
    <w:rsid w:val="00CD1049"/>
    <w:rsid w:val="00CD2A51"/>
    <w:rsid w:val="00CD2E23"/>
    <w:rsid w:val="00CD3D0C"/>
    <w:rsid w:val="00CD406A"/>
    <w:rsid w:val="00CD4826"/>
    <w:rsid w:val="00CD4DF4"/>
    <w:rsid w:val="00CD5072"/>
    <w:rsid w:val="00CD52E3"/>
    <w:rsid w:val="00CD5B6B"/>
    <w:rsid w:val="00CD6D7C"/>
    <w:rsid w:val="00CD6DF1"/>
    <w:rsid w:val="00CE013E"/>
    <w:rsid w:val="00CE07D7"/>
    <w:rsid w:val="00CE1367"/>
    <w:rsid w:val="00CE1E2A"/>
    <w:rsid w:val="00CE27DC"/>
    <w:rsid w:val="00CE2896"/>
    <w:rsid w:val="00CE2AC6"/>
    <w:rsid w:val="00CE49AC"/>
    <w:rsid w:val="00CE4A17"/>
    <w:rsid w:val="00CE4BA6"/>
    <w:rsid w:val="00CE4CBD"/>
    <w:rsid w:val="00CE5E91"/>
    <w:rsid w:val="00CE6765"/>
    <w:rsid w:val="00CE6E01"/>
    <w:rsid w:val="00CE710B"/>
    <w:rsid w:val="00CE7211"/>
    <w:rsid w:val="00CE77A5"/>
    <w:rsid w:val="00CF00A3"/>
    <w:rsid w:val="00CF1571"/>
    <w:rsid w:val="00CF1A55"/>
    <w:rsid w:val="00CF2200"/>
    <w:rsid w:val="00CF2755"/>
    <w:rsid w:val="00CF293E"/>
    <w:rsid w:val="00CF2CEA"/>
    <w:rsid w:val="00CF3A45"/>
    <w:rsid w:val="00CF450E"/>
    <w:rsid w:val="00CF511E"/>
    <w:rsid w:val="00CF53CF"/>
    <w:rsid w:val="00CF60B9"/>
    <w:rsid w:val="00CF69B9"/>
    <w:rsid w:val="00CF70A0"/>
    <w:rsid w:val="00CF74F6"/>
    <w:rsid w:val="00CF782B"/>
    <w:rsid w:val="00D02B0E"/>
    <w:rsid w:val="00D031A8"/>
    <w:rsid w:val="00D032E5"/>
    <w:rsid w:val="00D043BF"/>
    <w:rsid w:val="00D05B94"/>
    <w:rsid w:val="00D1007D"/>
    <w:rsid w:val="00D10433"/>
    <w:rsid w:val="00D10C1B"/>
    <w:rsid w:val="00D10D03"/>
    <w:rsid w:val="00D1104B"/>
    <w:rsid w:val="00D115CC"/>
    <w:rsid w:val="00D11651"/>
    <w:rsid w:val="00D117A7"/>
    <w:rsid w:val="00D136A5"/>
    <w:rsid w:val="00D14131"/>
    <w:rsid w:val="00D149A5"/>
    <w:rsid w:val="00D15AB9"/>
    <w:rsid w:val="00D15DDE"/>
    <w:rsid w:val="00D15EE5"/>
    <w:rsid w:val="00D1600E"/>
    <w:rsid w:val="00D161C2"/>
    <w:rsid w:val="00D16234"/>
    <w:rsid w:val="00D17077"/>
    <w:rsid w:val="00D175B6"/>
    <w:rsid w:val="00D220F9"/>
    <w:rsid w:val="00D2217F"/>
    <w:rsid w:val="00D2221C"/>
    <w:rsid w:val="00D22B3D"/>
    <w:rsid w:val="00D22D25"/>
    <w:rsid w:val="00D23AF8"/>
    <w:rsid w:val="00D24532"/>
    <w:rsid w:val="00D24677"/>
    <w:rsid w:val="00D24718"/>
    <w:rsid w:val="00D24FDE"/>
    <w:rsid w:val="00D253D0"/>
    <w:rsid w:val="00D255EB"/>
    <w:rsid w:val="00D25E0B"/>
    <w:rsid w:val="00D264B5"/>
    <w:rsid w:val="00D27564"/>
    <w:rsid w:val="00D277A5"/>
    <w:rsid w:val="00D30E86"/>
    <w:rsid w:val="00D30E97"/>
    <w:rsid w:val="00D31034"/>
    <w:rsid w:val="00D31E8B"/>
    <w:rsid w:val="00D323DB"/>
    <w:rsid w:val="00D3374A"/>
    <w:rsid w:val="00D33F75"/>
    <w:rsid w:val="00D346F9"/>
    <w:rsid w:val="00D34982"/>
    <w:rsid w:val="00D34E37"/>
    <w:rsid w:val="00D35511"/>
    <w:rsid w:val="00D35537"/>
    <w:rsid w:val="00D368F2"/>
    <w:rsid w:val="00D370B8"/>
    <w:rsid w:val="00D37FBD"/>
    <w:rsid w:val="00D4043C"/>
    <w:rsid w:val="00D409EB"/>
    <w:rsid w:val="00D41AA9"/>
    <w:rsid w:val="00D41EDB"/>
    <w:rsid w:val="00D42F16"/>
    <w:rsid w:val="00D432B4"/>
    <w:rsid w:val="00D4358F"/>
    <w:rsid w:val="00D4363B"/>
    <w:rsid w:val="00D44AF0"/>
    <w:rsid w:val="00D456A7"/>
    <w:rsid w:val="00D45761"/>
    <w:rsid w:val="00D458B9"/>
    <w:rsid w:val="00D4690E"/>
    <w:rsid w:val="00D46D74"/>
    <w:rsid w:val="00D471AA"/>
    <w:rsid w:val="00D505EC"/>
    <w:rsid w:val="00D506C6"/>
    <w:rsid w:val="00D50827"/>
    <w:rsid w:val="00D510FC"/>
    <w:rsid w:val="00D511EC"/>
    <w:rsid w:val="00D514E7"/>
    <w:rsid w:val="00D51D51"/>
    <w:rsid w:val="00D51E08"/>
    <w:rsid w:val="00D5244E"/>
    <w:rsid w:val="00D525A1"/>
    <w:rsid w:val="00D5291D"/>
    <w:rsid w:val="00D52989"/>
    <w:rsid w:val="00D52EF1"/>
    <w:rsid w:val="00D5308A"/>
    <w:rsid w:val="00D53F19"/>
    <w:rsid w:val="00D541A4"/>
    <w:rsid w:val="00D54AA1"/>
    <w:rsid w:val="00D552DF"/>
    <w:rsid w:val="00D55AAE"/>
    <w:rsid w:val="00D55D70"/>
    <w:rsid w:val="00D56B72"/>
    <w:rsid w:val="00D56F33"/>
    <w:rsid w:val="00D57021"/>
    <w:rsid w:val="00D572AA"/>
    <w:rsid w:val="00D57E8C"/>
    <w:rsid w:val="00D6034B"/>
    <w:rsid w:val="00D606BF"/>
    <w:rsid w:val="00D60A5D"/>
    <w:rsid w:val="00D6306D"/>
    <w:rsid w:val="00D63E2F"/>
    <w:rsid w:val="00D6497D"/>
    <w:rsid w:val="00D6624C"/>
    <w:rsid w:val="00D66E07"/>
    <w:rsid w:val="00D670D7"/>
    <w:rsid w:val="00D6719E"/>
    <w:rsid w:val="00D672A7"/>
    <w:rsid w:val="00D67F2D"/>
    <w:rsid w:val="00D706F8"/>
    <w:rsid w:val="00D71821"/>
    <w:rsid w:val="00D7182D"/>
    <w:rsid w:val="00D71A7F"/>
    <w:rsid w:val="00D7211E"/>
    <w:rsid w:val="00D7326E"/>
    <w:rsid w:val="00D7348E"/>
    <w:rsid w:val="00D73719"/>
    <w:rsid w:val="00D74612"/>
    <w:rsid w:val="00D74921"/>
    <w:rsid w:val="00D74D4B"/>
    <w:rsid w:val="00D751EE"/>
    <w:rsid w:val="00D759D1"/>
    <w:rsid w:val="00D75B09"/>
    <w:rsid w:val="00D75E7C"/>
    <w:rsid w:val="00D76371"/>
    <w:rsid w:val="00D778E0"/>
    <w:rsid w:val="00D803D3"/>
    <w:rsid w:val="00D8094C"/>
    <w:rsid w:val="00D8094F"/>
    <w:rsid w:val="00D81004"/>
    <w:rsid w:val="00D81D97"/>
    <w:rsid w:val="00D82346"/>
    <w:rsid w:val="00D82CF9"/>
    <w:rsid w:val="00D82F84"/>
    <w:rsid w:val="00D836ED"/>
    <w:rsid w:val="00D8397F"/>
    <w:rsid w:val="00D8463F"/>
    <w:rsid w:val="00D84814"/>
    <w:rsid w:val="00D85163"/>
    <w:rsid w:val="00D852B0"/>
    <w:rsid w:val="00D853EA"/>
    <w:rsid w:val="00D85D92"/>
    <w:rsid w:val="00D863D0"/>
    <w:rsid w:val="00D86CED"/>
    <w:rsid w:val="00D86EBC"/>
    <w:rsid w:val="00D87077"/>
    <w:rsid w:val="00D87095"/>
    <w:rsid w:val="00D8791C"/>
    <w:rsid w:val="00D91298"/>
    <w:rsid w:val="00D91FBC"/>
    <w:rsid w:val="00D928BA"/>
    <w:rsid w:val="00D9373E"/>
    <w:rsid w:val="00D9388D"/>
    <w:rsid w:val="00D9398D"/>
    <w:rsid w:val="00D9400B"/>
    <w:rsid w:val="00D947E9"/>
    <w:rsid w:val="00D94A13"/>
    <w:rsid w:val="00D95C2D"/>
    <w:rsid w:val="00D95EAE"/>
    <w:rsid w:val="00D961E6"/>
    <w:rsid w:val="00D977F9"/>
    <w:rsid w:val="00D97C35"/>
    <w:rsid w:val="00DA02FE"/>
    <w:rsid w:val="00DA16B9"/>
    <w:rsid w:val="00DA199F"/>
    <w:rsid w:val="00DA1A29"/>
    <w:rsid w:val="00DA2D60"/>
    <w:rsid w:val="00DA51D0"/>
    <w:rsid w:val="00DA5416"/>
    <w:rsid w:val="00DA5B3E"/>
    <w:rsid w:val="00DB053E"/>
    <w:rsid w:val="00DB07A1"/>
    <w:rsid w:val="00DB183C"/>
    <w:rsid w:val="00DB22A0"/>
    <w:rsid w:val="00DB2604"/>
    <w:rsid w:val="00DB2E9F"/>
    <w:rsid w:val="00DB3559"/>
    <w:rsid w:val="00DB3DAF"/>
    <w:rsid w:val="00DB3E38"/>
    <w:rsid w:val="00DB3E97"/>
    <w:rsid w:val="00DB4D66"/>
    <w:rsid w:val="00DB530D"/>
    <w:rsid w:val="00DB57C6"/>
    <w:rsid w:val="00DB64F0"/>
    <w:rsid w:val="00DB754F"/>
    <w:rsid w:val="00DB7CA0"/>
    <w:rsid w:val="00DC0E5A"/>
    <w:rsid w:val="00DC18DC"/>
    <w:rsid w:val="00DC2380"/>
    <w:rsid w:val="00DC2760"/>
    <w:rsid w:val="00DC2FA8"/>
    <w:rsid w:val="00DC31F8"/>
    <w:rsid w:val="00DC51F1"/>
    <w:rsid w:val="00DC77B4"/>
    <w:rsid w:val="00DC7A51"/>
    <w:rsid w:val="00DC7C45"/>
    <w:rsid w:val="00DD0948"/>
    <w:rsid w:val="00DD22ED"/>
    <w:rsid w:val="00DD29E5"/>
    <w:rsid w:val="00DD2C6E"/>
    <w:rsid w:val="00DD2ECA"/>
    <w:rsid w:val="00DD4D33"/>
    <w:rsid w:val="00DD5DED"/>
    <w:rsid w:val="00DD5EEE"/>
    <w:rsid w:val="00DD602D"/>
    <w:rsid w:val="00DD6242"/>
    <w:rsid w:val="00DD6551"/>
    <w:rsid w:val="00DD6FAD"/>
    <w:rsid w:val="00DD7303"/>
    <w:rsid w:val="00DD754E"/>
    <w:rsid w:val="00DE0BB2"/>
    <w:rsid w:val="00DE0F31"/>
    <w:rsid w:val="00DE0F55"/>
    <w:rsid w:val="00DE11BF"/>
    <w:rsid w:val="00DE144D"/>
    <w:rsid w:val="00DE19A0"/>
    <w:rsid w:val="00DE265F"/>
    <w:rsid w:val="00DE2E33"/>
    <w:rsid w:val="00DE4176"/>
    <w:rsid w:val="00DE4D94"/>
    <w:rsid w:val="00DE4EAA"/>
    <w:rsid w:val="00DE53D4"/>
    <w:rsid w:val="00DE630C"/>
    <w:rsid w:val="00DE6352"/>
    <w:rsid w:val="00DE7249"/>
    <w:rsid w:val="00DF02FB"/>
    <w:rsid w:val="00DF04B4"/>
    <w:rsid w:val="00DF0CB8"/>
    <w:rsid w:val="00DF20D2"/>
    <w:rsid w:val="00DF3812"/>
    <w:rsid w:val="00DF3873"/>
    <w:rsid w:val="00DF48FC"/>
    <w:rsid w:val="00DF5292"/>
    <w:rsid w:val="00DF77D5"/>
    <w:rsid w:val="00E002C6"/>
    <w:rsid w:val="00E01235"/>
    <w:rsid w:val="00E029EC"/>
    <w:rsid w:val="00E029F2"/>
    <w:rsid w:val="00E02B9E"/>
    <w:rsid w:val="00E02BC6"/>
    <w:rsid w:val="00E036EE"/>
    <w:rsid w:val="00E03703"/>
    <w:rsid w:val="00E0399C"/>
    <w:rsid w:val="00E04F07"/>
    <w:rsid w:val="00E06225"/>
    <w:rsid w:val="00E07178"/>
    <w:rsid w:val="00E075E8"/>
    <w:rsid w:val="00E07ACC"/>
    <w:rsid w:val="00E07CCD"/>
    <w:rsid w:val="00E10743"/>
    <w:rsid w:val="00E10F31"/>
    <w:rsid w:val="00E11388"/>
    <w:rsid w:val="00E12948"/>
    <w:rsid w:val="00E13156"/>
    <w:rsid w:val="00E13454"/>
    <w:rsid w:val="00E13D68"/>
    <w:rsid w:val="00E14473"/>
    <w:rsid w:val="00E14D8A"/>
    <w:rsid w:val="00E1527C"/>
    <w:rsid w:val="00E155D3"/>
    <w:rsid w:val="00E159FC"/>
    <w:rsid w:val="00E16449"/>
    <w:rsid w:val="00E1711B"/>
    <w:rsid w:val="00E177B1"/>
    <w:rsid w:val="00E17A3B"/>
    <w:rsid w:val="00E17AB9"/>
    <w:rsid w:val="00E22FE9"/>
    <w:rsid w:val="00E23186"/>
    <w:rsid w:val="00E23433"/>
    <w:rsid w:val="00E23FE1"/>
    <w:rsid w:val="00E24038"/>
    <w:rsid w:val="00E24287"/>
    <w:rsid w:val="00E24656"/>
    <w:rsid w:val="00E24A7F"/>
    <w:rsid w:val="00E259B0"/>
    <w:rsid w:val="00E25CC9"/>
    <w:rsid w:val="00E2717E"/>
    <w:rsid w:val="00E2738F"/>
    <w:rsid w:val="00E27EB8"/>
    <w:rsid w:val="00E3172F"/>
    <w:rsid w:val="00E31D93"/>
    <w:rsid w:val="00E3269B"/>
    <w:rsid w:val="00E3478C"/>
    <w:rsid w:val="00E358AA"/>
    <w:rsid w:val="00E35C24"/>
    <w:rsid w:val="00E36441"/>
    <w:rsid w:val="00E37AB3"/>
    <w:rsid w:val="00E37BC4"/>
    <w:rsid w:val="00E40097"/>
    <w:rsid w:val="00E4047D"/>
    <w:rsid w:val="00E405F2"/>
    <w:rsid w:val="00E40FA6"/>
    <w:rsid w:val="00E41362"/>
    <w:rsid w:val="00E41867"/>
    <w:rsid w:val="00E42FED"/>
    <w:rsid w:val="00E430E9"/>
    <w:rsid w:val="00E454D9"/>
    <w:rsid w:val="00E45E45"/>
    <w:rsid w:val="00E46020"/>
    <w:rsid w:val="00E46185"/>
    <w:rsid w:val="00E464DB"/>
    <w:rsid w:val="00E4670C"/>
    <w:rsid w:val="00E47961"/>
    <w:rsid w:val="00E47EB6"/>
    <w:rsid w:val="00E5025A"/>
    <w:rsid w:val="00E50523"/>
    <w:rsid w:val="00E50A51"/>
    <w:rsid w:val="00E5176F"/>
    <w:rsid w:val="00E53619"/>
    <w:rsid w:val="00E54007"/>
    <w:rsid w:val="00E5443F"/>
    <w:rsid w:val="00E546B0"/>
    <w:rsid w:val="00E5476B"/>
    <w:rsid w:val="00E54969"/>
    <w:rsid w:val="00E54BB3"/>
    <w:rsid w:val="00E55286"/>
    <w:rsid w:val="00E55EEC"/>
    <w:rsid w:val="00E57380"/>
    <w:rsid w:val="00E600AF"/>
    <w:rsid w:val="00E61528"/>
    <w:rsid w:val="00E61AA0"/>
    <w:rsid w:val="00E6363A"/>
    <w:rsid w:val="00E637A4"/>
    <w:rsid w:val="00E64310"/>
    <w:rsid w:val="00E64477"/>
    <w:rsid w:val="00E657E1"/>
    <w:rsid w:val="00E6608B"/>
    <w:rsid w:val="00E660FF"/>
    <w:rsid w:val="00E6679C"/>
    <w:rsid w:val="00E66864"/>
    <w:rsid w:val="00E674D1"/>
    <w:rsid w:val="00E67B9B"/>
    <w:rsid w:val="00E70224"/>
    <w:rsid w:val="00E706DE"/>
    <w:rsid w:val="00E70758"/>
    <w:rsid w:val="00E70BE7"/>
    <w:rsid w:val="00E71853"/>
    <w:rsid w:val="00E71DA1"/>
    <w:rsid w:val="00E738D8"/>
    <w:rsid w:val="00E73EB7"/>
    <w:rsid w:val="00E73FEC"/>
    <w:rsid w:val="00E742A6"/>
    <w:rsid w:val="00E7457E"/>
    <w:rsid w:val="00E74A76"/>
    <w:rsid w:val="00E75131"/>
    <w:rsid w:val="00E76048"/>
    <w:rsid w:val="00E76A03"/>
    <w:rsid w:val="00E778D6"/>
    <w:rsid w:val="00E80086"/>
    <w:rsid w:val="00E800A3"/>
    <w:rsid w:val="00E80274"/>
    <w:rsid w:val="00E805AA"/>
    <w:rsid w:val="00E80ACC"/>
    <w:rsid w:val="00E80BE0"/>
    <w:rsid w:val="00E815A8"/>
    <w:rsid w:val="00E8240B"/>
    <w:rsid w:val="00E8372D"/>
    <w:rsid w:val="00E83E76"/>
    <w:rsid w:val="00E84542"/>
    <w:rsid w:val="00E849D6"/>
    <w:rsid w:val="00E84C5A"/>
    <w:rsid w:val="00E84E61"/>
    <w:rsid w:val="00E8511C"/>
    <w:rsid w:val="00E85828"/>
    <w:rsid w:val="00E85AB4"/>
    <w:rsid w:val="00E85C23"/>
    <w:rsid w:val="00E85FB7"/>
    <w:rsid w:val="00E86B62"/>
    <w:rsid w:val="00E87792"/>
    <w:rsid w:val="00E90687"/>
    <w:rsid w:val="00E90E6D"/>
    <w:rsid w:val="00E919A7"/>
    <w:rsid w:val="00E92125"/>
    <w:rsid w:val="00E927FC"/>
    <w:rsid w:val="00E92CE8"/>
    <w:rsid w:val="00E92EA1"/>
    <w:rsid w:val="00E93779"/>
    <w:rsid w:val="00E9403F"/>
    <w:rsid w:val="00E94341"/>
    <w:rsid w:val="00E94722"/>
    <w:rsid w:val="00E96A47"/>
    <w:rsid w:val="00E96C27"/>
    <w:rsid w:val="00E96CA4"/>
    <w:rsid w:val="00E9713E"/>
    <w:rsid w:val="00E97F25"/>
    <w:rsid w:val="00E97F2E"/>
    <w:rsid w:val="00EA01C6"/>
    <w:rsid w:val="00EA040B"/>
    <w:rsid w:val="00EA10DD"/>
    <w:rsid w:val="00EA13E3"/>
    <w:rsid w:val="00EA212B"/>
    <w:rsid w:val="00EA2A51"/>
    <w:rsid w:val="00EA2FC6"/>
    <w:rsid w:val="00EA3A95"/>
    <w:rsid w:val="00EA3BF8"/>
    <w:rsid w:val="00EA45D2"/>
    <w:rsid w:val="00EA570B"/>
    <w:rsid w:val="00EA6D74"/>
    <w:rsid w:val="00EA76A0"/>
    <w:rsid w:val="00EA79F7"/>
    <w:rsid w:val="00EA7CB8"/>
    <w:rsid w:val="00EB02CB"/>
    <w:rsid w:val="00EB0323"/>
    <w:rsid w:val="00EB04D7"/>
    <w:rsid w:val="00EB0563"/>
    <w:rsid w:val="00EB077E"/>
    <w:rsid w:val="00EB1CF2"/>
    <w:rsid w:val="00EB2072"/>
    <w:rsid w:val="00EB2FC6"/>
    <w:rsid w:val="00EB31B8"/>
    <w:rsid w:val="00EB3908"/>
    <w:rsid w:val="00EB3BDF"/>
    <w:rsid w:val="00EB4039"/>
    <w:rsid w:val="00EB4683"/>
    <w:rsid w:val="00EB4A47"/>
    <w:rsid w:val="00EB4BA3"/>
    <w:rsid w:val="00EB5B67"/>
    <w:rsid w:val="00EB6D34"/>
    <w:rsid w:val="00EC0946"/>
    <w:rsid w:val="00EC15F0"/>
    <w:rsid w:val="00EC16DC"/>
    <w:rsid w:val="00EC1991"/>
    <w:rsid w:val="00EC1E61"/>
    <w:rsid w:val="00EC3070"/>
    <w:rsid w:val="00EC38EA"/>
    <w:rsid w:val="00EC39AA"/>
    <w:rsid w:val="00EC3AAE"/>
    <w:rsid w:val="00EC60F4"/>
    <w:rsid w:val="00EC7493"/>
    <w:rsid w:val="00EC7B0A"/>
    <w:rsid w:val="00ED0623"/>
    <w:rsid w:val="00ED0DDF"/>
    <w:rsid w:val="00ED1568"/>
    <w:rsid w:val="00ED161F"/>
    <w:rsid w:val="00ED23EF"/>
    <w:rsid w:val="00ED3B5F"/>
    <w:rsid w:val="00ED588B"/>
    <w:rsid w:val="00ED5DA1"/>
    <w:rsid w:val="00ED6500"/>
    <w:rsid w:val="00ED7582"/>
    <w:rsid w:val="00ED7B47"/>
    <w:rsid w:val="00ED7D04"/>
    <w:rsid w:val="00EE01FD"/>
    <w:rsid w:val="00EE0625"/>
    <w:rsid w:val="00EE0696"/>
    <w:rsid w:val="00EE1F38"/>
    <w:rsid w:val="00EE313C"/>
    <w:rsid w:val="00EE4090"/>
    <w:rsid w:val="00EE4092"/>
    <w:rsid w:val="00EE46F8"/>
    <w:rsid w:val="00EE4EC8"/>
    <w:rsid w:val="00EE522B"/>
    <w:rsid w:val="00EE57A3"/>
    <w:rsid w:val="00EE5960"/>
    <w:rsid w:val="00EE599E"/>
    <w:rsid w:val="00EE5E67"/>
    <w:rsid w:val="00EE680A"/>
    <w:rsid w:val="00EF0757"/>
    <w:rsid w:val="00EF0852"/>
    <w:rsid w:val="00EF0E18"/>
    <w:rsid w:val="00EF1E43"/>
    <w:rsid w:val="00EF1EB8"/>
    <w:rsid w:val="00EF34A0"/>
    <w:rsid w:val="00EF524D"/>
    <w:rsid w:val="00EF5645"/>
    <w:rsid w:val="00EF571E"/>
    <w:rsid w:val="00EF5853"/>
    <w:rsid w:val="00EF5A28"/>
    <w:rsid w:val="00EF5EEE"/>
    <w:rsid w:val="00EF5F4D"/>
    <w:rsid w:val="00EF6516"/>
    <w:rsid w:val="00EF7C15"/>
    <w:rsid w:val="00F00E45"/>
    <w:rsid w:val="00F01075"/>
    <w:rsid w:val="00F01F9B"/>
    <w:rsid w:val="00F02F2B"/>
    <w:rsid w:val="00F035B8"/>
    <w:rsid w:val="00F03901"/>
    <w:rsid w:val="00F047A8"/>
    <w:rsid w:val="00F04A8A"/>
    <w:rsid w:val="00F0510D"/>
    <w:rsid w:val="00F05A48"/>
    <w:rsid w:val="00F066F7"/>
    <w:rsid w:val="00F0693E"/>
    <w:rsid w:val="00F077D1"/>
    <w:rsid w:val="00F07F10"/>
    <w:rsid w:val="00F07FC3"/>
    <w:rsid w:val="00F103B8"/>
    <w:rsid w:val="00F1081B"/>
    <w:rsid w:val="00F1176E"/>
    <w:rsid w:val="00F127B8"/>
    <w:rsid w:val="00F12D7D"/>
    <w:rsid w:val="00F13487"/>
    <w:rsid w:val="00F134A7"/>
    <w:rsid w:val="00F14BF2"/>
    <w:rsid w:val="00F15023"/>
    <w:rsid w:val="00F15656"/>
    <w:rsid w:val="00F16AFA"/>
    <w:rsid w:val="00F16D46"/>
    <w:rsid w:val="00F16D4E"/>
    <w:rsid w:val="00F20062"/>
    <w:rsid w:val="00F2035B"/>
    <w:rsid w:val="00F2058D"/>
    <w:rsid w:val="00F20C35"/>
    <w:rsid w:val="00F21FDF"/>
    <w:rsid w:val="00F2255B"/>
    <w:rsid w:val="00F22B1C"/>
    <w:rsid w:val="00F232DC"/>
    <w:rsid w:val="00F2368C"/>
    <w:rsid w:val="00F23E77"/>
    <w:rsid w:val="00F249A1"/>
    <w:rsid w:val="00F252A4"/>
    <w:rsid w:val="00F269E6"/>
    <w:rsid w:val="00F26EF1"/>
    <w:rsid w:val="00F276EC"/>
    <w:rsid w:val="00F27A6F"/>
    <w:rsid w:val="00F27AE8"/>
    <w:rsid w:val="00F27EE7"/>
    <w:rsid w:val="00F301EE"/>
    <w:rsid w:val="00F302F1"/>
    <w:rsid w:val="00F303A1"/>
    <w:rsid w:val="00F30767"/>
    <w:rsid w:val="00F30847"/>
    <w:rsid w:val="00F30A03"/>
    <w:rsid w:val="00F30FDA"/>
    <w:rsid w:val="00F32404"/>
    <w:rsid w:val="00F32C4D"/>
    <w:rsid w:val="00F32E60"/>
    <w:rsid w:val="00F33651"/>
    <w:rsid w:val="00F33AE5"/>
    <w:rsid w:val="00F34499"/>
    <w:rsid w:val="00F35222"/>
    <w:rsid w:val="00F36390"/>
    <w:rsid w:val="00F364BA"/>
    <w:rsid w:val="00F3655B"/>
    <w:rsid w:val="00F3744F"/>
    <w:rsid w:val="00F4062C"/>
    <w:rsid w:val="00F40885"/>
    <w:rsid w:val="00F41293"/>
    <w:rsid w:val="00F41719"/>
    <w:rsid w:val="00F424E8"/>
    <w:rsid w:val="00F42E5A"/>
    <w:rsid w:val="00F4367C"/>
    <w:rsid w:val="00F43BAC"/>
    <w:rsid w:val="00F45153"/>
    <w:rsid w:val="00F45574"/>
    <w:rsid w:val="00F462EF"/>
    <w:rsid w:val="00F465FB"/>
    <w:rsid w:val="00F46F80"/>
    <w:rsid w:val="00F47238"/>
    <w:rsid w:val="00F47AD7"/>
    <w:rsid w:val="00F50060"/>
    <w:rsid w:val="00F50316"/>
    <w:rsid w:val="00F50379"/>
    <w:rsid w:val="00F5058C"/>
    <w:rsid w:val="00F50713"/>
    <w:rsid w:val="00F51570"/>
    <w:rsid w:val="00F51BA4"/>
    <w:rsid w:val="00F51D45"/>
    <w:rsid w:val="00F51DAE"/>
    <w:rsid w:val="00F52B41"/>
    <w:rsid w:val="00F536DF"/>
    <w:rsid w:val="00F54423"/>
    <w:rsid w:val="00F54D2C"/>
    <w:rsid w:val="00F54D33"/>
    <w:rsid w:val="00F566BF"/>
    <w:rsid w:val="00F6020C"/>
    <w:rsid w:val="00F6058A"/>
    <w:rsid w:val="00F608F8"/>
    <w:rsid w:val="00F61097"/>
    <w:rsid w:val="00F6121B"/>
    <w:rsid w:val="00F615DF"/>
    <w:rsid w:val="00F61C78"/>
    <w:rsid w:val="00F629F0"/>
    <w:rsid w:val="00F62F11"/>
    <w:rsid w:val="00F63061"/>
    <w:rsid w:val="00F63949"/>
    <w:rsid w:val="00F6415A"/>
    <w:rsid w:val="00F64388"/>
    <w:rsid w:val="00F6470F"/>
    <w:rsid w:val="00F65A9B"/>
    <w:rsid w:val="00F65DEC"/>
    <w:rsid w:val="00F669F9"/>
    <w:rsid w:val="00F67474"/>
    <w:rsid w:val="00F6747C"/>
    <w:rsid w:val="00F70F1C"/>
    <w:rsid w:val="00F70F46"/>
    <w:rsid w:val="00F714C8"/>
    <w:rsid w:val="00F71AF3"/>
    <w:rsid w:val="00F73431"/>
    <w:rsid w:val="00F73530"/>
    <w:rsid w:val="00F736D3"/>
    <w:rsid w:val="00F73D64"/>
    <w:rsid w:val="00F74596"/>
    <w:rsid w:val="00F74634"/>
    <w:rsid w:val="00F7551A"/>
    <w:rsid w:val="00F75891"/>
    <w:rsid w:val="00F7593D"/>
    <w:rsid w:val="00F75AD7"/>
    <w:rsid w:val="00F76074"/>
    <w:rsid w:val="00F76F9D"/>
    <w:rsid w:val="00F7735F"/>
    <w:rsid w:val="00F77B0C"/>
    <w:rsid w:val="00F77F72"/>
    <w:rsid w:val="00F804C8"/>
    <w:rsid w:val="00F806D7"/>
    <w:rsid w:val="00F80BB5"/>
    <w:rsid w:val="00F81D9C"/>
    <w:rsid w:val="00F81F5A"/>
    <w:rsid w:val="00F84FB7"/>
    <w:rsid w:val="00F85065"/>
    <w:rsid w:val="00F851B7"/>
    <w:rsid w:val="00F851F4"/>
    <w:rsid w:val="00F85DB2"/>
    <w:rsid w:val="00F861B9"/>
    <w:rsid w:val="00F86FF6"/>
    <w:rsid w:val="00F87BEA"/>
    <w:rsid w:val="00F9148D"/>
    <w:rsid w:val="00F916A8"/>
    <w:rsid w:val="00F9225E"/>
    <w:rsid w:val="00F922A9"/>
    <w:rsid w:val="00F943B0"/>
    <w:rsid w:val="00F95084"/>
    <w:rsid w:val="00F95395"/>
    <w:rsid w:val="00F95D7F"/>
    <w:rsid w:val="00F967BB"/>
    <w:rsid w:val="00F96840"/>
    <w:rsid w:val="00F97BC3"/>
    <w:rsid w:val="00F97EB3"/>
    <w:rsid w:val="00FA0879"/>
    <w:rsid w:val="00FA2723"/>
    <w:rsid w:val="00FA2BA6"/>
    <w:rsid w:val="00FA2C0E"/>
    <w:rsid w:val="00FA4255"/>
    <w:rsid w:val="00FA455B"/>
    <w:rsid w:val="00FA5C56"/>
    <w:rsid w:val="00FA5E78"/>
    <w:rsid w:val="00FA64A9"/>
    <w:rsid w:val="00FA66A7"/>
    <w:rsid w:val="00FA7EF0"/>
    <w:rsid w:val="00FB08CA"/>
    <w:rsid w:val="00FB33C7"/>
    <w:rsid w:val="00FB3C6E"/>
    <w:rsid w:val="00FB43AA"/>
    <w:rsid w:val="00FB4DA8"/>
    <w:rsid w:val="00FB4E9E"/>
    <w:rsid w:val="00FB5BF6"/>
    <w:rsid w:val="00FB6E0D"/>
    <w:rsid w:val="00FB7732"/>
    <w:rsid w:val="00FC0072"/>
    <w:rsid w:val="00FC062A"/>
    <w:rsid w:val="00FC08A0"/>
    <w:rsid w:val="00FC1004"/>
    <w:rsid w:val="00FC1224"/>
    <w:rsid w:val="00FC341A"/>
    <w:rsid w:val="00FC37CE"/>
    <w:rsid w:val="00FC3D46"/>
    <w:rsid w:val="00FC3DF0"/>
    <w:rsid w:val="00FC40ED"/>
    <w:rsid w:val="00FC41B2"/>
    <w:rsid w:val="00FC4E4D"/>
    <w:rsid w:val="00FC4FBD"/>
    <w:rsid w:val="00FC5CDA"/>
    <w:rsid w:val="00FC60FE"/>
    <w:rsid w:val="00FC6585"/>
    <w:rsid w:val="00FC6E18"/>
    <w:rsid w:val="00FD0593"/>
    <w:rsid w:val="00FD0725"/>
    <w:rsid w:val="00FD0A69"/>
    <w:rsid w:val="00FD0E2B"/>
    <w:rsid w:val="00FD0EA8"/>
    <w:rsid w:val="00FD2267"/>
    <w:rsid w:val="00FD28BE"/>
    <w:rsid w:val="00FD38FC"/>
    <w:rsid w:val="00FD3CEA"/>
    <w:rsid w:val="00FD457A"/>
    <w:rsid w:val="00FD5391"/>
    <w:rsid w:val="00FD63CB"/>
    <w:rsid w:val="00FD6EA2"/>
    <w:rsid w:val="00FE00CA"/>
    <w:rsid w:val="00FE0670"/>
    <w:rsid w:val="00FE0C55"/>
    <w:rsid w:val="00FE13E4"/>
    <w:rsid w:val="00FE2077"/>
    <w:rsid w:val="00FE2A96"/>
    <w:rsid w:val="00FE2E6D"/>
    <w:rsid w:val="00FE3841"/>
    <w:rsid w:val="00FE3A46"/>
    <w:rsid w:val="00FE3A93"/>
    <w:rsid w:val="00FE3AC0"/>
    <w:rsid w:val="00FE4F8B"/>
    <w:rsid w:val="00FE63BA"/>
    <w:rsid w:val="00FE71A5"/>
    <w:rsid w:val="00FE7F0F"/>
    <w:rsid w:val="00FF1898"/>
    <w:rsid w:val="00FF284B"/>
    <w:rsid w:val="00FF2944"/>
    <w:rsid w:val="00FF2D6C"/>
    <w:rsid w:val="00FF3142"/>
    <w:rsid w:val="00FF362A"/>
    <w:rsid w:val="00FF3823"/>
    <w:rsid w:val="00FF3D05"/>
    <w:rsid w:val="00FF4575"/>
    <w:rsid w:val="00FF55D6"/>
    <w:rsid w:val="00FF5977"/>
    <w:rsid w:val="00FF5D34"/>
    <w:rsid w:val="00FF5DF1"/>
    <w:rsid w:val="00FF613F"/>
    <w:rsid w:val="00FF6358"/>
    <w:rsid w:val="00FF66B7"/>
    <w:rsid w:val="00FF70BC"/>
    <w:rsid w:val="00FF79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D0CAEF"/>
  <w15:docId w15:val="{8CD4359E-6053-4AB3-BE4E-726B92C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9B7138"/>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C82D89"/>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C82D89"/>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C82D89"/>
    <w:pPr>
      <w:keepNext/>
      <w:numPr>
        <w:ilvl w:val="6"/>
        <w:numId w:val="33"/>
      </w:numPr>
      <w:outlineLvl w:val="6"/>
    </w:pPr>
    <w:rPr>
      <w:rFonts w:eastAsiaTheme="majorEastAsia"/>
      <w:iCs/>
    </w:rPr>
  </w:style>
  <w:style w:type="paragraph" w:styleId="Heading8">
    <w:name w:val="heading 8"/>
    <w:basedOn w:val="Normal"/>
    <w:next w:val="Normal"/>
    <w:link w:val="Heading8Char"/>
    <w:semiHidden/>
    <w:rsid w:val="00D24718"/>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rsid w:val="00D24718"/>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7D09E1"/>
    <w:pPr>
      <w:numPr>
        <w:numId w:val="2"/>
      </w:numPr>
    </w:pPr>
    <w:rPr>
      <w:rFonts w:eastAsia="Times New Roman"/>
      <w:lang w:eastAsia="de-DE"/>
    </w:rPr>
  </w:style>
  <w:style w:type="paragraph" w:styleId="ListNumber">
    <w:name w:val="List Number"/>
    <w:basedOn w:val="Normal"/>
    <w:rsid w:val="007D09E1"/>
    <w:pPr>
      <w:numPr>
        <w:numId w:val="6"/>
      </w:numPr>
    </w:pPr>
    <w:rPr>
      <w:rFonts w:eastAsia="Times New Roman"/>
      <w:lang w:eastAsia="de-DE"/>
    </w:rPr>
  </w:style>
  <w:style w:type="paragraph" w:customStyle="1" w:styleId="ListBullet1">
    <w:name w:val="List Bullet 1"/>
    <w:basedOn w:val="Normal"/>
    <w:rsid w:val="007D09E1"/>
    <w:pPr>
      <w:numPr>
        <w:numId w:val="1"/>
      </w:numPr>
    </w:pPr>
    <w:rPr>
      <w:rFonts w:eastAsia="Times New Roman"/>
      <w:lang w:eastAsia="de-DE"/>
    </w:rPr>
  </w:style>
  <w:style w:type="paragraph" w:customStyle="1" w:styleId="ListDash">
    <w:name w:val="List Dash"/>
    <w:basedOn w:val="Normal"/>
    <w:rsid w:val="007D09E1"/>
    <w:pPr>
      <w:numPr>
        <w:numId w:val="3"/>
      </w:numPr>
    </w:pPr>
    <w:rPr>
      <w:rFonts w:eastAsia="Times New Roman"/>
      <w:lang w:eastAsia="de-DE"/>
    </w:rPr>
  </w:style>
  <w:style w:type="paragraph" w:customStyle="1" w:styleId="ListDash1">
    <w:name w:val="List Dash 1"/>
    <w:basedOn w:val="Normal"/>
    <w:rsid w:val="007D09E1"/>
    <w:pPr>
      <w:numPr>
        <w:numId w:val="4"/>
      </w:numPr>
    </w:pPr>
    <w:rPr>
      <w:rFonts w:eastAsia="Times New Roman"/>
      <w:lang w:eastAsia="de-DE"/>
    </w:rPr>
  </w:style>
  <w:style w:type="paragraph" w:customStyle="1" w:styleId="ListDash2">
    <w:name w:val="List Dash 2"/>
    <w:basedOn w:val="Normal"/>
    <w:rsid w:val="007D09E1"/>
    <w:pPr>
      <w:numPr>
        <w:numId w:val="5"/>
      </w:numPr>
    </w:pPr>
    <w:rPr>
      <w:rFonts w:eastAsia="Times New Roman"/>
      <w:lang w:eastAsia="de-DE"/>
    </w:rPr>
  </w:style>
  <w:style w:type="paragraph" w:customStyle="1" w:styleId="ListNumberLevel2">
    <w:name w:val="List Number (Level 2)"/>
    <w:basedOn w:val="Normal"/>
    <w:rsid w:val="007D09E1"/>
    <w:pPr>
      <w:numPr>
        <w:ilvl w:val="1"/>
        <w:numId w:val="6"/>
      </w:numPr>
    </w:pPr>
    <w:rPr>
      <w:rFonts w:eastAsia="Times New Roman"/>
      <w:lang w:eastAsia="de-DE"/>
    </w:rPr>
  </w:style>
  <w:style w:type="paragraph" w:customStyle="1" w:styleId="ListNumberLevel3">
    <w:name w:val="List Number (Level 3)"/>
    <w:basedOn w:val="Normal"/>
    <w:rsid w:val="007D09E1"/>
    <w:pPr>
      <w:numPr>
        <w:ilvl w:val="2"/>
        <w:numId w:val="6"/>
      </w:numPr>
    </w:pPr>
    <w:rPr>
      <w:rFonts w:eastAsia="Times New Roman"/>
      <w:lang w:eastAsia="de-DE"/>
    </w:rPr>
  </w:style>
  <w:style w:type="paragraph" w:customStyle="1" w:styleId="ListNumberLevel4">
    <w:name w:val="List Number (Level 4)"/>
    <w:basedOn w:val="Normal"/>
    <w:rsid w:val="007D09E1"/>
    <w:pPr>
      <w:numPr>
        <w:ilvl w:val="3"/>
        <w:numId w:val="6"/>
      </w:numPr>
    </w:pPr>
    <w:rPr>
      <w:rFonts w:eastAsia="Times New Roman"/>
      <w:lang w:eastAsia="de-DE"/>
    </w:rPr>
  </w:style>
  <w:style w:type="table" w:styleId="TableGrid">
    <w:name w:val="Table Grid"/>
    <w:aliases w:val="Document Table,CV1,Tabellengitternetz,Gena,Deloitte,HTG,TabelEcorys"/>
    <w:basedOn w:val="TableNormal"/>
    <w:uiPriority w:val="59"/>
    <w:rsid w:val="007D09E1"/>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D09E1"/>
    <w:rPr>
      <w:color w:val="0000FF"/>
      <w:u w:val="single"/>
    </w:rPr>
  </w:style>
  <w:style w:type="paragraph" w:styleId="ListBullet">
    <w:name w:val="List Bullet"/>
    <w:basedOn w:val="Normal"/>
    <w:rsid w:val="007D09E1"/>
    <w:pPr>
      <w:numPr>
        <w:numId w:val="7"/>
      </w:numPr>
    </w:pPr>
    <w:rPr>
      <w:rFonts w:eastAsia="Times New Roman"/>
      <w:lang w:eastAsia="en-GB"/>
    </w:rPr>
  </w:style>
  <w:style w:type="paragraph" w:styleId="ListBullet2">
    <w:name w:val="List Bullet 2"/>
    <w:basedOn w:val="Normal"/>
    <w:rsid w:val="007D09E1"/>
    <w:pPr>
      <w:numPr>
        <w:numId w:val="8"/>
      </w:numPr>
    </w:pPr>
    <w:rPr>
      <w:rFonts w:eastAsia="Times New Roman"/>
      <w:lang w:eastAsia="en-GB"/>
    </w:rPr>
  </w:style>
  <w:style w:type="paragraph" w:styleId="ListBullet3">
    <w:name w:val="List Bullet 3"/>
    <w:basedOn w:val="Normal"/>
    <w:rsid w:val="007D09E1"/>
    <w:pPr>
      <w:numPr>
        <w:numId w:val="9"/>
      </w:numPr>
    </w:pPr>
    <w:rPr>
      <w:rFonts w:eastAsia="Times New Roman"/>
      <w:lang w:eastAsia="en-GB"/>
    </w:rPr>
  </w:style>
  <w:style w:type="paragraph" w:styleId="ListNumber2">
    <w:name w:val="List Number 2"/>
    <w:basedOn w:val="Normal"/>
    <w:rsid w:val="007D09E1"/>
    <w:pPr>
      <w:numPr>
        <w:numId w:val="13"/>
      </w:numPr>
    </w:pPr>
    <w:rPr>
      <w:rFonts w:eastAsia="Times New Roman"/>
      <w:lang w:eastAsia="en-GB"/>
    </w:rPr>
  </w:style>
  <w:style w:type="paragraph" w:styleId="ListNumber3">
    <w:name w:val="List Number 3"/>
    <w:basedOn w:val="Normal"/>
    <w:rsid w:val="007D09E1"/>
    <w:pPr>
      <w:numPr>
        <w:numId w:val="14"/>
      </w:numPr>
    </w:pPr>
    <w:rPr>
      <w:rFonts w:eastAsia="Times New Roman"/>
      <w:lang w:eastAsia="en-GB"/>
    </w:rPr>
  </w:style>
  <w:style w:type="paragraph" w:styleId="ListNumber4">
    <w:name w:val="List Number 4"/>
    <w:basedOn w:val="Normal"/>
    <w:rsid w:val="007D09E1"/>
    <w:pPr>
      <w:numPr>
        <w:numId w:val="15"/>
      </w:numPr>
    </w:pPr>
    <w:rPr>
      <w:rFonts w:eastAsia="Times New Roman"/>
      <w:lang w:eastAsia="en-GB"/>
    </w:rPr>
  </w:style>
  <w:style w:type="paragraph" w:customStyle="1" w:styleId="ListDash3">
    <w:name w:val="List Dash 3"/>
    <w:basedOn w:val="Normal"/>
    <w:rsid w:val="007D09E1"/>
    <w:pPr>
      <w:numPr>
        <w:numId w:val="10"/>
      </w:numPr>
    </w:pPr>
    <w:rPr>
      <w:rFonts w:eastAsia="Times New Roman"/>
      <w:lang w:eastAsia="en-GB"/>
    </w:rPr>
  </w:style>
  <w:style w:type="paragraph" w:customStyle="1" w:styleId="ListDash4">
    <w:name w:val="List Dash 4"/>
    <w:basedOn w:val="Normal"/>
    <w:rsid w:val="007D09E1"/>
    <w:pPr>
      <w:numPr>
        <w:numId w:val="11"/>
      </w:numPr>
    </w:pPr>
    <w:rPr>
      <w:rFonts w:eastAsia="Times New Roman"/>
      <w:lang w:eastAsia="en-GB"/>
    </w:rPr>
  </w:style>
  <w:style w:type="paragraph" w:customStyle="1" w:styleId="ListNumber1">
    <w:name w:val="List Number 1"/>
    <w:basedOn w:val="Text1"/>
    <w:rsid w:val="007D09E1"/>
    <w:pPr>
      <w:numPr>
        <w:numId w:val="12"/>
      </w:numPr>
    </w:pPr>
    <w:rPr>
      <w:rFonts w:eastAsia="Times New Roman"/>
      <w:lang w:eastAsia="en-GB"/>
    </w:rPr>
  </w:style>
  <w:style w:type="paragraph" w:customStyle="1" w:styleId="ListNumber1Level2">
    <w:name w:val="List Number 1 (Level 2)"/>
    <w:basedOn w:val="Text1"/>
    <w:rsid w:val="007D09E1"/>
    <w:pPr>
      <w:numPr>
        <w:ilvl w:val="1"/>
        <w:numId w:val="12"/>
      </w:numPr>
    </w:pPr>
    <w:rPr>
      <w:rFonts w:eastAsia="Times New Roman"/>
      <w:lang w:eastAsia="en-GB"/>
    </w:rPr>
  </w:style>
  <w:style w:type="paragraph" w:customStyle="1" w:styleId="ListNumber2Level2">
    <w:name w:val="List Number 2 (Level 2)"/>
    <w:basedOn w:val="Text2"/>
    <w:rsid w:val="007D09E1"/>
    <w:pPr>
      <w:numPr>
        <w:ilvl w:val="1"/>
        <w:numId w:val="13"/>
      </w:numPr>
    </w:pPr>
    <w:rPr>
      <w:rFonts w:eastAsia="Times New Roman"/>
      <w:lang w:eastAsia="en-GB"/>
    </w:rPr>
  </w:style>
  <w:style w:type="paragraph" w:customStyle="1" w:styleId="ListNumber3Level2">
    <w:name w:val="List Number 3 (Level 2)"/>
    <w:basedOn w:val="Text3"/>
    <w:rsid w:val="007D09E1"/>
    <w:pPr>
      <w:numPr>
        <w:ilvl w:val="1"/>
        <w:numId w:val="14"/>
      </w:numPr>
    </w:pPr>
    <w:rPr>
      <w:rFonts w:eastAsia="Times New Roman"/>
      <w:lang w:eastAsia="en-GB"/>
    </w:rPr>
  </w:style>
  <w:style w:type="paragraph" w:customStyle="1" w:styleId="ListNumber4Level2">
    <w:name w:val="List Number 4 (Level 2)"/>
    <w:basedOn w:val="Text4"/>
    <w:rsid w:val="007D09E1"/>
    <w:pPr>
      <w:numPr>
        <w:ilvl w:val="1"/>
        <w:numId w:val="15"/>
      </w:numPr>
    </w:pPr>
    <w:rPr>
      <w:rFonts w:eastAsia="Times New Roman"/>
      <w:lang w:eastAsia="en-GB"/>
    </w:rPr>
  </w:style>
  <w:style w:type="paragraph" w:customStyle="1" w:styleId="ListNumber1Level3">
    <w:name w:val="List Number 1 (Level 3)"/>
    <w:basedOn w:val="Text1"/>
    <w:rsid w:val="007D09E1"/>
    <w:pPr>
      <w:numPr>
        <w:ilvl w:val="2"/>
        <w:numId w:val="12"/>
      </w:numPr>
    </w:pPr>
    <w:rPr>
      <w:rFonts w:eastAsia="Times New Roman"/>
      <w:lang w:eastAsia="en-GB"/>
    </w:rPr>
  </w:style>
  <w:style w:type="paragraph" w:customStyle="1" w:styleId="ListNumber2Level3">
    <w:name w:val="List Number 2 (Level 3)"/>
    <w:basedOn w:val="Text2"/>
    <w:rsid w:val="007D09E1"/>
    <w:pPr>
      <w:numPr>
        <w:ilvl w:val="2"/>
        <w:numId w:val="13"/>
      </w:numPr>
    </w:pPr>
    <w:rPr>
      <w:rFonts w:eastAsia="Times New Roman"/>
      <w:lang w:eastAsia="en-GB"/>
    </w:rPr>
  </w:style>
  <w:style w:type="paragraph" w:customStyle="1" w:styleId="ListNumber3Level3">
    <w:name w:val="List Number 3 (Level 3)"/>
    <w:basedOn w:val="Text3"/>
    <w:rsid w:val="007D09E1"/>
    <w:pPr>
      <w:numPr>
        <w:ilvl w:val="2"/>
        <w:numId w:val="14"/>
      </w:numPr>
    </w:pPr>
    <w:rPr>
      <w:rFonts w:eastAsia="Times New Roman"/>
      <w:lang w:eastAsia="en-GB"/>
    </w:rPr>
  </w:style>
  <w:style w:type="paragraph" w:customStyle="1" w:styleId="ListNumber4Level3">
    <w:name w:val="List Number 4 (Level 3)"/>
    <w:basedOn w:val="Text4"/>
    <w:rsid w:val="007D09E1"/>
    <w:pPr>
      <w:numPr>
        <w:ilvl w:val="2"/>
        <w:numId w:val="15"/>
      </w:numPr>
    </w:pPr>
    <w:rPr>
      <w:rFonts w:eastAsia="Times New Roman"/>
      <w:lang w:eastAsia="en-GB"/>
    </w:rPr>
  </w:style>
  <w:style w:type="paragraph" w:customStyle="1" w:styleId="ListNumber1Level4">
    <w:name w:val="List Number 1 (Level 4)"/>
    <w:basedOn w:val="Text1"/>
    <w:rsid w:val="007D09E1"/>
    <w:pPr>
      <w:numPr>
        <w:ilvl w:val="3"/>
        <w:numId w:val="12"/>
      </w:numPr>
    </w:pPr>
    <w:rPr>
      <w:rFonts w:eastAsia="Times New Roman"/>
      <w:lang w:eastAsia="en-GB"/>
    </w:rPr>
  </w:style>
  <w:style w:type="paragraph" w:customStyle="1" w:styleId="ListNumber2Level4">
    <w:name w:val="List Number 2 (Level 4)"/>
    <w:basedOn w:val="Text2"/>
    <w:rsid w:val="007D09E1"/>
    <w:pPr>
      <w:numPr>
        <w:ilvl w:val="3"/>
        <w:numId w:val="13"/>
      </w:numPr>
    </w:pPr>
    <w:rPr>
      <w:rFonts w:eastAsia="Times New Roman"/>
      <w:lang w:eastAsia="en-GB"/>
    </w:rPr>
  </w:style>
  <w:style w:type="paragraph" w:customStyle="1" w:styleId="ListNumber3Level4">
    <w:name w:val="List Number 3 (Level 4)"/>
    <w:basedOn w:val="Text3"/>
    <w:rsid w:val="007D09E1"/>
    <w:pPr>
      <w:numPr>
        <w:ilvl w:val="3"/>
        <w:numId w:val="14"/>
      </w:numPr>
    </w:pPr>
    <w:rPr>
      <w:rFonts w:eastAsia="Times New Roman"/>
      <w:lang w:eastAsia="en-GB"/>
    </w:rPr>
  </w:style>
  <w:style w:type="paragraph" w:customStyle="1" w:styleId="ListNumber4Level4">
    <w:name w:val="List Number 4 (Level 4)"/>
    <w:basedOn w:val="Text4"/>
    <w:rsid w:val="007D09E1"/>
    <w:pPr>
      <w:numPr>
        <w:ilvl w:val="3"/>
        <w:numId w:val="15"/>
      </w:numPr>
    </w:pPr>
    <w:rPr>
      <w:rFonts w:eastAsia="Times New Roman"/>
      <w:lang w:eastAsia="en-GB"/>
    </w:rPr>
  </w:style>
  <w:style w:type="paragraph" w:customStyle="1" w:styleId="Annexetitreacte">
    <w:name w:val="Annexe titre (acte)"/>
    <w:basedOn w:val="Normal"/>
    <w:next w:val="Normal"/>
    <w:rsid w:val="007D09E1"/>
    <w:pPr>
      <w:jc w:val="center"/>
    </w:pPr>
    <w:rPr>
      <w:rFonts w:eastAsia="Times New Roman"/>
      <w:b/>
      <w:u w:val="single"/>
      <w:lang w:eastAsia="en-GB"/>
    </w:rPr>
  </w:style>
  <w:style w:type="paragraph" w:customStyle="1" w:styleId="Annexetitreexposglobal">
    <w:name w:val="Annexe titre (exposé global)"/>
    <w:basedOn w:val="Normal"/>
    <w:next w:val="Normal"/>
    <w:rsid w:val="007D09E1"/>
    <w:pPr>
      <w:jc w:val="center"/>
    </w:pPr>
    <w:rPr>
      <w:rFonts w:eastAsia="Times New Roman"/>
      <w:b/>
      <w:u w:val="single"/>
      <w:lang w:eastAsia="en-GB"/>
    </w:rPr>
  </w:style>
  <w:style w:type="paragraph" w:customStyle="1" w:styleId="Annexetitrefichefinacte">
    <w:name w:val="Annexe titre (fiche fin. acte)"/>
    <w:basedOn w:val="Normal"/>
    <w:next w:val="Normal"/>
    <w:rsid w:val="007D09E1"/>
    <w:pPr>
      <w:jc w:val="center"/>
    </w:pPr>
    <w:rPr>
      <w:rFonts w:eastAsia="Times New Roman"/>
      <w:b/>
      <w:u w:val="single"/>
      <w:lang w:eastAsia="en-GB"/>
    </w:rPr>
  </w:style>
  <w:style w:type="paragraph" w:customStyle="1" w:styleId="Annexetitrefichefinglobale">
    <w:name w:val="Annexe titre (fiche fin. globale)"/>
    <w:basedOn w:val="Normal"/>
    <w:next w:val="Normal"/>
    <w:rsid w:val="007D09E1"/>
    <w:pPr>
      <w:jc w:val="center"/>
    </w:pPr>
    <w:rPr>
      <w:rFonts w:eastAsia="Times New Roman"/>
      <w:b/>
      <w:u w:val="single"/>
      <w:lang w:eastAsia="en-GB"/>
    </w:rPr>
  </w:style>
  <w:style w:type="paragraph" w:customStyle="1" w:styleId="Annexetitreglobale">
    <w:name w:val="Annexe titre (globale)"/>
    <w:basedOn w:val="Normal"/>
    <w:next w:val="Normal"/>
    <w:rsid w:val="007D09E1"/>
    <w:pPr>
      <w:jc w:val="center"/>
    </w:pPr>
    <w:rPr>
      <w:rFonts w:eastAsia="Times New Roman"/>
      <w:b/>
      <w:u w:val="single"/>
      <w:lang w:eastAsia="en-GB"/>
    </w:rPr>
  </w:style>
  <w:style w:type="paragraph" w:customStyle="1" w:styleId="Exposdesmotifstitreglobal">
    <w:name w:val="Exposé des motifs titre (global)"/>
    <w:basedOn w:val="Normal"/>
    <w:next w:val="Normal"/>
    <w:rsid w:val="007D09E1"/>
    <w:pPr>
      <w:jc w:val="center"/>
    </w:pPr>
    <w:rPr>
      <w:rFonts w:eastAsia="Times New Roman"/>
      <w:b/>
      <w:u w:val="single"/>
      <w:lang w:eastAsia="en-GB"/>
    </w:rPr>
  </w:style>
  <w:style w:type="paragraph" w:customStyle="1" w:styleId="Langueoriginale">
    <w:name w:val="Langue originale"/>
    <w:basedOn w:val="Normal"/>
    <w:rsid w:val="007D09E1"/>
    <w:pPr>
      <w:spacing w:before="360"/>
      <w:jc w:val="center"/>
    </w:pPr>
    <w:rPr>
      <w:rFonts w:eastAsia="Times New Roman"/>
      <w:caps/>
      <w:lang w:eastAsia="en-GB"/>
    </w:rPr>
  </w:style>
  <w:style w:type="paragraph" w:customStyle="1" w:styleId="Phrasefinale">
    <w:name w:val="Phrase finale"/>
    <w:basedOn w:val="Normal"/>
    <w:next w:val="Normal"/>
    <w:rsid w:val="007D09E1"/>
    <w:pPr>
      <w:spacing w:before="360" w:after="0"/>
      <w:jc w:val="center"/>
    </w:pPr>
    <w:rPr>
      <w:rFonts w:eastAsia="Times New Roman"/>
      <w:lang w:eastAsia="en-GB"/>
    </w:rPr>
  </w:style>
  <w:style w:type="paragraph" w:customStyle="1" w:styleId="Prliminairetitre">
    <w:name w:val="Préliminaire titre"/>
    <w:basedOn w:val="Normal"/>
    <w:next w:val="Normal"/>
    <w:rsid w:val="007D09E1"/>
    <w:pPr>
      <w:spacing w:before="360" w:after="360"/>
      <w:jc w:val="center"/>
    </w:pPr>
    <w:rPr>
      <w:rFonts w:eastAsia="Times New Roman"/>
      <w:b/>
      <w:lang w:eastAsia="en-GB"/>
    </w:rPr>
  </w:style>
  <w:style w:type="paragraph" w:customStyle="1" w:styleId="Prliminairetype">
    <w:name w:val="Préliminaire type"/>
    <w:basedOn w:val="Normal"/>
    <w:next w:val="Normal"/>
    <w:rsid w:val="007D09E1"/>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D09E1"/>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D09E1"/>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D09E1"/>
    <w:pPr>
      <w:spacing w:before="0" w:after="0"/>
      <w:ind w:left="5103"/>
      <w:jc w:val="left"/>
    </w:pPr>
    <w:rPr>
      <w:rFonts w:eastAsia="Times New Roman"/>
      <w:lang w:eastAsia="en-GB"/>
    </w:rPr>
  </w:style>
  <w:style w:type="paragraph" w:customStyle="1" w:styleId="Sous-titreobjetprliminaire">
    <w:name w:val="Sous-titre objet (préliminaire)"/>
    <w:basedOn w:val="Normal"/>
    <w:rsid w:val="007D09E1"/>
    <w:pPr>
      <w:spacing w:before="0" w:after="0"/>
      <w:jc w:val="center"/>
    </w:pPr>
    <w:rPr>
      <w:rFonts w:eastAsia="Times New Roman"/>
      <w:b/>
      <w:lang w:eastAsia="en-GB"/>
    </w:rPr>
  </w:style>
  <w:style w:type="paragraph" w:customStyle="1" w:styleId="Statutprliminaire">
    <w:name w:val="Statut (préliminaire)"/>
    <w:basedOn w:val="Normal"/>
    <w:next w:val="Normal"/>
    <w:rsid w:val="007D09E1"/>
    <w:pPr>
      <w:spacing w:before="360" w:after="0"/>
      <w:jc w:val="center"/>
    </w:pPr>
    <w:rPr>
      <w:rFonts w:eastAsia="Times New Roman"/>
      <w:lang w:eastAsia="en-GB"/>
    </w:rPr>
  </w:style>
  <w:style w:type="paragraph" w:customStyle="1" w:styleId="Titreobjetprliminaire">
    <w:name w:val="Titre objet (préliminaire)"/>
    <w:basedOn w:val="Normal"/>
    <w:next w:val="Normal"/>
    <w:rsid w:val="007D09E1"/>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D09E1"/>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D09E1"/>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D09E1"/>
    <w:pPr>
      <w:jc w:val="center"/>
    </w:pPr>
    <w:rPr>
      <w:rFonts w:eastAsia="Times New Roman"/>
      <w:b/>
      <w:u w:val="single"/>
      <w:lang w:eastAsia="en-GB"/>
    </w:rPr>
  </w:style>
  <w:style w:type="paragraph" w:customStyle="1" w:styleId="Fichefinanciretravailtitre">
    <w:name w:val="Fiche financière (travail) titre"/>
    <w:basedOn w:val="Normal"/>
    <w:next w:val="Normal"/>
    <w:rsid w:val="007D09E1"/>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D09E1"/>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D09E1"/>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D09E1"/>
    <w:pPr>
      <w:jc w:val="center"/>
    </w:pPr>
    <w:rPr>
      <w:rFonts w:eastAsia="Times New Roman"/>
      <w:b/>
      <w:u w:val="single"/>
      <w:lang w:eastAsia="en-GB"/>
    </w:rPr>
  </w:style>
  <w:style w:type="character" w:styleId="CommentReference">
    <w:name w:val="annotation reference"/>
    <w:qFormat/>
    <w:rsid w:val="007D09E1"/>
    <w:rPr>
      <w:rFonts w:cs="Times New Roman"/>
      <w:sz w:val="16"/>
      <w:szCs w:val="16"/>
    </w:rPr>
  </w:style>
  <w:style w:type="paragraph" w:styleId="CommentText">
    <w:name w:val="annotation text"/>
    <w:basedOn w:val="Normal"/>
    <w:link w:val="CommentTextChar"/>
    <w:qFormat/>
    <w:rsid w:val="007D09E1"/>
    <w:rPr>
      <w:rFonts w:eastAsia="Times New Roman"/>
      <w:sz w:val="20"/>
      <w:szCs w:val="20"/>
      <w:lang w:eastAsia="en-GB"/>
    </w:rPr>
  </w:style>
  <w:style w:type="character" w:customStyle="1" w:styleId="CommentTextChar">
    <w:name w:val="Comment Text Char"/>
    <w:basedOn w:val="DefaultParagraphFont"/>
    <w:link w:val="CommentText"/>
    <w:rsid w:val="007D09E1"/>
    <w:rPr>
      <w:rFonts w:ascii="Times New Roman" w:eastAsia="Times New Roman" w:hAnsi="Times New Roman" w:cs="Times New Roman"/>
      <w:sz w:val="20"/>
      <w:szCs w:val="20"/>
      <w:lang w:val="it-IT" w:eastAsia="en-GB"/>
    </w:rPr>
  </w:style>
  <w:style w:type="paragraph" w:styleId="CommentSubject">
    <w:name w:val="annotation subject"/>
    <w:basedOn w:val="CommentText"/>
    <w:next w:val="CommentText"/>
    <w:link w:val="CommentSubjectChar"/>
    <w:rsid w:val="007D09E1"/>
    <w:rPr>
      <w:b/>
      <w:bCs/>
    </w:rPr>
  </w:style>
  <w:style w:type="character" w:customStyle="1" w:styleId="CommentSubjectChar">
    <w:name w:val="Comment Subject Char"/>
    <w:basedOn w:val="CommentTextChar"/>
    <w:link w:val="CommentSubject"/>
    <w:rsid w:val="007D09E1"/>
    <w:rPr>
      <w:rFonts w:ascii="Times New Roman" w:eastAsia="Times New Roman" w:hAnsi="Times New Roman" w:cs="Times New Roman"/>
      <w:b/>
      <w:bCs/>
      <w:sz w:val="20"/>
      <w:szCs w:val="20"/>
      <w:lang w:val="it-IT" w:eastAsia="en-GB"/>
    </w:rPr>
  </w:style>
  <w:style w:type="paragraph" w:styleId="BalloonText">
    <w:name w:val="Balloon Text"/>
    <w:basedOn w:val="Normal"/>
    <w:link w:val="BalloonTextChar"/>
    <w:rsid w:val="007D09E1"/>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D09E1"/>
    <w:rPr>
      <w:rFonts w:ascii="Tahoma" w:eastAsia="Times New Roman" w:hAnsi="Tahoma" w:cs="Tahoma"/>
      <w:sz w:val="16"/>
      <w:szCs w:val="16"/>
      <w:lang w:val="it-IT" w:eastAsia="en-GB"/>
    </w:rPr>
  </w:style>
  <w:style w:type="paragraph" w:styleId="Caption">
    <w:name w:val="caption"/>
    <w:aliases w:val="Heading Table/Figure,Caption (RMC),Caption-tables,Tasks,Beschriftung Char2,Beschriftung Char1 Char1,Beschriftung Char Char Char1,Beschriftung Char1 Char Char,Beschriftung Char Char Char Char,Beschriftung Char Char1 Char,Eco,Tabelle"/>
    <w:basedOn w:val="Normal"/>
    <w:next w:val="Normal"/>
    <w:link w:val="CaptionChar"/>
    <w:uiPriority w:val="35"/>
    <w:qFormat/>
    <w:rsid w:val="007D09E1"/>
    <w:rPr>
      <w:rFonts w:eastAsia="Times New Roman"/>
      <w:b/>
      <w:bCs/>
      <w:sz w:val="20"/>
      <w:szCs w:val="20"/>
      <w:lang w:eastAsia="en-GB"/>
    </w:rPr>
  </w:style>
  <w:style w:type="paragraph" w:styleId="TableofFigures">
    <w:name w:val="table of figures"/>
    <w:basedOn w:val="Normal"/>
    <w:next w:val="Normal"/>
    <w:rsid w:val="007D09E1"/>
    <w:rPr>
      <w:rFonts w:eastAsia="Times New Roman"/>
      <w:lang w:eastAsia="en-GB"/>
    </w:rPr>
  </w:style>
  <w:style w:type="character" w:styleId="PageNumber">
    <w:name w:val="page number"/>
    <w:rsid w:val="007D09E1"/>
  </w:style>
  <w:style w:type="character" w:customStyle="1" w:styleId="tw4winMark">
    <w:name w:val="tw4winMark"/>
    <w:rsid w:val="007D09E1"/>
    <w:rPr>
      <w:vanish/>
      <w:color w:val="800080"/>
      <w:vertAlign w:val="subscript"/>
    </w:rPr>
  </w:style>
  <w:style w:type="character" w:styleId="FollowedHyperlink">
    <w:name w:val="FollowedHyperlink"/>
    <w:rsid w:val="007D09E1"/>
    <w:rPr>
      <w:color w:val="800080"/>
      <w:u w:val="single"/>
    </w:rPr>
  </w:style>
  <w:style w:type="paragraph" w:customStyle="1" w:styleId="Sous-titreobjet">
    <w:name w:val="Sous-titre objet"/>
    <w:basedOn w:val="Normal"/>
    <w:rsid w:val="007D09E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D09E1"/>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lp1"/>
    <w:basedOn w:val="Normal"/>
    <w:link w:val="ListParagraphChar"/>
    <w:uiPriority w:val="34"/>
    <w:qFormat/>
    <w:rsid w:val="00194FA1"/>
    <w:pPr>
      <w:spacing w:before="0" w:after="240"/>
      <w:ind w:left="720"/>
      <w:contextualSpacing/>
    </w:pPr>
    <w:rPr>
      <w:rFonts w:eastAsia="Times New Roman"/>
      <w:noProof/>
      <w:szCs w:val="20"/>
      <w:lang w:eastAsia="en-GB"/>
    </w:rPr>
  </w:style>
  <w:style w:type="character" w:customStyle="1" w:styleId="Bodytext2">
    <w:name w:val="Body text|2"/>
    <w:basedOn w:val="DefaultParagraphFont"/>
    <w:unhideWhenUsed/>
    <w:rsid w:val="00194FA1"/>
    <w:rPr>
      <w:rFonts w:ascii="Verdana" w:eastAsia="Verdana" w:hAnsi="Verdana" w:cs="Verdana"/>
      <w:b w:val="0"/>
      <w:bCs w:val="0"/>
      <w:i w:val="0"/>
      <w:iCs w:val="0"/>
      <w:smallCaps w:val="0"/>
      <w:strike w:val="0"/>
      <w:color w:val="3D3D3D"/>
      <w:spacing w:val="0"/>
      <w:w w:val="100"/>
      <w:position w:val="0"/>
      <w:sz w:val="19"/>
      <w:szCs w:val="19"/>
      <w:u w:val="none"/>
      <w:lang w:val="it-IT" w:eastAsia="de-DE" w:bidi="de-DE"/>
    </w:rPr>
  </w:style>
  <w:style w:type="numbering" w:customStyle="1" w:styleId="Style1">
    <w:name w:val="Style1"/>
    <w:uiPriority w:val="99"/>
    <w:rsid w:val="00194FA1"/>
    <w:pPr>
      <w:numPr>
        <w:numId w:val="16"/>
      </w:numPr>
    </w:pPr>
  </w:style>
  <w:style w:type="paragraph" w:styleId="NormalWeb">
    <w:name w:val="Normal (Web)"/>
    <w:basedOn w:val="Normal"/>
    <w:uiPriority w:val="99"/>
    <w:unhideWhenUsed/>
    <w:rsid w:val="00194FA1"/>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sid w:val="00194FA1"/>
    <w:rPr>
      <w:i/>
      <w:iCs/>
    </w:rPr>
  </w:style>
  <w:style w:type="paragraph" w:customStyle="1" w:styleId="Normal4">
    <w:name w:val="Normal4"/>
    <w:basedOn w:val="Normal"/>
    <w:rsid w:val="00194FA1"/>
    <w:pPr>
      <w:spacing w:before="100" w:beforeAutospacing="1" w:after="100" w:afterAutospacing="1"/>
      <w:jc w:val="left"/>
    </w:pPr>
    <w:rPr>
      <w:rFonts w:eastAsia="Times New Roman"/>
      <w:szCs w:val="24"/>
    </w:rPr>
  </w:style>
  <w:style w:type="character" w:customStyle="1" w:styleId="Heading5Char">
    <w:name w:val="Heading 5 Char"/>
    <w:basedOn w:val="DefaultParagraphFont"/>
    <w:link w:val="Heading5"/>
    <w:uiPriority w:val="9"/>
    <w:semiHidden/>
    <w:rsid w:val="00C82D89"/>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sid w:val="00C82D89"/>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sid w:val="00C82D89"/>
    <w:rPr>
      <w:rFonts w:ascii="Times New Roman" w:eastAsiaTheme="majorEastAsia" w:hAnsi="Times New Roman" w:cs="Times New Roman"/>
      <w:iCs/>
      <w:sz w:val="24"/>
      <w:lang w:val="it-IT"/>
    </w:rPr>
  </w:style>
  <w:style w:type="character" w:customStyle="1" w:styleId="Heading8Char">
    <w:name w:val="Heading 8 Char"/>
    <w:basedOn w:val="DefaultParagraphFont"/>
    <w:link w:val="Heading8"/>
    <w:semiHidden/>
    <w:rsid w:val="00D24718"/>
    <w:rPr>
      <w:rFonts w:ascii="Times New Roman" w:eastAsia="Times New Roman" w:hAnsi="Times New Roman" w:cs="Times New Roman"/>
      <w:sz w:val="24"/>
      <w:szCs w:val="20"/>
      <w:lang w:val="it-IT" w:eastAsia="en-GB"/>
    </w:rPr>
  </w:style>
  <w:style w:type="character" w:customStyle="1" w:styleId="Heading9Char">
    <w:name w:val="Heading 9 Char"/>
    <w:basedOn w:val="DefaultParagraphFont"/>
    <w:link w:val="Heading9"/>
    <w:semiHidden/>
    <w:rsid w:val="00D24718"/>
    <w:rPr>
      <w:rFonts w:ascii="Times New Roman" w:eastAsia="Times New Roman" w:hAnsi="Times New Roman" w:cs="Times New Roman"/>
      <w:sz w:val="24"/>
      <w:szCs w:val="20"/>
      <w:lang w:val="it-IT" w:eastAsia="en-GB"/>
    </w:rPr>
  </w:style>
  <w:style w:type="paragraph" w:customStyle="1" w:styleId="Indent">
    <w:name w:val="Indent"/>
    <w:basedOn w:val="Point0number"/>
    <w:rsid w:val="00D24718"/>
  </w:style>
  <w:style w:type="paragraph" w:customStyle="1" w:styleId="LegalNumPar">
    <w:name w:val="LegalNumPar"/>
    <w:basedOn w:val="Normal"/>
    <w:uiPriority w:val="90"/>
    <w:qFormat/>
    <w:rsid w:val="00D24718"/>
    <w:pPr>
      <w:spacing w:before="0" w:after="240" w:line="360" w:lineRule="auto"/>
      <w:jc w:val="left"/>
    </w:pPr>
    <w:rPr>
      <w:rFonts w:eastAsia="Times New Roman"/>
      <w:noProof/>
      <w:szCs w:val="20"/>
      <w:lang w:eastAsia="en-GB"/>
    </w:rPr>
  </w:style>
  <w:style w:type="paragraph" w:customStyle="1" w:styleId="LegalNumPar2">
    <w:name w:val="LegalNumPar2"/>
    <w:basedOn w:val="Normal"/>
    <w:rsid w:val="00D24718"/>
    <w:pPr>
      <w:spacing w:before="0" w:after="240" w:line="360" w:lineRule="auto"/>
      <w:jc w:val="left"/>
    </w:pPr>
    <w:rPr>
      <w:rFonts w:eastAsia="Times New Roman"/>
      <w:noProof/>
      <w:szCs w:val="20"/>
      <w:lang w:eastAsia="en-GB"/>
    </w:rPr>
  </w:style>
  <w:style w:type="paragraph" w:customStyle="1" w:styleId="LegalNumPar3">
    <w:name w:val="LegalNumPar3"/>
    <w:basedOn w:val="Normal"/>
    <w:rsid w:val="00D24718"/>
    <w:pPr>
      <w:numPr>
        <w:ilvl w:val="2"/>
        <w:numId w:val="18"/>
      </w:numPr>
      <w:spacing w:before="0" w:after="240" w:line="360" w:lineRule="auto"/>
      <w:jc w:val="left"/>
    </w:pPr>
    <w:rPr>
      <w:rFonts w:eastAsia="Times New Roman"/>
      <w:noProof/>
      <w:szCs w:val="20"/>
      <w:lang w:eastAsia="en-GB"/>
    </w:rPr>
  </w:style>
  <w:style w:type="character" w:customStyle="1" w:styleId="Text2Char1">
    <w:name w:val="Text 2 Char1"/>
    <w:rsid w:val="00D24718"/>
    <w:rPr>
      <w:rFonts w:ascii="Times New Roman" w:hAnsi="Times New Roman" w:cs="Times New Roman"/>
      <w:sz w:val="24"/>
      <w:lang w:val="it-IT"/>
    </w:rPr>
  </w:style>
  <w:style w:type="paragraph" w:customStyle="1" w:styleId="ti-section-1">
    <w:name w:val="ti-section-1"/>
    <w:basedOn w:val="Normal"/>
    <w:rsid w:val="00D24718"/>
    <w:pPr>
      <w:spacing w:before="100" w:beforeAutospacing="1" w:after="100" w:afterAutospacing="1"/>
      <w:jc w:val="left"/>
    </w:pPr>
    <w:rPr>
      <w:rFonts w:eastAsia="Times New Roman"/>
      <w:szCs w:val="24"/>
      <w:lang w:eastAsia="en-GB"/>
    </w:rPr>
  </w:style>
  <w:style w:type="paragraph" w:customStyle="1" w:styleId="ti-section-2">
    <w:name w:val="ti-section-2"/>
    <w:basedOn w:val="Normal"/>
    <w:rsid w:val="00D24718"/>
    <w:pPr>
      <w:spacing w:before="100" w:beforeAutospacing="1" w:after="100" w:afterAutospacing="1"/>
      <w:jc w:val="left"/>
    </w:pPr>
    <w:rPr>
      <w:rFonts w:eastAsia="Times New Roman"/>
      <w:szCs w:val="24"/>
      <w:lang w:eastAsia="en-GB"/>
    </w:rPr>
  </w:style>
  <w:style w:type="character" w:customStyle="1" w:styleId="bold">
    <w:name w:val="bold"/>
    <w:basedOn w:val="DefaultParagraphFont"/>
    <w:rsid w:val="00D24718"/>
  </w:style>
  <w:style w:type="paragraph" w:customStyle="1" w:styleId="ti-art">
    <w:name w:val="ti-art"/>
    <w:basedOn w:val="Normal"/>
    <w:rsid w:val="00D24718"/>
    <w:pPr>
      <w:spacing w:before="100" w:beforeAutospacing="1" w:after="100" w:afterAutospacing="1"/>
      <w:jc w:val="left"/>
    </w:pPr>
    <w:rPr>
      <w:rFonts w:eastAsia="Times New Roman"/>
      <w:szCs w:val="24"/>
      <w:lang w:eastAsia="en-GB"/>
    </w:rPr>
  </w:style>
  <w:style w:type="paragraph" w:customStyle="1" w:styleId="sti-art">
    <w:name w:val="sti-art"/>
    <w:basedOn w:val="Normal"/>
    <w:rsid w:val="00D24718"/>
    <w:pPr>
      <w:spacing w:before="100" w:beforeAutospacing="1" w:after="100" w:afterAutospacing="1"/>
      <w:jc w:val="left"/>
    </w:pPr>
    <w:rPr>
      <w:rFonts w:eastAsia="Times New Roman"/>
      <w:szCs w:val="24"/>
      <w:lang w:eastAsia="en-GB"/>
    </w:rPr>
  </w:style>
  <w:style w:type="paragraph" w:customStyle="1" w:styleId="Normal1">
    <w:name w:val="Normal1"/>
    <w:basedOn w:val="Normal"/>
    <w:rsid w:val="00D24718"/>
    <w:pPr>
      <w:spacing w:before="100" w:beforeAutospacing="1" w:after="100" w:afterAutospacing="1"/>
      <w:jc w:val="left"/>
    </w:pPr>
    <w:rPr>
      <w:rFonts w:eastAsia="Times New Roman"/>
      <w:szCs w:val="24"/>
      <w:lang w:eastAsia="en-GB"/>
    </w:rPr>
  </w:style>
  <w:style w:type="character" w:customStyle="1" w:styleId="italic">
    <w:name w:val="italic"/>
    <w:basedOn w:val="DefaultParagraphFont"/>
    <w:rsid w:val="00D24718"/>
  </w:style>
  <w:style w:type="paragraph" w:styleId="Revision">
    <w:name w:val="Revision"/>
    <w:hidden/>
    <w:uiPriority w:val="99"/>
    <w:semiHidden/>
    <w:rsid w:val="00D24718"/>
    <w:pPr>
      <w:spacing w:after="0" w:line="240" w:lineRule="auto"/>
    </w:pPr>
    <w:rPr>
      <w:rFonts w:ascii="Times New Roman" w:hAnsi="Times New Roman" w:cs="Times New Roman"/>
      <w:sz w:val="24"/>
    </w:rPr>
  </w:style>
  <w:style w:type="character" w:customStyle="1" w:styleId="Bodytext20">
    <w:name w:val="Body text|2_"/>
    <w:basedOn w:val="DefaultParagraphFont"/>
    <w:rsid w:val="00D24718"/>
    <w:rPr>
      <w:rFonts w:ascii="Verdana" w:eastAsia="Verdana" w:hAnsi="Verdana" w:cs="Verdana"/>
      <w:b w:val="0"/>
      <w:bCs w:val="0"/>
      <w:i w:val="0"/>
      <w:iCs w:val="0"/>
      <w:smallCaps w:val="0"/>
      <w:strike w:val="0"/>
      <w:sz w:val="19"/>
      <w:szCs w:val="19"/>
      <w:u w:val="none"/>
    </w:rPr>
  </w:style>
  <w:style w:type="character" w:customStyle="1" w:styleId="Heading31">
    <w:name w:val="Heading #3|1_"/>
    <w:basedOn w:val="DefaultParagraphFont"/>
    <w:rsid w:val="00D24718"/>
    <w:rPr>
      <w:rFonts w:ascii="Verdana" w:eastAsia="Verdana" w:hAnsi="Verdana" w:cs="Verdana"/>
      <w:b w:val="0"/>
      <w:bCs w:val="0"/>
      <w:i w:val="0"/>
      <w:iCs w:val="0"/>
      <w:smallCaps w:val="0"/>
      <w:strike w:val="0"/>
      <w:sz w:val="18"/>
      <w:szCs w:val="18"/>
      <w:u w:val="none"/>
    </w:rPr>
  </w:style>
  <w:style w:type="character" w:customStyle="1" w:styleId="Heading310">
    <w:name w:val="Heading #3|1"/>
    <w:basedOn w:val="Heading31"/>
    <w:semiHidden/>
    <w:unhideWhenUsed/>
    <w:rsid w:val="00D24718"/>
    <w:rPr>
      <w:rFonts w:ascii="Verdana" w:eastAsia="Verdana" w:hAnsi="Verdana" w:cs="Verdana"/>
      <w:b w:val="0"/>
      <w:bCs w:val="0"/>
      <w:i w:val="0"/>
      <w:iCs w:val="0"/>
      <w:smallCaps w:val="0"/>
      <w:strike w:val="0"/>
      <w:color w:val="466E18"/>
      <w:spacing w:val="0"/>
      <w:w w:val="100"/>
      <w:position w:val="0"/>
      <w:sz w:val="18"/>
      <w:szCs w:val="18"/>
      <w:u w:val="none"/>
      <w:lang w:val="it-IT" w:eastAsia="de-DE" w:bidi="de-DE"/>
    </w:rPr>
  </w:style>
  <w:style w:type="paragraph" w:customStyle="1" w:styleId="Text0">
    <w:name w:val="Text 0"/>
    <w:basedOn w:val="Text1"/>
    <w:rsid w:val="00D24718"/>
  </w:style>
  <w:style w:type="paragraph" w:customStyle="1" w:styleId="CM4">
    <w:name w:val="CM4"/>
    <w:basedOn w:val="Normal"/>
    <w:next w:val="Normal"/>
    <w:uiPriority w:val="99"/>
    <w:rsid w:val="00D24718"/>
    <w:pPr>
      <w:autoSpaceDE w:val="0"/>
      <w:autoSpaceDN w:val="0"/>
      <w:adjustRightInd w:val="0"/>
      <w:spacing w:before="0" w:after="0"/>
      <w:jc w:val="left"/>
    </w:pPr>
    <w:rPr>
      <w:szCs w:val="24"/>
    </w:rPr>
  </w:style>
  <w:style w:type="paragraph" w:customStyle="1" w:styleId="1NumPar">
    <w:name w:val="1. NumPar"/>
    <w:basedOn w:val="NumPar1"/>
    <w:rsid w:val="00D24718"/>
    <w:pPr>
      <w:numPr>
        <w:numId w:val="17"/>
      </w:numPr>
    </w:pPr>
  </w:style>
  <w:style w:type="paragraph" w:styleId="NoSpacing">
    <w:name w:val="No Spacing"/>
    <w:uiPriority w:val="1"/>
    <w:qFormat/>
    <w:rsid w:val="00D24718"/>
    <w:pPr>
      <w:spacing w:after="0" w:line="240" w:lineRule="auto"/>
      <w:jc w:val="both"/>
    </w:pPr>
    <w:rPr>
      <w:rFonts w:ascii="Times New Roman" w:hAnsi="Times New Roman" w:cs="Times New Roman"/>
      <w:sz w:val="24"/>
    </w:rPr>
  </w:style>
  <w:style w:type="paragraph" w:styleId="BodyText">
    <w:name w:val="Body Text"/>
    <w:basedOn w:val="Normal"/>
    <w:link w:val="BodyTextChar"/>
    <w:rsid w:val="00D24718"/>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D24718"/>
    <w:rPr>
      <w:rFonts w:ascii="Calibri" w:eastAsia="Calibri" w:hAnsi="Calibri" w:cs="DejaVu Sans"/>
      <w:color w:val="00000A"/>
      <w:lang w:val="it-IT"/>
    </w:rPr>
  </w:style>
  <w:style w:type="paragraph" w:customStyle="1" w:styleId="ContNum">
    <w:name w:val="ContNum"/>
    <w:basedOn w:val="Normal"/>
    <w:uiPriority w:val="90"/>
    <w:qFormat/>
    <w:rsid w:val="00D24718"/>
    <w:pPr>
      <w:tabs>
        <w:tab w:val="num" w:pos="476"/>
      </w:tabs>
      <w:spacing w:before="0" w:after="240"/>
      <w:ind w:left="476" w:hanging="476"/>
    </w:pPr>
    <w:rPr>
      <w:rFonts w:eastAsia="Times New Roman"/>
      <w:szCs w:val="20"/>
      <w:lang w:eastAsia="en-GB"/>
    </w:rPr>
  </w:style>
  <w:style w:type="paragraph" w:customStyle="1" w:styleId="ContNumLevel2">
    <w:name w:val="ContNum (Level 2)"/>
    <w:basedOn w:val="Normal"/>
    <w:rsid w:val="00D24718"/>
    <w:pPr>
      <w:tabs>
        <w:tab w:val="num" w:pos="952"/>
      </w:tabs>
      <w:spacing w:before="0" w:after="240"/>
      <w:ind w:left="952" w:hanging="476"/>
    </w:pPr>
    <w:rPr>
      <w:rFonts w:eastAsia="Times New Roman"/>
      <w:szCs w:val="20"/>
      <w:lang w:eastAsia="en-GB"/>
    </w:rPr>
  </w:style>
  <w:style w:type="paragraph" w:customStyle="1" w:styleId="ContNumLevel3">
    <w:name w:val="ContNum (Level 3)"/>
    <w:basedOn w:val="Normal"/>
    <w:rsid w:val="00D24718"/>
    <w:pPr>
      <w:tabs>
        <w:tab w:val="num" w:pos="1429"/>
      </w:tabs>
      <w:spacing w:before="0" w:after="240"/>
      <w:ind w:left="1429" w:hanging="477"/>
    </w:pPr>
    <w:rPr>
      <w:rFonts w:eastAsia="Times New Roman"/>
      <w:szCs w:val="20"/>
      <w:lang w:eastAsia="en-GB"/>
    </w:rPr>
  </w:style>
  <w:style w:type="paragraph" w:customStyle="1" w:styleId="paragraph">
    <w:name w:val="paragraph"/>
    <w:basedOn w:val="Normal"/>
    <w:rsid w:val="00D24718"/>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D24718"/>
  </w:style>
  <w:style w:type="paragraph" w:customStyle="1" w:styleId="CM3">
    <w:name w:val="CM3"/>
    <w:basedOn w:val="Normal"/>
    <w:next w:val="Normal"/>
    <w:uiPriority w:val="99"/>
    <w:rsid w:val="00D24718"/>
    <w:pPr>
      <w:autoSpaceDE w:val="0"/>
      <w:autoSpaceDN w:val="0"/>
      <w:adjustRightInd w:val="0"/>
      <w:spacing w:before="0" w:after="0"/>
      <w:jc w:val="left"/>
    </w:pPr>
    <w:rPr>
      <w:szCs w:val="24"/>
    </w:rPr>
  </w:style>
  <w:style w:type="paragraph" w:customStyle="1" w:styleId="CM1">
    <w:name w:val="CM1"/>
    <w:basedOn w:val="Normal"/>
    <w:next w:val="Normal"/>
    <w:uiPriority w:val="99"/>
    <w:rsid w:val="00D24718"/>
    <w:pPr>
      <w:autoSpaceDE w:val="0"/>
      <w:autoSpaceDN w:val="0"/>
      <w:adjustRightInd w:val="0"/>
      <w:spacing w:before="0" w:after="0"/>
      <w:jc w:val="left"/>
    </w:pPr>
    <w:rPr>
      <w:szCs w:val="24"/>
    </w:rPr>
  </w:style>
  <w:style w:type="paragraph" w:customStyle="1" w:styleId="Normal2">
    <w:name w:val="Normal2"/>
    <w:basedOn w:val="Normal"/>
    <w:rsid w:val="00D24718"/>
    <w:pPr>
      <w:spacing w:before="100" w:beforeAutospacing="1" w:after="100" w:afterAutospacing="1"/>
      <w:jc w:val="left"/>
    </w:pPr>
    <w:rPr>
      <w:rFonts w:eastAsia="Times New Roman"/>
      <w:szCs w:val="24"/>
      <w:lang w:eastAsia="fr-BE"/>
    </w:rPr>
  </w:style>
  <w:style w:type="character" w:customStyle="1" w:styleId="super">
    <w:name w:val="super"/>
    <w:basedOn w:val="DefaultParagraphFont"/>
    <w:rsid w:val="00D24718"/>
  </w:style>
  <w:style w:type="character" w:customStyle="1" w:styleId="Headerorfooter1">
    <w:name w:val="Header or footer|1_"/>
    <w:basedOn w:val="DefaultParagraphFont"/>
    <w:rsid w:val="00D24718"/>
    <w:rPr>
      <w:b w:val="0"/>
      <w:bCs w:val="0"/>
      <w:i w:val="0"/>
      <w:iCs w:val="0"/>
      <w:smallCaps w:val="0"/>
      <w:strike w:val="0"/>
      <w:sz w:val="16"/>
      <w:szCs w:val="16"/>
      <w:u w:val="none"/>
    </w:rPr>
  </w:style>
  <w:style w:type="character" w:customStyle="1" w:styleId="Headerorfooter10">
    <w:name w:val="Header or footer|1"/>
    <w:basedOn w:val="Headerorfooter1"/>
    <w:semiHidden/>
    <w:unhideWhenUsed/>
    <w:rsid w:val="00D2471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it-IT" w:eastAsia="de-DE" w:bidi="de-DE"/>
    </w:rPr>
  </w:style>
  <w:style w:type="character" w:customStyle="1" w:styleId="Bodytext5Exact">
    <w:name w:val="Body text|5 Exact"/>
    <w:basedOn w:val="DefaultParagraphFont"/>
    <w:semiHidden/>
    <w:unhideWhenUsed/>
    <w:rsid w:val="00D24718"/>
    <w:rPr>
      <w:b w:val="0"/>
      <w:bCs w:val="0"/>
      <w:i w:val="0"/>
      <w:iCs w:val="0"/>
      <w:smallCaps w:val="0"/>
      <w:strike w:val="0"/>
      <w:sz w:val="16"/>
      <w:szCs w:val="16"/>
      <w:u w:val="none"/>
    </w:rPr>
  </w:style>
  <w:style w:type="character" w:customStyle="1" w:styleId="Bodytext5">
    <w:name w:val="Body text|5_"/>
    <w:basedOn w:val="DefaultParagraphFont"/>
    <w:link w:val="Bodytext50"/>
    <w:rsid w:val="00D24718"/>
    <w:rPr>
      <w:sz w:val="16"/>
      <w:szCs w:val="16"/>
      <w:shd w:val="clear" w:color="auto" w:fill="FFFFFF"/>
    </w:rPr>
  </w:style>
  <w:style w:type="paragraph" w:customStyle="1" w:styleId="Bodytext50">
    <w:name w:val="Body text|5"/>
    <w:basedOn w:val="Normal"/>
    <w:link w:val="Bodytext5"/>
    <w:rsid w:val="00D24718"/>
    <w:pPr>
      <w:widowControl w:val="0"/>
      <w:shd w:val="clear" w:color="auto" w:fill="FFFFFF"/>
      <w:spacing w:before="0" w:after="0" w:line="178" w:lineRule="exact"/>
      <w:jc w:val="left"/>
    </w:pPr>
    <w:rPr>
      <w:rFonts w:asciiTheme="minorHAnsi" w:hAnsiTheme="minorHAnsi" w:cstheme="minorBidi"/>
      <w:sz w:val="16"/>
      <w:szCs w:val="16"/>
    </w:rPr>
  </w:style>
  <w:style w:type="paragraph" w:customStyle="1" w:styleId="Default">
    <w:name w:val="Default"/>
    <w:rsid w:val="00D24718"/>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Normal3">
    <w:name w:val="Normal3"/>
    <w:basedOn w:val="Normal"/>
    <w:rsid w:val="00D24718"/>
    <w:pPr>
      <w:spacing w:before="100" w:beforeAutospacing="1" w:after="100" w:afterAutospacing="1"/>
      <w:jc w:val="left"/>
    </w:pPr>
    <w:rPr>
      <w:rFonts w:eastAsia="Times New Roman"/>
      <w:szCs w:val="24"/>
    </w:rPr>
  </w:style>
  <w:style w:type="paragraph" w:customStyle="1" w:styleId="1">
    <w:name w:val="1"/>
    <w:basedOn w:val="Normal"/>
    <w:uiPriority w:val="99"/>
    <w:rsid w:val="005C3088"/>
    <w:pPr>
      <w:spacing w:before="0" w:after="160" w:line="240" w:lineRule="exact"/>
    </w:pPr>
    <w:rPr>
      <w:rFonts w:asciiTheme="minorHAnsi" w:hAnsiTheme="minorHAnsi" w:cstheme="minorBidi"/>
      <w:sz w:val="22"/>
      <w:vertAlign w:val="superscript"/>
    </w:rPr>
  </w:style>
  <w:style w:type="character" w:customStyle="1" w:styleId="ddfn">
    <w:name w:val="d_dfn"/>
    <w:basedOn w:val="DefaultParagraphFont"/>
    <w:rsid w:val="00F2368C"/>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rsid w:val="0066757E"/>
    <w:rPr>
      <w:rFonts w:ascii="Times New Roman" w:eastAsia="Times New Roman" w:hAnsi="Times New Roman" w:cs="Times New Roman"/>
      <w:noProof/>
      <w:sz w:val="24"/>
      <w:szCs w:val="20"/>
      <w:lang w:val="it-IT" w:eastAsia="en-GB"/>
    </w:rPr>
  </w:style>
  <w:style w:type="paragraph" w:customStyle="1" w:styleId="FooterCoverPage">
    <w:name w:val="Footer Cover Page"/>
    <w:basedOn w:val="Normal"/>
    <w:link w:val="FooterCoverPageChar"/>
    <w:rsid w:val="006007C1"/>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6007C1"/>
    <w:rPr>
      <w:rFonts w:ascii="Times New Roman" w:hAnsi="Times New Roman" w:cs="Times New Roman"/>
      <w:b/>
      <w:sz w:val="28"/>
      <w:lang w:val="it-IT"/>
    </w:rPr>
  </w:style>
  <w:style w:type="character" w:customStyle="1" w:styleId="FooterCoverPageChar">
    <w:name w:val="Footer Cover Page Char"/>
    <w:basedOn w:val="TOCHeadingChar"/>
    <w:link w:val="FooterCoverPage"/>
    <w:rsid w:val="006007C1"/>
    <w:rPr>
      <w:rFonts w:ascii="Times New Roman" w:hAnsi="Times New Roman" w:cs="Times New Roman"/>
      <w:b w:val="0"/>
      <w:sz w:val="24"/>
      <w:lang w:val="it-IT"/>
    </w:rPr>
  </w:style>
  <w:style w:type="paragraph" w:customStyle="1" w:styleId="HeaderCoverPage">
    <w:name w:val="Header Cover Page"/>
    <w:basedOn w:val="Normal"/>
    <w:link w:val="HeaderCoverPageChar"/>
    <w:rsid w:val="006007C1"/>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6007C1"/>
    <w:rPr>
      <w:rFonts w:ascii="Times New Roman" w:hAnsi="Times New Roman" w:cs="Times New Roman"/>
      <w:b w:val="0"/>
      <w:sz w:val="24"/>
      <w:lang w:val="it-IT" w:eastAsia="en-GB"/>
    </w:rPr>
  </w:style>
  <w:style w:type="table" w:customStyle="1" w:styleId="TableGrid12">
    <w:name w:val="Table Grid12"/>
    <w:basedOn w:val="TableNormal"/>
    <w:rsid w:val="008036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Heading Table/Figure Char,Caption (RMC) Char,Caption-tables Char,Tasks Char,Beschriftung Char2 Char,Beschriftung Char1 Char1 Char,Beschriftung Char Char Char1 Char,Beschriftung Char1 Char Char Char,Beschriftung Char Char Char Char Char"/>
    <w:link w:val="Caption"/>
    <w:uiPriority w:val="35"/>
    <w:rsid w:val="00D9400B"/>
    <w:rPr>
      <w:rFonts w:ascii="Times New Roman" w:eastAsia="Times New Roman" w:hAnsi="Times New Roman" w:cs="Times New Roman"/>
      <w:b/>
      <w:bCs/>
      <w:sz w:val="20"/>
      <w:szCs w:val="20"/>
      <w:lang w:val="it-IT" w:eastAsia="en-GB"/>
    </w:rPr>
  </w:style>
  <w:style w:type="table" w:customStyle="1" w:styleId="HTG2">
    <w:name w:val="HTG2"/>
    <w:basedOn w:val="TableNormal"/>
    <w:uiPriority w:val="39"/>
    <w:rsid w:val="00D940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B6E"/>
    <w:pPr>
      <w:tabs>
        <w:tab w:val="center" w:pos="4535"/>
        <w:tab w:val="right" w:pos="9071"/>
      </w:tabs>
      <w:spacing w:before="0"/>
    </w:pPr>
  </w:style>
  <w:style w:type="character" w:customStyle="1" w:styleId="HeaderChar">
    <w:name w:val="Header Char"/>
    <w:basedOn w:val="DefaultParagraphFont"/>
    <w:link w:val="Header"/>
    <w:uiPriority w:val="99"/>
    <w:rsid w:val="009E3B6E"/>
    <w:rPr>
      <w:rFonts w:ascii="Times New Roman" w:hAnsi="Times New Roman" w:cs="Times New Roman"/>
      <w:sz w:val="24"/>
      <w:lang w:val="it-IT"/>
    </w:rPr>
  </w:style>
  <w:style w:type="paragraph" w:styleId="Footer">
    <w:name w:val="footer"/>
    <w:basedOn w:val="Normal"/>
    <w:link w:val="FooterChar"/>
    <w:uiPriority w:val="99"/>
    <w:unhideWhenUsed/>
    <w:rsid w:val="009E3B6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E3B6E"/>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it-IT"/>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E3B6E"/>
    <w:pPr>
      <w:tabs>
        <w:tab w:val="center" w:pos="7285"/>
        <w:tab w:val="right" w:pos="14003"/>
      </w:tabs>
      <w:spacing w:before="0"/>
    </w:pPr>
  </w:style>
  <w:style w:type="paragraph" w:customStyle="1" w:styleId="FooterLandscape">
    <w:name w:val="FooterLandscape"/>
    <w:basedOn w:val="Normal"/>
    <w:rsid w:val="009E3B6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E3B6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E3B6E"/>
    <w:pPr>
      <w:spacing w:before="0"/>
      <w:jc w:val="right"/>
    </w:pPr>
    <w:rPr>
      <w:sz w:val="28"/>
    </w:rPr>
  </w:style>
  <w:style w:type="paragraph" w:customStyle="1" w:styleId="FooterSensitivity">
    <w:name w:val="Footer Sensitivity"/>
    <w:basedOn w:val="Normal"/>
    <w:rsid w:val="009E3B6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1"/>
      </w:numPr>
    </w:pPr>
  </w:style>
  <w:style w:type="paragraph" w:customStyle="1" w:styleId="Tiret1">
    <w:name w:val="Tiret 1"/>
    <w:basedOn w:val="Point1"/>
    <w:rsid w:val="009B7138"/>
    <w:pPr>
      <w:numPr>
        <w:numId w:val="22"/>
      </w:numPr>
    </w:pPr>
  </w:style>
  <w:style w:type="paragraph" w:customStyle="1" w:styleId="Tiret2">
    <w:name w:val="Tiret 2"/>
    <w:basedOn w:val="Point2"/>
    <w:rsid w:val="009B7138"/>
    <w:pPr>
      <w:numPr>
        <w:numId w:val="23"/>
      </w:numPr>
    </w:pPr>
  </w:style>
  <w:style w:type="paragraph" w:customStyle="1" w:styleId="Tiret3">
    <w:name w:val="Tiret 3"/>
    <w:basedOn w:val="Point3"/>
    <w:rsid w:val="009B7138"/>
    <w:pPr>
      <w:numPr>
        <w:numId w:val="24"/>
      </w:numPr>
    </w:pPr>
  </w:style>
  <w:style w:type="paragraph" w:customStyle="1" w:styleId="Tiret4">
    <w:name w:val="Tiret 4"/>
    <w:basedOn w:val="Point4"/>
    <w:rsid w:val="009B7138"/>
    <w:pPr>
      <w:numPr>
        <w:numId w:val="2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5"/>
      </w:numPr>
    </w:pPr>
  </w:style>
  <w:style w:type="paragraph" w:customStyle="1" w:styleId="NumPar2">
    <w:name w:val="NumPar 2"/>
    <w:basedOn w:val="Normal"/>
    <w:next w:val="Text1"/>
    <w:rsid w:val="009B7138"/>
    <w:pPr>
      <w:numPr>
        <w:ilvl w:val="1"/>
        <w:numId w:val="35"/>
      </w:numPr>
    </w:pPr>
  </w:style>
  <w:style w:type="paragraph" w:customStyle="1" w:styleId="NumPar3">
    <w:name w:val="NumPar 3"/>
    <w:basedOn w:val="Normal"/>
    <w:next w:val="Text1"/>
    <w:rsid w:val="009B7138"/>
    <w:pPr>
      <w:numPr>
        <w:ilvl w:val="2"/>
        <w:numId w:val="35"/>
      </w:numPr>
    </w:pPr>
  </w:style>
  <w:style w:type="paragraph" w:customStyle="1" w:styleId="NumPar4">
    <w:name w:val="NumPar 4"/>
    <w:basedOn w:val="Normal"/>
    <w:next w:val="Text1"/>
    <w:rsid w:val="009B7138"/>
    <w:pPr>
      <w:numPr>
        <w:ilvl w:val="3"/>
        <w:numId w:val="3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822929"/>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6"/>
      </w:numPr>
    </w:pPr>
  </w:style>
  <w:style w:type="paragraph" w:customStyle="1" w:styleId="Point1number">
    <w:name w:val="Point 1 (number)"/>
    <w:basedOn w:val="Normal"/>
    <w:rsid w:val="009B7138"/>
    <w:pPr>
      <w:numPr>
        <w:ilvl w:val="2"/>
        <w:numId w:val="26"/>
      </w:numPr>
    </w:pPr>
  </w:style>
  <w:style w:type="paragraph" w:customStyle="1" w:styleId="Point2number">
    <w:name w:val="Point 2 (number)"/>
    <w:basedOn w:val="Normal"/>
    <w:rsid w:val="009B7138"/>
    <w:pPr>
      <w:numPr>
        <w:ilvl w:val="4"/>
        <w:numId w:val="26"/>
      </w:numPr>
    </w:pPr>
  </w:style>
  <w:style w:type="paragraph" w:customStyle="1" w:styleId="Point3number">
    <w:name w:val="Point 3 (number)"/>
    <w:basedOn w:val="Normal"/>
    <w:rsid w:val="009B7138"/>
    <w:pPr>
      <w:numPr>
        <w:ilvl w:val="6"/>
        <w:numId w:val="26"/>
      </w:numPr>
    </w:pPr>
  </w:style>
  <w:style w:type="paragraph" w:customStyle="1" w:styleId="Point0letter">
    <w:name w:val="Point 0 (letter)"/>
    <w:basedOn w:val="Normal"/>
    <w:rsid w:val="009B7138"/>
    <w:pPr>
      <w:numPr>
        <w:ilvl w:val="1"/>
        <w:numId w:val="26"/>
      </w:numPr>
    </w:pPr>
  </w:style>
  <w:style w:type="paragraph" w:customStyle="1" w:styleId="Point1letter">
    <w:name w:val="Point 1 (letter)"/>
    <w:basedOn w:val="Normal"/>
    <w:rsid w:val="009B7138"/>
    <w:pPr>
      <w:numPr>
        <w:ilvl w:val="3"/>
        <w:numId w:val="26"/>
      </w:numPr>
    </w:pPr>
  </w:style>
  <w:style w:type="paragraph" w:customStyle="1" w:styleId="Point2letter">
    <w:name w:val="Point 2 (letter)"/>
    <w:basedOn w:val="Normal"/>
    <w:rsid w:val="009B7138"/>
    <w:pPr>
      <w:numPr>
        <w:ilvl w:val="5"/>
        <w:numId w:val="26"/>
      </w:numPr>
    </w:pPr>
  </w:style>
  <w:style w:type="paragraph" w:customStyle="1" w:styleId="Point3letter">
    <w:name w:val="Point 3 (letter)"/>
    <w:basedOn w:val="Normal"/>
    <w:rsid w:val="009B7138"/>
    <w:pPr>
      <w:numPr>
        <w:ilvl w:val="7"/>
        <w:numId w:val="26"/>
      </w:numPr>
    </w:pPr>
  </w:style>
  <w:style w:type="paragraph" w:customStyle="1" w:styleId="Point4letter">
    <w:name w:val="Point 4 (letter)"/>
    <w:basedOn w:val="Normal"/>
    <w:rsid w:val="009B7138"/>
    <w:pPr>
      <w:numPr>
        <w:ilvl w:val="8"/>
        <w:numId w:val="26"/>
      </w:numPr>
    </w:pPr>
  </w:style>
  <w:style w:type="paragraph" w:customStyle="1" w:styleId="Bullet0">
    <w:name w:val="Bullet 0"/>
    <w:basedOn w:val="Normal"/>
    <w:rsid w:val="009B7138"/>
    <w:pPr>
      <w:numPr>
        <w:numId w:val="27"/>
      </w:numPr>
    </w:pPr>
  </w:style>
  <w:style w:type="paragraph" w:customStyle="1" w:styleId="Bullet1">
    <w:name w:val="Bullet 1"/>
    <w:basedOn w:val="Normal"/>
    <w:rsid w:val="009B7138"/>
    <w:pPr>
      <w:numPr>
        <w:numId w:val="28"/>
      </w:numPr>
    </w:pPr>
  </w:style>
  <w:style w:type="paragraph" w:customStyle="1" w:styleId="Bullet2">
    <w:name w:val="Bullet 2"/>
    <w:basedOn w:val="Normal"/>
    <w:rsid w:val="009B7138"/>
    <w:pPr>
      <w:numPr>
        <w:numId w:val="29"/>
      </w:numPr>
    </w:pPr>
  </w:style>
  <w:style w:type="paragraph" w:customStyle="1" w:styleId="Bullet3">
    <w:name w:val="Bullet 3"/>
    <w:basedOn w:val="Normal"/>
    <w:rsid w:val="009B7138"/>
    <w:pPr>
      <w:numPr>
        <w:numId w:val="30"/>
      </w:numPr>
    </w:pPr>
  </w:style>
  <w:style w:type="paragraph" w:customStyle="1" w:styleId="Bullet4">
    <w:name w:val="Bullet 4"/>
    <w:basedOn w:val="Normal"/>
    <w:rsid w:val="009B7138"/>
    <w:pPr>
      <w:numPr>
        <w:numId w:val="3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C82D89"/>
    <w:pPr>
      <w:keepNext/>
      <w:tabs>
        <w:tab w:val="left" w:pos="1417"/>
      </w:tabs>
      <w:ind w:left="1417" w:hanging="1417"/>
      <w:outlineLvl w:val="4"/>
    </w:pPr>
  </w:style>
  <w:style w:type="paragraph" w:customStyle="1" w:styleId="ManualHeading6">
    <w:name w:val="Manual Heading 6"/>
    <w:basedOn w:val="Normal"/>
    <w:next w:val="Text2"/>
    <w:rsid w:val="00C82D89"/>
    <w:pPr>
      <w:keepNext/>
      <w:tabs>
        <w:tab w:val="left" w:pos="1417"/>
      </w:tabs>
      <w:ind w:left="1417" w:hanging="1417"/>
      <w:outlineLvl w:val="5"/>
    </w:pPr>
  </w:style>
  <w:style w:type="paragraph" w:customStyle="1" w:styleId="ManualHeading7">
    <w:name w:val="Manual Heading 7"/>
    <w:basedOn w:val="Normal"/>
    <w:next w:val="Text2"/>
    <w:rsid w:val="00C82D89"/>
    <w:pPr>
      <w:keepNext/>
      <w:tabs>
        <w:tab w:val="left" w:pos="1417"/>
      </w:tabs>
      <w:ind w:left="1417" w:hanging="1417"/>
      <w:outlineLvl w:val="6"/>
    </w:pPr>
  </w:style>
  <w:style w:type="paragraph" w:customStyle="1" w:styleId="Text5">
    <w:name w:val="Text 5"/>
    <w:basedOn w:val="Normal"/>
    <w:rsid w:val="00C82D89"/>
    <w:pPr>
      <w:ind w:left="3118"/>
    </w:pPr>
  </w:style>
  <w:style w:type="paragraph" w:customStyle="1" w:styleId="Text6">
    <w:name w:val="Text 6"/>
    <w:basedOn w:val="Normal"/>
    <w:rsid w:val="00C82D89"/>
    <w:pPr>
      <w:ind w:left="3685"/>
    </w:pPr>
  </w:style>
  <w:style w:type="paragraph" w:customStyle="1" w:styleId="Point5">
    <w:name w:val="Point 5"/>
    <w:basedOn w:val="Normal"/>
    <w:rsid w:val="00C82D89"/>
    <w:pPr>
      <w:ind w:left="3685" w:hanging="567"/>
    </w:pPr>
  </w:style>
  <w:style w:type="paragraph" w:customStyle="1" w:styleId="Tiret5">
    <w:name w:val="Tiret 5"/>
    <w:basedOn w:val="Point5"/>
    <w:rsid w:val="00C82D89"/>
    <w:pPr>
      <w:numPr>
        <w:numId w:val="34"/>
      </w:numPr>
    </w:pPr>
  </w:style>
  <w:style w:type="paragraph" w:customStyle="1" w:styleId="NumPar5">
    <w:name w:val="NumPar 5"/>
    <w:basedOn w:val="Normal"/>
    <w:next w:val="Text2"/>
    <w:rsid w:val="00C82D89"/>
    <w:pPr>
      <w:numPr>
        <w:ilvl w:val="4"/>
        <w:numId w:val="35"/>
      </w:numPr>
    </w:pPr>
  </w:style>
  <w:style w:type="paragraph" w:customStyle="1" w:styleId="NumPar6">
    <w:name w:val="NumPar 6"/>
    <w:basedOn w:val="Normal"/>
    <w:next w:val="Text2"/>
    <w:rsid w:val="00C82D89"/>
    <w:pPr>
      <w:numPr>
        <w:ilvl w:val="5"/>
        <w:numId w:val="35"/>
      </w:numPr>
    </w:pPr>
  </w:style>
  <w:style w:type="paragraph" w:customStyle="1" w:styleId="NumPar7">
    <w:name w:val="NumPar 7"/>
    <w:basedOn w:val="Normal"/>
    <w:next w:val="Text2"/>
    <w:rsid w:val="00C82D89"/>
    <w:pPr>
      <w:numPr>
        <w:ilvl w:val="6"/>
        <w:numId w:val="35"/>
      </w:numPr>
    </w:pPr>
  </w:style>
  <w:style w:type="paragraph" w:customStyle="1" w:styleId="ManualNumPar5">
    <w:name w:val="Manual NumPar 5"/>
    <w:basedOn w:val="Normal"/>
    <w:next w:val="Text2"/>
    <w:rsid w:val="00C82D89"/>
    <w:pPr>
      <w:ind w:left="1417" w:hanging="1417"/>
    </w:pPr>
  </w:style>
  <w:style w:type="paragraph" w:customStyle="1" w:styleId="ManualNumPar6">
    <w:name w:val="Manual NumPar 6"/>
    <w:basedOn w:val="Normal"/>
    <w:next w:val="Text2"/>
    <w:rsid w:val="00C82D89"/>
    <w:pPr>
      <w:ind w:left="1417" w:hanging="1417"/>
    </w:pPr>
  </w:style>
  <w:style w:type="paragraph" w:customStyle="1" w:styleId="ManualNumPar7">
    <w:name w:val="Manual NumPar 7"/>
    <w:basedOn w:val="Normal"/>
    <w:next w:val="Text2"/>
    <w:rsid w:val="00C82D89"/>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406">
      <w:bodyDiv w:val="1"/>
      <w:marLeft w:val="0"/>
      <w:marRight w:val="0"/>
      <w:marTop w:val="0"/>
      <w:marBottom w:val="0"/>
      <w:divBdr>
        <w:top w:val="none" w:sz="0" w:space="0" w:color="auto"/>
        <w:left w:val="none" w:sz="0" w:space="0" w:color="auto"/>
        <w:bottom w:val="none" w:sz="0" w:space="0" w:color="auto"/>
        <w:right w:val="none" w:sz="0" w:space="0" w:color="auto"/>
      </w:divBdr>
    </w:div>
    <w:div w:id="76447159">
      <w:bodyDiv w:val="1"/>
      <w:marLeft w:val="0"/>
      <w:marRight w:val="0"/>
      <w:marTop w:val="0"/>
      <w:marBottom w:val="0"/>
      <w:divBdr>
        <w:top w:val="none" w:sz="0" w:space="0" w:color="auto"/>
        <w:left w:val="none" w:sz="0" w:space="0" w:color="auto"/>
        <w:bottom w:val="none" w:sz="0" w:space="0" w:color="auto"/>
        <w:right w:val="none" w:sz="0" w:space="0" w:color="auto"/>
      </w:divBdr>
    </w:div>
    <w:div w:id="265313108">
      <w:bodyDiv w:val="1"/>
      <w:marLeft w:val="0"/>
      <w:marRight w:val="0"/>
      <w:marTop w:val="0"/>
      <w:marBottom w:val="0"/>
      <w:divBdr>
        <w:top w:val="none" w:sz="0" w:space="0" w:color="auto"/>
        <w:left w:val="none" w:sz="0" w:space="0" w:color="auto"/>
        <w:bottom w:val="none" w:sz="0" w:space="0" w:color="auto"/>
        <w:right w:val="none" w:sz="0" w:space="0" w:color="auto"/>
      </w:divBdr>
    </w:div>
    <w:div w:id="301545781">
      <w:bodyDiv w:val="1"/>
      <w:marLeft w:val="0"/>
      <w:marRight w:val="0"/>
      <w:marTop w:val="0"/>
      <w:marBottom w:val="0"/>
      <w:divBdr>
        <w:top w:val="none" w:sz="0" w:space="0" w:color="auto"/>
        <w:left w:val="none" w:sz="0" w:space="0" w:color="auto"/>
        <w:bottom w:val="none" w:sz="0" w:space="0" w:color="auto"/>
        <w:right w:val="none" w:sz="0" w:space="0" w:color="auto"/>
      </w:divBdr>
    </w:div>
    <w:div w:id="359235357">
      <w:bodyDiv w:val="1"/>
      <w:marLeft w:val="0"/>
      <w:marRight w:val="0"/>
      <w:marTop w:val="0"/>
      <w:marBottom w:val="0"/>
      <w:divBdr>
        <w:top w:val="none" w:sz="0" w:space="0" w:color="auto"/>
        <w:left w:val="none" w:sz="0" w:space="0" w:color="auto"/>
        <w:bottom w:val="none" w:sz="0" w:space="0" w:color="auto"/>
        <w:right w:val="none" w:sz="0" w:space="0" w:color="auto"/>
      </w:divBdr>
    </w:div>
    <w:div w:id="388187601">
      <w:bodyDiv w:val="1"/>
      <w:marLeft w:val="0"/>
      <w:marRight w:val="0"/>
      <w:marTop w:val="0"/>
      <w:marBottom w:val="0"/>
      <w:divBdr>
        <w:top w:val="none" w:sz="0" w:space="0" w:color="auto"/>
        <w:left w:val="none" w:sz="0" w:space="0" w:color="auto"/>
        <w:bottom w:val="none" w:sz="0" w:space="0" w:color="auto"/>
        <w:right w:val="none" w:sz="0" w:space="0" w:color="auto"/>
      </w:divBdr>
    </w:div>
    <w:div w:id="406651728">
      <w:bodyDiv w:val="1"/>
      <w:marLeft w:val="0"/>
      <w:marRight w:val="0"/>
      <w:marTop w:val="0"/>
      <w:marBottom w:val="0"/>
      <w:divBdr>
        <w:top w:val="none" w:sz="0" w:space="0" w:color="auto"/>
        <w:left w:val="none" w:sz="0" w:space="0" w:color="auto"/>
        <w:bottom w:val="none" w:sz="0" w:space="0" w:color="auto"/>
        <w:right w:val="none" w:sz="0" w:space="0" w:color="auto"/>
      </w:divBdr>
    </w:div>
    <w:div w:id="462576272">
      <w:bodyDiv w:val="1"/>
      <w:marLeft w:val="0"/>
      <w:marRight w:val="0"/>
      <w:marTop w:val="0"/>
      <w:marBottom w:val="0"/>
      <w:divBdr>
        <w:top w:val="none" w:sz="0" w:space="0" w:color="auto"/>
        <w:left w:val="none" w:sz="0" w:space="0" w:color="auto"/>
        <w:bottom w:val="none" w:sz="0" w:space="0" w:color="auto"/>
        <w:right w:val="none" w:sz="0" w:space="0" w:color="auto"/>
      </w:divBdr>
    </w:div>
    <w:div w:id="481892545">
      <w:bodyDiv w:val="1"/>
      <w:marLeft w:val="0"/>
      <w:marRight w:val="0"/>
      <w:marTop w:val="0"/>
      <w:marBottom w:val="0"/>
      <w:divBdr>
        <w:top w:val="none" w:sz="0" w:space="0" w:color="auto"/>
        <w:left w:val="none" w:sz="0" w:space="0" w:color="auto"/>
        <w:bottom w:val="none" w:sz="0" w:space="0" w:color="auto"/>
        <w:right w:val="none" w:sz="0" w:space="0" w:color="auto"/>
      </w:divBdr>
    </w:div>
    <w:div w:id="636498064">
      <w:bodyDiv w:val="1"/>
      <w:marLeft w:val="0"/>
      <w:marRight w:val="0"/>
      <w:marTop w:val="0"/>
      <w:marBottom w:val="0"/>
      <w:divBdr>
        <w:top w:val="none" w:sz="0" w:space="0" w:color="auto"/>
        <w:left w:val="none" w:sz="0" w:space="0" w:color="auto"/>
        <w:bottom w:val="none" w:sz="0" w:space="0" w:color="auto"/>
        <w:right w:val="none" w:sz="0" w:space="0" w:color="auto"/>
      </w:divBdr>
    </w:div>
    <w:div w:id="675348654">
      <w:bodyDiv w:val="1"/>
      <w:marLeft w:val="0"/>
      <w:marRight w:val="0"/>
      <w:marTop w:val="0"/>
      <w:marBottom w:val="0"/>
      <w:divBdr>
        <w:top w:val="none" w:sz="0" w:space="0" w:color="auto"/>
        <w:left w:val="none" w:sz="0" w:space="0" w:color="auto"/>
        <w:bottom w:val="none" w:sz="0" w:space="0" w:color="auto"/>
        <w:right w:val="none" w:sz="0" w:space="0" w:color="auto"/>
      </w:divBdr>
    </w:div>
    <w:div w:id="732199340">
      <w:bodyDiv w:val="1"/>
      <w:marLeft w:val="0"/>
      <w:marRight w:val="0"/>
      <w:marTop w:val="0"/>
      <w:marBottom w:val="0"/>
      <w:divBdr>
        <w:top w:val="none" w:sz="0" w:space="0" w:color="auto"/>
        <w:left w:val="none" w:sz="0" w:space="0" w:color="auto"/>
        <w:bottom w:val="none" w:sz="0" w:space="0" w:color="auto"/>
        <w:right w:val="none" w:sz="0" w:space="0" w:color="auto"/>
      </w:divBdr>
    </w:div>
    <w:div w:id="745612772">
      <w:bodyDiv w:val="1"/>
      <w:marLeft w:val="0"/>
      <w:marRight w:val="0"/>
      <w:marTop w:val="0"/>
      <w:marBottom w:val="0"/>
      <w:divBdr>
        <w:top w:val="none" w:sz="0" w:space="0" w:color="auto"/>
        <w:left w:val="none" w:sz="0" w:space="0" w:color="auto"/>
        <w:bottom w:val="none" w:sz="0" w:space="0" w:color="auto"/>
        <w:right w:val="none" w:sz="0" w:space="0" w:color="auto"/>
      </w:divBdr>
    </w:div>
    <w:div w:id="757363861">
      <w:bodyDiv w:val="1"/>
      <w:marLeft w:val="0"/>
      <w:marRight w:val="0"/>
      <w:marTop w:val="0"/>
      <w:marBottom w:val="0"/>
      <w:divBdr>
        <w:top w:val="none" w:sz="0" w:space="0" w:color="auto"/>
        <w:left w:val="none" w:sz="0" w:space="0" w:color="auto"/>
        <w:bottom w:val="none" w:sz="0" w:space="0" w:color="auto"/>
        <w:right w:val="none" w:sz="0" w:space="0" w:color="auto"/>
      </w:divBdr>
    </w:div>
    <w:div w:id="791632381">
      <w:bodyDiv w:val="1"/>
      <w:marLeft w:val="0"/>
      <w:marRight w:val="0"/>
      <w:marTop w:val="0"/>
      <w:marBottom w:val="0"/>
      <w:divBdr>
        <w:top w:val="none" w:sz="0" w:space="0" w:color="auto"/>
        <w:left w:val="none" w:sz="0" w:space="0" w:color="auto"/>
        <w:bottom w:val="none" w:sz="0" w:space="0" w:color="auto"/>
        <w:right w:val="none" w:sz="0" w:space="0" w:color="auto"/>
      </w:divBdr>
    </w:div>
    <w:div w:id="858393083">
      <w:bodyDiv w:val="1"/>
      <w:marLeft w:val="0"/>
      <w:marRight w:val="0"/>
      <w:marTop w:val="0"/>
      <w:marBottom w:val="0"/>
      <w:divBdr>
        <w:top w:val="none" w:sz="0" w:space="0" w:color="auto"/>
        <w:left w:val="none" w:sz="0" w:space="0" w:color="auto"/>
        <w:bottom w:val="none" w:sz="0" w:space="0" w:color="auto"/>
        <w:right w:val="none" w:sz="0" w:space="0" w:color="auto"/>
      </w:divBdr>
    </w:div>
    <w:div w:id="946693481">
      <w:bodyDiv w:val="1"/>
      <w:marLeft w:val="0"/>
      <w:marRight w:val="0"/>
      <w:marTop w:val="0"/>
      <w:marBottom w:val="0"/>
      <w:divBdr>
        <w:top w:val="none" w:sz="0" w:space="0" w:color="auto"/>
        <w:left w:val="none" w:sz="0" w:space="0" w:color="auto"/>
        <w:bottom w:val="none" w:sz="0" w:space="0" w:color="auto"/>
        <w:right w:val="none" w:sz="0" w:space="0" w:color="auto"/>
      </w:divBdr>
    </w:div>
    <w:div w:id="962617949">
      <w:bodyDiv w:val="1"/>
      <w:marLeft w:val="0"/>
      <w:marRight w:val="0"/>
      <w:marTop w:val="0"/>
      <w:marBottom w:val="0"/>
      <w:divBdr>
        <w:top w:val="none" w:sz="0" w:space="0" w:color="auto"/>
        <w:left w:val="none" w:sz="0" w:space="0" w:color="auto"/>
        <w:bottom w:val="none" w:sz="0" w:space="0" w:color="auto"/>
        <w:right w:val="none" w:sz="0" w:space="0" w:color="auto"/>
      </w:divBdr>
    </w:div>
    <w:div w:id="966816375">
      <w:bodyDiv w:val="1"/>
      <w:marLeft w:val="0"/>
      <w:marRight w:val="0"/>
      <w:marTop w:val="0"/>
      <w:marBottom w:val="0"/>
      <w:divBdr>
        <w:top w:val="none" w:sz="0" w:space="0" w:color="auto"/>
        <w:left w:val="none" w:sz="0" w:space="0" w:color="auto"/>
        <w:bottom w:val="none" w:sz="0" w:space="0" w:color="auto"/>
        <w:right w:val="none" w:sz="0" w:space="0" w:color="auto"/>
      </w:divBdr>
    </w:div>
    <w:div w:id="1266616066">
      <w:bodyDiv w:val="1"/>
      <w:marLeft w:val="0"/>
      <w:marRight w:val="0"/>
      <w:marTop w:val="0"/>
      <w:marBottom w:val="0"/>
      <w:divBdr>
        <w:top w:val="none" w:sz="0" w:space="0" w:color="auto"/>
        <w:left w:val="none" w:sz="0" w:space="0" w:color="auto"/>
        <w:bottom w:val="none" w:sz="0" w:space="0" w:color="auto"/>
        <w:right w:val="none" w:sz="0" w:space="0" w:color="auto"/>
      </w:divBdr>
    </w:div>
    <w:div w:id="1288976050">
      <w:bodyDiv w:val="1"/>
      <w:marLeft w:val="0"/>
      <w:marRight w:val="0"/>
      <w:marTop w:val="0"/>
      <w:marBottom w:val="0"/>
      <w:divBdr>
        <w:top w:val="none" w:sz="0" w:space="0" w:color="auto"/>
        <w:left w:val="none" w:sz="0" w:space="0" w:color="auto"/>
        <w:bottom w:val="none" w:sz="0" w:space="0" w:color="auto"/>
        <w:right w:val="none" w:sz="0" w:space="0" w:color="auto"/>
      </w:divBdr>
    </w:div>
    <w:div w:id="1346977096">
      <w:bodyDiv w:val="1"/>
      <w:marLeft w:val="0"/>
      <w:marRight w:val="0"/>
      <w:marTop w:val="0"/>
      <w:marBottom w:val="0"/>
      <w:divBdr>
        <w:top w:val="none" w:sz="0" w:space="0" w:color="auto"/>
        <w:left w:val="none" w:sz="0" w:space="0" w:color="auto"/>
        <w:bottom w:val="none" w:sz="0" w:space="0" w:color="auto"/>
        <w:right w:val="none" w:sz="0" w:space="0" w:color="auto"/>
      </w:divBdr>
    </w:div>
    <w:div w:id="1368142857">
      <w:bodyDiv w:val="1"/>
      <w:marLeft w:val="0"/>
      <w:marRight w:val="0"/>
      <w:marTop w:val="0"/>
      <w:marBottom w:val="0"/>
      <w:divBdr>
        <w:top w:val="none" w:sz="0" w:space="0" w:color="auto"/>
        <w:left w:val="none" w:sz="0" w:space="0" w:color="auto"/>
        <w:bottom w:val="none" w:sz="0" w:space="0" w:color="auto"/>
        <w:right w:val="none" w:sz="0" w:space="0" w:color="auto"/>
      </w:divBdr>
    </w:div>
    <w:div w:id="1408189490">
      <w:bodyDiv w:val="1"/>
      <w:marLeft w:val="0"/>
      <w:marRight w:val="0"/>
      <w:marTop w:val="0"/>
      <w:marBottom w:val="0"/>
      <w:divBdr>
        <w:top w:val="none" w:sz="0" w:space="0" w:color="auto"/>
        <w:left w:val="none" w:sz="0" w:space="0" w:color="auto"/>
        <w:bottom w:val="none" w:sz="0" w:space="0" w:color="auto"/>
        <w:right w:val="none" w:sz="0" w:space="0" w:color="auto"/>
      </w:divBdr>
    </w:div>
    <w:div w:id="1424522960">
      <w:bodyDiv w:val="1"/>
      <w:marLeft w:val="0"/>
      <w:marRight w:val="0"/>
      <w:marTop w:val="0"/>
      <w:marBottom w:val="0"/>
      <w:divBdr>
        <w:top w:val="none" w:sz="0" w:space="0" w:color="auto"/>
        <w:left w:val="none" w:sz="0" w:space="0" w:color="auto"/>
        <w:bottom w:val="none" w:sz="0" w:space="0" w:color="auto"/>
        <w:right w:val="none" w:sz="0" w:space="0" w:color="auto"/>
      </w:divBdr>
    </w:div>
    <w:div w:id="1482430616">
      <w:bodyDiv w:val="1"/>
      <w:marLeft w:val="0"/>
      <w:marRight w:val="0"/>
      <w:marTop w:val="0"/>
      <w:marBottom w:val="0"/>
      <w:divBdr>
        <w:top w:val="none" w:sz="0" w:space="0" w:color="auto"/>
        <w:left w:val="none" w:sz="0" w:space="0" w:color="auto"/>
        <w:bottom w:val="none" w:sz="0" w:space="0" w:color="auto"/>
        <w:right w:val="none" w:sz="0" w:space="0" w:color="auto"/>
      </w:divBdr>
    </w:div>
    <w:div w:id="1519393749">
      <w:bodyDiv w:val="1"/>
      <w:marLeft w:val="0"/>
      <w:marRight w:val="0"/>
      <w:marTop w:val="0"/>
      <w:marBottom w:val="0"/>
      <w:divBdr>
        <w:top w:val="none" w:sz="0" w:space="0" w:color="auto"/>
        <w:left w:val="none" w:sz="0" w:space="0" w:color="auto"/>
        <w:bottom w:val="none" w:sz="0" w:space="0" w:color="auto"/>
        <w:right w:val="none" w:sz="0" w:space="0" w:color="auto"/>
      </w:divBdr>
    </w:div>
    <w:div w:id="1538397975">
      <w:bodyDiv w:val="1"/>
      <w:marLeft w:val="0"/>
      <w:marRight w:val="0"/>
      <w:marTop w:val="0"/>
      <w:marBottom w:val="0"/>
      <w:divBdr>
        <w:top w:val="none" w:sz="0" w:space="0" w:color="auto"/>
        <w:left w:val="none" w:sz="0" w:space="0" w:color="auto"/>
        <w:bottom w:val="none" w:sz="0" w:space="0" w:color="auto"/>
        <w:right w:val="none" w:sz="0" w:space="0" w:color="auto"/>
      </w:divBdr>
    </w:div>
    <w:div w:id="1612400068">
      <w:bodyDiv w:val="1"/>
      <w:marLeft w:val="0"/>
      <w:marRight w:val="0"/>
      <w:marTop w:val="0"/>
      <w:marBottom w:val="0"/>
      <w:divBdr>
        <w:top w:val="none" w:sz="0" w:space="0" w:color="auto"/>
        <w:left w:val="none" w:sz="0" w:space="0" w:color="auto"/>
        <w:bottom w:val="none" w:sz="0" w:space="0" w:color="auto"/>
        <w:right w:val="none" w:sz="0" w:space="0" w:color="auto"/>
      </w:divBdr>
    </w:div>
    <w:div w:id="1688214350">
      <w:bodyDiv w:val="1"/>
      <w:marLeft w:val="0"/>
      <w:marRight w:val="0"/>
      <w:marTop w:val="0"/>
      <w:marBottom w:val="0"/>
      <w:divBdr>
        <w:top w:val="none" w:sz="0" w:space="0" w:color="auto"/>
        <w:left w:val="none" w:sz="0" w:space="0" w:color="auto"/>
        <w:bottom w:val="none" w:sz="0" w:space="0" w:color="auto"/>
        <w:right w:val="none" w:sz="0" w:space="0" w:color="auto"/>
      </w:divBdr>
    </w:div>
    <w:div w:id="1785731714">
      <w:bodyDiv w:val="1"/>
      <w:marLeft w:val="0"/>
      <w:marRight w:val="0"/>
      <w:marTop w:val="0"/>
      <w:marBottom w:val="0"/>
      <w:divBdr>
        <w:top w:val="none" w:sz="0" w:space="0" w:color="auto"/>
        <w:left w:val="none" w:sz="0" w:space="0" w:color="auto"/>
        <w:bottom w:val="none" w:sz="0" w:space="0" w:color="auto"/>
        <w:right w:val="none" w:sz="0" w:space="0" w:color="auto"/>
      </w:divBdr>
    </w:div>
    <w:div w:id="1975990031">
      <w:bodyDiv w:val="1"/>
      <w:marLeft w:val="0"/>
      <w:marRight w:val="0"/>
      <w:marTop w:val="0"/>
      <w:marBottom w:val="0"/>
      <w:divBdr>
        <w:top w:val="none" w:sz="0" w:space="0" w:color="auto"/>
        <w:left w:val="none" w:sz="0" w:space="0" w:color="auto"/>
        <w:bottom w:val="none" w:sz="0" w:space="0" w:color="auto"/>
        <w:right w:val="none" w:sz="0" w:space="0" w:color="auto"/>
      </w:divBdr>
    </w:div>
    <w:div w:id="2068844824">
      <w:bodyDiv w:val="1"/>
      <w:marLeft w:val="0"/>
      <w:marRight w:val="0"/>
      <w:marTop w:val="0"/>
      <w:marBottom w:val="0"/>
      <w:divBdr>
        <w:top w:val="none" w:sz="0" w:space="0" w:color="auto"/>
        <w:left w:val="none" w:sz="0" w:space="0" w:color="auto"/>
        <w:bottom w:val="none" w:sz="0" w:space="0" w:color="auto"/>
        <w:right w:val="none" w:sz="0" w:space="0" w:color="auto"/>
      </w:divBdr>
    </w:div>
    <w:div w:id="21197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vironment/chemicals/international_conventions/index_en.htm" TargetMode="External"/><Relationship Id="rId1" Type="http://schemas.openxmlformats.org/officeDocument/2006/relationships/hyperlink" Target="https://ec.europa.eu/info/sites/info/files/summary-report-public-consultation-chemical-product-waste-legils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7584B2-E257-4A73-93BA-8E508FE8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4847</Words>
  <Characters>28404</Characters>
  <Application>Microsoft Office Word</Application>
  <DocSecurity>0</DocSecurity>
  <Lines>568</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2020-10-05T13:02:00Z</cp:lastPrinted>
  <dcterms:created xsi:type="dcterms:W3CDTF">2021-10-21T07:36:00Z</dcterms:created>
  <dcterms:modified xsi:type="dcterms:W3CDTF">2021-10-25T09:25:00Z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0x010100258AA79CEB83498886A3A0868112325000647D67F3DF51AE4595F0FFD69947612D</vt:lpwstr>
  </property>
  <property fmtid="{D5CDD505-2E9C-101B-9397-08002B2CF9AE}" pid="10" name="Last edited using">
    <vt:lpwstr>LW 7.0.1, Build 20200226</vt:lpwstr>
  </property>
  <property fmtid="{D5CDD505-2E9C-101B-9397-08002B2CF9AE}" pid="11" name="DQCStatus">
    <vt:lpwstr>Green (DQC version 03)</vt:lpwstr>
  </property>
</Properties>
</file>