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9DF86" w14:textId="0A29CF27" w:rsidR="000A53D2" w:rsidRDefault="008829FA" w:rsidP="008829FA">
      <w:pPr>
        <w:pStyle w:val="Pagedecouverture"/>
        <w:rPr>
          <w:noProof/>
        </w:rPr>
      </w:pPr>
      <w:bookmarkStart w:id="0" w:name="LW_BM_COVERPAGE"/>
      <w:r>
        <w:rPr>
          <w:noProof/>
        </w:rPr>
        <w:pict w14:anchorId="1A62C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34C7F32-DC3B-42E1-8493-A090E8A160DD" style="width:455.25pt;height:452.25pt">
            <v:imagedata r:id="rId14" o:title=""/>
          </v:shape>
        </w:pict>
      </w:r>
    </w:p>
    <w:bookmarkEnd w:id="0"/>
    <w:p w14:paraId="1DC9DF87" w14:textId="77777777" w:rsidR="000A53D2" w:rsidRDefault="000A53D2">
      <w:pPr>
        <w:rPr>
          <w:noProof/>
          <w:lang w:eastAsia="de-DE"/>
        </w:rPr>
        <w:sectPr w:rsidR="000A53D2" w:rsidSect="008829FA">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p>
    <w:p w14:paraId="1DC9DF88" w14:textId="77777777" w:rsidR="000A53D2" w:rsidRDefault="00A608B9">
      <w:pPr>
        <w:spacing w:after="360"/>
        <w:jc w:val="center"/>
        <w:outlineLvl w:val="0"/>
        <w:rPr>
          <w:b/>
          <w:noProof/>
          <w:sz w:val="28"/>
          <w:szCs w:val="28"/>
          <w:u w:val="single"/>
        </w:rPr>
      </w:pPr>
      <w:bookmarkStart w:id="1" w:name="_GoBack"/>
      <w:bookmarkEnd w:id="1"/>
      <w:r>
        <w:rPr>
          <w:b/>
          <w:bCs/>
          <w:noProof/>
          <w:sz w:val="28"/>
          <w:szCs w:val="28"/>
          <w:u w:val="single"/>
        </w:rPr>
        <w:lastRenderedPageBreak/>
        <w:t>Příloha I: Nové iniciativy</w:t>
      </w:r>
      <w:r>
        <w:rPr>
          <w:rStyle w:val="FootnoteReference"/>
          <w:noProof/>
          <w:sz w:val="20"/>
        </w:rPr>
        <w:footnoteReference w:id="2"/>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652"/>
        <w:gridCol w:w="4111"/>
        <w:gridCol w:w="10064"/>
      </w:tblGrid>
      <w:tr w:rsidR="000A53D2" w14:paraId="1DC9DF8C" w14:textId="77777777" w:rsidTr="000E35B5">
        <w:trPr>
          <w:cantSplit/>
          <w:tblHeader/>
        </w:trPr>
        <w:tc>
          <w:tcPr>
            <w:tcW w:w="652" w:type="dxa"/>
            <w:tcBorders>
              <w:top w:val="single" w:sz="4" w:space="0" w:color="auto"/>
              <w:left w:val="single" w:sz="4" w:space="0" w:color="auto"/>
              <w:bottom w:val="single" w:sz="4" w:space="0" w:color="auto"/>
              <w:right w:val="single" w:sz="4" w:space="0" w:color="auto"/>
            </w:tcBorders>
            <w:shd w:val="clear" w:color="auto" w:fill="99CCFF"/>
            <w:vAlign w:val="center"/>
          </w:tcPr>
          <w:p w14:paraId="1DC9DF89" w14:textId="77777777" w:rsidR="000A53D2" w:rsidRDefault="00A608B9">
            <w:pPr>
              <w:spacing w:after="0"/>
              <w:rPr>
                <w:b/>
                <w:bCs/>
                <w:noProof/>
                <w:sz w:val="20"/>
              </w:rPr>
            </w:pPr>
            <w:r>
              <w:rPr>
                <w:b/>
                <w:bCs/>
                <w:noProof/>
                <w:sz w:val="20"/>
              </w:rPr>
              <w:t>Č.</w:t>
            </w:r>
          </w:p>
        </w:tc>
        <w:tc>
          <w:tcPr>
            <w:tcW w:w="4111" w:type="dxa"/>
            <w:tcBorders>
              <w:top w:val="single" w:sz="4" w:space="0" w:color="auto"/>
              <w:left w:val="single" w:sz="4" w:space="0" w:color="auto"/>
              <w:bottom w:val="single" w:sz="4" w:space="0" w:color="auto"/>
              <w:right w:val="single" w:sz="4" w:space="0" w:color="auto"/>
            </w:tcBorders>
            <w:shd w:val="clear" w:color="auto" w:fill="99CCFF"/>
            <w:vAlign w:val="center"/>
          </w:tcPr>
          <w:p w14:paraId="1DC9DF8A" w14:textId="77777777" w:rsidR="000A53D2" w:rsidRDefault="00A608B9">
            <w:pPr>
              <w:spacing w:before="60" w:after="60"/>
              <w:jc w:val="center"/>
              <w:rPr>
                <w:b/>
                <w:bCs/>
                <w:noProof/>
                <w:sz w:val="20"/>
              </w:rPr>
            </w:pPr>
            <w:r>
              <w:rPr>
                <w:b/>
                <w:bCs/>
                <w:noProof/>
                <w:sz w:val="20"/>
              </w:rPr>
              <w:t>Cíle politiky</w:t>
            </w:r>
          </w:p>
        </w:tc>
        <w:tc>
          <w:tcPr>
            <w:tcW w:w="10064" w:type="dxa"/>
            <w:tcBorders>
              <w:top w:val="single" w:sz="4" w:space="0" w:color="auto"/>
              <w:left w:val="single" w:sz="4" w:space="0" w:color="auto"/>
              <w:bottom w:val="single" w:sz="4" w:space="0" w:color="auto"/>
              <w:right w:val="single" w:sz="4" w:space="0" w:color="auto"/>
            </w:tcBorders>
            <w:shd w:val="clear" w:color="auto" w:fill="99CCFF"/>
            <w:vAlign w:val="center"/>
          </w:tcPr>
          <w:p w14:paraId="1DC9DF8B" w14:textId="77777777" w:rsidR="000A53D2" w:rsidRDefault="00A608B9">
            <w:pPr>
              <w:spacing w:after="0"/>
              <w:jc w:val="center"/>
              <w:rPr>
                <w:b/>
                <w:bCs/>
                <w:noProof/>
                <w:sz w:val="20"/>
              </w:rPr>
            </w:pPr>
            <w:r>
              <w:rPr>
                <w:b/>
                <w:bCs/>
                <w:noProof/>
                <w:sz w:val="20"/>
              </w:rPr>
              <w:t>Iniciativy</w:t>
            </w:r>
          </w:p>
        </w:tc>
      </w:tr>
      <w:tr w:rsidR="000A53D2" w14:paraId="1DC9DF8E" w14:textId="77777777">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14:paraId="1DC9DF8D" w14:textId="77777777" w:rsidR="000A53D2" w:rsidRDefault="00A608B9">
            <w:pPr>
              <w:keepNext/>
              <w:spacing w:before="60" w:after="60"/>
              <w:jc w:val="left"/>
              <w:rPr>
                <w:b/>
                <w:bCs/>
                <w:noProof/>
                <w:color w:val="FFFFFF" w:themeColor="background1"/>
                <w:sz w:val="20"/>
              </w:rPr>
            </w:pPr>
            <w:r>
              <w:rPr>
                <w:b/>
                <w:bCs/>
                <w:noProof/>
                <w:color w:val="FFFFFF" w:themeColor="background1"/>
                <w:sz w:val="20"/>
              </w:rPr>
              <w:t>Zelená dohoda pro Evropu</w:t>
            </w:r>
          </w:p>
        </w:tc>
      </w:tr>
      <w:tr w:rsidR="000A53D2" w14:paraId="1DC9DF9D" w14:textId="77777777" w:rsidTr="000E35B5">
        <w:trPr>
          <w:cantSplit/>
        </w:trPr>
        <w:tc>
          <w:tcPr>
            <w:tcW w:w="652" w:type="dxa"/>
            <w:tcBorders>
              <w:bottom w:val="single" w:sz="4" w:space="0" w:color="auto"/>
              <w:right w:val="single" w:sz="4" w:space="0" w:color="auto"/>
            </w:tcBorders>
          </w:tcPr>
          <w:p w14:paraId="56F3EC24" w14:textId="3D157DF2" w:rsidR="000A53D2" w:rsidRPr="0001701E" w:rsidRDefault="000A53D2" w:rsidP="005A3E3C">
            <w:pPr>
              <w:pStyle w:val="LegalNumPar"/>
              <w:numPr>
                <w:ilvl w:val="0"/>
                <w:numId w:val="29"/>
              </w:numPr>
              <w:jc w:val="both"/>
              <w:rPr>
                <w:b/>
                <w:noProof/>
              </w:rPr>
            </w:pPr>
          </w:p>
        </w:tc>
        <w:tc>
          <w:tcPr>
            <w:tcW w:w="4111" w:type="dxa"/>
            <w:tcBorders>
              <w:left w:val="single" w:sz="4" w:space="0" w:color="auto"/>
              <w:bottom w:val="single" w:sz="4" w:space="0" w:color="auto"/>
              <w:right w:val="single" w:sz="4" w:space="0" w:color="auto"/>
            </w:tcBorders>
            <w:tcMar>
              <w:top w:w="85" w:type="dxa"/>
              <w:bottom w:w="85" w:type="dxa"/>
            </w:tcMar>
          </w:tcPr>
          <w:p w14:paraId="1DC9DF90" w14:textId="6595C9BE" w:rsidR="000A53D2" w:rsidRPr="002658E4" w:rsidRDefault="002658E4">
            <w:pPr>
              <w:spacing w:after="0"/>
              <w:jc w:val="left"/>
              <w:rPr>
                <w:noProof/>
                <w:sz w:val="20"/>
              </w:rPr>
            </w:pPr>
            <w:r>
              <w:rPr>
                <w:b/>
                <w:noProof/>
                <w:sz w:val="20"/>
              </w:rPr>
              <w:t>Balíček týkající se nulového znečištění</w:t>
            </w:r>
          </w:p>
        </w:tc>
        <w:tc>
          <w:tcPr>
            <w:tcW w:w="10064" w:type="dxa"/>
            <w:tcBorders>
              <w:left w:val="single" w:sz="4" w:space="0" w:color="auto"/>
              <w:bottom w:val="single" w:sz="4" w:space="0" w:color="auto"/>
              <w:right w:val="single" w:sz="4" w:space="0" w:color="auto"/>
            </w:tcBorders>
            <w:tcMar>
              <w:top w:w="85" w:type="dxa"/>
              <w:bottom w:w="85" w:type="dxa"/>
            </w:tcMar>
          </w:tcPr>
          <w:p w14:paraId="1DC9DF92" w14:textId="0A130B05" w:rsidR="000A53D2" w:rsidRPr="00C81A35" w:rsidRDefault="00BB2EC6" w:rsidP="000E35B5">
            <w:pPr>
              <w:pStyle w:val="ListParagraph"/>
              <w:numPr>
                <w:ilvl w:val="0"/>
                <w:numId w:val="42"/>
              </w:numPr>
              <w:spacing w:after="0"/>
              <w:rPr>
                <w:noProof/>
                <w:sz w:val="20"/>
              </w:rPr>
            </w:pPr>
            <w:r>
              <w:rPr>
                <w:b/>
                <w:noProof/>
                <w:sz w:val="20"/>
              </w:rPr>
              <w:t>Revize nařízení (ES) č. 1272/2008 o klasifikaci, označování a balení látek a směsí</w:t>
            </w:r>
            <w:r>
              <w:rPr>
                <w:noProof/>
                <w:sz w:val="20"/>
              </w:rPr>
              <w:t xml:space="preserve"> (legislativní, včetně posouzení dopadů, článek 114 SFEU, Q2 2022)</w:t>
            </w:r>
          </w:p>
          <w:p w14:paraId="6035135C" w14:textId="5707E290" w:rsidR="004C3B4E" w:rsidRPr="00C81A35" w:rsidRDefault="004C3B4E" w:rsidP="000E35B5">
            <w:pPr>
              <w:pStyle w:val="ListParagraph"/>
              <w:numPr>
                <w:ilvl w:val="0"/>
                <w:numId w:val="42"/>
              </w:numPr>
              <w:spacing w:after="0"/>
              <w:jc w:val="left"/>
              <w:rPr>
                <w:noProof/>
                <w:sz w:val="20"/>
              </w:rPr>
            </w:pPr>
            <w:r>
              <w:rPr>
                <w:b/>
                <w:noProof/>
                <w:sz w:val="20"/>
              </w:rPr>
              <w:t>Integrované hospodaření s vodou – revidované seznamy látek znečišťujících povrchové a podzemní vody</w:t>
            </w:r>
            <w:r>
              <w:rPr>
                <w:noProof/>
                <w:sz w:val="20"/>
              </w:rPr>
              <w:t xml:space="preserve"> (legislativní, včetně posouzení dopadů, článek 192 SFEU, Q3 2021)</w:t>
            </w:r>
          </w:p>
          <w:p w14:paraId="1DC9DF9C" w14:textId="13FA64FF" w:rsidR="004C3B4E" w:rsidRPr="000E35B5" w:rsidRDefault="004C3B4E" w:rsidP="000E35B5">
            <w:pPr>
              <w:pStyle w:val="ListParagraph"/>
              <w:numPr>
                <w:ilvl w:val="0"/>
                <w:numId w:val="42"/>
              </w:numPr>
              <w:spacing w:after="0"/>
              <w:jc w:val="left"/>
              <w:rPr>
                <w:noProof/>
                <w:sz w:val="20"/>
              </w:rPr>
            </w:pPr>
            <w:r>
              <w:rPr>
                <w:b/>
                <w:bCs/>
                <w:noProof/>
                <w:sz w:val="20"/>
              </w:rPr>
              <w:t>Revize právních předpisů EU o kvalitě vnějšího ovzduší</w:t>
            </w:r>
            <w:r>
              <w:rPr>
                <w:noProof/>
                <w:sz w:val="20"/>
              </w:rPr>
              <w:t xml:space="preserve"> (legislativní, včetně posouzení dopadů, článek 192 SFEU, Q3 2022)</w:t>
            </w:r>
          </w:p>
        </w:tc>
      </w:tr>
      <w:tr w:rsidR="000A53D2" w:rsidRPr="00AC795D" w14:paraId="1DC9DFA2" w14:textId="77777777" w:rsidTr="000E35B5">
        <w:trPr>
          <w:cantSplit/>
        </w:trPr>
        <w:tc>
          <w:tcPr>
            <w:tcW w:w="652" w:type="dxa"/>
            <w:tcBorders>
              <w:bottom w:val="single" w:sz="4" w:space="0" w:color="auto"/>
              <w:right w:val="single" w:sz="4" w:space="0" w:color="auto"/>
            </w:tcBorders>
            <w:shd w:val="clear" w:color="auto" w:fill="FFFFFF" w:themeFill="background1"/>
          </w:tcPr>
          <w:p w14:paraId="1DC9DF9E" w14:textId="2171A63B" w:rsidR="000A53D2" w:rsidRPr="0001701E" w:rsidRDefault="00D46FAD" w:rsidP="005A3E3C">
            <w:pPr>
              <w:pStyle w:val="ListParagraph"/>
              <w:numPr>
                <w:ilvl w:val="0"/>
                <w:numId w:val="29"/>
              </w:numPr>
              <w:spacing w:after="0"/>
              <w:rPr>
                <w:b/>
                <w:noProof/>
                <w:sz w:val="20"/>
              </w:rPr>
            </w:pPr>
            <w:r>
              <w:rPr>
                <w:b/>
                <w:noProof/>
                <w:sz w:val="20"/>
              </w:rPr>
              <w:t xml:space="preserve"> </w:t>
            </w:r>
          </w:p>
        </w:tc>
        <w:tc>
          <w:tcPr>
            <w:tcW w:w="4111"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14:paraId="1DC9DF9F" w14:textId="7116B060" w:rsidR="000A53D2" w:rsidRPr="00AC795D" w:rsidRDefault="00984231" w:rsidP="00161E46">
            <w:pPr>
              <w:spacing w:after="0"/>
              <w:rPr>
                <w:b/>
                <w:noProof/>
                <w:sz w:val="20"/>
              </w:rPr>
            </w:pPr>
            <w:r>
              <w:rPr>
                <w:rStyle w:val="normaltextrun"/>
                <w:b/>
                <w:bCs/>
                <w:noProof/>
                <w:color w:val="000000"/>
                <w:sz w:val="20"/>
                <w:bdr w:val="none" w:sz="0" w:space="0" w:color="auto" w:frame="1"/>
              </w:rPr>
              <w:t>Balíček opatření v oblasti klimatu</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14:paraId="763CC73F" w14:textId="0D086BCA" w:rsidR="00AC795D" w:rsidRPr="00667532" w:rsidRDefault="00AC795D" w:rsidP="00667532">
            <w:pPr>
              <w:pStyle w:val="ListParagraph"/>
              <w:numPr>
                <w:ilvl w:val="0"/>
                <w:numId w:val="41"/>
              </w:numPr>
              <w:spacing w:after="0"/>
              <w:jc w:val="left"/>
              <w:rPr>
                <w:b/>
                <w:noProof/>
                <w:sz w:val="20"/>
              </w:rPr>
            </w:pPr>
            <w:r>
              <w:rPr>
                <w:rStyle w:val="normaltextrun"/>
                <w:b/>
                <w:bCs/>
                <w:noProof/>
                <w:color w:val="000000"/>
                <w:sz w:val="20"/>
                <w:shd w:val="clear" w:color="auto" w:fill="FFFFFF"/>
              </w:rPr>
              <w:t>Přezkum pravidel EU o fluorovaných skleníkových plynech</w:t>
            </w:r>
            <w:r>
              <w:rPr>
                <w:noProof/>
                <w:sz w:val="20"/>
              </w:rPr>
              <w:t xml:space="preserve"> (legislativní, včetně posouzení dopadů, čl. 192 odst. 1 SFEU, Q2 2022)</w:t>
            </w:r>
          </w:p>
          <w:p w14:paraId="40A4FBBE" w14:textId="648BA4EC" w:rsidR="004C3B4E" w:rsidRPr="00667532" w:rsidRDefault="004C3B4E" w:rsidP="00667532">
            <w:pPr>
              <w:pStyle w:val="ListParagraph"/>
              <w:numPr>
                <w:ilvl w:val="0"/>
                <w:numId w:val="41"/>
              </w:numPr>
              <w:spacing w:after="0"/>
              <w:jc w:val="left"/>
              <w:rPr>
                <w:b/>
                <w:noProof/>
                <w:sz w:val="20"/>
              </w:rPr>
            </w:pPr>
            <w:r>
              <w:rPr>
                <w:rStyle w:val="normaltextrun"/>
                <w:b/>
                <w:bCs/>
                <w:noProof/>
                <w:sz w:val="20"/>
                <w:shd w:val="clear" w:color="auto" w:fill="FFFFFF"/>
              </w:rPr>
              <w:t>Rámec EU pro harmonizované měření emisí z dopravy a logistiky</w:t>
            </w:r>
            <w:r>
              <w:rPr>
                <w:rStyle w:val="normaltextrun"/>
                <w:bCs/>
                <w:noProof/>
                <w:sz w:val="20"/>
                <w:shd w:val="clear" w:color="auto" w:fill="FFFFFF"/>
              </w:rPr>
              <w:t xml:space="preserve"> (legislativní, včetně posouzení dopadů, článek 91 a čl. 100 odst. 2 SFEU, Q4 2022)</w:t>
            </w:r>
          </w:p>
          <w:p w14:paraId="7CF4A86C" w14:textId="04C21A20" w:rsidR="000A53D2" w:rsidRPr="00667532" w:rsidRDefault="00AC795D" w:rsidP="00667532">
            <w:pPr>
              <w:pStyle w:val="ListParagraph"/>
              <w:numPr>
                <w:ilvl w:val="0"/>
                <w:numId w:val="41"/>
              </w:numPr>
              <w:spacing w:after="0"/>
              <w:jc w:val="left"/>
              <w:rPr>
                <w:b/>
                <w:noProof/>
                <w:sz w:val="20"/>
              </w:rPr>
            </w:pPr>
            <w:r>
              <w:rPr>
                <w:rStyle w:val="normaltextrun"/>
                <w:b/>
                <w:bCs/>
                <w:noProof/>
                <w:color w:val="000000"/>
                <w:sz w:val="20"/>
                <w:shd w:val="clear" w:color="auto" w:fill="FFFFFF"/>
              </w:rPr>
              <w:t>Přezkum emisních norem CO</w:t>
            </w:r>
            <w:r>
              <w:rPr>
                <w:rStyle w:val="normaltextrun"/>
                <w:b/>
                <w:bCs/>
                <w:noProof/>
                <w:color w:val="000000"/>
                <w:sz w:val="20"/>
                <w:shd w:val="clear" w:color="auto" w:fill="FFFFFF"/>
                <w:vertAlign w:val="subscript"/>
              </w:rPr>
              <w:t>2</w:t>
            </w:r>
            <w:r>
              <w:rPr>
                <w:rStyle w:val="normaltextrun"/>
                <w:b/>
                <w:bCs/>
                <w:noProof/>
                <w:color w:val="000000"/>
                <w:sz w:val="20"/>
                <w:shd w:val="clear" w:color="auto" w:fill="FFFFFF"/>
              </w:rPr>
              <w:t xml:space="preserve"> pro těžká vozidla</w:t>
            </w:r>
            <w:r>
              <w:rPr>
                <w:noProof/>
                <w:sz w:val="20"/>
              </w:rPr>
              <w:t xml:space="preserve"> (legislativní, včetně posouzení dopadů, čl. 192 odst. 1 SFEU, Q4 2022)</w:t>
            </w:r>
          </w:p>
          <w:p w14:paraId="1DC9DFA1" w14:textId="062C6A3B" w:rsidR="00005FE6" w:rsidRPr="000645B1" w:rsidRDefault="004C3B4E" w:rsidP="00667532">
            <w:pPr>
              <w:pStyle w:val="ListParagraph"/>
              <w:numPr>
                <w:ilvl w:val="0"/>
                <w:numId w:val="41"/>
              </w:numPr>
              <w:spacing w:after="0"/>
              <w:jc w:val="left"/>
              <w:rPr>
                <w:b/>
                <w:noProof/>
                <w:sz w:val="20"/>
              </w:rPr>
            </w:pPr>
            <w:r>
              <w:rPr>
                <w:b/>
                <w:noProof/>
                <w:sz w:val="20"/>
              </w:rPr>
              <w:t>Certifikace pohlcování uhlíku</w:t>
            </w:r>
            <w:r>
              <w:rPr>
                <w:noProof/>
                <w:sz w:val="20"/>
              </w:rPr>
              <w:t xml:space="preserve"> (legislativní, včetně posouzení dopadů, čl. 192 odst. 1 SFEU, Q4 2022)</w:t>
            </w:r>
          </w:p>
        </w:tc>
      </w:tr>
      <w:tr w:rsidR="000A53D2" w14:paraId="1DC9DFA9" w14:textId="77777777" w:rsidTr="000E35B5">
        <w:trPr>
          <w:cantSplit/>
        </w:trPr>
        <w:tc>
          <w:tcPr>
            <w:tcW w:w="652" w:type="dxa"/>
            <w:tcBorders>
              <w:bottom w:val="single" w:sz="4" w:space="0" w:color="auto"/>
              <w:right w:val="single" w:sz="4" w:space="0" w:color="auto"/>
            </w:tcBorders>
          </w:tcPr>
          <w:p w14:paraId="1DC9DFA3" w14:textId="279EEAEA"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right w:val="single" w:sz="4" w:space="0" w:color="auto"/>
            </w:tcBorders>
            <w:tcMar>
              <w:top w:w="85" w:type="dxa"/>
              <w:bottom w:w="85" w:type="dxa"/>
            </w:tcMar>
          </w:tcPr>
          <w:p w14:paraId="1DC9DFA4" w14:textId="5C42E02D" w:rsidR="00B703C8" w:rsidRDefault="00144075" w:rsidP="00A700CD">
            <w:pPr>
              <w:spacing w:after="0"/>
              <w:rPr>
                <w:b/>
                <w:noProof/>
                <w:sz w:val="20"/>
              </w:rPr>
            </w:pPr>
            <w:r>
              <w:rPr>
                <w:b/>
                <w:noProof/>
                <w:sz w:val="20"/>
              </w:rPr>
              <w:t xml:space="preserve">Oběhové hospodářství </w:t>
            </w:r>
          </w:p>
        </w:tc>
        <w:tc>
          <w:tcPr>
            <w:tcW w:w="10064" w:type="dxa"/>
            <w:tcBorders>
              <w:left w:val="single" w:sz="4" w:space="0" w:color="auto"/>
              <w:bottom w:val="single" w:sz="4" w:space="0" w:color="auto"/>
              <w:right w:val="single" w:sz="4" w:space="0" w:color="auto"/>
            </w:tcBorders>
            <w:tcMar>
              <w:top w:w="85" w:type="dxa"/>
              <w:bottom w:w="85" w:type="dxa"/>
            </w:tcMar>
          </w:tcPr>
          <w:p w14:paraId="1DC9DFA8" w14:textId="7E7D4422" w:rsidR="000A53D2" w:rsidRPr="000645B1" w:rsidRDefault="00B703C8" w:rsidP="005D0EE0">
            <w:pPr>
              <w:spacing w:after="0"/>
              <w:rPr>
                <w:noProof/>
                <w:sz w:val="20"/>
              </w:rPr>
            </w:pPr>
            <w:r>
              <w:rPr>
                <w:b/>
                <w:bCs/>
                <w:noProof/>
                <w:sz w:val="20"/>
              </w:rPr>
              <w:t>Iniciativa týkající se práva na opravu</w:t>
            </w:r>
            <w:r>
              <w:rPr>
                <w:noProof/>
                <w:sz w:val="20"/>
              </w:rPr>
              <w:t xml:space="preserve"> (legislativní, včetně posouzení dopadů, Q3 2022)</w:t>
            </w:r>
          </w:p>
        </w:tc>
      </w:tr>
      <w:tr w:rsidR="00131583" w14:paraId="22514616" w14:textId="77777777" w:rsidTr="000E35B5">
        <w:trPr>
          <w:cantSplit/>
        </w:trPr>
        <w:tc>
          <w:tcPr>
            <w:tcW w:w="652" w:type="dxa"/>
            <w:tcBorders>
              <w:bottom w:val="single" w:sz="4" w:space="0" w:color="auto"/>
              <w:right w:val="single" w:sz="4" w:space="0" w:color="auto"/>
            </w:tcBorders>
          </w:tcPr>
          <w:p w14:paraId="77E881D6" w14:textId="77777777" w:rsidR="00131583" w:rsidRPr="005A3E3C" w:rsidRDefault="00131583" w:rsidP="005A3E3C">
            <w:pPr>
              <w:pStyle w:val="ListParagraph"/>
              <w:numPr>
                <w:ilvl w:val="0"/>
                <w:numId w:val="29"/>
              </w:numPr>
              <w:spacing w:after="0"/>
              <w:rPr>
                <w:b/>
                <w:noProof/>
                <w:sz w:val="20"/>
              </w:rPr>
            </w:pPr>
          </w:p>
        </w:tc>
        <w:tc>
          <w:tcPr>
            <w:tcW w:w="4111" w:type="dxa"/>
            <w:tcBorders>
              <w:left w:val="single" w:sz="4" w:space="0" w:color="auto"/>
              <w:bottom w:val="single" w:sz="4" w:space="0" w:color="auto"/>
            </w:tcBorders>
            <w:tcMar>
              <w:top w:w="85" w:type="dxa"/>
              <w:bottom w:w="85" w:type="dxa"/>
            </w:tcMar>
          </w:tcPr>
          <w:p w14:paraId="2DC9EE1F" w14:textId="73BBF495" w:rsidR="00131583" w:rsidRDefault="0020679B">
            <w:pPr>
              <w:spacing w:after="0"/>
              <w:rPr>
                <w:b/>
                <w:noProof/>
                <w:sz w:val="20"/>
              </w:rPr>
            </w:pPr>
            <w:r>
              <w:rPr>
                <w:b/>
                <w:noProof/>
                <w:sz w:val="20"/>
              </w:rPr>
              <w:t>Balíček týkající se plastů</w:t>
            </w:r>
          </w:p>
        </w:tc>
        <w:tc>
          <w:tcPr>
            <w:tcW w:w="10064" w:type="dxa"/>
            <w:tcBorders>
              <w:bottom w:val="single" w:sz="4" w:space="0" w:color="auto"/>
            </w:tcBorders>
            <w:tcMar>
              <w:top w:w="85" w:type="dxa"/>
              <w:bottom w:w="85" w:type="dxa"/>
            </w:tcMar>
          </w:tcPr>
          <w:p w14:paraId="3AC3743F" w14:textId="77777777" w:rsidR="000F7613" w:rsidRPr="00C81A35" w:rsidRDefault="000F7613" w:rsidP="000F7613">
            <w:pPr>
              <w:pStyle w:val="ListParagraph"/>
              <w:numPr>
                <w:ilvl w:val="0"/>
                <w:numId w:val="40"/>
              </w:numPr>
              <w:spacing w:after="0"/>
              <w:rPr>
                <w:noProof/>
                <w:sz w:val="20"/>
              </w:rPr>
            </w:pPr>
            <w:r>
              <w:rPr>
                <w:b/>
                <w:noProof/>
                <w:sz w:val="20"/>
              </w:rPr>
              <w:t>Politický rámec pro biologicky rozložitelné nebo kompostovatelné plasty z biologického materiálu</w:t>
            </w:r>
            <w:r>
              <w:rPr>
                <w:noProof/>
                <w:sz w:val="20"/>
              </w:rPr>
              <w:t xml:space="preserve"> (nelegislativní, Q2 2022)</w:t>
            </w:r>
          </w:p>
          <w:p w14:paraId="1D53962D" w14:textId="0C9F1483" w:rsidR="00A65422" w:rsidRPr="00C81A35" w:rsidRDefault="00A65422" w:rsidP="000E35B5">
            <w:pPr>
              <w:pStyle w:val="ListParagraph"/>
              <w:numPr>
                <w:ilvl w:val="0"/>
                <w:numId w:val="40"/>
              </w:numPr>
              <w:spacing w:after="0"/>
              <w:rPr>
                <w:noProof/>
                <w:sz w:val="20"/>
              </w:rPr>
            </w:pPr>
            <w:r>
              <w:rPr>
                <w:b/>
                <w:noProof/>
                <w:sz w:val="20"/>
              </w:rPr>
              <w:t>Omezení týkající se mikroplastů</w:t>
            </w:r>
            <w:r>
              <w:rPr>
                <w:noProof/>
                <w:sz w:val="20"/>
              </w:rPr>
              <w:t xml:space="preserve"> (nelegislativní, Q4 2022)</w:t>
            </w:r>
          </w:p>
          <w:p w14:paraId="36C0ED02" w14:textId="756C012E" w:rsidR="004C3B4E" w:rsidRPr="000E35B5" w:rsidRDefault="004C3B4E" w:rsidP="000E35B5">
            <w:pPr>
              <w:pStyle w:val="ListParagraph"/>
              <w:numPr>
                <w:ilvl w:val="0"/>
                <w:numId w:val="40"/>
              </w:numPr>
              <w:spacing w:after="0"/>
              <w:rPr>
                <w:b/>
                <w:noProof/>
                <w:sz w:val="20"/>
              </w:rPr>
            </w:pPr>
            <w:r>
              <w:rPr>
                <w:b/>
                <w:noProof/>
                <w:sz w:val="20"/>
              </w:rPr>
              <w:t>Opatření k omezení uvolňování mikroplastů do životního prostředí</w:t>
            </w:r>
            <w:r>
              <w:rPr>
                <w:noProof/>
                <w:sz w:val="20"/>
              </w:rPr>
              <w:t xml:space="preserve"> (legislativní, včetně posouzení dopadů, článek 114 SFEU, Q4 2022)</w:t>
            </w:r>
          </w:p>
        </w:tc>
      </w:tr>
      <w:tr w:rsidR="00C67358" w14:paraId="40DF6971" w14:textId="77777777" w:rsidTr="000E35B5">
        <w:trPr>
          <w:cantSplit/>
        </w:trPr>
        <w:tc>
          <w:tcPr>
            <w:tcW w:w="652" w:type="dxa"/>
            <w:tcBorders>
              <w:bottom w:val="single" w:sz="4" w:space="0" w:color="auto"/>
              <w:right w:val="single" w:sz="4" w:space="0" w:color="auto"/>
            </w:tcBorders>
          </w:tcPr>
          <w:p w14:paraId="3C2C9851" w14:textId="77777777" w:rsidR="00C67358" w:rsidRPr="005A3E3C" w:rsidRDefault="00C67358" w:rsidP="005A3E3C">
            <w:pPr>
              <w:pStyle w:val="ListParagraph"/>
              <w:numPr>
                <w:ilvl w:val="0"/>
                <w:numId w:val="29"/>
              </w:numPr>
              <w:spacing w:after="0"/>
              <w:rPr>
                <w:b/>
                <w:noProof/>
                <w:sz w:val="20"/>
              </w:rPr>
            </w:pPr>
          </w:p>
        </w:tc>
        <w:tc>
          <w:tcPr>
            <w:tcW w:w="4111" w:type="dxa"/>
            <w:tcBorders>
              <w:left w:val="single" w:sz="4" w:space="0" w:color="auto"/>
              <w:bottom w:val="single" w:sz="4" w:space="0" w:color="auto"/>
            </w:tcBorders>
            <w:tcMar>
              <w:top w:w="85" w:type="dxa"/>
              <w:bottom w:w="85" w:type="dxa"/>
            </w:tcMar>
          </w:tcPr>
          <w:p w14:paraId="15DC2096" w14:textId="3D9790D6" w:rsidR="00C67358" w:rsidRPr="00300AFE" w:rsidRDefault="00144075">
            <w:pPr>
              <w:spacing w:after="0"/>
              <w:rPr>
                <w:b/>
                <w:noProof/>
                <w:sz w:val="20"/>
              </w:rPr>
            </w:pPr>
            <w:r>
              <w:rPr>
                <w:b/>
                <w:noProof/>
                <w:sz w:val="20"/>
              </w:rPr>
              <w:t xml:space="preserve"> Biologická rozmanitost a strategie „od zemědělce ke spotřebiteli“</w:t>
            </w:r>
          </w:p>
        </w:tc>
        <w:tc>
          <w:tcPr>
            <w:tcW w:w="10064" w:type="dxa"/>
            <w:tcBorders>
              <w:bottom w:val="single" w:sz="4" w:space="0" w:color="auto"/>
            </w:tcBorders>
            <w:tcMar>
              <w:top w:w="85" w:type="dxa"/>
              <w:bottom w:w="85" w:type="dxa"/>
            </w:tcMar>
          </w:tcPr>
          <w:p w14:paraId="38DAE712" w14:textId="48196A76" w:rsidR="00C67358" w:rsidRPr="00C67358" w:rsidRDefault="00C67358" w:rsidP="00C67358">
            <w:pPr>
              <w:spacing w:after="0"/>
              <w:jc w:val="left"/>
              <w:rPr>
                <w:b/>
                <w:noProof/>
                <w:sz w:val="20"/>
              </w:rPr>
            </w:pPr>
            <w:r>
              <w:rPr>
                <w:b/>
                <w:noProof/>
                <w:sz w:val="20"/>
              </w:rPr>
              <w:t>Udržitelné používání pesticidů – revize pravidel EU</w:t>
            </w:r>
            <w:r>
              <w:rPr>
                <w:noProof/>
                <w:sz w:val="20"/>
              </w:rPr>
              <w:t xml:space="preserve"> (legislativní, včetně posouzení dopadů, čl. 192 odst. 1 SFEU, Q1 2022)</w:t>
            </w:r>
          </w:p>
        </w:tc>
      </w:tr>
      <w:tr w:rsidR="000A53D2" w14:paraId="1DC9DFB2" w14:textId="77777777">
        <w:trPr>
          <w:cantSplit/>
        </w:trPr>
        <w:tc>
          <w:tcPr>
            <w:tcW w:w="14827" w:type="dxa"/>
            <w:gridSpan w:val="3"/>
            <w:tcBorders>
              <w:bottom w:val="single" w:sz="4" w:space="0" w:color="auto"/>
            </w:tcBorders>
            <w:shd w:val="clear" w:color="auto" w:fill="18BAA8" w:themeFill="accent2"/>
          </w:tcPr>
          <w:p w14:paraId="1DC9DFB1" w14:textId="77777777" w:rsidR="000A53D2" w:rsidRPr="000645B1" w:rsidRDefault="00A608B9" w:rsidP="00A62ED5">
            <w:pPr>
              <w:keepNext/>
              <w:spacing w:before="60" w:after="60"/>
              <w:ind w:left="334" w:hanging="334"/>
              <w:rPr>
                <w:b/>
                <w:bCs/>
                <w:noProof/>
                <w:sz w:val="20"/>
              </w:rPr>
            </w:pPr>
            <w:r>
              <w:rPr>
                <w:b/>
                <w:bCs/>
                <w:noProof/>
                <w:color w:val="FFFFFF" w:themeColor="background1"/>
                <w:sz w:val="20"/>
              </w:rPr>
              <w:t>Evropa připravená na digitální věk</w:t>
            </w:r>
          </w:p>
        </w:tc>
      </w:tr>
      <w:tr w:rsidR="000A53D2" w14:paraId="1DC9DFB6" w14:textId="77777777" w:rsidTr="000E35B5">
        <w:trPr>
          <w:cantSplit/>
        </w:trPr>
        <w:tc>
          <w:tcPr>
            <w:tcW w:w="652" w:type="dxa"/>
            <w:tcBorders>
              <w:bottom w:val="single" w:sz="4" w:space="0" w:color="auto"/>
              <w:right w:val="single" w:sz="4" w:space="0" w:color="auto"/>
            </w:tcBorders>
          </w:tcPr>
          <w:p w14:paraId="1DC9DFB3" w14:textId="77777777" w:rsidR="000A53D2" w:rsidRPr="005A3E3C" w:rsidRDefault="00A608B9" w:rsidP="005A3E3C">
            <w:pPr>
              <w:pStyle w:val="ListParagraph"/>
              <w:numPr>
                <w:ilvl w:val="0"/>
                <w:numId w:val="29"/>
              </w:numPr>
              <w:spacing w:after="0"/>
              <w:rPr>
                <w:b/>
                <w:noProof/>
                <w:sz w:val="20"/>
              </w:rPr>
            </w:pPr>
            <w:r>
              <w:rPr>
                <w:b/>
                <w:noProof/>
                <w:sz w:val="20"/>
              </w:rPr>
              <w:t>.</w:t>
            </w:r>
          </w:p>
        </w:tc>
        <w:tc>
          <w:tcPr>
            <w:tcW w:w="4111" w:type="dxa"/>
            <w:tcBorders>
              <w:left w:val="single" w:sz="4" w:space="0" w:color="auto"/>
              <w:bottom w:val="single" w:sz="4" w:space="0" w:color="auto"/>
            </w:tcBorders>
            <w:tcMar>
              <w:top w:w="85" w:type="dxa"/>
              <w:bottom w:w="85" w:type="dxa"/>
            </w:tcMar>
          </w:tcPr>
          <w:p w14:paraId="1DC9DFB4" w14:textId="188E060E" w:rsidR="000A53D2" w:rsidRDefault="00AF305F">
            <w:pPr>
              <w:spacing w:after="0"/>
              <w:rPr>
                <w:b/>
                <w:bCs/>
                <w:noProof/>
                <w:color w:val="000000"/>
                <w:sz w:val="20"/>
              </w:rPr>
            </w:pPr>
            <w:r>
              <w:rPr>
                <w:b/>
                <w:bCs/>
                <w:noProof/>
                <w:color w:val="000000"/>
                <w:sz w:val="20"/>
              </w:rPr>
              <w:t>Kybernetická odolnost</w:t>
            </w:r>
          </w:p>
        </w:tc>
        <w:tc>
          <w:tcPr>
            <w:tcW w:w="10064" w:type="dxa"/>
            <w:tcBorders>
              <w:bottom w:val="single" w:sz="4" w:space="0" w:color="auto"/>
            </w:tcBorders>
            <w:tcMar>
              <w:top w:w="85" w:type="dxa"/>
              <w:bottom w:w="85" w:type="dxa"/>
            </w:tcMar>
          </w:tcPr>
          <w:p w14:paraId="1DC9DFB5" w14:textId="4103AB68" w:rsidR="000A53D2" w:rsidRPr="00B20DEA" w:rsidRDefault="00AF305F" w:rsidP="00C365CA">
            <w:pPr>
              <w:spacing w:after="0"/>
              <w:ind w:left="334" w:hanging="334"/>
              <w:jc w:val="left"/>
              <w:rPr>
                <w:noProof/>
                <w:color w:val="000000" w:themeColor="text1"/>
                <w:sz w:val="20"/>
              </w:rPr>
            </w:pPr>
            <w:r>
              <w:rPr>
                <w:b/>
                <w:noProof/>
                <w:sz w:val="20"/>
              </w:rPr>
              <w:t>Evropský akt o kybernetické odolnosti</w:t>
            </w:r>
            <w:r>
              <w:rPr>
                <w:noProof/>
                <w:sz w:val="20"/>
              </w:rPr>
              <w:t xml:space="preserve"> (legislativní, včetně posouzení dopadů, Q3 2022)</w:t>
            </w:r>
          </w:p>
        </w:tc>
      </w:tr>
      <w:tr w:rsidR="000A53D2" w14:paraId="1DC9DFBB" w14:textId="77777777" w:rsidTr="000E35B5">
        <w:trPr>
          <w:cantSplit/>
        </w:trPr>
        <w:tc>
          <w:tcPr>
            <w:tcW w:w="652" w:type="dxa"/>
            <w:tcBorders>
              <w:bottom w:val="single" w:sz="4" w:space="0" w:color="auto"/>
              <w:right w:val="single" w:sz="4" w:space="0" w:color="auto"/>
            </w:tcBorders>
          </w:tcPr>
          <w:p w14:paraId="1DC9DFB7"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right w:val="single" w:sz="4" w:space="0" w:color="auto"/>
            </w:tcBorders>
            <w:tcMar>
              <w:top w:w="85" w:type="dxa"/>
              <w:bottom w:w="85" w:type="dxa"/>
            </w:tcMar>
          </w:tcPr>
          <w:p w14:paraId="1DC9DFB8" w14:textId="3820E823" w:rsidR="000A53D2" w:rsidRDefault="00AD039E">
            <w:pPr>
              <w:spacing w:after="0"/>
              <w:rPr>
                <w:b/>
                <w:noProof/>
                <w:sz w:val="20"/>
              </w:rPr>
            </w:pPr>
            <w:r>
              <w:rPr>
                <w:b/>
                <w:noProof/>
                <w:sz w:val="20"/>
              </w:rPr>
              <w:t>Polovodiče</w:t>
            </w:r>
          </w:p>
        </w:tc>
        <w:tc>
          <w:tcPr>
            <w:tcW w:w="10064" w:type="dxa"/>
            <w:tcBorders>
              <w:left w:val="single" w:sz="4" w:space="0" w:color="auto"/>
              <w:bottom w:val="single" w:sz="4" w:space="0" w:color="auto"/>
              <w:right w:val="single" w:sz="4" w:space="0" w:color="auto"/>
            </w:tcBorders>
            <w:tcMar>
              <w:top w:w="85" w:type="dxa"/>
              <w:bottom w:w="85" w:type="dxa"/>
            </w:tcMar>
          </w:tcPr>
          <w:p w14:paraId="1DC9DFBA" w14:textId="07859E9E" w:rsidR="000A53D2" w:rsidRPr="00B20DEA" w:rsidRDefault="00AF305F" w:rsidP="007F5BB6">
            <w:pPr>
              <w:spacing w:after="0"/>
              <w:ind w:left="334" w:hanging="334"/>
              <w:jc w:val="left"/>
              <w:rPr>
                <w:noProof/>
                <w:sz w:val="20"/>
              </w:rPr>
            </w:pPr>
            <w:r>
              <w:rPr>
                <w:b/>
                <w:noProof/>
                <w:sz w:val="20"/>
              </w:rPr>
              <w:t>Evropský akt k čipech</w:t>
            </w:r>
            <w:r>
              <w:rPr>
                <w:noProof/>
                <w:sz w:val="20"/>
              </w:rPr>
              <w:t xml:space="preserve"> (legislativní nebo nelegislativní, Q2 2022)</w:t>
            </w:r>
          </w:p>
        </w:tc>
      </w:tr>
      <w:tr w:rsidR="00D51A74" w14:paraId="08BD6785" w14:textId="77777777" w:rsidTr="000E35B5">
        <w:trPr>
          <w:cantSplit/>
        </w:trPr>
        <w:tc>
          <w:tcPr>
            <w:tcW w:w="652" w:type="dxa"/>
            <w:tcBorders>
              <w:bottom w:val="single" w:sz="4" w:space="0" w:color="auto"/>
              <w:right w:val="single" w:sz="4" w:space="0" w:color="auto"/>
            </w:tcBorders>
          </w:tcPr>
          <w:p w14:paraId="60ECD872" w14:textId="77777777" w:rsidR="00D51A74" w:rsidRPr="005A3E3C" w:rsidRDefault="00D51A74" w:rsidP="005A3E3C">
            <w:pPr>
              <w:pStyle w:val="ListParagraph"/>
              <w:numPr>
                <w:ilvl w:val="0"/>
                <w:numId w:val="29"/>
              </w:numPr>
              <w:spacing w:after="0"/>
              <w:rPr>
                <w:b/>
                <w:noProof/>
                <w:sz w:val="20"/>
              </w:rPr>
            </w:pPr>
          </w:p>
        </w:tc>
        <w:tc>
          <w:tcPr>
            <w:tcW w:w="4111" w:type="dxa"/>
            <w:tcBorders>
              <w:left w:val="single" w:sz="4" w:space="0" w:color="auto"/>
              <w:bottom w:val="single" w:sz="4" w:space="0" w:color="auto"/>
              <w:right w:val="single" w:sz="4" w:space="0" w:color="auto"/>
            </w:tcBorders>
            <w:tcMar>
              <w:top w:w="85" w:type="dxa"/>
              <w:bottom w:w="85" w:type="dxa"/>
            </w:tcMar>
          </w:tcPr>
          <w:p w14:paraId="79388718" w14:textId="6B8C6B27" w:rsidR="00D51A74" w:rsidRDefault="00D51A74">
            <w:pPr>
              <w:spacing w:after="0"/>
              <w:rPr>
                <w:b/>
                <w:noProof/>
                <w:sz w:val="20"/>
              </w:rPr>
            </w:pPr>
            <w:r>
              <w:rPr>
                <w:b/>
                <w:noProof/>
                <w:sz w:val="20"/>
              </w:rPr>
              <w:t>Bezpečnost a obrana</w:t>
            </w:r>
          </w:p>
        </w:tc>
        <w:tc>
          <w:tcPr>
            <w:tcW w:w="10064" w:type="dxa"/>
            <w:tcBorders>
              <w:left w:val="single" w:sz="4" w:space="0" w:color="auto"/>
              <w:bottom w:val="single" w:sz="4" w:space="0" w:color="auto"/>
              <w:right w:val="single" w:sz="4" w:space="0" w:color="auto"/>
            </w:tcBorders>
            <w:tcMar>
              <w:top w:w="85" w:type="dxa"/>
              <w:bottom w:w="85" w:type="dxa"/>
            </w:tcMar>
          </w:tcPr>
          <w:p w14:paraId="08A3A353" w14:textId="4DAA7330" w:rsidR="00D51A74" w:rsidRPr="00B20DEA" w:rsidRDefault="00D51A74" w:rsidP="00D51A74">
            <w:pPr>
              <w:spacing w:after="0"/>
              <w:ind w:left="334" w:hanging="334"/>
              <w:jc w:val="left"/>
              <w:rPr>
                <w:b/>
                <w:noProof/>
                <w:sz w:val="20"/>
              </w:rPr>
            </w:pPr>
            <w:r>
              <w:rPr>
                <w:b/>
                <w:noProof/>
                <w:sz w:val="20"/>
              </w:rPr>
              <w:t>Plán v oblasti bezpečnostních a obranných technologií</w:t>
            </w:r>
            <w:r>
              <w:rPr>
                <w:noProof/>
                <w:sz w:val="20"/>
              </w:rPr>
              <w:t xml:space="preserve"> (nelegislativní, Q1 2022)</w:t>
            </w:r>
          </w:p>
        </w:tc>
      </w:tr>
      <w:tr w:rsidR="000A53D2" w14:paraId="1DC9DFBF" w14:textId="77777777" w:rsidTr="000E35B5">
        <w:trPr>
          <w:cantSplit/>
        </w:trPr>
        <w:tc>
          <w:tcPr>
            <w:tcW w:w="652" w:type="dxa"/>
            <w:tcBorders>
              <w:bottom w:val="single" w:sz="4" w:space="0" w:color="auto"/>
              <w:right w:val="single" w:sz="4" w:space="0" w:color="auto"/>
            </w:tcBorders>
          </w:tcPr>
          <w:p w14:paraId="1DC9DFBC"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right w:val="single" w:sz="4" w:space="0" w:color="auto"/>
            </w:tcBorders>
            <w:tcMar>
              <w:top w:w="85" w:type="dxa"/>
              <w:bottom w:w="85" w:type="dxa"/>
            </w:tcMar>
          </w:tcPr>
          <w:p w14:paraId="1DC9DFBD" w14:textId="4F8D1604" w:rsidR="000A53D2" w:rsidRDefault="00091E05">
            <w:pPr>
              <w:spacing w:after="0"/>
              <w:rPr>
                <w:b/>
                <w:bCs/>
                <w:noProof/>
                <w:sz w:val="20"/>
              </w:rPr>
            </w:pPr>
            <w:r>
              <w:rPr>
                <w:b/>
                <w:bCs/>
                <w:noProof/>
                <w:sz w:val="20"/>
              </w:rPr>
              <w:t>Inovativní a udržitelný vesmír</w:t>
            </w:r>
          </w:p>
        </w:tc>
        <w:tc>
          <w:tcPr>
            <w:tcW w:w="10064" w:type="dxa"/>
            <w:tcBorders>
              <w:left w:val="single" w:sz="4" w:space="0" w:color="auto"/>
              <w:bottom w:val="single" w:sz="4" w:space="0" w:color="auto"/>
              <w:right w:val="single" w:sz="4" w:space="0" w:color="auto"/>
            </w:tcBorders>
            <w:tcMar>
              <w:top w:w="85" w:type="dxa"/>
              <w:bottom w:w="85" w:type="dxa"/>
            </w:tcMar>
          </w:tcPr>
          <w:p w14:paraId="326630DF" w14:textId="4B763F5E" w:rsidR="00091E05" w:rsidRPr="000E35B5" w:rsidRDefault="00091E05" w:rsidP="000E35B5">
            <w:pPr>
              <w:pStyle w:val="ListParagraph"/>
              <w:numPr>
                <w:ilvl w:val="0"/>
                <w:numId w:val="39"/>
              </w:numPr>
              <w:spacing w:after="0"/>
              <w:rPr>
                <w:noProof/>
                <w:sz w:val="20"/>
              </w:rPr>
            </w:pPr>
            <w:r>
              <w:rPr>
                <w:b/>
                <w:bCs/>
                <w:noProof/>
                <w:sz w:val="20"/>
              </w:rPr>
              <w:t>Budování kosmického globálního zabezpečeného komunikačního systému EU</w:t>
            </w:r>
            <w:r>
              <w:rPr>
                <w:noProof/>
                <w:sz w:val="20"/>
              </w:rPr>
              <w:t xml:space="preserve"> (legislativní, včetně posouzení dopadů, článek 189 SFEU, Q2 2022)</w:t>
            </w:r>
          </w:p>
          <w:p w14:paraId="1DC9DFBE" w14:textId="1269C428" w:rsidR="000A53D2" w:rsidRPr="000E35B5" w:rsidRDefault="00091E05" w:rsidP="000E35B5">
            <w:pPr>
              <w:pStyle w:val="ListParagraph"/>
              <w:numPr>
                <w:ilvl w:val="0"/>
                <w:numId w:val="39"/>
              </w:numPr>
              <w:spacing w:after="0"/>
              <w:rPr>
                <w:noProof/>
                <w:sz w:val="20"/>
              </w:rPr>
            </w:pPr>
            <w:r>
              <w:rPr>
                <w:b/>
                <w:bCs/>
                <w:noProof/>
                <w:sz w:val="20"/>
              </w:rPr>
              <w:t>Strategie EU pro řízení kosmického provozu</w:t>
            </w:r>
            <w:r>
              <w:rPr>
                <w:noProof/>
                <w:sz w:val="20"/>
              </w:rPr>
              <w:t xml:space="preserve"> (nelegislativní, Q2/2022);</w:t>
            </w:r>
          </w:p>
        </w:tc>
      </w:tr>
      <w:tr w:rsidR="000A53D2" w14:paraId="1DC9DFC3" w14:textId="77777777" w:rsidTr="000E35B5">
        <w:trPr>
          <w:cantSplit/>
        </w:trPr>
        <w:tc>
          <w:tcPr>
            <w:tcW w:w="652" w:type="dxa"/>
            <w:tcBorders>
              <w:bottom w:val="single" w:sz="4" w:space="0" w:color="auto"/>
              <w:right w:val="single" w:sz="4" w:space="0" w:color="auto"/>
            </w:tcBorders>
          </w:tcPr>
          <w:p w14:paraId="1DC9DFC0"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right w:val="single" w:sz="4" w:space="0" w:color="auto"/>
            </w:tcBorders>
            <w:tcMar>
              <w:top w:w="85" w:type="dxa"/>
              <w:bottom w:w="85" w:type="dxa"/>
            </w:tcMar>
          </w:tcPr>
          <w:p w14:paraId="1DC9DFC1" w14:textId="70A847CF" w:rsidR="000A53D2" w:rsidRDefault="00A62ED5" w:rsidP="009E77A5">
            <w:pPr>
              <w:spacing w:after="0"/>
              <w:rPr>
                <w:b/>
                <w:bCs/>
                <w:noProof/>
                <w:sz w:val="20"/>
              </w:rPr>
            </w:pPr>
            <w:r>
              <w:rPr>
                <w:b/>
                <w:bCs/>
                <w:noProof/>
                <w:sz w:val="20"/>
              </w:rPr>
              <w:t>Digitální vzdělávání a dovednosti</w:t>
            </w:r>
          </w:p>
        </w:tc>
        <w:tc>
          <w:tcPr>
            <w:tcW w:w="10064" w:type="dxa"/>
            <w:tcBorders>
              <w:left w:val="single" w:sz="4" w:space="0" w:color="auto"/>
              <w:bottom w:val="single" w:sz="4" w:space="0" w:color="auto"/>
              <w:right w:val="single" w:sz="4" w:space="0" w:color="auto"/>
            </w:tcBorders>
            <w:tcMar>
              <w:top w:w="85" w:type="dxa"/>
              <w:bottom w:w="85" w:type="dxa"/>
            </w:tcMar>
          </w:tcPr>
          <w:p w14:paraId="1BF69B1F" w14:textId="7CFD182A" w:rsidR="00A62ED5" w:rsidRPr="000E35B5" w:rsidRDefault="00A62ED5" w:rsidP="000E35B5">
            <w:pPr>
              <w:pStyle w:val="ListParagraph"/>
              <w:numPr>
                <w:ilvl w:val="0"/>
                <w:numId w:val="38"/>
              </w:numPr>
              <w:spacing w:after="0"/>
              <w:rPr>
                <w:b/>
                <w:bCs/>
                <w:noProof/>
                <w:color w:val="000000" w:themeColor="text1"/>
                <w:sz w:val="20"/>
              </w:rPr>
            </w:pPr>
            <w:r>
              <w:rPr>
                <w:b/>
                <w:bCs/>
                <w:noProof/>
                <w:color w:val="000000" w:themeColor="text1"/>
                <w:sz w:val="20"/>
              </w:rPr>
              <w:t>Doporučení o zlepšení poskytování digitálních dovedností ve vzdělávání a odborné přípravě</w:t>
            </w:r>
            <w:r>
              <w:rPr>
                <w:bCs/>
                <w:noProof/>
                <w:color w:val="000000" w:themeColor="text1"/>
                <w:sz w:val="20"/>
              </w:rPr>
              <w:t xml:space="preserve"> (nelegislativní, Q3 2022)</w:t>
            </w:r>
          </w:p>
          <w:p w14:paraId="1DC9DFC2" w14:textId="3259A722" w:rsidR="000A53D2" w:rsidRPr="000E35B5" w:rsidRDefault="00A62ED5" w:rsidP="000E35B5">
            <w:pPr>
              <w:pStyle w:val="ListParagraph"/>
              <w:numPr>
                <w:ilvl w:val="0"/>
                <w:numId w:val="38"/>
              </w:numPr>
              <w:spacing w:after="0"/>
              <w:rPr>
                <w:b/>
                <w:bCs/>
                <w:noProof/>
                <w:color w:val="000000" w:themeColor="text1"/>
                <w:sz w:val="20"/>
              </w:rPr>
            </w:pPr>
            <w:r>
              <w:rPr>
                <w:b/>
                <w:bCs/>
                <w:noProof/>
                <w:color w:val="000000" w:themeColor="text1"/>
                <w:sz w:val="20"/>
              </w:rPr>
              <w:t>Doporučení o faktorech, které umožňují digitální vzdělávání</w:t>
            </w:r>
            <w:r>
              <w:rPr>
                <w:bCs/>
                <w:noProof/>
                <w:color w:val="000000" w:themeColor="text1"/>
                <w:sz w:val="20"/>
              </w:rPr>
              <w:t xml:space="preserve"> (nelegislativní, Q3 2022)</w:t>
            </w:r>
          </w:p>
        </w:tc>
      </w:tr>
      <w:tr w:rsidR="000A53D2" w14:paraId="1DC9DFC7" w14:textId="77777777" w:rsidTr="000E35B5">
        <w:trPr>
          <w:cantSplit/>
        </w:trPr>
        <w:tc>
          <w:tcPr>
            <w:tcW w:w="652" w:type="dxa"/>
            <w:tcBorders>
              <w:right w:val="single" w:sz="4" w:space="0" w:color="auto"/>
            </w:tcBorders>
            <w:shd w:val="clear" w:color="auto" w:fill="FFFFFF" w:themeFill="background1"/>
          </w:tcPr>
          <w:p w14:paraId="1DC9DFC4"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tcBorders>
            <w:shd w:val="clear" w:color="auto" w:fill="FFFFFF" w:themeFill="background1"/>
            <w:tcMar>
              <w:top w:w="85" w:type="dxa"/>
              <w:bottom w:w="85" w:type="dxa"/>
            </w:tcMar>
          </w:tcPr>
          <w:p w14:paraId="1DC9DFC5" w14:textId="1AE58F7A" w:rsidR="000A53D2" w:rsidRDefault="00993507" w:rsidP="007A3294">
            <w:pPr>
              <w:spacing w:after="0"/>
              <w:jc w:val="left"/>
              <w:rPr>
                <w:b/>
                <w:bCs/>
                <w:noProof/>
                <w:color w:val="000000"/>
                <w:sz w:val="20"/>
              </w:rPr>
            </w:pPr>
            <w:r>
              <w:rPr>
                <w:b/>
                <w:noProof/>
                <w:sz w:val="20"/>
              </w:rPr>
              <w:t xml:space="preserve">Jednotný trh </w:t>
            </w:r>
          </w:p>
        </w:tc>
        <w:tc>
          <w:tcPr>
            <w:tcW w:w="10064" w:type="dxa"/>
            <w:shd w:val="clear" w:color="auto" w:fill="FFFFFF" w:themeFill="background1"/>
            <w:tcMar>
              <w:top w:w="85" w:type="dxa"/>
              <w:bottom w:w="85" w:type="dxa"/>
            </w:tcMar>
          </w:tcPr>
          <w:p w14:paraId="1DC9DFC6" w14:textId="07D700CD" w:rsidR="000A53D2" w:rsidRDefault="00993507" w:rsidP="007261BC">
            <w:pPr>
              <w:spacing w:after="0"/>
              <w:rPr>
                <w:noProof/>
                <w:sz w:val="20"/>
              </w:rPr>
            </w:pPr>
            <w:r>
              <w:rPr>
                <w:b/>
                <w:noProof/>
                <w:sz w:val="20"/>
              </w:rPr>
              <w:t>Nástroj pro mimořádné situace na jednotném trhu</w:t>
            </w:r>
            <w:r>
              <w:rPr>
                <w:noProof/>
                <w:sz w:val="20"/>
              </w:rPr>
              <w:t xml:space="preserve"> (legislativní, včetně posouzení dopadů, Q1 2022)</w:t>
            </w:r>
          </w:p>
        </w:tc>
      </w:tr>
      <w:tr w:rsidR="000A53D2" w14:paraId="1DC9DFCB" w14:textId="77777777" w:rsidTr="000E35B5">
        <w:trPr>
          <w:cantSplit/>
        </w:trPr>
        <w:tc>
          <w:tcPr>
            <w:tcW w:w="652" w:type="dxa"/>
            <w:tcBorders>
              <w:bottom w:val="single" w:sz="4" w:space="0" w:color="auto"/>
              <w:right w:val="single" w:sz="4" w:space="0" w:color="auto"/>
            </w:tcBorders>
          </w:tcPr>
          <w:p w14:paraId="1DC9DFC8" w14:textId="77777777" w:rsidR="000A53D2" w:rsidRPr="005A3E3C" w:rsidRDefault="00A608B9" w:rsidP="005A3E3C">
            <w:pPr>
              <w:pStyle w:val="ListParagraph"/>
              <w:numPr>
                <w:ilvl w:val="0"/>
                <w:numId w:val="29"/>
              </w:numPr>
              <w:spacing w:after="0"/>
              <w:rPr>
                <w:b/>
                <w:noProof/>
                <w:sz w:val="20"/>
              </w:rPr>
            </w:pPr>
            <w:r>
              <w:rPr>
                <w:b/>
                <w:noProof/>
                <w:sz w:val="20"/>
              </w:rPr>
              <w:t>.</w:t>
            </w:r>
          </w:p>
        </w:tc>
        <w:tc>
          <w:tcPr>
            <w:tcW w:w="4111" w:type="dxa"/>
            <w:tcBorders>
              <w:left w:val="single" w:sz="4" w:space="0" w:color="auto"/>
              <w:bottom w:val="single" w:sz="4" w:space="0" w:color="auto"/>
              <w:right w:val="single" w:sz="4" w:space="0" w:color="auto"/>
            </w:tcBorders>
            <w:tcMar>
              <w:top w:w="85" w:type="dxa"/>
              <w:bottom w:w="85" w:type="dxa"/>
            </w:tcMar>
          </w:tcPr>
          <w:p w14:paraId="1DC9DFC9" w14:textId="164D90AF" w:rsidR="000A53D2" w:rsidRDefault="00993507" w:rsidP="00AD039E">
            <w:pPr>
              <w:spacing w:after="0"/>
              <w:rPr>
                <w:b/>
                <w:noProof/>
                <w:sz w:val="20"/>
              </w:rPr>
            </w:pPr>
            <w:r>
              <w:rPr>
                <w:b/>
                <w:noProof/>
                <w:sz w:val="20"/>
              </w:rPr>
              <w:t xml:space="preserve">Multimodální digitální mobilita </w:t>
            </w:r>
          </w:p>
        </w:tc>
        <w:tc>
          <w:tcPr>
            <w:tcW w:w="10064" w:type="dxa"/>
            <w:tcBorders>
              <w:left w:val="single" w:sz="4" w:space="0" w:color="auto"/>
              <w:bottom w:val="single" w:sz="4" w:space="0" w:color="auto"/>
              <w:right w:val="single" w:sz="4" w:space="0" w:color="auto"/>
            </w:tcBorders>
            <w:tcMar>
              <w:top w:w="85" w:type="dxa"/>
              <w:bottom w:w="85" w:type="dxa"/>
            </w:tcMar>
          </w:tcPr>
          <w:p w14:paraId="1DC9DFCA" w14:textId="38B447B1" w:rsidR="000A53D2" w:rsidRDefault="00993507" w:rsidP="008C7CF1">
            <w:pPr>
              <w:spacing w:after="0"/>
              <w:jc w:val="left"/>
              <w:rPr>
                <w:noProof/>
                <w:sz w:val="20"/>
              </w:rPr>
            </w:pPr>
            <w:r>
              <w:rPr>
                <w:b/>
                <w:noProof/>
                <w:sz w:val="20"/>
              </w:rPr>
              <w:t>Multimodální digitální služby v oblasti mobility</w:t>
            </w:r>
            <w:r>
              <w:rPr>
                <w:noProof/>
                <w:sz w:val="20"/>
              </w:rPr>
              <w:t xml:space="preserve"> (legislativní, včetně posouzení dopadů, článek 91 SFEU, Q4 2022)</w:t>
            </w:r>
          </w:p>
        </w:tc>
      </w:tr>
      <w:tr w:rsidR="000A53D2" w14:paraId="1DC9DFDB" w14:textId="77777777">
        <w:trPr>
          <w:cantSplit/>
        </w:trPr>
        <w:tc>
          <w:tcPr>
            <w:tcW w:w="14827" w:type="dxa"/>
            <w:gridSpan w:val="3"/>
            <w:tcBorders>
              <w:bottom w:val="single" w:sz="4" w:space="0" w:color="auto"/>
            </w:tcBorders>
            <w:shd w:val="clear" w:color="auto" w:fill="F68A42" w:themeFill="accent3"/>
          </w:tcPr>
          <w:p w14:paraId="1DC9DFDA" w14:textId="77777777" w:rsidR="000A53D2" w:rsidRDefault="00A608B9">
            <w:pPr>
              <w:keepNext/>
              <w:spacing w:before="60" w:after="60"/>
              <w:rPr>
                <w:b/>
                <w:bCs/>
                <w:noProof/>
                <w:sz w:val="20"/>
              </w:rPr>
            </w:pPr>
            <w:r>
              <w:rPr>
                <w:b/>
                <w:bCs/>
                <w:noProof/>
                <w:color w:val="FFFFFF" w:themeColor="background1"/>
                <w:sz w:val="20"/>
              </w:rPr>
              <w:t>Hospodářství ve prospěch lidí</w:t>
            </w:r>
          </w:p>
        </w:tc>
      </w:tr>
      <w:tr w:rsidR="000A53D2" w14:paraId="1DC9DFE1" w14:textId="77777777" w:rsidTr="000E35B5">
        <w:trPr>
          <w:cantSplit/>
        </w:trPr>
        <w:tc>
          <w:tcPr>
            <w:tcW w:w="652" w:type="dxa"/>
            <w:tcBorders>
              <w:right w:val="single" w:sz="4" w:space="0" w:color="auto"/>
            </w:tcBorders>
          </w:tcPr>
          <w:p w14:paraId="1DC9DFDC"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right w:val="single" w:sz="4" w:space="0" w:color="auto"/>
            </w:tcBorders>
            <w:tcMar>
              <w:top w:w="85" w:type="dxa"/>
              <w:bottom w:w="85" w:type="dxa"/>
            </w:tcMar>
          </w:tcPr>
          <w:p w14:paraId="1DC9DFDD" w14:textId="037011BA" w:rsidR="000A53D2" w:rsidRDefault="00C238D0" w:rsidP="00C238D0">
            <w:pPr>
              <w:spacing w:after="0"/>
              <w:rPr>
                <w:b/>
                <w:bCs/>
                <w:noProof/>
                <w:sz w:val="20"/>
              </w:rPr>
            </w:pPr>
            <w:r>
              <w:rPr>
                <w:b/>
                <w:bCs/>
                <w:noProof/>
                <w:sz w:val="20"/>
              </w:rPr>
              <w:t xml:space="preserve">Ochrana zaměstnanců </w:t>
            </w:r>
          </w:p>
        </w:tc>
        <w:tc>
          <w:tcPr>
            <w:tcW w:w="10064" w:type="dxa"/>
            <w:tcBorders>
              <w:left w:val="single" w:sz="4" w:space="0" w:color="auto"/>
              <w:bottom w:val="single" w:sz="4" w:space="0" w:color="auto"/>
              <w:right w:val="single" w:sz="4" w:space="0" w:color="auto"/>
            </w:tcBorders>
            <w:tcMar>
              <w:top w:w="85" w:type="dxa"/>
              <w:bottom w:w="85" w:type="dxa"/>
            </w:tcMar>
          </w:tcPr>
          <w:p w14:paraId="1DC9DFE0" w14:textId="0407F7F6" w:rsidR="000A53D2" w:rsidRPr="008C7CF1" w:rsidRDefault="003168B8" w:rsidP="000F7613">
            <w:pPr>
              <w:spacing w:after="0"/>
              <w:jc w:val="left"/>
              <w:rPr>
                <w:b/>
                <w:bCs/>
                <w:noProof/>
                <w:sz w:val="20"/>
              </w:rPr>
            </w:pPr>
            <w:r>
              <w:rPr>
                <w:b/>
                <w:bCs/>
                <w:noProof/>
                <w:sz w:val="20"/>
              </w:rPr>
              <w:t>Ochrana zaměstnanců před riziky spojenými s expozicí azbestu při práci</w:t>
            </w:r>
            <w:r>
              <w:rPr>
                <w:noProof/>
                <w:sz w:val="20"/>
              </w:rPr>
              <w:t xml:space="preserve"> (legislativní, včetně posouzení dopadů, čl. 153 odst. 2 SFEU, Q3 2022)</w:t>
            </w:r>
          </w:p>
        </w:tc>
      </w:tr>
      <w:tr w:rsidR="000A53D2" w14:paraId="1DC9DFE5" w14:textId="77777777" w:rsidTr="000E35B5">
        <w:trPr>
          <w:cantSplit/>
        </w:trPr>
        <w:tc>
          <w:tcPr>
            <w:tcW w:w="652" w:type="dxa"/>
            <w:tcBorders>
              <w:bottom w:val="single" w:sz="4" w:space="0" w:color="auto"/>
              <w:right w:val="single" w:sz="4" w:space="0" w:color="auto"/>
            </w:tcBorders>
            <w:shd w:val="clear" w:color="auto" w:fill="FFFFFF" w:themeFill="background1"/>
          </w:tcPr>
          <w:p w14:paraId="1DC9DFE2"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tcBorders>
            <w:shd w:val="clear" w:color="auto" w:fill="FFFFFF" w:themeFill="background1"/>
            <w:tcMar>
              <w:top w:w="85" w:type="dxa"/>
              <w:bottom w:w="85" w:type="dxa"/>
            </w:tcMar>
          </w:tcPr>
          <w:p w14:paraId="1DC9DFE3" w14:textId="12FB57E4" w:rsidR="000A53D2" w:rsidRPr="008C7CF1" w:rsidRDefault="00C238D0" w:rsidP="00343353">
            <w:pPr>
              <w:spacing w:after="0"/>
              <w:jc w:val="left"/>
              <w:rPr>
                <w:b/>
                <w:bCs/>
                <w:noProof/>
                <w:color w:val="000000"/>
                <w:sz w:val="20"/>
              </w:rPr>
            </w:pPr>
            <w:r>
              <w:rPr>
                <w:b/>
                <w:bCs/>
                <w:noProof/>
                <w:sz w:val="20"/>
              </w:rPr>
              <w:t>Malé a střední podniky</w:t>
            </w:r>
          </w:p>
        </w:tc>
        <w:tc>
          <w:tcPr>
            <w:tcW w:w="10064" w:type="dxa"/>
            <w:tcBorders>
              <w:bottom w:val="single" w:sz="4" w:space="0" w:color="auto"/>
            </w:tcBorders>
            <w:shd w:val="clear" w:color="auto" w:fill="auto"/>
            <w:tcMar>
              <w:top w:w="85" w:type="dxa"/>
              <w:bottom w:w="85" w:type="dxa"/>
            </w:tcMar>
          </w:tcPr>
          <w:p w14:paraId="1DC9DFE4" w14:textId="7E687639" w:rsidR="000A53D2" w:rsidRDefault="00707306" w:rsidP="00707306">
            <w:pPr>
              <w:spacing w:after="0"/>
              <w:rPr>
                <w:b/>
                <w:bCs/>
                <w:noProof/>
                <w:sz w:val="20"/>
              </w:rPr>
            </w:pPr>
            <w:r>
              <w:rPr>
                <w:b/>
                <w:noProof/>
                <w:sz w:val="20"/>
              </w:rPr>
              <w:t>Usnadnění přístupu malých a středních podniků ke kapitálu</w:t>
            </w:r>
            <w:r>
              <w:rPr>
                <w:noProof/>
                <w:sz w:val="20"/>
              </w:rPr>
              <w:t xml:space="preserve"> (legislativní, včetně posouzení dopadů, článek 114 SFEU, Q3 2022)</w:t>
            </w:r>
          </w:p>
        </w:tc>
      </w:tr>
      <w:tr w:rsidR="000A53D2" w14:paraId="1DC9DFE9" w14:textId="77777777" w:rsidTr="000E35B5">
        <w:trPr>
          <w:cantSplit/>
        </w:trPr>
        <w:tc>
          <w:tcPr>
            <w:tcW w:w="652" w:type="dxa"/>
            <w:tcBorders>
              <w:bottom w:val="single" w:sz="4" w:space="0" w:color="auto"/>
              <w:right w:val="single" w:sz="4" w:space="0" w:color="auto"/>
            </w:tcBorders>
            <w:shd w:val="clear" w:color="auto" w:fill="FFFFFF" w:themeFill="background1"/>
          </w:tcPr>
          <w:p w14:paraId="1DC9DFE6"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14:paraId="1DC9DFE7" w14:textId="52F290FC" w:rsidR="000A53D2" w:rsidRDefault="00707306">
            <w:pPr>
              <w:spacing w:after="0"/>
              <w:rPr>
                <w:b/>
                <w:bCs/>
                <w:noProof/>
                <w:sz w:val="20"/>
              </w:rPr>
            </w:pPr>
            <w:r>
              <w:rPr>
                <w:b/>
                <w:noProof/>
                <w:sz w:val="20"/>
              </w:rPr>
              <w:t>Okamžité platby</w:t>
            </w:r>
          </w:p>
        </w:tc>
        <w:tc>
          <w:tcPr>
            <w:tcW w:w="10064" w:type="dxa"/>
            <w:tcBorders>
              <w:left w:val="single" w:sz="4" w:space="0" w:color="auto"/>
              <w:bottom w:val="single" w:sz="4" w:space="0" w:color="auto"/>
              <w:right w:val="single" w:sz="4" w:space="0" w:color="auto"/>
            </w:tcBorders>
            <w:shd w:val="clear" w:color="auto" w:fill="auto"/>
            <w:tcMar>
              <w:top w:w="85" w:type="dxa"/>
              <w:bottom w:w="85" w:type="dxa"/>
            </w:tcMar>
          </w:tcPr>
          <w:p w14:paraId="1DC9DFE8" w14:textId="4D496ABA" w:rsidR="000A53D2" w:rsidRDefault="00707306" w:rsidP="00203419">
            <w:pPr>
              <w:spacing w:after="0"/>
              <w:jc w:val="left"/>
              <w:rPr>
                <w:noProof/>
                <w:sz w:val="20"/>
              </w:rPr>
            </w:pPr>
            <w:r>
              <w:rPr>
                <w:b/>
                <w:noProof/>
                <w:sz w:val="20"/>
              </w:rPr>
              <w:t>Iniciativa týkající se okamžitých plateb v EU</w:t>
            </w:r>
            <w:r>
              <w:rPr>
                <w:noProof/>
                <w:sz w:val="20"/>
              </w:rPr>
              <w:t xml:space="preserve"> (legislativní nebo nelegislativní, Q2 2022)</w:t>
            </w:r>
          </w:p>
        </w:tc>
      </w:tr>
      <w:tr w:rsidR="000A53D2" w14:paraId="1DC9DFED" w14:textId="77777777" w:rsidTr="000E35B5">
        <w:trPr>
          <w:cantSplit/>
        </w:trPr>
        <w:tc>
          <w:tcPr>
            <w:tcW w:w="652" w:type="dxa"/>
            <w:tcBorders>
              <w:right w:val="single" w:sz="4" w:space="0" w:color="auto"/>
            </w:tcBorders>
          </w:tcPr>
          <w:p w14:paraId="1DC9DFEA"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tcBorders>
            <w:tcMar>
              <w:top w:w="85" w:type="dxa"/>
              <w:bottom w:w="85" w:type="dxa"/>
            </w:tcMar>
          </w:tcPr>
          <w:p w14:paraId="1DC9DFEB" w14:textId="43B160B6" w:rsidR="000A53D2" w:rsidRDefault="003E77E5" w:rsidP="003E77E5">
            <w:pPr>
              <w:spacing w:after="0"/>
              <w:rPr>
                <w:b/>
                <w:bCs/>
                <w:noProof/>
                <w:color w:val="000000"/>
                <w:sz w:val="20"/>
              </w:rPr>
            </w:pPr>
            <w:r>
              <w:rPr>
                <w:b/>
                <w:noProof/>
                <w:sz w:val="20"/>
              </w:rPr>
              <w:t xml:space="preserve">Prohloubení unie kapitálových trhů </w:t>
            </w:r>
          </w:p>
        </w:tc>
        <w:tc>
          <w:tcPr>
            <w:tcW w:w="10064" w:type="dxa"/>
            <w:tcMar>
              <w:top w:w="85" w:type="dxa"/>
              <w:bottom w:w="85" w:type="dxa"/>
            </w:tcMar>
          </w:tcPr>
          <w:p w14:paraId="1DC9DFEC" w14:textId="09EF7101" w:rsidR="000A53D2" w:rsidRDefault="00793662" w:rsidP="00D31875">
            <w:pPr>
              <w:spacing w:after="0"/>
              <w:jc w:val="left"/>
              <w:rPr>
                <w:noProof/>
                <w:sz w:val="20"/>
              </w:rPr>
            </w:pPr>
            <w:r>
              <w:rPr>
                <w:b/>
                <w:bCs/>
                <w:noProof/>
                <w:sz w:val="20"/>
              </w:rPr>
              <w:t>Iniciativa týkající se harmonizace některých aspektů hmotného práva v oblasti insolvenčního řízení</w:t>
            </w:r>
            <w:r>
              <w:rPr>
                <w:noProof/>
                <w:sz w:val="20"/>
              </w:rPr>
              <w:t xml:space="preserve"> (legislativní nebo nelegislativní, Q3 2022)</w:t>
            </w:r>
          </w:p>
        </w:tc>
      </w:tr>
      <w:tr w:rsidR="000A53D2" w14:paraId="1DC9DFF4" w14:textId="77777777" w:rsidTr="000E35B5">
        <w:trPr>
          <w:cantSplit/>
        </w:trPr>
        <w:tc>
          <w:tcPr>
            <w:tcW w:w="652" w:type="dxa"/>
            <w:tcBorders>
              <w:right w:val="single" w:sz="4" w:space="0" w:color="auto"/>
            </w:tcBorders>
            <w:shd w:val="clear" w:color="auto" w:fill="FFFFFF" w:themeFill="background1"/>
          </w:tcPr>
          <w:p w14:paraId="1DC9DFEE"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tcBorders>
            <w:shd w:val="clear" w:color="auto" w:fill="FFFFFF" w:themeFill="background1"/>
            <w:tcMar>
              <w:top w:w="85" w:type="dxa"/>
              <w:bottom w:w="85" w:type="dxa"/>
            </w:tcMar>
          </w:tcPr>
          <w:p w14:paraId="1DC9DFEF" w14:textId="1760D130" w:rsidR="000A53D2" w:rsidRDefault="006E7DCA" w:rsidP="006E0E2F">
            <w:pPr>
              <w:spacing w:after="0"/>
              <w:rPr>
                <w:b/>
                <w:bCs/>
                <w:noProof/>
                <w:color w:val="000000"/>
                <w:sz w:val="20"/>
              </w:rPr>
            </w:pPr>
            <w:r>
              <w:rPr>
                <w:b/>
                <w:bCs/>
                <w:noProof/>
                <w:color w:val="000000"/>
                <w:sz w:val="20"/>
              </w:rPr>
              <w:t xml:space="preserve">Spravedlivé zdanění </w:t>
            </w:r>
          </w:p>
        </w:tc>
        <w:tc>
          <w:tcPr>
            <w:tcW w:w="10064" w:type="dxa"/>
            <w:shd w:val="clear" w:color="auto" w:fill="FFFFFF" w:themeFill="background1"/>
            <w:tcMar>
              <w:top w:w="85" w:type="dxa"/>
              <w:bottom w:w="85" w:type="dxa"/>
            </w:tcMar>
          </w:tcPr>
          <w:p w14:paraId="1DC9DFF3" w14:textId="0B1A3B90" w:rsidR="000A53D2" w:rsidRDefault="006E7DCA" w:rsidP="00C81A35">
            <w:pPr>
              <w:pStyle w:val="Default"/>
              <w:rPr>
                <w:noProof/>
                <w:sz w:val="20"/>
                <w:szCs w:val="20"/>
              </w:rPr>
            </w:pPr>
            <w:r>
              <w:rPr>
                <w:b/>
                <w:noProof/>
                <w:sz w:val="20"/>
                <w:szCs w:val="20"/>
              </w:rPr>
              <w:t>Návrh na provádění globální dohody OECD o přerozdělení daňových práv</w:t>
            </w:r>
            <w:r>
              <w:rPr>
                <w:noProof/>
                <w:sz w:val="20"/>
              </w:rPr>
              <w:t xml:space="preserve"> (legislativní, článek 115 SFEU)</w:t>
            </w:r>
          </w:p>
        </w:tc>
      </w:tr>
      <w:tr w:rsidR="000A53D2" w14:paraId="1DC9DFF8" w14:textId="77777777" w:rsidTr="000E35B5">
        <w:trPr>
          <w:cantSplit/>
        </w:trPr>
        <w:tc>
          <w:tcPr>
            <w:tcW w:w="652" w:type="dxa"/>
            <w:tcBorders>
              <w:bottom w:val="single" w:sz="4" w:space="0" w:color="auto"/>
              <w:right w:val="single" w:sz="4" w:space="0" w:color="auto"/>
            </w:tcBorders>
          </w:tcPr>
          <w:p w14:paraId="1DC9DFF5"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tcBorders>
            <w:tcMar>
              <w:top w:w="85" w:type="dxa"/>
              <w:bottom w:w="85" w:type="dxa"/>
            </w:tcMar>
          </w:tcPr>
          <w:p w14:paraId="1DC9DFF6" w14:textId="3994769D" w:rsidR="000A53D2" w:rsidRDefault="00C238D0" w:rsidP="00C238D0">
            <w:pPr>
              <w:tabs>
                <w:tab w:val="left" w:pos="1185"/>
              </w:tabs>
              <w:spacing w:after="0"/>
              <w:jc w:val="left"/>
              <w:rPr>
                <w:b/>
                <w:bCs/>
                <w:noProof/>
                <w:color w:val="000000"/>
                <w:sz w:val="20"/>
              </w:rPr>
            </w:pPr>
            <w:r>
              <w:rPr>
                <w:b/>
                <w:bCs/>
                <w:noProof/>
                <w:color w:val="000000"/>
                <w:sz w:val="20"/>
              </w:rPr>
              <w:t>Minimální příjem</w:t>
            </w:r>
          </w:p>
        </w:tc>
        <w:tc>
          <w:tcPr>
            <w:tcW w:w="10064" w:type="dxa"/>
            <w:tcBorders>
              <w:bottom w:val="single" w:sz="4" w:space="0" w:color="auto"/>
            </w:tcBorders>
            <w:tcMar>
              <w:top w:w="85" w:type="dxa"/>
              <w:bottom w:w="85" w:type="dxa"/>
            </w:tcMar>
          </w:tcPr>
          <w:p w14:paraId="1DC9DFF7" w14:textId="08F26DD3" w:rsidR="000A53D2" w:rsidRDefault="006E7DCA" w:rsidP="005577A2">
            <w:pPr>
              <w:pStyle w:val="Default"/>
              <w:rPr>
                <w:noProof/>
                <w:sz w:val="20"/>
                <w:szCs w:val="20"/>
              </w:rPr>
            </w:pPr>
            <w:r>
              <w:rPr>
                <w:b/>
                <w:bCs/>
                <w:noProof/>
                <w:sz w:val="20"/>
              </w:rPr>
              <w:t>Doporučení o minimálním příjmu</w:t>
            </w:r>
            <w:r>
              <w:rPr>
                <w:noProof/>
                <w:sz w:val="20"/>
              </w:rPr>
              <w:t xml:space="preserve"> (nelegislativní, Q3 2022)</w:t>
            </w:r>
          </w:p>
        </w:tc>
      </w:tr>
      <w:tr w:rsidR="00BE4FE4" w14:paraId="1490D71E" w14:textId="77777777" w:rsidTr="000E35B5">
        <w:trPr>
          <w:cantSplit/>
        </w:trPr>
        <w:tc>
          <w:tcPr>
            <w:tcW w:w="652" w:type="dxa"/>
            <w:tcBorders>
              <w:bottom w:val="single" w:sz="4" w:space="0" w:color="auto"/>
              <w:right w:val="single" w:sz="4" w:space="0" w:color="auto"/>
            </w:tcBorders>
          </w:tcPr>
          <w:p w14:paraId="0362A0C3" w14:textId="77777777" w:rsidR="00BE4FE4" w:rsidRPr="005A3E3C" w:rsidRDefault="00BE4FE4" w:rsidP="005A3E3C">
            <w:pPr>
              <w:pStyle w:val="ListParagraph"/>
              <w:numPr>
                <w:ilvl w:val="0"/>
                <w:numId w:val="29"/>
              </w:numPr>
              <w:spacing w:after="0"/>
              <w:rPr>
                <w:b/>
                <w:noProof/>
                <w:sz w:val="20"/>
              </w:rPr>
            </w:pPr>
          </w:p>
        </w:tc>
        <w:tc>
          <w:tcPr>
            <w:tcW w:w="4111" w:type="dxa"/>
            <w:tcBorders>
              <w:left w:val="single" w:sz="4" w:space="0" w:color="auto"/>
              <w:bottom w:val="single" w:sz="4" w:space="0" w:color="auto"/>
            </w:tcBorders>
            <w:tcMar>
              <w:top w:w="85" w:type="dxa"/>
              <w:bottom w:w="85" w:type="dxa"/>
            </w:tcMar>
          </w:tcPr>
          <w:p w14:paraId="79BE0053" w14:textId="40C04BD8" w:rsidR="00BE4FE4" w:rsidRPr="00D122C5" w:rsidRDefault="00C238D0" w:rsidP="000E35B5">
            <w:pPr>
              <w:spacing w:after="0"/>
              <w:rPr>
                <w:b/>
                <w:bCs/>
                <w:noProof/>
                <w:color w:val="000000"/>
                <w:sz w:val="20"/>
              </w:rPr>
            </w:pPr>
            <w:r>
              <w:rPr>
                <w:b/>
                <w:bCs/>
                <w:noProof/>
                <w:sz w:val="20"/>
              </w:rPr>
              <w:t>Nejvzdálenější regiony</w:t>
            </w:r>
          </w:p>
        </w:tc>
        <w:tc>
          <w:tcPr>
            <w:tcW w:w="10064" w:type="dxa"/>
            <w:tcBorders>
              <w:bottom w:val="single" w:sz="4" w:space="0" w:color="auto"/>
            </w:tcBorders>
            <w:tcMar>
              <w:top w:w="85" w:type="dxa"/>
              <w:bottom w:w="85" w:type="dxa"/>
            </w:tcMar>
          </w:tcPr>
          <w:p w14:paraId="091F65CB" w14:textId="2C2A6F24" w:rsidR="00BE4FE4" w:rsidRPr="00D122C5" w:rsidRDefault="00D122C5" w:rsidP="000E35B5">
            <w:pPr>
              <w:spacing w:after="0"/>
              <w:rPr>
                <w:b/>
                <w:bCs/>
                <w:noProof/>
                <w:sz w:val="20"/>
              </w:rPr>
            </w:pPr>
            <w:r>
              <w:rPr>
                <w:b/>
                <w:bCs/>
                <w:noProof/>
                <w:sz w:val="20"/>
              </w:rPr>
              <w:t>Obnovené strategické partnerství s nejvzdálenějšími regiony</w:t>
            </w:r>
            <w:r>
              <w:rPr>
                <w:noProof/>
                <w:sz w:val="20"/>
              </w:rPr>
              <w:t xml:space="preserve"> (nelegislativní, Q2 2022)</w:t>
            </w:r>
          </w:p>
        </w:tc>
      </w:tr>
      <w:tr w:rsidR="000A53D2" w14:paraId="1DC9E00B" w14:textId="77777777">
        <w:trPr>
          <w:cantSplit/>
        </w:trPr>
        <w:tc>
          <w:tcPr>
            <w:tcW w:w="14827" w:type="dxa"/>
            <w:gridSpan w:val="3"/>
            <w:tcBorders>
              <w:bottom w:val="single" w:sz="4" w:space="0" w:color="auto"/>
            </w:tcBorders>
            <w:shd w:val="clear" w:color="auto" w:fill="585EAA" w:themeFill="accent4"/>
          </w:tcPr>
          <w:p w14:paraId="1DC9E00A" w14:textId="77777777" w:rsidR="000A53D2" w:rsidRDefault="00A608B9">
            <w:pPr>
              <w:keepNext/>
              <w:spacing w:before="60" w:after="60"/>
              <w:rPr>
                <w:b/>
                <w:bCs/>
                <w:noProof/>
                <w:sz w:val="20"/>
              </w:rPr>
            </w:pPr>
            <w:r>
              <w:rPr>
                <w:b/>
                <w:bCs/>
                <w:noProof/>
                <w:color w:val="FFFFFF" w:themeColor="background1"/>
                <w:sz w:val="20"/>
              </w:rPr>
              <w:t>Silnější Evropa ve světě</w:t>
            </w:r>
          </w:p>
        </w:tc>
      </w:tr>
      <w:tr w:rsidR="000A53D2" w14:paraId="1DC9E00F" w14:textId="77777777" w:rsidTr="000E35B5">
        <w:trPr>
          <w:cantSplit/>
        </w:trPr>
        <w:tc>
          <w:tcPr>
            <w:tcW w:w="652" w:type="dxa"/>
            <w:tcBorders>
              <w:bottom w:val="single" w:sz="4" w:space="0" w:color="auto"/>
              <w:right w:val="single" w:sz="4" w:space="0" w:color="auto"/>
            </w:tcBorders>
          </w:tcPr>
          <w:p w14:paraId="1DC9E00C"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tcBorders>
            <w:tcMar>
              <w:top w:w="85" w:type="dxa"/>
              <w:bottom w:w="85" w:type="dxa"/>
            </w:tcMar>
          </w:tcPr>
          <w:p w14:paraId="1DC9E00D" w14:textId="09B56FFF" w:rsidR="000A53D2" w:rsidRDefault="00790AC8" w:rsidP="00F67914">
            <w:pPr>
              <w:spacing w:after="0"/>
              <w:rPr>
                <w:b/>
                <w:noProof/>
                <w:sz w:val="20"/>
              </w:rPr>
            </w:pPr>
            <w:r>
              <w:rPr>
                <w:b/>
                <w:noProof/>
                <w:sz w:val="20"/>
              </w:rPr>
              <w:t xml:space="preserve">Blokovací nařízení </w:t>
            </w:r>
          </w:p>
        </w:tc>
        <w:tc>
          <w:tcPr>
            <w:tcW w:w="10064" w:type="dxa"/>
            <w:tcBorders>
              <w:bottom w:val="single" w:sz="4" w:space="0" w:color="auto"/>
            </w:tcBorders>
            <w:tcMar>
              <w:top w:w="85" w:type="dxa"/>
              <w:bottom w:w="85" w:type="dxa"/>
            </w:tcMar>
          </w:tcPr>
          <w:p w14:paraId="1DC9E00E" w14:textId="038309AF" w:rsidR="000A53D2" w:rsidRDefault="006E7DCA" w:rsidP="005577A2">
            <w:pPr>
              <w:spacing w:after="0"/>
              <w:jc w:val="left"/>
              <w:rPr>
                <w:noProof/>
                <w:sz w:val="20"/>
              </w:rPr>
            </w:pPr>
            <w:r>
              <w:rPr>
                <w:b/>
                <w:bCs/>
                <w:noProof/>
                <w:sz w:val="20"/>
              </w:rPr>
              <w:t>Změna blokovacího nařízení</w:t>
            </w:r>
            <w:r>
              <w:rPr>
                <w:noProof/>
                <w:sz w:val="20"/>
              </w:rPr>
              <w:t xml:space="preserve"> (legislativní, včetně posouzení dopadů, Q2 2022)</w:t>
            </w:r>
          </w:p>
        </w:tc>
      </w:tr>
      <w:tr w:rsidR="000A53D2" w14:paraId="1DC9E013" w14:textId="77777777" w:rsidTr="000E35B5">
        <w:trPr>
          <w:cantSplit/>
        </w:trPr>
        <w:tc>
          <w:tcPr>
            <w:tcW w:w="652" w:type="dxa"/>
            <w:tcBorders>
              <w:bottom w:val="single" w:sz="4" w:space="0" w:color="auto"/>
              <w:right w:val="single" w:sz="4" w:space="0" w:color="auto"/>
            </w:tcBorders>
          </w:tcPr>
          <w:p w14:paraId="1DC9E010"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tcBorders>
            <w:tcMar>
              <w:top w:w="85" w:type="dxa"/>
              <w:bottom w:w="85" w:type="dxa"/>
            </w:tcMar>
          </w:tcPr>
          <w:p w14:paraId="1DC9E011" w14:textId="6772209D" w:rsidR="000A53D2" w:rsidRDefault="005C0D41" w:rsidP="005C0D41">
            <w:pPr>
              <w:spacing w:after="0"/>
              <w:jc w:val="left"/>
              <w:rPr>
                <w:b/>
                <w:noProof/>
                <w:color w:val="000000" w:themeColor="text1"/>
                <w:sz w:val="20"/>
              </w:rPr>
            </w:pPr>
            <w:r>
              <w:rPr>
                <w:b/>
                <w:noProof/>
                <w:color w:val="000000" w:themeColor="text1"/>
                <w:sz w:val="20"/>
              </w:rPr>
              <w:t>Mezinárodní angažovanost v oblasti energetiky</w:t>
            </w:r>
          </w:p>
        </w:tc>
        <w:tc>
          <w:tcPr>
            <w:tcW w:w="10064" w:type="dxa"/>
            <w:tcBorders>
              <w:bottom w:val="single" w:sz="4" w:space="0" w:color="auto"/>
            </w:tcBorders>
            <w:tcMar>
              <w:top w:w="85" w:type="dxa"/>
              <w:bottom w:w="85" w:type="dxa"/>
            </w:tcMar>
          </w:tcPr>
          <w:p w14:paraId="1DC9E012" w14:textId="07EC5B67" w:rsidR="000A53D2" w:rsidRDefault="005C0D41" w:rsidP="005577A2">
            <w:pPr>
              <w:spacing w:after="0"/>
              <w:jc w:val="left"/>
              <w:rPr>
                <w:b/>
                <w:noProof/>
                <w:sz w:val="20"/>
              </w:rPr>
            </w:pPr>
            <w:r>
              <w:rPr>
                <w:b/>
                <w:bCs/>
                <w:noProof/>
                <w:sz w:val="20"/>
              </w:rPr>
              <w:t>Nová strategie pro mezinárodní angažovanost v oblasti energetiky</w:t>
            </w:r>
            <w:r>
              <w:rPr>
                <w:noProof/>
                <w:sz w:val="20"/>
              </w:rPr>
              <w:t xml:space="preserve"> (nelegislativní, Q1 2022)</w:t>
            </w:r>
          </w:p>
        </w:tc>
      </w:tr>
      <w:tr w:rsidR="000A53D2" w14:paraId="1DC9E017" w14:textId="77777777" w:rsidTr="000E35B5">
        <w:trPr>
          <w:cantSplit/>
        </w:trPr>
        <w:tc>
          <w:tcPr>
            <w:tcW w:w="652" w:type="dxa"/>
            <w:tcBorders>
              <w:right w:val="single" w:sz="4" w:space="0" w:color="auto"/>
            </w:tcBorders>
          </w:tcPr>
          <w:p w14:paraId="1DC9E014"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tcBorders>
            <w:tcMar>
              <w:top w:w="85" w:type="dxa"/>
              <w:bottom w:w="85" w:type="dxa"/>
            </w:tcMar>
          </w:tcPr>
          <w:p w14:paraId="1DC9E015" w14:textId="48187DE4" w:rsidR="000A53D2" w:rsidRDefault="005C0D41">
            <w:pPr>
              <w:spacing w:after="0"/>
              <w:rPr>
                <w:b/>
                <w:bCs/>
                <w:noProof/>
                <w:color w:val="000000"/>
                <w:sz w:val="20"/>
              </w:rPr>
            </w:pPr>
            <w:r>
              <w:rPr>
                <w:b/>
                <w:bCs/>
                <w:noProof/>
                <w:color w:val="000000"/>
                <w:sz w:val="20"/>
              </w:rPr>
              <w:t>Mezinárodní správa oceánů</w:t>
            </w:r>
          </w:p>
        </w:tc>
        <w:tc>
          <w:tcPr>
            <w:tcW w:w="10064" w:type="dxa"/>
            <w:tcMar>
              <w:top w:w="85" w:type="dxa"/>
              <w:bottom w:w="85" w:type="dxa"/>
            </w:tcMar>
          </w:tcPr>
          <w:p w14:paraId="1DC9E016" w14:textId="69561242" w:rsidR="000A53D2" w:rsidRDefault="005C0D41" w:rsidP="005C0D41">
            <w:pPr>
              <w:spacing w:after="0"/>
              <w:jc w:val="left"/>
              <w:rPr>
                <w:noProof/>
                <w:sz w:val="20"/>
              </w:rPr>
            </w:pPr>
            <w:r>
              <w:rPr>
                <w:b/>
                <w:noProof/>
                <w:sz w:val="20"/>
              </w:rPr>
              <w:t>Společné sdělení o mezinárodní správě oceánů</w:t>
            </w:r>
            <w:r>
              <w:rPr>
                <w:noProof/>
                <w:sz w:val="20"/>
              </w:rPr>
              <w:t xml:space="preserve"> (nelegislativní, Q2 2022)</w:t>
            </w:r>
          </w:p>
        </w:tc>
      </w:tr>
      <w:tr w:rsidR="000A53D2" w14:paraId="1DC9E01B" w14:textId="77777777" w:rsidTr="000E35B5">
        <w:trPr>
          <w:cantSplit/>
        </w:trPr>
        <w:tc>
          <w:tcPr>
            <w:tcW w:w="652" w:type="dxa"/>
            <w:tcBorders>
              <w:right w:val="single" w:sz="4" w:space="0" w:color="auto"/>
            </w:tcBorders>
          </w:tcPr>
          <w:p w14:paraId="1DC9E018"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tcBorders>
            <w:tcMar>
              <w:top w:w="85" w:type="dxa"/>
              <w:bottom w:w="85" w:type="dxa"/>
            </w:tcMar>
          </w:tcPr>
          <w:p w14:paraId="1DC9E019" w14:textId="26074D4A" w:rsidR="000A53D2" w:rsidRPr="005C0D41" w:rsidRDefault="00C238D0">
            <w:pPr>
              <w:spacing w:after="0"/>
              <w:rPr>
                <w:b/>
                <w:bCs/>
                <w:noProof/>
                <w:sz w:val="20"/>
              </w:rPr>
            </w:pPr>
            <w:r>
              <w:rPr>
                <w:b/>
                <w:bCs/>
                <w:noProof/>
                <w:sz w:val="20"/>
              </w:rPr>
              <w:t>Partnerství s Perským zálivem</w:t>
            </w:r>
          </w:p>
        </w:tc>
        <w:tc>
          <w:tcPr>
            <w:tcW w:w="10064" w:type="dxa"/>
            <w:tcMar>
              <w:top w:w="85" w:type="dxa"/>
              <w:bottom w:w="85" w:type="dxa"/>
            </w:tcMar>
          </w:tcPr>
          <w:p w14:paraId="1DC9E01A" w14:textId="3AF146F1" w:rsidR="000A53D2" w:rsidRDefault="005C0D41" w:rsidP="005577A2">
            <w:pPr>
              <w:spacing w:after="0"/>
              <w:jc w:val="left"/>
              <w:rPr>
                <w:b/>
                <w:bCs/>
                <w:noProof/>
                <w:sz w:val="20"/>
              </w:rPr>
            </w:pPr>
            <w:r>
              <w:rPr>
                <w:b/>
                <w:bCs/>
                <w:noProof/>
                <w:sz w:val="20"/>
              </w:rPr>
              <w:t>Společné sdělení o partnerství se zeměmi v oblasti Perského zálivu</w:t>
            </w:r>
            <w:r>
              <w:rPr>
                <w:noProof/>
                <w:sz w:val="20"/>
              </w:rPr>
              <w:t xml:space="preserve"> (nelegislativní, Q2 2022)</w:t>
            </w:r>
          </w:p>
        </w:tc>
      </w:tr>
      <w:tr w:rsidR="000A53D2" w14:paraId="1DC9E029" w14:textId="77777777">
        <w:trPr>
          <w:cantSplit/>
        </w:trPr>
        <w:tc>
          <w:tcPr>
            <w:tcW w:w="14827" w:type="dxa"/>
            <w:gridSpan w:val="3"/>
            <w:tcBorders>
              <w:bottom w:val="single" w:sz="4" w:space="0" w:color="auto"/>
            </w:tcBorders>
            <w:shd w:val="clear" w:color="auto" w:fill="DA5C57" w:themeFill="accent6"/>
          </w:tcPr>
          <w:p w14:paraId="1DC9E028" w14:textId="77777777" w:rsidR="000A53D2" w:rsidRDefault="00A608B9">
            <w:pPr>
              <w:keepNext/>
              <w:spacing w:before="60" w:after="60"/>
              <w:rPr>
                <w:b/>
                <w:bCs/>
                <w:noProof/>
                <w:sz w:val="20"/>
              </w:rPr>
            </w:pPr>
            <w:r>
              <w:rPr>
                <w:b/>
                <w:bCs/>
                <w:noProof/>
                <w:color w:val="FFFFFF" w:themeColor="background1"/>
                <w:sz w:val="20"/>
              </w:rPr>
              <w:t>Podpora evropského způsobu života</w:t>
            </w:r>
          </w:p>
        </w:tc>
      </w:tr>
      <w:tr w:rsidR="000A53D2" w14:paraId="1DC9E02D" w14:textId="77777777" w:rsidTr="000E35B5">
        <w:trPr>
          <w:cantSplit/>
        </w:trPr>
        <w:tc>
          <w:tcPr>
            <w:tcW w:w="652" w:type="dxa"/>
            <w:tcBorders>
              <w:right w:val="single" w:sz="4" w:space="0" w:color="auto"/>
            </w:tcBorders>
          </w:tcPr>
          <w:p w14:paraId="1DC9E02A"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tcBorders>
            <w:tcMar>
              <w:top w:w="85" w:type="dxa"/>
              <w:bottom w:w="85" w:type="dxa"/>
            </w:tcMar>
          </w:tcPr>
          <w:p w14:paraId="1DC9E02B" w14:textId="6442CCC3" w:rsidR="000A53D2" w:rsidRDefault="0054700D" w:rsidP="0054700D">
            <w:pPr>
              <w:spacing w:after="0"/>
              <w:rPr>
                <w:b/>
                <w:bCs/>
                <w:noProof/>
                <w:color w:val="000000"/>
                <w:sz w:val="20"/>
              </w:rPr>
            </w:pPr>
            <w:r>
              <w:rPr>
                <w:b/>
                <w:bCs/>
                <w:noProof/>
                <w:color w:val="000000"/>
                <w:sz w:val="20"/>
              </w:rPr>
              <w:t>Evropská strategie v oblasti péče</w:t>
            </w:r>
          </w:p>
        </w:tc>
        <w:tc>
          <w:tcPr>
            <w:tcW w:w="10064" w:type="dxa"/>
            <w:tcMar>
              <w:top w:w="85" w:type="dxa"/>
              <w:bottom w:w="85" w:type="dxa"/>
            </w:tcMar>
          </w:tcPr>
          <w:p w14:paraId="1DC9E02C" w14:textId="0F3D31EA" w:rsidR="000A53D2" w:rsidRDefault="001F3355" w:rsidP="00922DAB">
            <w:pPr>
              <w:spacing w:after="0" w:line="240" w:lineRule="atLeast"/>
              <w:jc w:val="left"/>
              <w:rPr>
                <w:noProof/>
                <w:sz w:val="20"/>
              </w:rPr>
            </w:pPr>
            <w:r>
              <w:rPr>
                <w:b/>
                <w:noProof/>
                <w:sz w:val="20"/>
              </w:rPr>
              <w:t>Evropská strategie v oblasti péče – sdělení o evropské strategii v oblasti péče, kterou doprovází revize barcelonských cílů a návrh doporučení Rady týkající se dlouhodobé péče</w:t>
            </w:r>
            <w:r>
              <w:rPr>
                <w:noProof/>
                <w:sz w:val="20"/>
              </w:rPr>
              <w:t xml:space="preserve"> (nelegislativní, Q3 2022)</w:t>
            </w:r>
          </w:p>
        </w:tc>
      </w:tr>
      <w:tr w:rsidR="000A53D2" w14:paraId="1DC9E031" w14:textId="77777777" w:rsidTr="000E35B5">
        <w:trPr>
          <w:cantSplit/>
        </w:trPr>
        <w:tc>
          <w:tcPr>
            <w:tcW w:w="652" w:type="dxa"/>
            <w:tcBorders>
              <w:bottom w:val="single" w:sz="4" w:space="0" w:color="auto"/>
              <w:right w:val="single" w:sz="4" w:space="0" w:color="auto"/>
            </w:tcBorders>
          </w:tcPr>
          <w:p w14:paraId="1DC9E02E"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tcBorders>
            <w:tcMar>
              <w:top w:w="85" w:type="dxa"/>
              <w:bottom w:w="85" w:type="dxa"/>
            </w:tcMar>
          </w:tcPr>
          <w:p w14:paraId="1DC9E02F" w14:textId="72F69177" w:rsidR="000A53D2" w:rsidRDefault="001F1AF7" w:rsidP="00413233">
            <w:pPr>
              <w:tabs>
                <w:tab w:val="left" w:pos="1005"/>
              </w:tabs>
              <w:spacing w:after="0"/>
              <w:rPr>
                <w:b/>
                <w:bCs/>
                <w:noProof/>
                <w:color w:val="000000"/>
                <w:sz w:val="20"/>
              </w:rPr>
            </w:pPr>
            <w:r>
              <w:rPr>
                <w:b/>
                <w:bCs/>
                <w:noProof/>
                <w:color w:val="000000"/>
                <w:sz w:val="20"/>
              </w:rPr>
              <w:t xml:space="preserve">Předběžné informace o cestujících </w:t>
            </w:r>
          </w:p>
        </w:tc>
        <w:tc>
          <w:tcPr>
            <w:tcW w:w="10064" w:type="dxa"/>
            <w:tcBorders>
              <w:bottom w:val="single" w:sz="4" w:space="0" w:color="auto"/>
            </w:tcBorders>
            <w:tcMar>
              <w:top w:w="85" w:type="dxa"/>
              <w:bottom w:w="85" w:type="dxa"/>
            </w:tcMar>
          </w:tcPr>
          <w:p w14:paraId="1DC9E030" w14:textId="783776D1" w:rsidR="000A53D2" w:rsidRDefault="0028254E" w:rsidP="00413233">
            <w:pPr>
              <w:spacing w:after="0"/>
              <w:jc w:val="left"/>
              <w:rPr>
                <w:noProof/>
                <w:sz w:val="20"/>
              </w:rPr>
            </w:pPr>
            <w:r>
              <w:rPr>
                <w:b/>
                <w:bCs/>
                <w:noProof/>
                <w:color w:val="000000"/>
                <w:sz w:val="20"/>
              </w:rPr>
              <w:t>Povinnost dopravců sdělovat předem informace o cestujících</w:t>
            </w:r>
            <w:r>
              <w:rPr>
                <w:noProof/>
                <w:sz w:val="20"/>
              </w:rPr>
              <w:t xml:space="preserve"> (legislativní, včetně posouzení dopadů, Q2 2022)</w:t>
            </w:r>
          </w:p>
        </w:tc>
      </w:tr>
      <w:tr w:rsidR="000A53D2" w14:paraId="1DC9E036" w14:textId="77777777" w:rsidTr="000E35B5">
        <w:trPr>
          <w:cantSplit/>
        </w:trPr>
        <w:tc>
          <w:tcPr>
            <w:tcW w:w="652" w:type="dxa"/>
            <w:tcBorders>
              <w:right w:val="single" w:sz="4" w:space="0" w:color="auto"/>
            </w:tcBorders>
          </w:tcPr>
          <w:p w14:paraId="1DC9E032"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tcBorders>
            <w:tcMar>
              <w:top w:w="85" w:type="dxa"/>
              <w:bottom w:w="85" w:type="dxa"/>
            </w:tcMar>
          </w:tcPr>
          <w:p w14:paraId="1DC9E033" w14:textId="5463CE1E" w:rsidR="000A53D2" w:rsidRDefault="001F1AF7" w:rsidP="00B33384">
            <w:pPr>
              <w:spacing w:after="0"/>
              <w:jc w:val="left"/>
              <w:rPr>
                <w:b/>
                <w:noProof/>
                <w:sz w:val="20"/>
              </w:rPr>
            </w:pPr>
            <w:r>
              <w:rPr>
                <w:b/>
                <w:noProof/>
                <w:sz w:val="20"/>
              </w:rPr>
              <w:t xml:space="preserve">Reciproční přístup k informacím, které souvisejí s bezpečností </w:t>
            </w:r>
          </w:p>
        </w:tc>
        <w:tc>
          <w:tcPr>
            <w:tcW w:w="10064" w:type="dxa"/>
            <w:tcMar>
              <w:top w:w="85" w:type="dxa"/>
              <w:bottom w:w="85" w:type="dxa"/>
            </w:tcMar>
          </w:tcPr>
          <w:p w14:paraId="1DC9E035" w14:textId="02D6220C" w:rsidR="000A53D2" w:rsidRDefault="003E143D" w:rsidP="000E35B5">
            <w:pPr>
              <w:spacing w:after="0" w:line="240" w:lineRule="atLeast"/>
              <w:jc w:val="left"/>
              <w:rPr>
                <w:noProof/>
                <w:sz w:val="20"/>
              </w:rPr>
            </w:pPr>
            <w:r>
              <w:rPr>
                <w:b/>
                <w:noProof/>
                <w:sz w:val="20"/>
              </w:rPr>
              <w:t>Rámec pro reciproční přístup pracovníků v první linii k informacím, které souvisejí s bezpečností, mezi EU a klíčovými třetími zeměmi za účelem boje proti společným bezpečnostním hrozbám</w:t>
            </w:r>
            <w:r>
              <w:rPr>
                <w:noProof/>
                <w:sz w:val="20"/>
              </w:rPr>
              <w:t xml:space="preserve"> (legislativní, včetně posouzení dopadů, Q4 2022)</w:t>
            </w:r>
          </w:p>
        </w:tc>
      </w:tr>
      <w:tr w:rsidR="000A53D2" w14:paraId="1DC9E03D" w14:textId="77777777" w:rsidTr="000E35B5">
        <w:trPr>
          <w:cantSplit/>
        </w:trPr>
        <w:tc>
          <w:tcPr>
            <w:tcW w:w="652" w:type="dxa"/>
            <w:tcBorders>
              <w:bottom w:val="single" w:sz="4" w:space="0" w:color="auto"/>
              <w:right w:val="single" w:sz="4" w:space="0" w:color="auto"/>
            </w:tcBorders>
          </w:tcPr>
          <w:p w14:paraId="1DC9E037"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tcBorders>
            <w:tcMar>
              <w:top w:w="85" w:type="dxa"/>
              <w:bottom w:w="85" w:type="dxa"/>
            </w:tcMar>
          </w:tcPr>
          <w:p w14:paraId="1DC9E038" w14:textId="73AEB1C7" w:rsidR="000A53D2" w:rsidRDefault="001F1AF7" w:rsidP="00CC62BF">
            <w:pPr>
              <w:spacing w:after="0"/>
              <w:jc w:val="left"/>
              <w:rPr>
                <w:noProof/>
                <w:sz w:val="20"/>
              </w:rPr>
            </w:pPr>
            <w:r>
              <w:rPr>
                <w:b/>
                <w:noProof/>
                <w:sz w:val="20"/>
              </w:rPr>
              <w:t>Screening rakoviny</w:t>
            </w:r>
          </w:p>
        </w:tc>
        <w:tc>
          <w:tcPr>
            <w:tcW w:w="10064" w:type="dxa"/>
            <w:tcBorders>
              <w:bottom w:val="single" w:sz="4" w:space="0" w:color="auto"/>
            </w:tcBorders>
            <w:tcMar>
              <w:top w:w="85" w:type="dxa"/>
              <w:bottom w:w="85" w:type="dxa"/>
            </w:tcMar>
          </w:tcPr>
          <w:p w14:paraId="1DC9E03C" w14:textId="0776FB89" w:rsidR="000A53D2" w:rsidRPr="00671090" w:rsidRDefault="00296931" w:rsidP="00296931">
            <w:pPr>
              <w:spacing w:after="0"/>
              <w:jc w:val="left"/>
              <w:rPr>
                <w:noProof/>
                <w:sz w:val="20"/>
              </w:rPr>
            </w:pPr>
            <w:r>
              <w:rPr>
                <w:b/>
                <w:noProof/>
                <w:sz w:val="20"/>
              </w:rPr>
              <w:t>Aktualizace doporučení o screeningu rakoviny</w:t>
            </w:r>
            <w:r>
              <w:rPr>
                <w:noProof/>
                <w:sz w:val="20"/>
              </w:rPr>
              <w:t xml:space="preserve"> (nelegislativní, Q3 2022)</w:t>
            </w:r>
          </w:p>
        </w:tc>
      </w:tr>
      <w:tr w:rsidR="000A53D2" w14:paraId="1DC9E046" w14:textId="77777777" w:rsidTr="000E35B5">
        <w:trPr>
          <w:cantSplit/>
        </w:trPr>
        <w:tc>
          <w:tcPr>
            <w:tcW w:w="652" w:type="dxa"/>
            <w:tcBorders>
              <w:bottom w:val="single" w:sz="4" w:space="0" w:color="auto"/>
              <w:right w:val="single" w:sz="4" w:space="0" w:color="auto"/>
            </w:tcBorders>
          </w:tcPr>
          <w:p w14:paraId="1DC9E03E"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tcBorders>
            <w:tcMar>
              <w:top w:w="85" w:type="dxa"/>
              <w:bottom w:w="85" w:type="dxa"/>
            </w:tcMar>
          </w:tcPr>
          <w:p w14:paraId="1DC9E03F" w14:textId="65E0E7A8" w:rsidR="000A53D2" w:rsidRDefault="004E7A8D" w:rsidP="00A66056">
            <w:pPr>
              <w:spacing w:after="0"/>
              <w:rPr>
                <w:b/>
                <w:noProof/>
                <w:sz w:val="20"/>
              </w:rPr>
            </w:pPr>
            <w:r>
              <w:rPr>
                <w:b/>
                <w:bCs/>
                <w:noProof/>
                <w:sz w:val="20"/>
              </w:rPr>
              <w:t xml:space="preserve">Balíček týkající se vzdělávání </w:t>
            </w:r>
          </w:p>
        </w:tc>
        <w:tc>
          <w:tcPr>
            <w:tcW w:w="10064" w:type="dxa"/>
            <w:tcBorders>
              <w:bottom w:val="single" w:sz="4" w:space="0" w:color="auto"/>
            </w:tcBorders>
            <w:tcMar>
              <w:top w:w="85" w:type="dxa"/>
              <w:bottom w:w="85" w:type="dxa"/>
            </w:tcMar>
          </w:tcPr>
          <w:p w14:paraId="4D1A4A72" w14:textId="4374D036" w:rsidR="000A53D2" w:rsidRPr="000E35B5" w:rsidRDefault="004E7A8D" w:rsidP="000E35B5">
            <w:pPr>
              <w:pStyle w:val="ListParagraph"/>
              <w:numPr>
                <w:ilvl w:val="0"/>
                <w:numId w:val="43"/>
              </w:numPr>
              <w:spacing w:after="0"/>
              <w:jc w:val="left"/>
              <w:rPr>
                <w:noProof/>
                <w:sz w:val="20"/>
              </w:rPr>
            </w:pPr>
            <w:r>
              <w:rPr>
                <w:b/>
                <w:noProof/>
                <w:sz w:val="20"/>
              </w:rPr>
              <w:t>Evropská strategie pro univerzity</w:t>
            </w:r>
            <w:r>
              <w:rPr>
                <w:noProof/>
                <w:sz w:val="20"/>
              </w:rPr>
              <w:t xml:space="preserve"> (nelegislativní, Q1 2022);</w:t>
            </w:r>
          </w:p>
          <w:p w14:paraId="1DC9E045" w14:textId="23F72FDE" w:rsidR="004E7A8D" w:rsidRPr="000E35B5" w:rsidRDefault="000F7613" w:rsidP="000E35B5">
            <w:pPr>
              <w:pStyle w:val="ListParagraph"/>
              <w:numPr>
                <w:ilvl w:val="0"/>
                <w:numId w:val="43"/>
              </w:numPr>
              <w:spacing w:after="0"/>
              <w:rPr>
                <w:noProof/>
                <w:sz w:val="20"/>
              </w:rPr>
            </w:pPr>
            <w:r>
              <w:rPr>
                <w:b/>
                <w:noProof/>
                <w:sz w:val="20"/>
              </w:rPr>
              <w:t>Budování mostů pro účinnou evropskou spolupráci v oblasti vysokoškolského vzdělávání</w:t>
            </w:r>
            <w:r>
              <w:rPr>
                <w:noProof/>
                <w:sz w:val="20"/>
              </w:rPr>
              <w:t xml:space="preserve"> (nelegislativní, Q1 2022)</w:t>
            </w:r>
          </w:p>
        </w:tc>
      </w:tr>
      <w:tr w:rsidR="000A53D2" w14:paraId="1DC9E051" w14:textId="77777777">
        <w:trPr>
          <w:cantSplit/>
        </w:trPr>
        <w:tc>
          <w:tcPr>
            <w:tcW w:w="14827" w:type="dxa"/>
            <w:gridSpan w:val="3"/>
            <w:tcBorders>
              <w:bottom w:val="single" w:sz="4" w:space="0" w:color="auto"/>
            </w:tcBorders>
            <w:shd w:val="clear" w:color="auto" w:fill="00ADDC" w:themeFill="accent5"/>
          </w:tcPr>
          <w:p w14:paraId="1DC9E050" w14:textId="77777777" w:rsidR="000A53D2" w:rsidRDefault="00A608B9">
            <w:pPr>
              <w:keepNext/>
              <w:spacing w:before="60" w:after="60"/>
              <w:rPr>
                <w:b/>
                <w:bCs/>
                <w:noProof/>
                <w:sz w:val="20"/>
              </w:rPr>
            </w:pPr>
            <w:r>
              <w:rPr>
                <w:b/>
                <w:bCs/>
                <w:noProof/>
                <w:color w:val="FFFFFF" w:themeColor="background1"/>
                <w:sz w:val="20"/>
              </w:rPr>
              <w:t>Nový impuls pro evropskou demokracii</w:t>
            </w:r>
          </w:p>
        </w:tc>
      </w:tr>
      <w:tr w:rsidR="000A53D2" w14:paraId="1DC9E055" w14:textId="77777777" w:rsidTr="000E35B5">
        <w:trPr>
          <w:cantSplit/>
        </w:trPr>
        <w:tc>
          <w:tcPr>
            <w:tcW w:w="652" w:type="dxa"/>
            <w:tcBorders>
              <w:bottom w:val="single" w:sz="4" w:space="0" w:color="auto"/>
              <w:right w:val="single" w:sz="4" w:space="0" w:color="auto"/>
            </w:tcBorders>
          </w:tcPr>
          <w:p w14:paraId="1DC9E052"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tcBorders>
            <w:tcMar>
              <w:top w:w="85" w:type="dxa"/>
              <w:bottom w:w="85" w:type="dxa"/>
            </w:tcMar>
          </w:tcPr>
          <w:p w14:paraId="1DC9E053" w14:textId="7DA910FC" w:rsidR="000A53D2" w:rsidRDefault="004E7A8D">
            <w:pPr>
              <w:spacing w:after="0"/>
              <w:rPr>
                <w:b/>
                <w:noProof/>
                <w:sz w:val="20"/>
              </w:rPr>
            </w:pPr>
            <w:r>
              <w:rPr>
                <w:b/>
                <w:noProof/>
                <w:sz w:val="20"/>
              </w:rPr>
              <w:t>Svoboda sdělovacích prostředků</w:t>
            </w:r>
          </w:p>
        </w:tc>
        <w:tc>
          <w:tcPr>
            <w:tcW w:w="10064" w:type="dxa"/>
            <w:tcBorders>
              <w:bottom w:val="single" w:sz="4" w:space="0" w:color="auto"/>
            </w:tcBorders>
            <w:tcMar>
              <w:top w:w="85" w:type="dxa"/>
              <w:bottom w:w="85" w:type="dxa"/>
            </w:tcMar>
          </w:tcPr>
          <w:p w14:paraId="1DC9E054" w14:textId="5CF40F3E" w:rsidR="000A53D2" w:rsidRDefault="004E7A8D" w:rsidP="00AF3D9B">
            <w:pPr>
              <w:spacing w:after="0"/>
              <w:rPr>
                <w:noProof/>
                <w:sz w:val="20"/>
              </w:rPr>
            </w:pPr>
            <w:r>
              <w:rPr>
                <w:b/>
                <w:bCs/>
                <w:noProof/>
                <w:sz w:val="20"/>
              </w:rPr>
              <w:t>Evropský akt o svobodě sdělovacích prostředků</w:t>
            </w:r>
            <w:r>
              <w:rPr>
                <w:noProof/>
                <w:sz w:val="20"/>
              </w:rPr>
              <w:t xml:space="preserve"> (legislativní, včetně posouzení dopadů, článek 114 SFEU, Q3 2022) </w:t>
            </w:r>
          </w:p>
        </w:tc>
      </w:tr>
      <w:tr w:rsidR="000A53D2" w14:paraId="1DC9E059" w14:textId="77777777" w:rsidTr="000E35B5">
        <w:trPr>
          <w:cantSplit/>
        </w:trPr>
        <w:tc>
          <w:tcPr>
            <w:tcW w:w="652" w:type="dxa"/>
            <w:tcBorders>
              <w:right w:val="single" w:sz="4" w:space="0" w:color="auto"/>
            </w:tcBorders>
          </w:tcPr>
          <w:p w14:paraId="1DC9E056"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tcBorders>
            <w:tcMar>
              <w:top w:w="85" w:type="dxa"/>
              <w:bottom w:w="85" w:type="dxa"/>
            </w:tcMar>
          </w:tcPr>
          <w:p w14:paraId="1DC9E057" w14:textId="306B1516" w:rsidR="000A53D2" w:rsidRDefault="001F1AF7" w:rsidP="004E7A8D">
            <w:pPr>
              <w:spacing w:after="0"/>
              <w:jc w:val="left"/>
              <w:rPr>
                <w:b/>
                <w:noProof/>
                <w:sz w:val="20"/>
              </w:rPr>
            </w:pPr>
            <w:r>
              <w:rPr>
                <w:b/>
                <w:noProof/>
                <w:sz w:val="20"/>
              </w:rPr>
              <w:t>Předávání trestního řízení</w:t>
            </w:r>
          </w:p>
        </w:tc>
        <w:tc>
          <w:tcPr>
            <w:tcW w:w="10064" w:type="dxa"/>
            <w:tcMar>
              <w:top w:w="85" w:type="dxa"/>
              <w:bottom w:w="85" w:type="dxa"/>
            </w:tcMar>
          </w:tcPr>
          <w:p w14:paraId="1DC9E058" w14:textId="1714C21D" w:rsidR="000A53D2" w:rsidRDefault="00CC62BF" w:rsidP="00E76D24">
            <w:pPr>
              <w:spacing w:after="0"/>
              <w:jc w:val="left"/>
              <w:rPr>
                <w:b/>
                <w:bCs/>
                <w:noProof/>
                <w:sz w:val="20"/>
              </w:rPr>
            </w:pPr>
            <w:r>
              <w:rPr>
                <w:b/>
                <w:bCs/>
                <w:noProof/>
                <w:sz w:val="20"/>
              </w:rPr>
              <w:t>Iniciativa týkající se předávání trestního řízení</w:t>
            </w:r>
            <w:r>
              <w:rPr>
                <w:noProof/>
                <w:sz w:val="20"/>
              </w:rPr>
              <w:t xml:space="preserve"> (legislativní, včetně posouzení dopadů, čl. 82 odst. 1 SFEU, Q3 2022);</w:t>
            </w:r>
          </w:p>
        </w:tc>
      </w:tr>
      <w:tr w:rsidR="000A53D2" w14:paraId="1DC9E05D" w14:textId="77777777" w:rsidTr="000E35B5">
        <w:trPr>
          <w:cantSplit/>
        </w:trPr>
        <w:tc>
          <w:tcPr>
            <w:tcW w:w="652" w:type="dxa"/>
            <w:tcBorders>
              <w:right w:val="single" w:sz="4" w:space="0" w:color="auto"/>
            </w:tcBorders>
          </w:tcPr>
          <w:p w14:paraId="1DC9E05A"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tcBorders>
            <w:tcMar>
              <w:top w:w="85" w:type="dxa"/>
              <w:bottom w:w="85" w:type="dxa"/>
            </w:tcMar>
          </w:tcPr>
          <w:p w14:paraId="1DC9E05B" w14:textId="12679334" w:rsidR="000A53D2" w:rsidRDefault="00E76D24">
            <w:pPr>
              <w:tabs>
                <w:tab w:val="left" w:pos="1245"/>
              </w:tabs>
              <w:spacing w:after="0"/>
              <w:jc w:val="left"/>
              <w:rPr>
                <w:noProof/>
                <w:sz w:val="20"/>
              </w:rPr>
            </w:pPr>
            <w:r>
              <w:rPr>
                <w:b/>
                <w:bCs/>
                <w:noProof/>
                <w:sz w:val="20"/>
              </w:rPr>
              <w:t>Uznání rodičovství mezi členskými státy</w:t>
            </w:r>
          </w:p>
        </w:tc>
        <w:tc>
          <w:tcPr>
            <w:tcW w:w="10064" w:type="dxa"/>
            <w:tcMar>
              <w:top w:w="85" w:type="dxa"/>
              <w:bottom w:w="85" w:type="dxa"/>
            </w:tcMar>
          </w:tcPr>
          <w:p w14:paraId="1DC9E05C" w14:textId="12B2C8FD" w:rsidR="000A53D2" w:rsidRDefault="001F2B19" w:rsidP="00E76D24">
            <w:pPr>
              <w:spacing w:after="0"/>
              <w:jc w:val="left"/>
              <w:rPr>
                <w:noProof/>
                <w:sz w:val="20"/>
              </w:rPr>
            </w:pPr>
            <w:r>
              <w:rPr>
                <w:b/>
                <w:bCs/>
                <w:noProof/>
                <w:sz w:val="20"/>
              </w:rPr>
              <w:t>Uznání rodičovství mezi členskými státy</w:t>
            </w:r>
            <w:r>
              <w:rPr>
                <w:noProof/>
                <w:sz w:val="20"/>
              </w:rPr>
              <w:t xml:space="preserve"> (legislativní, včetně posouzení dopadů, čl. 81 odst. 3 SFEU, Q3 2022);</w:t>
            </w:r>
          </w:p>
        </w:tc>
      </w:tr>
      <w:tr w:rsidR="000A53D2" w14:paraId="1DC9E063" w14:textId="77777777" w:rsidTr="000E35B5">
        <w:trPr>
          <w:cantSplit/>
        </w:trPr>
        <w:tc>
          <w:tcPr>
            <w:tcW w:w="652" w:type="dxa"/>
            <w:tcBorders>
              <w:bottom w:val="single" w:sz="4" w:space="0" w:color="auto"/>
              <w:right w:val="single" w:sz="4" w:space="0" w:color="auto"/>
            </w:tcBorders>
          </w:tcPr>
          <w:p w14:paraId="1DC9E05E" w14:textId="77777777" w:rsidR="000A53D2" w:rsidRPr="005A3E3C" w:rsidRDefault="000A53D2" w:rsidP="005A3E3C">
            <w:pPr>
              <w:pStyle w:val="ListParagraph"/>
              <w:numPr>
                <w:ilvl w:val="0"/>
                <w:numId w:val="29"/>
              </w:numPr>
              <w:spacing w:after="0"/>
              <w:rPr>
                <w:b/>
                <w:noProof/>
                <w:sz w:val="20"/>
              </w:rPr>
            </w:pPr>
          </w:p>
        </w:tc>
        <w:tc>
          <w:tcPr>
            <w:tcW w:w="4111" w:type="dxa"/>
            <w:tcBorders>
              <w:left w:val="single" w:sz="4" w:space="0" w:color="auto"/>
              <w:bottom w:val="single" w:sz="4" w:space="0" w:color="auto"/>
            </w:tcBorders>
            <w:tcMar>
              <w:top w:w="85" w:type="dxa"/>
              <w:bottom w:w="85" w:type="dxa"/>
            </w:tcMar>
          </w:tcPr>
          <w:p w14:paraId="1DC9E05F" w14:textId="6637FD17" w:rsidR="000A53D2" w:rsidRDefault="001F1AF7" w:rsidP="00CC62BF">
            <w:pPr>
              <w:tabs>
                <w:tab w:val="left" w:pos="930"/>
              </w:tabs>
              <w:spacing w:after="0"/>
              <w:rPr>
                <w:b/>
                <w:noProof/>
                <w:sz w:val="20"/>
              </w:rPr>
            </w:pPr>
            <w:r>
              <w:rPr>
                <w:b/>
                <w:noProof/>
                <w:sz w:val="20"/>
              </w:rPr>
              <w:t>Orgány pro rovné zacházení</w:t>
            </w:r>
          </w:p>
        </w:tc>
        <w:tc>
          <w:tcPr>
            <w:tcW w:w="10064" w:type="dxa"/>
            <w:tcBorders>
              <w:bottom w:val="single" w:sz="4" w:space="0" w:color="auto"/>
            </w:tcBorders>
            <w:tcMar>
              <w:top w:w="85" w:type="dxa"/>
              <w:bottom w:w="85" w:type="dxa"/>
            </w:tcMar>
          </w:tcPr>
          <w:p w14:paraId="1DC9E062" w14:textId="19F9B530" w:rsidR="000A53D2" w:rsidRDefault="00E76D24" w:rsidP="000E35B5">
            <w:pPr>
              <w:spacing w:after="0"/>
              <w:jc w:val="left"/>
              <w:rPr>
                <w:noProof/>
                <w:sz w:val="20"/>
              </w:rPr>
            </w:pPr>
            <w:r>
              <w:rPr>
                <w:b/>
                <w:bCs/>
                <w:noProof/>
                <w:sz w:val="20"/>
              </w:rPr>
              <w:t>Posílení úlohy a nezávislosti orgánů pro rovné zacházení</w:t>
            </w:r>
            <w:r>
              <w:rPr>
                <w:noProof/>
                <w:sz w:val="20"/>
              </w:rPr>
              <w:t xml:space="preserve"> (legislativní, články 19 a 157 SFEU, Q3 2022)</w:t>
            </w:r>
          </w:p>
        </w:tc>
      </w:tr>
    </w:tbl>
    <w:p w14:paraId="1DC9E0C3" w14:textId="4B9051D0" w:rsidR="00A173B9" w:rsidRDefault="00A173B9" w:rsidP="00ED6F51">
      <w:pPr>
        <w:keepNext/>
        <w:tabs>
          <w:tab w:val="left" w:pos="651"/>
          <w:tab w:val="left" w:pos="2054"/>
          <w:tab w:val="left" w:pos="4893"/>
        </w:tabs>
        <w:spacing w:after="600" w:line="276" w:lineRule="auto"/>
        <w:jc w:val="center"/>
        <w:rPr>
          <w:noProof/>
          <w:sz w:val="20"/>
        </w:rPr>
      </w:pPr>
    </w:p>
    <w:p w14:paraId="7A9F73AC" w14:textId="77777777" w:rsidR="00A173B9" w:rsidRDefault="00A173B9">
      <w:pPr>
        <w:spacing w:after="0"/>
        <w:jc w:val="left"/>
        <w:rPr>
          <w:noProof/>
          <w:sz w:val="20"/>
        </w:rPr>
      </w:pPr>
      <w:r>
        <w:rPr>
          <w:noProof/>
        </w:rPr>
        <w:br w:type="page"/>
      </w:r>
    </w:p>
    <w:p w14:paraId="027B10DB" w14:textId="77777777" w:rsidR="00ED6F51" w:rsidRDefault="00ED6F51" w:rsidP="000E35B5">
      <w:pPr>
        <w:keepNext/>
        <w:tabs>
          <w:tab w:val="left" w:pos="651"/>
          <w:tab w:val="left" w:pos="2054"/>
          <w:tab w:val="left" w:pos="4893"/>
        </w:tabs>
        <w:spacing w:after="600"/>
        <w:jc w:val="center"/>
        <w:rPr>
          <w:b/>
          <w:noProof/>
          <w:sz w:val="28"/>
          <w:szCs w:val="28"/>
          <w:u w:val="single"/>
        </w:rPr>
      </w:pPr>
      <w:r>
        <w:rPr>
          <w:b/>
          <w:bCs/>
          <w:noProof/>
          <w:sz w:val="28"/>
          <w:szCs w:val="28"/>
          <w:u w:val="single"/>
        </w:rPr>
        <w:t>Příloha II: Iniciativy REFIT</w:t>
      </w:r>
      <w:r>
        <w:rPr>
          <w:rStyle w:val="FootnoteReference"/>
          <w:b/>
          <w:bCs/>
          <w:noProof/>
          <w:sz w:val="28"/>
          <w:szCs w:val="28"/>
          <w:u w:val="single"/>
          <w:lang w:eastAsia="de-DE"/>
        </w:rPr>
        <w:footnoteReference w:id="3"/>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65"/>
        <w:gridCol w:w="4482"/>
        <w:gridCol w:w="9780"/>
      </w:tblGrid>
      <w:tr w:rsidR="00ED6F51" w:rsidRPr="00C041CA" w14:paraId="3AB15819" w14:textId="77777777" w:rsidTr="000E35B5">
        <w:trPr>
          <w:cantSplit/>
          <w:tblHeader/>
        </w:trPr>
        <w:tc>
          <w:tcPr>
            <w:tcW w:w="565" w:type="dxa"/>
            <w:tcBorders>
              <w:bottom w:val="single" w:sz="4" w:space="0" w:color="auto"/>
            </w:tcBorders>
            <w:shd w:val="clear" w:color="auto" w:fill="99CCFF"/>
            <w:vAlign w:val="center"/>
          </w:tcPr>
          <w:p w14:paraId="4642503D" w14:textId="77777777" w:rsidR="00ED6F51" w:rsidRPr="00C041CA" w:rsidRDefault="00ED6F51" w:rsidP="000E35B5">
            <w:pPr>
              <w:keepNext/>
              <w:spacing w:before="60" w:after="60"/>
              <w:jc w:val="center"/>
              <w:rPr>
                <w:rFonts w:eastAsiaTheme="minorHAnsi"/>
                <w:b/>
                <w:noProof/>
                <w:sz w:val="20"/>
              </w:rPr>
            </w:pPr>
            <w:r>
              <w:rPr>
                <w:b/>
                <w:bCs/>
                <w:noProof/>
                <w:sz w:val="20"/>
              </w:rPr>
              <w:t>Č.</w:t>
            </w:r>
          </w:p>
        </w:tc>
        <w:tc>
          <w:tcPr>
            <w:tcW w:w="4482" w:type="dxa"/>
            <w:tcBorders>
              <w:bottom w:val="single" w:sz="4" w:space="0" w:color="auto"/>
            </w:tcBorders>
            <w:shd w:val="clear" w:color="auto" w:fill="99CCFF"/>
            <w:vAlign w:val="center"/>
          </w:tcPr>
          <w:p w14:paraId="790D1438" w14:textId="77777777" w:rsidR="00ED6F51" w:rsidRPr="00C041CA" w:rsidRDefault="00ED6F51" w:rsidP="000E35B5">
            <w:pPr>
              <w:keepNext/>
              <w:spacing w:before="60" w:after="60"/>
              <w:jc w:val="center"/>
              <w:rPr>
                <w:rFonts w:eastAsiaTheme="minorHAnsi"/>
                <w:b/>
                <w:noProof/>
                <w:sz w:val="20"/>
              </w:rPr>
            </w:pPr>
            <w:r>
              <w:rPr>
                <w:b/>
                <w:noProof/>
                <w:sz w:val="20"/>
              </w:rPr>
              <w:t>Název</w:t>
            </w:r>
          </w:p>
        </w:tc>
        <w:tc>
          <w:tcPr>
            <w:tcW w:w="9780" w:type="dxa"/>
            <w:tcBorders>
              <w:bottom w:val="single" w:sz="4" w:space="0" w:color="auto"/>
            </w:tcBorders>
            <w:shd w:val="clear" w:color="auto" w:fill="99CCFF"/>
            <w:vAlign w:val="center"/>
          </w:tcPr>
          <w:p w14:paraId="05CD93F2" w14:textId="77777777" w:rsidR="00ED6F51" w:rsidRPr="00C041CA" w:rsidRDefault="00ED6F51" w:rsidP="000E35B5">
            <w:pPr>
              <w:keepNext/>
              <w:spacing w:before="60" w:after="60"/>
              <w:jc w:val="center"/>
              <w:rPr>
                <w:rFonts w:eastAsiaTheme="minorHAnsi"/>
                <w:b/>
                <w:noProof/>
                <w:sz w:val="20"/>
              </w:rPr>
            </w:pPr>
            <w:r>
              <w:rPr>
                <w:b/>
                <w:noProof/>
                <w:sz w:val="20"/>
              </w:rPr>
              <w:t>Cíl/potenciál v oblasti zjednodušení</w:t>
            </w:r>
            <w:r>
              <w:rPr>
                <w:noProof/>
                <w:sz w:val="20"/>
              </w:rPr>
              <w:t xml:space="preserve"> (krátké vysvětlení cíle snížení zátěže a zjednodušení)</w:t>
            </w:r>
          </w:p>
        </w:tc>
      </w:tr>
      <w:tr w:rsidR="00ED6F51" w:rsidRPr="00C041CA" w14:paraId="0F48BE94" w14:textId="77777777" w:rsidTr="000E35B5">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14:paraId="408D7EDD" w14:textId="77777777" w:rsidR="00ED6F51" w:rsidRPr="00C041CA" w:rsidRDefault="00ED6F51" w:rsidP="00A700CD">
            <w:pPr>
              <w:keepNext/>
              <w:spacing w:before="60" w:after="60"/>
              <w:rPr>
                <w:b/>
                <w:bCs/>
                <w:noProof/>
                <w:sz w:val="20"/>
              </w:rPr>
            </w:pPr>
            <w:r>
              <w:rPr>
                <w:b/>
                <w:bCs/>
                <w:noProof/>
                <w:color w:val="FFFFFF" w:themeColor="background1"/>
                <w:sz w:val="20"/>
              </w:rPr>
              <w:t>Zelená dohoda pro Evropu</w:t>
            </w:r>
          </w:p>
        </w:tc>
      </w:tr>
      <w:tr w:rsidR="00ED6F51" w:rsidRPr="00C041CA" w14:paraId="70D06A7F" w14:textId="77777777" w:rsidTr="000E35B5">
        <w:trPr>
          <w:cantSplit/>
          <w:trHeight w:val="1932"/>
        </w:trPr>
        <w:tc>
          <w:tcPr>
            <w:tcW w:w="565" w:type="dxa"/>
            <w:tcBorders>
              <w:top w:val="single" w:sz="4" w:space="0" w:color="auto"/>
              <w:left w:val="single" w:sz="4" w:space="0" w:color="auto"/>
              <w:bottom w:val="single" w:sz="4" w:space="0" w:color="auto"/>
              <w:right w:val="single" w:sz="4" w:space="0" w:color="auto"/>
            </w:tcBorders>
            <w:shd w:val="clear" w:color="auto" w:fill="auto"/>
          </w:tcPr>
          <w:p w14:paraId="74C3E285" w14:textId="77777777" w:rsidR="00ED6F51" w:rsidRPr="00C041CA" w:rsidRDefault="00ED6F51" w:rsidP="0020713B">
            <w:pPr>
              <w:pStyle w:val="ListParagraph"/>
              <w:numPr>
                <w:ilvl w:val="0"/>
                <w:numId w:val="30"/>
              </w:numPr>
              <w:spacing w:after="0"/>
              <w:jc w:val="left"/>
              <w:rPr>
                <w:rFonts w:eastAsiaTheme="minorHAns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14:paraId="19D5EF58" w14:textId="49BE5783" w:rsidR="00ED6F51" w:rsidRPr="00C041CA" w:rsidRDefault="00ED6F51" w:rsidP="006F42F9">
            <w:pPr>
              <w:keepNext/>
              <w:spacing w:after="120"/>
              <w:rPr>
                <w:rFonts w:eastAsiaTheme="minorEastAsia"/>
                <w:b/>
                <w:bCs/>
                <w:noProof/>
                <w:sz w:val="20"/>
              </w:rPr>
            </w:pPr>
            <w:r>
              <w:rPr>
                <w:b/>
                <w:noProof/>
                <w:sz w:val="20"/>
              </w:rPr>
              <w:t>Revize směrnice o čištění městských odpadních vod</w:t>
            </w:r>
          </w:p>
        </w:tc>
        <w:tc>
          <w:tcPr>
            <w:tcW w:w="9780" w:type="dxa"/>
            <w:tcBorders>
              <w:top w:val="single" w:sz="4" w:space="0" w:color="auto"/>
              <w:left w:val="single" w:sz="4" w:space="0" w:color="auto"/>
              <w:bottom w:val="single" w:sz="4" w:space="0" w:color="auto"/>
            </w:tcBorders>
          </w:tcPr>
          <w:p w14:paraId="3F4BD384" w14:textId="69450476" w:rsidR="00ED6F51" w:rsidRPr="00C041CA" w:rsidRDefault="00ED6F51" w:rsidP="000E35B5">
            <w:pPr>
              <w:spacing w:after="60"/>
              <w:rPr>
                <w:noProof/>
                <w:sz w:val="20"/>
              </w:rPr>
            </w:pPr>
            <w:r>
              <w:rPr>
                <w:noProof/>
                <w:sz w:val="20"/>
              </w:rPr>
              <w:t>Na základě hodnocení směrnice byly určeny některé oblasti, v nichž je třeba dosáhnout zlepšení: lepší řešení přetrvávajícího a nového znečištění a zlepšení správy tohoto odvětví a jeho lepší propojení s cíli Zelené dohody pro Evropu. Zahrnuty budou rovněž otázky veřejného zdraví (lepší předcházení pandemiím prostřednictvím dohledu nad odpadními vodami).</w:t>
            </w:r>
          </w:p>
          <w:p w14:paraId="5AFE52E8" w14:textId="17C90853" w:rsidR="00ED6F51" w:rsidRPr="00C041CA" w:rsidRDefault="00ED6F51" w:rsidP="000E35B5">
            <w:pPr>
              <w:spacing w:after="60"/>
              <w:rPr>
                <w:noProof/>
                <w:sz w:val="20"/>
              </w:rPr>
            </w:pPr>
            <w:r>
              <w:rPr>
                <w:noProof/>
                <w:sz w:val="20"/>
              </w:rPr>
              <w:t>Zvláštní úsilí bude vynaloženo na zlepšení monitorování a podávání zpráv (přechod k poloautomatickému podávání zpráv). Členské státy a zpracovatelé odpadních vod – soukromí nebo veřejní – z toho budou mít prospěch. Může být požadováno větší úsilí v oblasti transparentnosti, neboť transparentnost se považuje za hnací sílu pro lepší výkonnost odvětví.</w:t>
            </w:r>
          </w:p>
          <w:p w14:paraId="69BF73F5" w14:textId="77777777" w:rsidR="00ED6F51" w:rsidRPr="00512C58" w:rsidRDefault="00ED6F51" w:rsidP="000E35B5">
            <w:pPr>
              <w:spacing w:after="60"/>
              <w:rPr>
                <w:noProof/>
                <w:sz w:val="20"/>
              </w:rPr>
            </w:pPr>
            <w:r>
              <w:rPr>
                <w:noProof/>
                <w:sz w:val="20"/>
              </w:rPr>
              <w:t>(legislativní, včetně posouzení dopadů, článek 192 SFEU, Q2 2022)</w:t>
            </w:r>
          </w:p>
        </w:tc>
      </w:tr>
      <w:tr w:rsidR="00ED6F51" w:rsidRPr="00C041CA" w14:paraId="7892DA2A" w14:textId="77777777" w:rsidTr="000E35B5">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14:paraId="06928AF1" w14:textId="77777777" w:rsidR="00ED6F51" w:rsidRPr="00C041CA" w:rsidRDefault="00ED6F51" w:rsidP="00ED6F51">
            <w:pPr>
              <w:pStyle w:val="ListParagraph"/>
              <w:numPr>
                <w:ilvl w:val="0"/>
                <w:numId w:val="30"/>
              </w:numPr>
              <w:spacing w:after="0"/>
              <w:jc w:val="left"/>
              <w:rPr>
                <w:rFonts w:eastAsiaTheme="minorHAns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14:paraId="3EE8FC51" w14:textId="77777777" w:rsidR="00ED6F51" w:rsidRPr="00C041CA" w:rsidRDefault="00ED6F51" w:rsidP="008F4115">
            <w:pPr>
              <w:keepNext/>
              <w:spacing w:after="120"/>
              <w:rPr>
                <w:rFonts w:eastAsiaTheme="minorEastAsia"/>
                <w:b/>
                <w:bCs/>
                <w:noProof/>
                <w:sz w:val="20"/>
              </w:rPr>
            </w:pPr>
            <w:r>
              <w:rPr>
                <w:b/>
                <w:noProof/>
                <w:sz w:val="20"/>
              </w:rPr>
              <w:t>Revize – omezení používání nebezpečných látek v elektronice</w:t>
            </w:r>
          </w:p>
        </w:tc>
        <w:tc>
          <w:tcPr>
            <w:tcW w:w="9780" w:type="dxa"/>
            <w:tcBorders>
              <w:top w:val="single" w:sz="4" w:space="0" w:color="auto"/>
              <w:left w:val="single" w:sz="4" w:space="0" w:color="auto"/>
              <w:bottom w:val="single" w:sz="4" w:space="0" w:color="auto"/>
            </w:tcBorders>
          </w:tcPr>
          <w:p w14:paraId="0B24952F" w14:textId="3DE1B50A" w:rsidR="00ED6F51" w:rsidRPr="00C041CA" w:rsidRDefault="00ED6F51" w:rsidP="000E35B5">
            <w:pPr>
              <w:keepNext/>
              <w:spacing w:after="60"/>
              <w:rPr>
                <w:noProof/>
                <w:sz w:val="20"/>
              </w:rPr>
            </w:pPr>
            <w:r>
              <w:rPr>
                <w:noProof/>
                <w:sz w:val="20"/>
              </w:rPr>
              <w:t xml:space="preserve">Revize posílí a zjednoduší právní předpisy s cílem lépe chránit občany a životní prostředí před nebezpečnými chemickými látkami, mimo jiné tím, že se zohlední pokrok směrem k systému „jedna látka – jedno hodnocení“ a zajistí větší transparentnost při stanovování priorit u opatření týkajících se chemických látek a rovněž podpoří inovace pro vývoj bezpečných a udržitelných alternativ, jak je zdůrazněno v Zelené dohodě pro Evropu. </w:t>
            </w:r>
          </w:p>
          <w:p w14:paraId="157BD2D1" w14:textId="155E6D80" w:rsidR="00ED6F51" w:rsidRDefault="00ED6F51" w:rsidP="000E35B5">
            <w:pPr>
              <w:keepNext/>
              <w:spacing w:after="60"/>
              <w:rPr>
                <w:rFonts w:eastAsiaTheme="minorEastAsia"/>
                <w:noProof/>
                <w:sz w:val="20"/>
              </w:rPr>
            </w:pPr>
            <w:r>
              <w:rPr>
                <w:noProof/>
                <w:sz w:val="20"/>
              </w:rPr>
              <w:t xml:space="preserve">Cílem revize bude snížit administrativní zátěž, pokud jde o postup udělování výjimek. </w:t>
            </w:r>
          </w:p>
          <w:p w14:paraId="4A534BE1" w14:textId="77777777" w:rsidR="00ED6F51" w:rsidRPr="00C041CA" w:rsidRDefault="00ED6F51" w:rsidP="000E35B5">
            <w:pPr>
              <w:keepNext/>
              <w:spacing w:after="60"/>
              <w:rPr>
                <w:rFonts w:eastAsiaTheme="minorEastAsia"/>
                <w:noProof/>
                <w:sz w:val="20"/>
              </w:rPr>
            </w:pPr>
            <w:r>
              <w:rPr>
                <w:noProof/>
                <w:sz w:val="20"/>
              </w:rPr>
              <w:t>(legislativní, včetně posouzení dopadů, článek 114 SFEU, Q4 2022)</w:t>
            </w:r>
          </w:p>
        </w:tc>
      </w:tr>
      <w:tr w:rsidR="00ED6F51" w:rsidRPr="00C041CA" w14:paraId="20276936" w14:textId="77777777" w:rsidTr="000E35B5">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14:paraId="34C87EE3" w14:textId="77777777" w:rsidR="00ED6F51" w:rsidRPr="00C041CA" w:rsidRDefault="00ED6F51" w:rsidP="00ED6F51">
            <w:pPr>
              <w:pStyle w:val="ListParagraph"/>
              <w:numPr>
                <w:ilvl w:val="0"/>
                <w:numId w:val="30"/>
              </w:numPr>
              <w:spacing w:after="0"/>
              <w:jc w:val="left"/>
              <w:rPr>
                <w:rFonts w:eastAsiaTheme="minorHAns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14:paraId="0AB8873C" w14:textId="5881548F" w:rsidR="00ED6F51" w:rsidRPr="00C041CA" w:rsidRDefault="00ED6F51" w:rsidP="006F42F9">
            <w:pPr>
              <w:keepNext/>
              <w:spacing w:after="120"/>
              <w:rPr>
                <w:b/>
                <w:noProof/>
                <w:sz w:val="20"/>
              </w:rPr>
            </w:pPr>
            <w:r>
              <w:rPr>
                <w:b/>
                <w:noProof/>
                <w:sz w:val="20"/>
              </w:rPr>
              <w:t>GreenData4All - Revize směrnice o Infrastruktuře pro prostorové informace v Evropském společenství (INSPIRE) a směrnice o přístupu veřejnosti k informacím o životním prostředí</w:t>
            </w:r>
          </w:p>
        </w:tc>
        <w:tc>
          <w:tcPr>
            <w:tcW w:w="9780" w:type="dxa"/>
            <w:tcBorders>
              <w:top w:val="single" w:sz="4" w:space="0" w:color="auto"/>
              <w:left w:val="single" w:sz="4" w:space="0" w:color="auto"/>
              <w:bottom w:val="single" w:sz="4" w:space="0" w:color="auto"/>
            </w:tcBorders>
          </w:tcPr>
          <w:p w14:paraId="705E819A" w14:textId="2F74285F" w:rsidR="0041195F" w:rsidRDefault="00ED6F51" w:rsidP="000E35B5">
            <w:pPr>
              <w:keepNext/>
              <w:spacing w:after="60"/>
              <w:rPr>
                <w:noProof/>
                <w:sz w:val="20"/>
              </w:rPr>
            </w:pPr>
            <w:r>
              <w:rPr>
                <w:noProof/>
                <w:sz w:val="20"/>
              </w:rPr>
              <w:t xml:space="preserve">Tato iniciativa vychází z evropské strategie pro data. Sestává z revize směrnice o zřízení Infrastruktury pro prostorové informace v Evropském společenství (INSPIRE) a směrnice o přístupu veřejnosti k informacím o životním prostředí v návaznosti na jejich hodnocení v roce 2021. Cílem této iniciativy je modernizovat režim údajů v souladu s technologickými a inovačními příležitostmi, usnadnit veřejným orgánům, podnikům a občanům EU podporu přechodu na ekologičtější a uhlíkově neutrální ekonomiku a snížit administrativní zátěž. Očekává se, že se bude vztahovat na služby opakovaně použitelných dat poskytovaných ve velkém měřítku s cílem pomoci při shromažďování, sdílení, zpracovávání a analýze velkého objemu údajů, které jsou důležité pro zajištění souladu s právními předpisy v oblasti životního prostředí a prioritními opatřeními Zelené dohody pro Evropu. Cílem iniciativy je zefektivnit podávání zpráv a snížení zátěže prostřednictvím lepšího opětovného použití stávajících údajů, automatizovaného podávání zpráv prostřednictvím vytěžování dat a business intelligence. </w:t>
            </w:r>
          </w:p>
          <w:p w14:paraId="60C5D273" w14:textId="77777777" w:rsidR="00ED6F51" w:rsidRPr="00C041CA" w:rsidRDefault="00ED6F51" w:rsidP="000E35B5">
            <w:pPr>
              <w:keepNext/>
              <w:spacing w:after="60"/>
              <w:rPr>
                <w:rFonts w:eastAsiaTheme="minorEastAsia"/>
                <w:noProof/>
                <w:sz w:val="20"/>
              </w:rPr>
            </w:pPr>
            <w:r>
              <w:rPr>
                <w:noProof/>
                <w:sz w:val="20"/>
              </w:rPr>
              <w:t>(legislativní, včetně posouzení dopadů, článek 192 SFEU, Q4 2022)</w:t>
            </w:r>
          </w:p>
        </w:tc>
      </w:tr>
      <w:tr w:rsidR="00ED6F51" w:rsidRPr="00C041CA" w14:paraId="6CD1D271" w14:textId="77777777" w:rsidTr="000E35B5">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14:paraId="22FBF185" w14:textId="77777777" w:rsidR="00ED6F51" w:rsidRPr="00C041CA" w:rsidRDefault="00ED6F51" w:rsidP="00ED6F51">
            <w:pPr>
              <w:pStyle w:val="ListParagraph"/>
              <w:numPr>
                <w:ilvl w:val="0"/>
                <w:numId w:val="30"/>
              </w:numPr>
              <w:spacing w:after="0"/>
              <w:jc w:val="left"/>
              <w:rPr>
                <w:rFonts w:eastAsiaTheme="minorHAns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14:paraId="366D37EF" w14:textId="77777777" w:rsidR="00ED6F51" w:rsidRPr="00C041CA" w:rsidRDefault="00ED6F51" w:rsidP="008F4115">
            <w:pPr>
              <w:keepNext/>
              <w:spacing w:after="120"/>
              <w:rPr>
                <w:rFonts w:eastAsiaTheme="minorEastAsia"/>
                <w:b/>
                <w:bCs/>
                <w:noProof/>
                <w:sz w:val="20"/>
              </w:rPr>
            </w:pPr>
            <w:r>
              <w:rPr>
                <w:b/>
                <w:noProof/>
                <w:sz w:val="20"/>
              </w:rPr>
              <w:t>Horizontální návrh na přerozdělení technické a vědecké práce EU v oblasti chemických látek agenturám EU</w:t>
            </w:r>
          </w:p>
        </w:tc>
        <w:tc>
          <w:tcPr>
            <w:tcW w:w="9780" w:type="dxa"/>
            <w:tcBorders>
              <w:top w:val="single" w:sz="4" w:space="0" w:color="auto"/>
              <w:left w:val="single" w:sz="4" w:space="0" w:color="auto"/>
              <w:bottom w:val="single" w:sz="4" w:space="0" w:color="auto"/>
            </w:tcBorders>
          </w:tcPr>
          <w:p w14:paraId="1707A3A5" w14:textId="7A51FA46" w:rsidR="00ED6F51" w:rsidRPr="00C041CA" w:rsidRDefault="00ED6F51" w:rsidP="000E35B5">
            <w:pPr>
              <w:keepNext/>
              <w:spacing w:after="60"/>
              <w:rPr>
                <w:noProof/>
                <w:sz w:val="20"/>
              </w:rPr>
            </w:pPr>
            <w:r>
              <w:rPr>
                <w:noProof/>
                <w:sz w:val="20"/>
              </w:rPr>
              <w:t>Cílem iniciativy je přesunout odpovědnosti za poskytování vědecké a technické práce v oblasti chemických látek, které jsou v současné době rozděleny mezi různé aktéry (vědecké výbory, konzultanty, útvary Komise) na agentury EU, a to na základě zásady „jedna látka, jedno posouzení“.</w:t>
            </w:r>
          </w:p>
          <w:p w14:paraId="1B1D9FED" w14:textId="35AFBBB9" w:rsidR="00ED6F51" w:rsidRPr="00C041CA" w:rsidRDefault="00ED6F51" w:rsidP="000E35B5">
            <w:pPr>
              <w:keepNext/>
              <w:spacing w:after="60"/>
              <w:rPr>
                <w:noProof/>
                <w:sz w:val="20"/>
              </w:rPr>
            </w:pPr>
            <w:r>
              <w:rPr>
                <w:noProof/>
                <w:sz w:val="20"/>
              </w:rPr>
              <w:t xml:space="preserve">Tento návrh sníží zátěž zúčastněných stran, protože soustředí vědeckou a technickou práci v oblasti chemických látek v agenturách EU. Návrh rovněž sníží zátěž pro orgány EU (Komisi a agentury), neboť využití odborných znalostí agentur při posuzování bezpečnosti chemických látek namísto výborů ad hoc a konzultantů povede k synergiím a úsporám z důvodu vyšší efektivity. </w:t>
            </w:r>
          </w:p>
          <w:p w14:paraId="5A8CF64D" w14:textId="77777777" w:rsidR="00ED6F51" w:rsidRPr="00C041CA" w:rsidRDefault="00ED6F51" w:rsidP="000E35B5">
            <w:pPr>
              <w:keepNext/>
              <w:spacing w:after="60"/>
              <w:rPr>
                <w:rFonts w:eastAsiaTheme="minorEastAsia"/>
                <w:noProof/>
                <w:sz w:val="20"/>
              </w:rPr>
            </w:pPr>
            <w:r>
              <w:rPr>
                <w:noProof/>
                <w:sz w:val="20"/>
              </w:rPr>
              <w:t>(legislativní, článek 114 SFEU, Q4 2022)</w:t>
            </w:r>
          </w:p>
        </w:tc>
      </w:tr>
      <w:tr w:rsidR="00ED6F51" w:rsidRPr="00C041CA" w14:paraId="43636BA1" w14:textId="77777777" w:rsidTr="000E35B5">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14:paraId="48833D86" w14:textId="77777777" w:rsidR="00ED6F51" w:rsidRPr="00BE1933" w:rsidRDefault="00ED6F51" w:rsidP="00ED6F51">
            <w:pPr>
              <w:pStyle w:val="ListParagraph"/>
              <w:numPr>
                <w:ilvl w:val="0"/>
                <w:numId w:val="30"/>
              </w:numPr>
              <w:spacing w:after="0"/>
              <w:jc w:val="left"/>
              <w:rPr>
                <w:rFonts w:eastAsiaTheme="minorHAns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14:paraId="6DDC1CE9" w14:textId="445CA2A1" w:rsidR="00ED6F51" w:rsidRPr="00BE1933" w:rsidRDefault="00ED6F51" w:rsidP="009F1F71">
            <w:pPr>
              <w:keepNext/>
              <w:spacing w:after="120"/>
              <w:rPr>
                <w:rFonts w:eastAsiaTheme="minorEastAsia"/>
                <w:b/>
                <w:bCs/>
                <w:noProof/>
                <w:sz w:val="20"/>
              </w:rPr>
            </w:pPr>
            <w:r>
              <w:rPr>
                <w:b/>
                <w:noProof/>
                <w:sz w:val="20"/>
              </w:rPr>
              <w:t>Revize nařízení o zpřístupňování a uvádění detergentů na trh</w:t>
            </w:r>
          </w:p>
        </w:tc>
        <w:tc>
          <w:tcPr>
            <w:tcW w:w="9780" w:type="dxa"/>
            <w:tcBorders>
              <w:top w:val="single" w:sz="4" w:space="0" w:color="auto"/>
              <w:left w:val="single" w:sz="4" w:space="0" w:color="auto"/>
              <w:bottom w:val="single" w:sz="4" w:space="0" w:color="auto"/>
            </w:tcBorders>
            <w:vAlign w:val="center"/>
          </w:tcPr>
          <w:p w14:paraId="304E11AE" w14:textId="2BBC197E" w:rsidR="00ED6F51" w:rsidRPr="00C041CA" w:rsidRDefault="00ED6F51" w:rsidP="000E35B5">
            <w:pPr>
              <w:keepNext/>
              <w:spacing w:after="60"/>
              <w:rPr>
                <w:noProof/>
                <w:sz w:val="20"/>
              </w:rPr>
            </w:pPr>
            <w:r>
              <w:rPr>
                <w:noProof/>
                <w:sz w:val="20"/>
              </w:rPr>
              <w:t xml:space="preserve">Revize nařízení (ES) č. 648/2004 se zaměří na nedostatky zjištěné při hodnocení a přizpůsobí regulační požadavky na detergenty nejnovějšímu vývoji a socioekonomickým potřebám. Bude navazovat na strategii EU pro udržitelnost v oblasti chemických látek. </w:t>
            </w:r>
          </w:p>
          <w:p w14:paraId="3E08FD94" w14:textId="6A2ACAEA" w:rsidR="00ED6F51" w:rsidRDefault="00ED6F51" w:rsidP="000E35B5">
            <w:pPr>
              <w:keepNext/>
              <w:spacing w:after="60"/>
              <w:rPr>
                <w:rFonts w:eastAsiaTheme="minorEastAsia"/>
                <w:noProof/>
                <w:sz w:val="20"/>
              </w:rPr>
            </w:pPr>
            <w:r>
              <w:rPr>
                <w:noProof/>
                <w:sz w:val="20"/>
              </w:rPr>
              <w:t>Klíčovým problémem zjištěným při hodnocení bylo, že pojmy a definice použité v nařízení o detergentech nemusí být vždy v souladu a konsistentní s významem, který získaly v průběhu času a v praxi. To vede k nejasnostem ohledně toho, zda některé výrobky dostupné na trhu spadají do oblasti působnosti nařízení, či nikoli (např. čistící prostředky s mikrobiálními účinky).</w:t>
            </w:r>
          </w:p>
          <w:p w14:paraId="79F4E789" w14:textId="77777777" w:rsidR="00ED6F51" w:rsidRPr="00C041CA" w:rsidRDefault="00ED6F51" w:rsidP="000E35B5">
            <w:pPr>
              <w:keepNext/>
              <w:spacing w:afterLines="60" w:after="144"/>
              <w:rPr>
                <w:rFonts w:eastAsiaTheme="minorEastAsia"/>
                <w:noProof/>
                <w:sz w:val="20"/>
              </w:rPr>
            </w:pPr>
            <w:r>
              <w:rPr>
                <w:noProof/>
                <w:sz w:val="20"/>
              </w:rPr>
              <w:t>(legislativní, včetně posouzení dopadů, článek 114 SFEU, Q4 2022)</w:t>
            </w:r>
          </w:p>
        </w:tc>
      </w:tr>
      <w:tr w:rsidR="00ED6F51" w:rsidRPr="00C041CA" w14:paraId="5FCB0612" w14:textId="77777777" w:rsidTr="000E35B5">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14:paraId="5824D8E0" w14:textId="77777777" w:rsidR="00ED6F51" w:rsidRPr="00C041CA" w:rsidRDefault="00ED6F51" w:rsidP="00ED6F51">
            <w:pPr>
              <w:pStyle w:val="ListParagraph"/>
              <w:numPr>
                <w:ilvl w:val="0"/>
                <w:numId w:val="30"/>
              </w:numPr>
              <w:spacing w:after="0"/>
              <w:jc w:val="left"/>
              <w:rPr>
                <w:rFonts w:eastAsiaTheme="minorHAns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14:paraId="18A0FDF7" w14:textId="06B7728A" w:rsidR="00ED6F51" w:rsidRPr="00C041CA" w:rsidRDefault="00ED6F51" w:rsidP="008F4115">
            <w:pPr>
              <w:keepNext/>
              <w:spacing w:after="120"/>
              <w:rPr>
                <w:rFonts w:eastAsiaTheme="minorEastAsia"/>
                <w:b/>
                <w:bCs/>
                <w:noProof/>
                <w:sz w:val="20"/>
              </w:rPr>
            </w:pPr>
            <w:r>
              <w:rPr>
                <w:b/>
                <w:noProof/>
                <w:sz w:val="20"/>
              </w:rPr>
              <w:t>Revize směrnice o vozidlech s ukončenou životností a směrnice o schvalování typu motorových vozidel</w:t>
            </w:r>
          </w:p>
        </w:tc>
        <w:tc>
          <w:tcPr>
            <w:tcW w:w="9780" w:type="dxa"/>
            <w:tcBorders>
              <w:top w:val="single" w:sz="4" w:space="0" w:color="auto"/>
              <w:left w:val="single" w:sz="4" w:space="0" w:color="auto"/>
              <w:bottom w:val="single" w:sz="4" w:space="0" w:color="auto"/>
            </w:tcBorders>
          </w:tcPr>
          <w:p w14:paraId="733BB87B" w14:textId="74216383" w:rsidR="00ED6F51" w:rsidRDefault="00610929" w:rsidP="000E35B5">
            <w:pPr>
              <w:keepNext/>
              <w:spacing w:after="60"/>
              <w:rPr>
                <w:noProof/>
                <w:sz w:val="20"/>
              </w:rPr>
            </w:pPr>
            <w:r>
              <w:rPr>
                <w:noProof/>
                <w:sz w:val="20"/>
              </w:rPr>
              <w:t xml:space="preserve">Revize podpoří přístup více zaměřený na oběh tím, že propojí otázky návrhu se zpracováním po ukončení životnosti, zváží pravidla pro povinný recyklovaný obsah v některých materiálech součástí a zlepší účinnost recyklace. Sloučení obou směrnic do jediného nástroje pokrývajícího celý životní cyklus automobilového průmyslu by hospodářským subjektům a správním orgánům poskytlo právní jistotu ve srovnání se současnou situací, která vychází z roztříštěného přístupu, kdy na automobily se při uvádění na trh vztahuje směrnice 2005/64/ES, zatímco na automobily s ukončenou životností se vztahuje směrnice 2000/53/ES. Přechod k internetovým nástrojům a využívání digitálních řešení by pomohl snížit zbytečnou administrativní zátěž, zejména pokud jde o oznamovací povinnosti nebo jiné postupy, např. systémy registrace vozidel a vyřazování vozidel z registrace a oznamovací systémy. V tomto ohledu se revize směrnice zaměří na zlepšení provozní proveditelnosti a provádění směrnice a optimalizuje administrativní zátěže prostřednictvím lepšího využívání digitálních řešení a soudržnosti s ostatními odvětvovými politikami a právními předpisy na základě přístupu založeného na životním cyklu. </w:t>
            </w:r>
          </w:p>
          <w:p w14:paraId="76957C35" w14:textId="77777777" w:rsidR="00ED6F51" w:rsidRPr="00C041CA" w:rsidRDefault="00ED6F51" w:rsidP="000E35B5">
            <w:pPr>
              <w:keepNext/>
              <w:spacing w:after="60"/>
              <w:rPr>
                <w:rFonts w:eastAsiaTheme="minorEastAsia"/>
                <w:noProof/>
                <w:sz w:val="20"/>
              </w:rPr>
            </w:pPr>
            <w:r>
              <w:rPr>
                <w:noProof/>
                <w:sz w:val="20"/>
              </w:rPr>
              <w:t>(legislativní, včetně posouzení dopadu, článek 114 a/nebo článek 192 SFEU, Q4 2022)</w:t>
            </w:r>
          </w:p>
        </w:tc>
      </w:tr>
      <w:tr w:rsidR="00ED6F51" w:rsidRPr="002648DE" w14:paraId="2C22434D" w14:textId="77777777" w:rsidTr="000E35B5">
        <w:trPr>
          <w:cantSplit/>
        </w:trPr>
        <w:tc>
          <w:tcPr>
            <w:tcW w:w="565" w:type="dxa"/>
            <w:tcBorders>
              <w:bottom w:val="single" w:sz="4" w:space="0" w:color="auto"/>
            </w:tcBorders>
            <w:shd w:val="clear" w:color="auto" w:fill="auto"/>
          </w:tcPr>
          <w:p w14:paraId="0AB4D475" w14:textId="77777777" w:rsidR="00ED6F51" w:rsidRPr="00C041CA" w:rsidRDefault="00ED6F51" w:rsidP="00ED6F51">
            <w:pPr>
              <w:pStyle w:val="ListParagraph"/>
              <w:numPr>
                <w:ilvl w:val="0"/>
                <w:numId w:val="30"/>
              </w:numPr>
              <w:spacing w:after="0"/>
              <w:jc w:val="left"/>
              <w:rPr>
                <w:rFonts w:eastAsiaTheme="minorHAnsi"/>
                <w:noProof/>
                <w:color w:val="000000"/>
                <w:sz w:val="20"/>
                <w:lang w:eastAsia="en-US"/>
              </w:rPr>
            </w:pPr>
          </w:p>
        </w:tc>
        <w:tc>
          <w:tcPr>
            <w:tcW w:w="4482" w:type="dxa"/>
            <w:tcBorders>
              <w:bottom w:val="single" w:sz="4" w:space="0" w:color="auto"/>
            </w:tcBorders>
          </w:tcPr>
          <w:p w14:paraId="56473FE7" w14:textId="77777777" w:rsidR="00ED6F51" w:rsidRPr="00C041CA" w:rsidRDefault="00ED6F51" w:rsidP="008F4115">
            <w:pPr>
              <w:keepNext/>
              <w:spacing w:after="120"/>
              <w:rPr>
                <w:rFonts w:eastAsiaTheme="minorEastAsia"/>
                <w:b/>
                <w:bCs/>
                <w:noProof/>
                <w:sz w:val="20"/>
              </w:rPr>
            </w:pPr>
            <w:r>
              <w:rPr>
                <w:b/>
                <w:noProof/>
                <w:sz w:val="20"/>
              </w:rPr>
              <w:t>Revize právních předpisů týkajících se uvádění osiv a jiného reprodukčního materiálu rostlin na trh a právních předpisů týkajících se reprodukčního materiálu lesních dřevin</w:t>
            </w:r>
          </w:p>
        </w:tc>
        <w:tc>
          <w:tcPr>
            <w:tcW w:w="9780" w:type="dxa"/>
            <w:tcBorders>
              <w:bottom w:val="single" w:sz="4" w:space="0" w:color="auto"/>
            </w:tcBorders>
          </w:tcPr>
          <w:p w14:paraId="066B71FD" w14:textId="717924A8" w:rsidR="00ED6F51" w:rsidRPr="00E83687" w:rsidRDefault="00ED6F51" w:rsidP="000E35B5">
            <w:pPr>
              <w:keepNext/>
              <w:spacing w:after="60"/>
              <w:rPr>
                <w:noProof/>
                <w:sz w:val="20"/>
              </w:rPr>
            </w:pPr>
            <w:r>
              <w:rPr>
                <w:noProof/>
                <w:sz w:val="20"/>
              </w:rPr>
              <w:t>Cílem této iniciativy je revidovat právní předpisy týkající se reprodukčního materiálu rostlin a lesních dřevin tak, aby byly v souladu s politickými cíli Zelené dohody pro Evropu a její strategií „od zemědělce ke spotřebiteli“, strategií v oblasti biologické rozmanitostí, strategií přizpůsobení se změně klimatu v EU, evropskou digitální strategií a novou strategií EU v oblasti lesnictví. Jejím cílem je odstranit překážky na vnitřním trhu a podpořit technický rozvoj, vytváření udržitelných zemědělsko-potravinářských systémů a lesů odolných vůči změně klimatu a chránit biologickou rozmanitost a rostlinné a lesní genetické zdroje. Iniciativa zefektivní postupy a sníží zátěž příslušných orgánů a odvětví rozmnožovacího materiálu rostlin v EU.</w:t>
            </w:r>
          </w:p>
          <w:p w14:paraId="6300AE0E" w14:textId="3168A01E" w:rsidR="00ED6F51" w:rsidRPr="002648DE" w:rsidRDefault="00ED6F51" w:rsidP="000E35B5">
            <w:pPr>
              <w:keepNext/>
              <w:spacing w:after="60"/>
              <w:rPr>
                <w:rFonts w:eastAsiaTheme="minorEastAsia"/>
                <w:noProof/>
                <w:sz w:val="20"/>
              </w:rPr>
            </w:pPr>
            <w:r>
              <w:rPr>
                <w:noProof/>
                <w:sz w:val="20"/>
              </w:rPr>
              <w:t>(legislativní, včetně posouzení dopadů, čl. 43 odst. 2, článek 114 a čl. 192 odst. 1 SFEU, Q4 2022)</w:t>
            </w:r>
          </w:p>
        </w:tc>
      </w:tr>
      <w:tr w:rsidR="00ED6F51" w:rsidRPr="00C041CA" w14:paraId="7F824177" w14:textId="77777777" w:rsidTr="000E35B5">
        <w:trPr>
          <w:cantSplit/>
        </w:trPr>
        <w:tc>
          <w:tcPr>
            <w:tcW w:w="14827" w:type="dxa"/>
            <w:gridSpan w:val="3"/>
            <w:shd w:val="clear" w:color="auto" w:fill="18BAA8" w:themeFill="accent2"/>
          </w:tcPr>
          <w:p w14:paraId="397CB03F" w14:textId="77777777" w:rsidR="00ED6F51" w:rsidRPr="00C041CA" w:rsidRDefault="00ED6F51" w:rsidP="000E35B5">
            <w:pPr>
              <w:keepNext/>
              <w:spacing w:before="60" w:after="60"/>
              <w:rPr>
                <w:b/>
                <w:bCs/>
                <w:noProof/>
                <w:sz w:val="20"/>
              </w:rPr>
            </w:pPr>
            <w:r>
              <w:rPr>
                <w:b/>
                <w:bCs/>
                <w:noProof/>
                <w:color w:val="FFFFFF" w:themeColor="background1"/>
                <w:sz w:val="20"/>
              </w:rPr>
              <w:t>Evropa připravená na digitální věk</w:t>
            </w:r>
          </w:p>
        </w:tc>
      </w:tr>
      <w:tr w:rsidR="00ED6F51" w:rsidRPr="00C041CA" w14:paraId="246C70C8" w14:textId="77777777" w:rsidTr="000E35B5">
        <w:trPr>
          <w:cantSplit/>
        </w:trPr>
        <w:tc>
          <w:tcPr>
            <w:tcW w:w="565" w:type="dxa"/>
            <w:shd w:val="clear" w:color="auto" w:fill="auto"/>
          </w:tcPr>
          <w:p w14:paraId="4316779A"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shd w:val="clear" w:color="auto" w:fill="auto"/>
          </w:tcPr>
          <w:p w14:paraId="4FF73512" w14:textId="1CE28782" w:rsidR="00ED6F51" w:rsidRPr="00C041CA" w:rsidRDefault="00ED6F51" w:rsidP="008F4115">
            <w:pPr>
              <w:keepNext/>
              <w:spacing w:after="120"/>
              <w:rPr>
                <w:rFonts w:eastAsiaTheme="minorEastAsia"/>
                <w:b/>
                <w:bCs/>
                <w:noProof/>
                <w:color w:val="000000" w:themeColor="text1"/>
                <w:sz w:val="20"/>
              </w:rPr>
            </w:pPr>
            <w:r>
              <w:rPr>
                <w:b/>
                <w:noProof/>
                <w:sz w:val="20"/>
              </w:rPr>
              <w:t>Revize nařízení o blokových výjimkách pro vertikální dohody a pokynů k vertikálním omezením</w:t>
            </w:r>
          </w:p>
        </w:tc>
        <w:tc>
          <w:tcPr>
            <w:tcW w:w="9780" w:type="dxa"/>
          </w:tcPr>
          <w:p w14:paraId="59BBE37B" w14:textId="77777777" w:rsidR="00ED6F51" w:rsidRPr="0079713A" w:rsidRDefault="00ED6F51" w:rsidP="000E35B5">
            <w:pPr>
              <w:spacing w:after="60"/>
              <w:rPr>
                <w:noProof/>
                <w:sz w:val="20"/>
              </w:rPr>
            </w:pPr>
            <w:r>
              <w:rPr>
                <w:noProof/>
                <w:sz w:val="20"/>
              </w:rPr>
              <w:t>Cílem této iniciativy je revidovat pravidla pro dohody mezi stranami působícími na různých úrovních téhož ekonomického dodavatelského řetězce, aby byly uspokojeny potřeby podniků v souladu s pravidly hospodářské soutěže. Přispěje ke snížení zátěže tím, že zúčastněným stranám poskytne aktuální pokyny určené pro podnikatelské prostředí, které se změnilo zejména díky nárůstu elektronických obchodů.</w:t>
            </w:r>
          </w:p>
          <w:p w14:paraId="1812CDC3" w14:textId="77777777" w:rsidR="00ED6F51" w:rsidRPr="0079713A" w:rsidRDefault="00ED6F51" w:rsidP="000E35B5">
            <w:pPr>
              <w:spacing w:after="60"/>
              <w:rPr>
                <w:rFonts w:eastAsiaTheme="minorEastAsia"/>
                <w:noProof/>
                <w:color w:val="000000" w:themeColor="text1"/>
                <w:sz w:val="20"/>
              </w:rPr>
            </w:pPr>
            <w:r>
              <w:rPr>
                <w:noProof/>
                <w:sz w:val="20"/>
              </w:rPr>
              <w:t>(nelegislativní, včetně posouzení dopadů, článek 103 SFEU a nařízení 19/65/EHS, Q2 2022)</w:t>
            </w:r>
          </w:p>
        </w:tc>
      </w:tr>
      <w:tr w:rsidR="00ED6F51" w:rsidRPr="00C041CA" w14:paraId="3FD60D76" w14:textId="77777777" w:rsidTr="000E35B5">
        <w:trPr>
          <w:cantSplit/>
        </w:trPr>
        <w:tc>
          <w:tcPr>
            <w:tcW w:w="565" w:type="dxa"/>
            <w:shd w:val="clear" w:color="auto" w:fill="auto"/>
          </w:tcPr>
          <w:p w14:paraId="6F2F724F"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shd w:val="clear" w:color="auto" w:fill="auto"/>
          </w:tcPr>
          <w:p w14:paraId="0A412FBF" w14:textId="4D7D147C" w:rsidR="00ED6F51" w:rsidRPr="00C041CA" w:rsidRDefault="00ED6F51" w:rsidP="008F4115">
            <w:pPr>
              <w:keepNext/>
              <w:spacing w:after="120"/>
              <w:rPr>
                <w:rFonts w:eastAsiaTheme="minorEastAsia"/>
                <w:b/>
                <w:bCs/>
                <w:noProof/>
                <w:color w:val="000000" w:themeColor="text1"/>
                <w:sz w:val="20"/>
              </w:rPr>
            </w:pPr>
            <w:r>
              <w:rPr>
                <w:b/>
                <w:noProof/>
                <w:sz w:val="20"/>
              </w:rPr>
              <w:t>Revize nařízení o blokových výjimkách pro horizontální dohody pokynů k horizontálním omezením</w:t>
            </w:r>
          </w:p>
        </w:tc>
        <w:tc>
          <w:tcPr>
            <w:tcW w:w="9780" w:type="dxa"/>
          </w:tcPr>
          <w:p w14:paraId="01D16D5C" w14:textId="77777777" w:rsidR="00ED6F51" w:rsidRPr="0079713A" w:rsidRDefault="00ED6F51" w:rsidP="000E35B5">
            <w:pPr>
              <w:spacing w:after="60"/>
              <w:rPr>
                <w:rFonts w:eastAsiaTheme="minorEastAsia"/>
                <w:noProof/>
                <w:color w:val="000000" w:themeColor="text1"/>
                <w:sz w:val="20"/>
              </w:rPr>
            </w:pPr>
            <w:r>
              <w:rPr>
                <w:noProof/>
                <w:sz w:val="20"/>
              </w:rPr>
              <w:t>Cílem této iniciativy je revize nařízení Komise o blokových výjimkách týkajících se dohod o výzkumu a vývoji a specializačních dohod a doprovodných pokynů k horizontálním omezením. Cílem revize je zajistit, aby společnosti měly jasné pokyny ohledně toho, jaké dohody o horizontální spolupráci mohou uzavřít, aniž by hrozilo porušení právních předpisů v oblasti hospodářské soutěže. Cílem je rovněž zjednodušit správní dohled Komise, vnitrostátních orgánů pro hospodářskou soutěž a vnitrostátních soudů nad dohodami o horizontální spolupráci.</w:t>
            </w:r>
          </w:p>
          <w:p w14:paraId="5A5D1406" w14:textId="77777777" w:rsidR="00ED6F51" w:rsidRPr="0079713A" w:rsidRDefault="00ED6F51" w:rsidP="000E35B5">
            <w:pPr>
              <w:spacing w:after="60"/>
              <w:rPr>
                <w:rFonts w:eastAsiaTheme="minorEastAsia"/>
                <w:noProof/>
                <w:color w:val="000000" w:themeColor="text1"/>
                <w:sz w:val="20"/>
              </w:rPr>
            </w:pPr>
            <w:r>
              <w:rPr>
                <w:noProof/>
                <w:sz w:val="20"/>
              </w:rPr>
              <w:t>(nelegislativní, včetně posouzení dopadů, článek 103 SFEU a nařízení 19/65/EHS, Q4 2022)</w:t>
            </w:r>
          </w:p>
        </w:tc>
      </w:tr>
      <w:tr w:rsidR="00ED6F51" w:rsidRPr="00C041CA" w14:paraId="446F4C79" w14:textId="77777777" w:rsidTr="000E35B5">
        <w:trPr>
          <w:cantSplit/>
        </w:trPr>
        <w:tc>
          <w:tcPr>
            <w:tcW w:w="565" w:type="dxa"/>
            <w:shd w:val="clear" w:color="auto" w:fill="auto"/>
          </w:tcPr>
          <w:p w14:paraId="11CF4C33"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shd w:val="clear" w:color="auto" w:fill="auto"/>
          </w:tcPr>
          <w:p w14:paraId="58AAFC52" w14:textId="60CF3711" w:rsidR="00ED6F51" w:rsidRPr="00C041CA" w:rsidRDefault="00ED6F51" w:rsidP="008F4115">
            <w:pPr>
              <w:keepNext/>
              <w:spacing w:after="120"/>
              <w:rPr>
                <w:b/>
                <w:noProof/>
                <w:sz w:val="20"/>
              </w:rPr>
            </w:pPr>
            <w:r>
              <w:rPr>
                <w:b/>
                <w:noProof/>
                <w:sz w:val="20"/>
              </w:rPr>
              <w:t>Revize některých procesních aspektů kontroly spojování podniků v EU</w:t>
            </w:r>
          </w:p>
          <w:p w14:paraId="329EADAE" w14:textId="77777777" w:rsidR="00ED6F51" w:rsidRPr="00C041CA" w:rsidRDefault="00ED6F51" w:rsidP="008F4115">
            <w:pPr>
              <w:spacing w:after="120"/>
              <w:rPr>
                <w:rFonts w:eastAsiaTheme="minorEastAsia"/>
                <w:b/>
                <w:bCs/>
                <w:noProof/>
                <w:color w:val="000000" w:themeColor="text1"/>
                <w:sz w:val="20"/>
                <w:lang w:eastAsia="en-US"/>
              </w:rPr>
            </w:pPr>
          </w:p>
        </w:tc>
        <w:tc>
          <w:tcPr>
            <w:tcW w:w="9780" w:type="dxa"/>
          </w:tcPr>
          <w:p w14:paraId="0C79C887" w14:textId="77777777" w:rsidR="00ED6F51" w:rsidRPr="0079713A" w:rsidRDefault="00ED6F51" w:rsidP="000E35B5">
            <w:pPr>
              <w:spacing w:after="60"/>
              <w:rPr>
                <w:rFonts w:eastAsiaTheme="minorEastAsia"/>
                <w:noProof/>
                <w:color w:val="000000" w:themeColor="text1"/>
                <w:sz w:val="20"/>
              </w:rPr>
            </w:pPr>
            <w:r>
              <w:rPr>
                <w:noProof/>
                <w:sz w:val="20"/>
              </w:rPr>
              <w:t>Cílem této iniciativy je zlepšit postupy EU při kontrole spojování podniků, aniž by bylo ohroženo účinné prosazování pravidel spojování podniků. Cílem je zvýšit účinnost kontroly spojování podniků v EU a snížit s ní související zátěž v případech, u nichž je nepravděpodobné, že by vyvolaly obavy z narušení hospodářské soutěže, a umožnit Komisi věnovat více zdrojů na případy, kdy je nutné provést podrobné šetření. Za tímto účelem iniciativa prozkoumá možnosti dalšího zjednodušení postupu, a to v případech zjednodušeného, a v rámci možností i nezjednodušeného spojování podniků.</w:t>
            </w:r>
          </w:p>
          <w:p w14:paraId="370E8E21" w14:textId="187647BA" w:rsidR="00ED6F51" w:rsidRPr="0079713A" w:rsidRDefault="00ED6F51" w:rsidP="000E35B5">
            <w:pPr>
              <w:spacing w:after="60"/>
              <w:rPr>
                <w:rFonts w:eastAsiaTheme="minorEastAsia"/>
                <w:noProof/>
                <w:color w:val="000000" w:themeColor="text1"/>
                <w:sz w:val="20"/>
              </w:rPr>
            </w:pPr>
            <w:r>
              <w:rPr>
                <w:noProof/>
                <w:sz w:val="20"/>
              </w:rPr>
              <w:t xml:space="preserve">(nelegislativní, včetně posouzení dopadů, nařízení Komise (ES) č. 802/2004 a oznámení Komise o zjednodušeném postupu, Q2 2022) </w:t>
            </w:r>
          </w:p>
        </w:tc>
      </w:tr>
      <w:tr w:rsidR="00ED6F51" w:rsidRPr="00C041CA" w14:paraId="7030C042" w14:textId="77777777" w:rsidTr="000E35B5">
        <w:trPr>
          <w:cantSplit/>
        </w:trPr>
        <w:tc>
          <w:tcPr>
            <w:tcW w:w="565" w:type="dxa"/>
            <w:shd w:val="clear" w:color="auto" w:fill="auto"/>
          </w:tcPr>
          <w:p w14:paraId="7CD5988B"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shd w:val="clear" w:color="auto" w:fill="auto"/>
          </w:tcPr>
          <w:p w14:paraId="730FB49C" w14:textId="6D139919" w:rsidR="00ED6F51" w:rsidRPr="00C041CA" w:rsidRDefault="00ED6F51" w:rsidP="008F4115">
            <w:pPr>
              <w:spacing w:after="120"/>
              <w:rPr>
                <w:rFonts w:eastAsiaTheme="minorEastAsia"/>
                <w:b/>
                <w:bCs/>
                <w:noProof/>
                <w:color w:val="000000" w:themeColor="text1"/>
                <w:sz w:val="20"/>
              </w:rPr>
            </w:pPr>
            <w:r>
              <w:rPr>
                <w:b/>
                <w:noProof/>
                <w:sz w:val="20"/>
              </w:rPr>
              <w:t>Revize sdělení o definici trhu</w:t>
            </w:r>
          </w:p>
        </w:tc>
        <w:tc>
          <w:tcPr>
            <w:tcW w:w="9780" w:type="dxa"/>
          </w:tcPr>
          <w:p w14:paraId="3C90B9EF" w14:textId="77777777" w:rsidR="00ED6F51" w:rsidRPr="00C041CA" w:rsidRDefault="00ED6F51" w:rsidP="000E35B5">
            <w:pPr>
              <w:spacing w:after="60"/>
              <w:rPr>
                <w:noProof/>
                <w:sz w:val="20"/>
              </w:rPr>
            </w:pPr>
            <w:r>
              <w:rPr>
                <w:noProof/>
                <w:sz w:val="20"/>
              </w:rPr>
              <w:t>Cílem iniciativy je zajistit, aby sdělení obsahovalo aktuální pokyny týkající se zásad a osvědčených postupů při vymezování trhu, které Komise uplatňuje v případech antimonopolních opatření a spojování podniků, včetně nedávného vývoje metodik a vývoje trhu, například v souvislosti s digitalizací hospodářství.</w:t>
            </w:r>
          </w:p>
          <w:p w14:paraId="1739EA02" w14:textId="68B86E1D" w:rsidR="00ED6F51" w:rsidRPr="00C041CA" w:rsidRDefault="00ED6F51" w:rsidP="000E35B5">
            <w:pPr>
              <w:spacing w:after="60"/>
              <w:rPr>
                <w:rFonts w:eastAsiaTheme="minorEastAsia"/>
                <w:noProof/>
                <w:color w:val="000000" w:themeColor="text1"/>
                <w:sz w:val="20"/>
              </w:rPr>
            </w:pPr>
            <w:r>
              <w:rPr>
                <w:noProof/>
                <w:sz w:val="20"/>
              </w:rPr>
              <w:t>Aktualizované sdělení sníží zátěž podniků zvýšením právní jistoty a poskytnutím aktuálnějších pokynů ohledně přístupu Komise k definici trhu, a to i v oblastech, na které se stávající sdělení nevztahuje, jako jsou např. digitální trhy. Pokud by nebyly poskytnuty žádné pokyny, nebo by tyto pokyny nebyly aktuální, podniky by v oblasti spojování podniků, tak v antimonopolních záležitostech, musely vyčlenit dodatečné vnitřní zdroje na prošetření velkého počtu rozhodnutí Komise, soudních rozsudků a literatury o vymezení trhu, aby bylo možné určit, jak by Komise pravděpodobně definovala relevantní trh či trhy a jaké prvky by zohlednila. Aktualizované sdělení dále sníží zátěž a zvýší přínosy pro Komisi a orgány pro hospodářskou soutěž členských států tím, že sníží potřebu vysvětlovat základní zásady definice trhu, ze kterých vycházejí při uplatňovaní právních předpisů EU v oblasti hospodářské soutěže, a (v příslušných případech) poskytne referenční nástroj orgánům pro hospodářskou soutěž členských států, které nemají vlastní pokyny pro definici trhu, při uplatňování vnitrostátních právních předpisů.</w:t>
            </w:r>
          </w:p>
          <w:p w14:paraId="23D2FC96" w14:textId="3A6DC592" w:rsidR="00ED6F51" w:rsidRPr="00C041CA" w:rsidRDefault="00ED6F51" w:rsidP="000E35B5">
            <w:pPr>
              <w:spacing w:after="60"/>
              <w:rPr>
                <w:rFonts w:eastAsiaTheme="minorEastAsia"/>
                <w:noProof/>
                <w:color w:val="000000" w:themeColor="text1"/>
                <w:sz w:val="20"/>
              </w:rPr>
            </w:pPr>
            <w:r>
              <w:rPr>
                <w:noProof/>
                <w:sz w:val="20"/>
              </w:rPr>
              <w:t>(nelegislativní, Q4 2022)</w:t>
            </w:r>
          </w:p>
        </w:tc>
      </w:tr>
      <w:tr w:rsidR="00ED6F51" w:rsidRPr="00C041CA" w14:paraId="61FBD989" w14:textId="77777777" w:rsidTr="000E35B5">
        <w:trPr>
          <w:cantSplit/>
        </w:trPr>
        <w:tc>
          <w:tcPr>
            <w:tcW w:w="565" w:type="dxa"/>
            <w:shd w:val="clear" w:color="auto" w:fill="auto"/>
          </w:tcPr>
          <w:p w14:paraId="194CA5E8"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shd w:val="clear" w:color="auto" w:fill="auto"/>
          </w:tcPr>
          <w:p w14:paraId="2C85678F" w14:textId="77777777" w:rsidR="00ED6F51" w:rsidRPr="00C041CA" w:rsidRDefault="00ED6F51" w:rsidP="008F4115">
            <w:pPr>
              <w:keepNext/>
              <w:spacing w:after="120"/>
              <w:rPr>
                <w:rFonts w:eastAsiaTheme="minorEastAsia"/>
                <w:b/>
                <w:bCs/>
                <w:noProof/>
                <w:sz w:val="20"/>
              </w:rPr>
            </w:pPr>
            <w:r>
              <w:rPr>
                <w:b/>
                <w:noProof/>
                <w:sz w:val="20"/>
              </w:rPr>
              <w:t>Návrh strategie interoperability vládních institucí v EU</w:t>
            </w:r>
          </w:p>
        </w:tc>
        <w:tc>
          <w:tcPr>
            <w:tcW w:w="9780" w:type="dxa"/>
          </w:tcPr>
          <w:p w14:paraId="14E2AE38" w14:textId="0128E986" w:rsidR="00ED6F51" w:rsidRPr="00492364" w:rsidRDefault="00ED6F51" w:rsidP="00922DAB">
            <w:pPr>
              <w:spacing w:after="0"/>
              <w:rPr>
                <w:noProof/>
                <w:sz w:val="20"/>
              </w:rPr>
            </w:pPr>
            <w:r>
              <w:rPr>
                <w:noProof/>
                <w:sz w:val="20"/>
              </w:rPr>
              <w:t>Tato iniciativa zhodnotí stávající Evropský rámec interoperability a posoudí jeho podporu při zřizování interoperabilních digitálních veřejných služeb. Vypracuje rovněž návrh strategie interoperability vládních institucí v EU, který byl oznámen ve sdělení Komise „Utváření digitální budoucnosti Evropy“. Cílem je zavést společné řízení interoperability na úrovni EU s cílem zajistit přeshraniční koordinaci, podpořit inovace ve veřejném sektoru a vymezit minimální společné specifikace pro bezpečné přeshraniční toky dat a služeb ve veřejném sektoru. Iniciativa:</w:t>
            </w:r>
          </w:p>
          <w:p w14:paraId="574268F1" w14:textId="77777777" w:rsidR="00ED6F51" w:rsidRPr="004C4C86" w:rsidRDefault="00ED6F51" w:rsidP="000E35B5">
            <w:pPr>
              <w:spacing w:after="0" w:line="20" w:lineRule="atLeast"/>
              <w:ind w:left="197" w:hanging="197"/>
              <w:rPr>
                <w:noProof/>
                <w:sz w:val="20"/>
              </w:rPr>
            </w:pPr>
            <w:r>
              <w:rPr>
                <w:rFonts w:ascii="Symbol" w:hAnsi="Symbol"/>
                <w:noProof/>
                <w:sz w:val="20"/>
              </w:rPr>
              <w:t></w:t>
            </w:r>
            <w:r>
              <w:rPr>
                <w:noProof/>
                <w:sz w:val="20"/>
              </w:rPr>
              <w:t xml:space="preserve">Zřídí sdílené řízení interoperability s členskými státy, které budou mít mandát řídit rozvoj interoperability mezi orgány veřejné správy EU. </w:t>
            </w:r>
          </w:p>
          <w:p w14:paraId="29C0D426" w14:textId="77777777" w:rsidR="00ED6F51" w:rsidRPr="004C4C86" w:rsidRDefault="00ED6F51" w:rsidP="000E35B5">
            <w:pPr>
              <w:pStyle w:val="ListParagraph"/>
              <w:numPr>
                <w:ilvl w:val="0"/>
                <w:numId w:val="34"/>
              </w:numPr>
              <w:spacing w:after="0" w:line="20" w:lineRule="atLeast"/>
              <w:ind w:left="197" w:hanging="197"/>
              <w:contextualSpacing w:val="0"/>
              <w:rPr>
                <w:rFonts w:ascii="Calibri" w:hAnsi="Calibri"/>
                <w:noProof/>
                <w:sz w:val="20"/>
              </w:rPr>
            </w:pPr>
            <w:r>
              <w:rPr>
                <w:noProof/>
                <w:sz w:val="20"/>
              </w:rPr>
              <w:t>Zajistí, aby návrhy politik EU byly interoperabilní, připravené na digitální věk a byly navrženy tak, aby byly interoperabilní od samého počátku a podporovaly součinnost při svém provádění.</w:t>
            </w:r>
          </w:p>
          <w:p w14:paraId="65976D2D" w14:textId="19935987" w:rsidR="00ED6F51" w:rsidRDefault="00ED6F51" w:rsidP="000E35B5">
            <w:pPr>
              <w:spacing w:after="0" w:line="20" w:lineRule="atLeast"/>
              <w:ind w:left="197" w:hanging="197"/>
              <w:rPr>
                <w:noProof/>
                <w:sz w:val="20"/>
              </w:rPr>
            </w:pPr>
            <w:r>
              <w:rPr>
                <w:rFonts w:ascii="Symbol" w:hAnsi="Symbol"/>
                <w:noProof/>
                <w:sz w:val="20"/>
              </w:rPr>
              <w:t></w:t>
            </w:r>
            <w:r>
              <w:rPr>
                <w:noProof/>
                <w:sz w:val="20"/>
              </w:rPr>
              <w:t>Zajistí minimální společné otevřené specifikace a normy interoperability pro provádění politik a programů EU.</w:t>
            </w:r>
          </w:p>
          <w:p w14:paraId="7D443A1A" w14:textId="3FF02D8E" w:rsidR="00ED6F51" w:rsidRDefault="00ED6F51" w:rsidP="000E35B5">
            <w:pPr>
              <w:pStyle w:val="ListParagraph"/>
              <w:numPr>
                <w:ilvl w:val="0"/>
                <w:numId w:val="34"/>
              </w:numPr>
              <w:spacing w:after="0" w:line="20" w:lineRule="atLeast"/>
              <w:ind w:left="197" w:hanging="197"/>
              <w:contextualSpacing w:val="0"/>
              <w:rPr>
                <w:noProof/>
                <w:sz w:val="20"/>
              </w:rPr>
            </w:pPr>
            <w:r>
              <w:rPr>
                <w:noProof/>
                <w:sz w:val="20"/>
              </w:rPr>
              <w:t xml:space="preserve">Bude podporovat a prosazovat rozvoj a opětovné využívání společných otevřených řešení a specifikací interoperability zaměřených na člověka ve veřejné správě v celé EU. </w:t>
            </w:r>
          </w:p>
          <w:p w14:paraId="3D75E0B8" w14:textId="0A4255DA" w:rsidR="00ED6F51" w:rsidRPr="004C4C86" w:rsidRDefault="00ED6F51" w:rsidP="000E35B5">
            <w:pPr>
              <w:pStyle w:val="ListParagraph"/>
              <w:numPr>
                <w:ilvl w:val="0"/>
                <w:numId w:val="34"/>
              </w:numPr>
              <w:spacing w:after="60" w:line="20" w:lineRule="atLeast"/>
              <w:ind w:left="198" w:hanging="198"/>
              <w:rPr>
                <w:noProof/>
                <w:sz w:val="20"/>
              </w:rPr>
            </w:pPr>
            <w:r>
              <w:rPr>
                <w:noProof/>
                <w:sz w:val="20"/>
              </w:rPr>
              <w:t>Posílí inovace a mezinárodní spolupráci prostřednictvím vzájemného učení a vzájemné spolupráce mezi orgány veřejné správy.</w:t>
            </w:r>
          </w:p>
          <w:p w14:paraId="6E3AD49F" w14:textId="5C343557" w:rsidR="00ED6F51" w:rsidRPr="00C041CA" w:rsidRDefault="00ED6F51" w:rsidP="000E35B5">
            <w:pPr>
              <w:spacing w:after="60"/>
              <w:rPr>
                <w:rFonts w:eastAsiaTheme="minorEastAsia"/>
                <w:noProof/>
                <w:spacing w:val="-2"/>
                <w:sz w:val="20"/>
              </w:rPr>
            </w:pPr>
            <w:r>
              <w:rPr>
                <w:noProof/>
                <w:sz w:val="20"/>
              </w:rPr>
              <w:t>(legislativní, včetně posouzení dopadů, článek 114, článek 172, článek 188 a/nebo článek 197 SFEU, Q2 2022)</w:t>
            </w:r>
          </w:p>
        </w:tc>
      </w:tr>
      <w:tr w:rsidR="00ED6F51" w:rsidRPr="00C041CA" w14:paraId="4E074D34" w14:textId="77777777" w:rsidTr="000E35B5">
        <w:trPr>
          <w:cantSplit/>
        </w:trPr>
        <w:tc>
          <w:tcPr>
            <w:tcW w:w="565" w:type="dxa"/>
            <w:shd w:val="clear" w:color="auto" w:fill="auto"/>
          </w:tcPr>
          <w:p w14:paraId="15D54DB0"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shd w:val="clear" w:color="auto" w:fill="auto"/>
          </w:tcPr>
          <w:p w14:paraId="5AA8FFAE" w14:textId="23E53989" w:rsidR="00ED6F51" w:rsidRPr="00C041CA" w:rsidRDefault="00ED6F51" w:rsidP="000E35B5">
            <w:pPr>
              <w:keepNext/>
              <w:spacing w:after="120"/>
              <w:rPr>
                <w:rFonts w:eastAsiaTheme="minorEastAsia"/>
                <w:b/>
                <w:bCs/>
                <w:noProof/>
                <w:sz w:val="20"/>
              </w:rPr>
            </w:pPr>
            <w:r>
              <w:rPr>
                <w:b/>
                <w:noProof/>
                <w:sz w:val="20"/>
              </w:rPr>
              <w:t>Revize pokynů pro státní podporu pro širokopásmové sítě</w:t>
            </w:r>
          </w:p>
        </w:tc>
        <w:tc>
          <w:tcPr>
            <w:tcW w:w="9780" w:type="dxa"/>
          </w:tcPr>
          <w:p w14:paraId="2065AB1A" w14:textId="7CECC470" w:rsidR="00ED6F51" w:rsidRPr="00C041CA" w:rsidRDefault="00ED6F51" w:rsidP="000E35B5">
            <w:pPr>
              <w:spacing w:after="60"/>
              <w:rPr>
                <w:noProof/>
                <w:sz w:val="20"/>
              </w:rPr>
            </w:pPr>
            <w:r>
              <w:rPr>
                <w:noProof/>
                <w:sz w:val="20"/>
              </w:rPr>
              <w:t>Cílem iniciativy je revidovat pravidla státní podpory platná pro odvětví širokopásmového připojení s cílem aktualizovat je v souladu s technologickým a socioekonomickým vývojem a zohlednit nové cíle EU v oblasti konektivity, jakož i další nejnovější vývoj politiky. Sdělení z roku 2020 nazvané „Utváření digitální budoucnosti Evropy“ považuje gigabitové připojení za nejdůležitější stavební kámen digitální transformace, který má zásadní význam pro využití digitálního růstového potenciálu Evropy. To potvrzují nedávné připomínky Komise obsažené ve sdělení Digitální kompas 2030. Uznává rychle se vyvíjející poptávku po kapacitě sítě a potřebu zajistit udržitelné investice do sítí schopných nabídnout gigabitové rychlosti, které uspokojí nároky evropské datové ekonomiky po roce 2025. Rozšíření onemocnění COVID-19 způsobeného koronavirem po celém světě zdůraznilo zásadní úlohu širokopásmových sítí pro lidi, podniky a veřejné instituce, jakož i pro oživení po krizi a posílení odolnosti EU.</w:t>
            </w:r>
          </w:p>
          <w:p w14:paraId="7761C5B4" w14:textId="223907D5" w:rsidR="00ED6F51" w:rsidRPr="005A746F" w:rsidRDefault="00ED6F51" w:rsidP="000E35B5">
            <w:pPr>
              <w:spacing w:after="60"/>
              <w:rPr>
                <w:rFonts w:eastAsiaTheme="minorEastAsia"/>
                <w:noProof/>
                <w:spacing w:val="-2"/>
                <w:sz w:val="20"/>
              </w:rPr>
            </w:pPr>
            <w:r>
              <w:rPr>
                <w:noProof/>
                <w:sz w:val="20"/>
              </w:rPr>
              <w:t>Cílená změna stávajících pravidel je nezbytná pro sladění rámce státní podpory platného pro odvětví širokopásmového připojení s technologickým, socioekonomickým a politickým vývojem.</w:t>
            </w:r>
          </w:p>
          <w:p w14:paraId="7CEA929B" w14:textId="2BDD1483" w:rsidR="00ED6F51" w:rsidRPr="00C041CA" w:rsidRDefault="00ED6F51" w:rsidP="000E35B5">
            <w:pPr>
              <w:spacing w:after="60"/>
              <w:rPr>
                <w:rFonts w:eastAsiaTheme="minorEastAsia"/>
                <w:noProof/>
                <w:spacing w:val="-2"/>
                <w:sz w:val="20"/>
              </w:rPr>
            </w:pPr>
            <w:r>
              <w:rPr>
                <w:noProof/>
                <w:sz w:val="20"/>
              </w:rPr>
              <w:t>(nelegislativní, Q2 2022)</w:t>
            </w:r>
          </w:p>
        </w:tc>
      </w:tr>
      <w:tr w:rsidR="00ED6F51" w:rsidRPr="00C041CA" w14:paraId="3C0F7DDD" w14:textId="77777777" w:rsidTr="000E35B5">
        <w:trPr>
          <w:cantSplit/>
        </w:trPr>
        <w:tc>
          <w:tcPr>
            <w:tcW w:w="565" w:type="dxa"/>
            <w:shd w:val="clear" w:color="auto" w:fill="auto"/>
          </w:tcPr>
          <w:p w14:paraId="09299857"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shd w:val="clear" w:color="auto" w:fill="auto"/>
          </w:tcPr>
          <w:p w14:paraId="1BC5E9EB" w14:textId="00EE35B3" w:rsidR="00ED6F51" w:rsidRPr="00C041CA" w:rsidRDefault="00ED6F51" w:rsidP="008F4115">
            <w:pPr>
              <w:keepNext/>
              <w:spacing w:after="120"/>
              <w:rPr>
                <w:rFonts w:eastAsiaTheme="minorEastAsia"/>
                <w:b/>
                <w:bCs/>
                <w:noProof/>
                <w:sz w:val="20"/>
              </w:rPr>
            </w:pPr>
            <w:r>
              <w:rPr>
                <w:b/>
                <w:noProof/>
                <w:sz w:val="20"/>
              </w:rPr>
              <w:t>Revize směrnice o průmyslových vzorech</w:t>
            </w:r>
          </w:p>
        </w:tc>
        <w:tc>
          <w:tcPr>
            <w:tcW w:w="9780" w:type="dxa"/>
            <w:vMerge w:val="restart"/>
            <w:shd w:val="clear" w:color="auto" w:fill="auto"/>
          </w:tcPr>
          <w:p w14:paraId="12ABAB93" w14:textId="45A4FD1C" w:rsidR="00ED6F51" w:rsidRPr="00C041CA" w:rsidRDefault="00ED6F51" w:rsidP="000E35B5">
            <w:pPr>
              <w:spacing w:after="60"/>
              <w:rPr>
                <w:noProof/>
                <w:sz w:val="20"/>
              </w:rPr>
            </w:pPr>
            <w:r>
              <w:rPr>
                <w:noProof/>
                <w:sz w:val="20"/>
              </w:rPr>
              <w:t>Plánovaná revize směrnice o průmyslových vzorech a nařízení o průmyslových vzorech Společenství navazuje na hodnocení stávajících právních předpisů EU v oblasti ochrany průmyslových vzorů. Cílem revize je přizpůsobit rámec tak, aby plnil svůj účel i v digitálním věku, a zvýšit právní jistotu a předvídatelnost ve prospěch jednotlivých původců, průmyslových odvětví intenzivně využívajících průmyslových vzorů a malých a středních podniků. Zaměří se rovněž na vytvoření rovných podmínek, zvýšení účinnosti a snížení nákladů, čímž se usnadní přístup k ochraně průmyslových vzorů.</w:t>
            </w:r>
          </w:p>
          <w:p w14:paraId="5EE1D9A7" w14:textId="77777777" w:rsidR="00ED6F51" w:rsidRPr="00C041CA" w:rsidRDefault="00ED6F51" w:rsidP="000E35B5">
            <w:pPr>
              <w:spacing w:after="60"/>
              <w:rPr>
                <w:noProof/>
                <w:sz w:val="20"/>
              </w:rPr>
            </w:pPr>
            <w:r>
              <w:rPr>
                <w:noProof/>
                <w:sz w:val="20"/>
              </w:rPr>
              <w:t>Mezi hlavní cíle reformy patří zjednodušení postupů a snížení administrativní zátěže (včetně poplatků, které je nutné uhradit). Zjednodušení postupů a zvýšení interoperability systémů ochrany v EU prostřednictvím další harmonizace povede ke snížení nákladů a administrativní zátěže jak pro uživatele ochrany průmyslových vzorů, tak pro orgány veřejné správy.</w:t>
            </w:r>
          </w:p>
          <w:p w14:paraId="1967BECD" w14:textId="77777777" w:rsidR="00ED6F51" w:rsidRPr="00C041CA" w:rsidRDefault="00ED6F51" w:rsidP="000E35B5">
            <w:pPr>
              <w:spacing w:after="60"/>
              <w:rPr>
                <w:rFonts w:eastAsiaTheme="minorEastAsia"/>
                <w:noProof/>
                <w:spacing w:val="-2"/>
                <w:sz w:val="20"/>
              </w:rPr>
            </w:pPr>
            <w:r>
              <w:rPr>
                <w:noProof/>
                <w:sz w:val="20"/>
              </w:rPr>
              <w:t>(legislativní, včetně posouzení dopadů, článek 114 SFEU, Q2 2022)</w:t>
            </w:r>
          </w:p>
        </w:tc>
      </w:tr>
      <w:tr w:rsidR="00ED6F51" w:rsidRPr="00C041CA" w14:paraId="7D8EDEC0" w14:textId="77777777" w:rsidTr="000E35B5">
        <w:trPr>
          <w:cantSplit/>
        </w:trPr>
        <w:tc>
          <w:tcPr>
            <w:tcW w:w="565" w:type="dxa"/>
            <w:shd w:val="clear" w:color="auto" w:fill="auto"/>
          </w:tcPr>
          <w:p w14:paraId="395C5463"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shd w:val="clear" w:color="auto" w:fill="auto"/>
          </w:tcPr>
          <w:p w14:paraId="261E3049" w14:textId="658F0019" w:rsidR="00ED6F51" w:rsidRPr="00C041CA" w:rsidRDefault="00ED6F51" w:rsidP="008F4115">
            <w:pPr>
              <w:keepNext/>
              <w:spacing w:after="120"/>
              <w:rPr>
                <w:rFonts w:eastAsiaTheme="minorEastAsia"/>
                <w:b/>
                <w:bCs/>
                <w:noProof/>
                <w:color w:val="000000"/>
                <w:sz w:val="20"/>
              </w:rPr>
            </w:pPr>
            <w:r>
              <w:rPr>
                <w:b/>
                <w:noProof/>
                <w:sz w:val="20"/>
              </w:rPr>
              <w:t>Revize nařízení o průmyslových vzorech Společenství</w:t>
            </w:r>
          </w:p>
        </w:tc>
        <w:tc>
          <w:tcPr>
            <w:tcW w:w="9780" w:type="dxa"/>
            <w:vMerge/>
            <w:shd w:val="clear" w:color="auto" w:fill="auto"/>
          </w:tcPr>
          <w:p w14:paraId="6F2F1D95" w14:textId="77777777" w:rsidR="00ED6F51" w:rsidRPr="00C041CA" w:rsidRDefault="00ED6F51" w:rsidP="008F4115">
            <w:pPr>
              <w:spacing w:after="120"/>
              <w:rPr>
                <w:rFonts w:eastAsiaTheme="minorEastAsia"/>
                <w:noProof/>
                <w:spacing w:val="-2"/>
                <w:sz w:val="20"/>
                <w:lang w:eastAsia="en-US"/>
              </w:rPr>
            </w:pPr>
          </w:p>
        </w:tc>
      </w:tr>
      <w:tr w:rsidR="00ED6F51" w:rsidRPr="00C041CA" w14:paraId="790E659B" w14:textId="77777777" w:rsidTr="000E35B5">
        <w:trPr>
          <w:cantSplit/>
        </w:trPr>
        <w:tc>
          <w:tcPr>
            <w:tcW w:w="565" w:type="dxa"/>
            <w:shd w:val="clear" w:color="auto" w:fill="auto"/>
          </w:tcPr>
          <w:p w14:paraId="6D04753E"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shd w:val="clear" w:color="auto" w:fill="auto"/>
          </w:tcPr>
          <w:p w14:paraId="5F12B159" w14:textId="4D7B0DC2" w:rsidR="00ED6F51" w:rsidRPr="00C041CA" w:rsidRDefault="00ED6F51" w:rsidP="008F4115">
            <w:pPr>
              <w:keepNext/>
              <w:spacing w:after="120"/>
              <w:rPr>
                <w:rFonts w:eastAsiaTheme="minorEastAsia"/>
                <w:b/>
                <w:bCs/>
                <w:noProof/>
                <w:sz w:val="20"/>
              </w:rPr>
            </w:pPr>
            <w:r>
              <w:rPr>
                <w:b/>
                <w:noProof/>
                <w:sz w:val="20"/>
              </w:rPr>
              <w:t xml:space="preserve">Revize právních předpisů o dodatkových ochranných osvědčeních </w:t>
            </w:r>
          </w:p>
        </w:tc>
        <w:tc>
          <w:tcPr>
            <w:tcW w:w="9780" w:type="dxa"/>
            <w:shd w:val="clear" w:color="auto" w:fill="auto"/>
          </w:tcPr>
          <w:p w14:paraId="6B2A9DD6" w14:textId="146C5C46" w:rsidR="00ED6F51" w:rsidRPr="00C041CA" w:rsidRDefault="00ED6F51" w:rsidP="000E35B5">
            <w:pPr>
              <w:spacing w:after="60"/>
              <w:rPr>
                <w:noProof/>
                <w:sz w:val="20"/>
              </w:rPr>
            </w:pPr>
            <w:r>
              <w:rPr>
                <w:noProof/>
                <w:sz w:val="20"/>
              </w:rPr>
              <w:t>Zatímco právní předpisy EU o dodatkových ochranných osvědčeních jsou vhodné pro daný účel, jejich roztříštěnost (jejich správa a prosazování na vnitrostátní úrovni) brání jejich účinnosti a účelnosti. Vytvoření jednotného postupu udělování dodatkových ochranných osvědčení a jednotného dodatkového ochranného osvědčení by posílilo jednotný trh s léčivými přípravky a agrochemikáliemi a dodatková ochranná osvědčení by se přizpůsobila tak, aby se podpořila souběžné digitální a ekologické transformace.</w:t>
            </w:r>
          </w:p>
          <w:p w14:paraId="5CF61A45" w14:textId="53C0F4A6" w:rsidR="00ED6F51" w:rsidRDefault="00ED6F51" w:rsidP="000E35B5">
            <w:pPr>
              <w:spacing w:after="60"/>
              <w:rPr>
                <w:noProof/>
                <w:sz w:val="20"/>
              </w:rPr>
            </w:pPr>
            <w:r>
              <w:rPr>
                <w:noProof/>
                <w:sz w:val="20"/>
              </w:rPr>
              <w:t>Povede to k výraznému snížení nákladů/zátěže a k větší právní jistotě pro žadatele o dodatková ochranná osvědčení, včetně malých a středních podniků a začínajících podniků, neboť centralizovaný mechanismus udělování bude k dispozici jako alternativa k současným 27 vnitrostátním postupům udělování dodatkových ochranných osvědčení. Nové návrhy by mohly nahradit/změnit stávající nařízení o dodatkových ochranných osvědčeních pro léčivé přípravky a přípravky na ochranu rostlin.</w:t>
            </w:r>
          </w:p>
          <w:p w14:paraId="685AA8E6" w14:textId="77777777" w:rsidR="00ED6F51" w:rsidRPr="00DA0D55" w:rsidRDefault="00ED6F51" w:rsidP="000E35B5">
            <w:pPr>
              <w:spacing w:after="60"/>
              <w:rPr>
                <w:noProof/>
                <w:sz w:val="20"/>
              </w:rPr>
            </w:pPr>
            <w:r>
              <w:rPr>
                <w:noProof/>
                <w:sz w:val="20"/>
              </w:rPr>
              <w:t>(legislativní, včetně posouzení dopadů, články 114 a 118 SFEU, Q4 2022)</w:t>
            </w:r>
          </w:p>
        </w:tc>
      </w:tr>
      <w:tr w:rsidR="00ED6F51" w:rsidRPr="00C041CA" w14:paraId="5C48BA6D" w14:textId="77777777" w:rsidTr="000E35B5">
        <w:trPr>
          <w:cantSplit/>
        </w:trPr>
        <w:tc>
          <w:tcPr>
            <w:tcW w:w="14827" w:type="dxa"/>
            <w:gridSpan w:val="3"/>
            <w:shd w:val="clear" w:color="auto" w:fill="F68A42" w:themeFill="accent3"/>
          </w:tcPr>
          <w:p w14:paraId="385CD449" w14:textId="77777777" w:rsidR="00ED6F51" w:rsidRPr="00C041CA" w:rsidRDefault="00ED6F51" w:rsidP="000E35B5">
            <w:pPr>
              <w:keepNext/>
              <w:spacing w:before="60" w:after="60"/>
              <w:rPr>
                <w:rFonts w:eastAsiaTheme="minorEastAsia"/>
                <w:noProof/>
                <w:sz w:val="20"/>
              </w:rPr>
            </w:pPr>
            <w:r>
              <w:rPr>
                <w:b/>
                <w:bCs/>
                <w:noProof/>
                <w:color w:val="FFFFFF" w:themeColor="background1"/>
                <w:sz w:val="20"/>
              </w:rPr>
              <w:t>Hospodářství ve prospěch lidí</w:t>
            </w:r>
          </w:p>
        </w:tc>
      </w:tr>
      <w:tr w:rsidR="00ED6F51" w:rsidRPr="00C041CA" w14:paraId="7C285629" w14:textId="77777777" w:rsidTr="000E35B5">
        <w:trPr>
          <w:cantSplit/>
        </w:trPr>
        <w:tc>
          <w:tcPr>
            <w:tcW w:w="565" w:type="dxa"/>
            <w:shd w:val="clear" w:color="auto" w:fill="auto"/>
          </w:tcPr>
          <w:p w14:paraId="6D24D37E"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tcPr>
          <w:p w14:paraId="38D27831" w14:textId="77777777" w:rsidR="00ED6F51" w:rsidRPr="00C041CA" w:rsidRDefault="00ED6F51" w:rsidP="008F4115">
            <w:pPr>
              <w:keepNext/>
              <w:spacing w:after="120"/>
              <w:rPr>
                <w:rFonts w:eastAsiaTheme="minorEastAsia"/>
                <w:b/>
                <w:bCs/>
                <w:noProof/>
                <w:sz w:val="20"/>
              </w:rPr>
            </w:pPr>
            <w:r>
              <w:rPr>
                <w:b/>
                <w:noProof/>
                <w:sz w:val="20"/>
              </w:rPr>
              <w:t>Revize právního rámce pro evropské statistiky týkající se obyvatelstva</w:t>
            </w:r>
          </w:p>
        </w:tc>
        <w:tc>
          <w:tcPr>
            <w:tcW w:w="9780" w:type="dxa"/>
          </w:tcPr>
          <w:p w14:paraId="7D59CD88" w14:textId="00D01236" w:rsidR="00ED6F51" w:rsidRPr="00C041CA" w:rsidRDefault="00ED6F51" w:rsidP="000E35B5">
            <w:pPr>
              <w:spacing w:after="60"/>
              <w:rPr>
                <w:noProof/>
                <w:sz w:val="20"/>
              </w:rPr>
            </w:pPr>
            <w:r>
              <w:rPr>
                <w:noProof/>
                <w:sz w:val="20"/>
              </w:rPr>
              <w:t xml:space="preserve">Aby Unie mohla plnit úkoly, které jí byly svěřeny, jsou zapotřebí statistiky týkající se velikosti populace a její demografické a sociální situace, bydlení, vzdělání a migrace. Tyto statistiky potřebují revidovaný, moderní a komplexní právní základ, aby byla zajištěna jejich kvalita, úplnost a spolehlivost. Cílem iniciativy je vytvořit revidovaný právní rámec pro statistiky obyvatelstva na základě mezinárodních norem, který do jediného právního základu začlení stávající roční demografické a migrační statistiky a statistiky ze sčítání lidu, domů a bytů prováděné každých deset let, jakož i regionální a georeferenční údaje o obyvatelstvu, na něž se v současnosti vztahují samostatná nařízení. </w:t>
            </w:r>
          </w:p>
          <w:p w14:paraId="792EE386" w14:textId="5FAA9B62" w:rsidR="00ED6F51" w:rsidRPr="00C041CA" w:rsidRDefault="00ED6F51" w:rsidP="000E35B5">
            <w:pPr>
              <w:spacing w:after="60"/>
              <w:rPr>
                <w:noProof/>
                <w:sz w:val="20"/>
              </w:rPr>
            </w:pPr>
            <w:r>
              <w:rPr>
                <w:noProof/>
                <w:sz w:val="20"/>
              </w:rPr>
              <w:t>Cílem revidovaného jednotného právního základu pro statistiku obyvatelstva je snížit administrativní zátěž správních orgánů členských států (zejména národních statistických úřadů) tím, že se podpoří používání harmonizovaných a relevantních statistických definic ve všech oblastech statistiky obyvatelstva a zamezí se zdvojování práce v souvisejících oblastech. Iniciativa usnadní rostoucí využívání zdrojů administrativních údajů ze strany správních orgánů členských států při sestavování statistik obyvatelstva. Tento přístup bude nákladově efektivnější a časem sníží zátěž správních orgánů členských států v oblasti zdrojů a zároveň umožní vypracovávání častějších a podrobnějších statistik, které budou odpovídat potřebám uživatelů. Nahrazení nebo změna stávajících příslušných právních předpisů (dvě nařízení Rady a Evropského parlamentu budou zrušena a jedno pozměněno) jediným rámcovým nařízením povede ke zjednodušení právních předpisů EU.</w:t>
            </w:r>
          </w:p>
          <w:p w14:paraId="16DB751B" w14:textId="77777777" w:rsidR="00ED6F51" w:rsidRPr="00C041CA" w:rsidRDefault="00ED6F51" w:rsidP="000E35B5">
            <w:pPr>
              <w:spacing w:after="60"/>
              <w:rPr>
                <w:rFonts w:eastAsiaTheme="minorEastAsia"/>
                <w:noProof/>
                <w:sz w:val="20"/>
              </w:rPr>
            </w:pPr>
            <w:r>
              <w:rPr>
                <w:noProof/>
                <w:sz w:val="20"/>
              </w:rPr>
              <w:t>(legislativní, včetně posouzení dopadů, čl. 338 odst. 1 SFEU, Q2 2022)</w:t>
            </w:r>
          </w:p>
        </w:tc>
      </w:tr>
      <w:tr w:rsidR="00ED6F51" w:rsidRPr="00C041CA" w14:paraId="02D67B38" w14:textId="77777777" w:rsidTr="000E35B5">
        <w:trPr>
          <w:cantSplit/>
        </w:trPr>
        <w:tc>
          <w:tcPr>
            <w:tcW w:w="565" w:type="dxa"/>
            <w:shd w:val="clear" w:color="auto" w:fill="auto"/>
          </w:tcPr>
          <w:p w14:paraId="327E5C6E"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tcPr>
          <w:p w14:paraId="34ACB36A" w14:textId="2F17DCB6" w:rsidR="00ED6F51" w:rsidRPr="00C041CA" w:rsidRDefault="00ED6F51" w:rsidP="00B97281">
            <w:pPr>
              <w:keepNext/>
              <w:spacing w:after="120"/>
              <w:rPr>
                <w:rFonts w:eastAsiaTheme="minorEastAsia"/>
                <w:b/>
                <w:bCs/>
                <w:noProof/>
                <w:sz w:val="20"/>
              </w:rPr>
            </w:pPr>
            <w:r>
              <w:rPr>
                <w:b/>
                <w:noProof/>
                <w:sz w:val="20"/>
              </w:rPr>
              <w:t>Revize směrnice o udělování osvědčení strojvedoucím obsluhujícím hnací vozidla a vlaky v železničním systému Společenství.</w:t>
            </w:r>
          </w:p>
        </w:tc>
        <w:tc>
          <w:tcPr>
            <w:tcW w:w="9780" w:type="dxa"/>
          </w:tcPr>
          <w:p w14:paraId="606BBFF9" w14:textId="417B115A" w:rsidR="00ED6F51" w:rsidRPr="00C041CA" w:rsidRDefault="00ED6F51" w:rsidP="000E35B5">
            <w:pPr>
              <w:spacing w:after="60"/>
              <w:rPr>
                <w:rFonts w:eastAsiaTheme="minorEastAsia"/>
                <w:bCs/>
                <w:noProof/>
                <w:sz w:val="20"/>
              </w:rPr>
            </w:pPr>
            <w:r>
              <w:rPr>
                <w:noProof/>
                <w:sz w:val="20"/>
              </w:rPr>
              <w:t>Z hodnocení směrnice 2007/59/ES vyplynulo, že existuje značný prostor pro zjednodušení a další zlepšení účinnosti směrnice. Některá z jejích ustanovení jsou totiž zastaralá, její formulace je někdy nejednoznačná a oblast působnosti může vyžadovat úpravy.</w:t>
            </w:r>
          </w:p>
          <w:p w14:paraId="20B0A4D3" w14:textId="29557E5E" w:rsidR="00ED6F51" w:rsidRPr="00C041CA" w:rsidRDefault="00ED6F51" w:rsidP="000E35B5">
            <w:pPr>
              <w:spacing w:after="60"/>
              <w:rPr>
                <w:noProof/>
                <w:sz w:val="20"/>
              </w:rPr>
            </w:pPr>
            <w:r>
              <w:rPr>
                <w:noProof/>
                <w:sz w:val="20"/>
              </w:rPr>
              <w:t>Revize rovněž povede k dalšímu zlepšení mobility strojvedoucích mezi podniky i mezi členskými státy. Povinnosti a rozdělení úkolů mezi subjekty zapojené do systému certifikace budou přezkoumány s cílem snížit administrativní zátěž všech subjektů zapojených do systému certifikace. Pokud jde o přidanou hodnotu, revize směrnice zvýší účinnost celounijního systému certifikace vytvořením skutečně harmonizovaného rámce. Tím se zajistí větší srozumitelnost pro členské státy a zúčastněné strany a sníží se zdvojování nákladů a úsilí.</w:t>
            </w:r>
          </w:p>
          <w:p w14:paraId="33B005AD" w14:textId="5ACCE46B" w:rsidR="00ED6F51" w:rsidRPr="00C041CA" w:rsidRDefault="00ED6F51" w:rsidP="000E35B5">
            <w:pPr>
              <w:spacing w:after="60"/>
              <w:rPr>
                <w:rFonts w:eastAsiaTheme="minorEastAsia"/>
                <w:bCs/>
                <w:noProof/>
                <w:sz w:val="20"/>
              </w:rPr>
            </w:pPr>
            <w:r>
              <w:rPr>
                <w:noProof/>
                <w:sz w:val="20"/>
              </w:rPr>
              <w:t>(legislativní, včetně posouzení dopadů, článek 91 SFEU, Q4 2022)</w:t>
            </w:r>
          </w:p>
        </w:tc>
      </w:tr>
      <w:tr w:rsidR="00ED6F51" w:rsidRPr="00C041CA" w14:paraId="25B14F14" w14:textId="77777777" w:rsidTr="000E35B5">
        <w:trPr>
          <w:cantSplit/>
        </w:trPr>
        <w:tc>
          <w:tcPr>
            <w:tcW w:w="565" w:type="dxa"/>
            <w:shd w:val="clear" w:color="auto" w:fill="auto"/>
          </w:tcPr>
          <w:p w14:paraId="7941BDC0"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tcPr>
          <w:p w14:paraId="6A19679C" w14:textId="77777777" w:rsidR="00ED6F51" w:rsidRPr="00C041CA" w:rsidRDefault="00ED6F51" w:rsidP="008F4115">
            <w:pPr>
              <w:keepNext/>
              <w:spacing w:after="120"/>
              <w:rPr>
                <w:noProof/>
                <w:sz w:val="20"/>
              </w:rPr>
            </w:pPr>
            <w:r>
              <w:rPr>
                <w:b/>
                <w:noProof/>
                <w:sz w:val="20"/>
              </w:rPr>
              <w:t>Revize celních předpisů Unie</w:t>
            </w:r>
          </w:p>
        </w:tc>
        <w:tc>
          <w:tcPr>
            <w:tcW w:w="9780" w:type="dxa"/>
          </w:tcPr>
          <w:p w14:paraId="6BA8BBFD" w14:textId="1BF40EE4" w:rsidR="00ED6F51" w:rsidRPr="00C041CA" w:rsidRDefault="00ED6F51" w:rsidP="000E35B5">
            <w:pPr>
              <w:spacing w:after="60"/>
              <w:rPr>
                <w:noProof/>
                <w:sz w:val="20"/>
              </w:rPr>
            </w:pPr>
            <w:r>
              <w:rPr>
                <w:noProof/>
                <w:sz w:val="20"/>
              </w:rPr>
              <w:t>Celní kodex Unie čelí situacím, pro které nebyl vytvořen, zejména pokud jde o elektronický obchod. Cílem revize celních předpisů Unie bude zlepšení kontrol v oblasti elektronického obchodování ve prospěch daňových poplatníků (výběr cel a daní) a občanů (ochrana před nevyhovujícími výrobky). Usnadní plnění úkolů vnitrostátních orgánů v oblasti prosazování práva a zlepší rovné podmínky pro hospodářské subjekty, zejména s pomocí nových aktérů, jako jsou platformy. V jiných oblastech revize předpokládá lepší rozdělení úkolů a lepší výměnu informací mezi celními a odvětvovými orgány, aby celní orgány a Komise mohly využívat více elektronických celních údajů ke zlepšení účinnosti svých kontrol finančních a nefinančních rizik, čímž se sníží zátěž hospodářských subjektů. V dalších oblastech se předpokládají určitá zjednodušení pro hospodářské subjekty.</w:t>
            </w:r>
          </w:p>
          <w:p w14:paraId="4340BD77" w14:textId="77777777" w:rsidR="00ED6F51" w:rsidRPr="00C041CA" w:rsidRDefault="00ED6F51" w:rsidP="000E35B5">
            <w:pPr>
              <w:spacing w:after="60"/>
              <w:rPr>
                <w:noProof/>
                <w:sz w:val="20"/>
              </w:rPr>
            </w:pPr>
            <w:r>
              <w:rPr>
                <w:noProof/>
                <w:sz w:val="20"/>
              </w:rPr>
              <w:t>(legislativní, včetně posouzení dopadů, články 33, 114 a 207 SFEU, Q4 2022)</w:t>
            </w:r>
          </w:p>
        </w:tc>
      </w:tr>
      <w:tr w:rsidR="00ED6F51" w:rsidRPr="00C041CA" w14:paraId="7D8458E5" w14:textId="77777777" w:rsidTr="000E35B5">
        <w:trPr>
          <w:cantSplit/>
        </w:trPr>
        <w:tc>
          <w:tcPr>
            <w:tcW w:w="565" w:type="dxa"/>
            <w:shd w:val="clear" w:color="auto" w:fill="auto"/>
          </w:tcPr>
          <w:p w14:paraId="1E338BBB" w14:textId="77777777" w:rsidR="00ED6F51" w:rsidRPr="00C041CA" w:rsidRDefault="00ED6F51" w:rsidP="00ED6F51">
            <w:pPr>
              <w:numPr>
                <w:ilvl w:val="0"/>
                <w:numId w:val="30"/>
              </w:numPr>
              <w:spacing w:after="0" w:line="276" w:lineRule="auto"/>
              <w:jc w:val="left"/>
              <w:rPr>
                <w:rFonts w:eastAsiaTheme="minorHAnsi"/>
                <w:b/>
                <w:noProof/>
                <w:color w:val="000000"/>
                <w:sz w:val="20"/>
                <w:lang w:eastAsia="en-US"/>
              </w:rPr>
            </w:pPr>
          </w:p>
        </w:tc>
        <w:tc>
          <w:tcPr>
            <w:tcW w:w="4482" w:type="dxa"/>
          </w:tcPr>
          <w:p w14:paraId="3A845A21" w14:textId="1AAD654C" w:rsidR="00ED6F51" w:rsidRPr="00C041CA" w:rsidRDefault="00ED6F51" w:rsidP="000E35B5">
            <w:pPr>
              <w:keepNext/>
              <w:spacing w:after="60"/>
              <w:rPr>
                <w:noProof/>
                <w:sz w:val="20"/>
                <w:highlight w:val="yellow"/>
              </w:rPr>
            </w:pPr>
            <w:r>
              <w:rPr>
                <w:b/>
                <w:noProof/>
                <w:sz w:val="20"/>
              </w:rPr>
              <w:t>DPH v digitálním věku: Revize směrnice o DPH a nařízení Rady o správní spolupráci v oblasti DPH</w:t>
            </w:r>
          </w:p>
        </w:tc>
        <w:tc>
          <w:tcPr>
            <w:tcW w:w="9780" w:type="dxa"/>
          </w:tcPr>
          <w:p w14:paraId="02826BA0" w14:textId="48E953C9" w:rsidR="00ED6F51" w:rsidRPr="00985D8D" w:rsidRDefault="00ED6F51" w:rsidP="000E35B5">
            <w:pPr>
              <w:spacing w:after="60"/>
              <w:rPr>
                <w:noProof/>
                <w:sz w:val="20"/>
              </w:rPr>
            </w:pPr>
            <w:r>
              <w:rPr>
                <w:noProof/>
                <w:sz w:val="20"/>
              </w:rPr>
              <w:t>Cílem této iniciativy je modernizovat stávající pravidla pro DPH s přihlédnutím k příležitostem, které nabízejí digitální technologie. Akční plán pro spravedlivé a jednoduché zdanění vydaný Komisí podtrhl význam diskuse o tom, jak mohou správci daně využívat technologie k boji proti daňovým podvodům a ve prospěch podniků a zda jsou současná pravidla v oblasti DPH přizpůsobena podnikání v digitálním věku. V akčním plánu byl oznámen legislativní návrh na rok 2022 v položce „DPH v digitálním věku“, který se týká 1) povinnosti vykazování DPH a elektronické fakturace, 2) uplatňování DPH z hlediska ekonomiky platforem a 3) jednotné registrace DPH v EU. Očekává se, že balíček bude harmonizovat a podporovat poskytování přeshraničních dodávek na jednotném trhu a pomůže zlepšit výběr daní, a zajistit tak udržitelné příjmy během oživení po pandemii COVID-19.</w:t>
            </w:r>
          </w:p>
          <w:p w14:paraId="60677F1D" w14:textId="77777777" w:rsidR="00ED6F51" w:rsidRPr="00C041CA" w:rsidRDefault="00ED6F51" w:rsidP="000E35B5">
            <w:pPr>
              <w:spacing w:after="60"/>
              <w:rPr>
                <w:noProof/>
                <w:sz w:val="20"/>
              </w:rPr>
            </w:pPr>
            <w:r>
              <w:rPr>
                <w:noProof/>
                <w:sz w:val="20"/>
              </w:rPr>
              <w:t>(legislativní, včetně posouzení dopadů, článek 113 SFEU, Q3 2022)</w:t>
            </w:r>
          </w:p>
        </w:tc>
      </w:tr>
      <w:tr w:rsidR="00ED6F51" w:rsidRPr="00C041CA" w14:paraId="6AC35E68" w14:textId="77777777" w:rsidTr="000E35B5">
        <w:trPr>
          <w:cantSplit/>
        </w:trPr>
        <w:tc>
          <w:tcPr>
            <w:tcW w:w="14827" w:type="dxa"/>
            <w:gridSpan w:val="3"/>
            <w:shd w:val="clear" w:color="auto" w:fill="DA5C57" w:themeFill="accent6"/>
          </w:tcPr>
          <w:p w14:paraId="59534678" w14:textId="77777777" w:rsidR="00ED6F51" w:rsidRPr="00C041CA" w:rsidRDefault="00ED6F51" w:rsidP="000E35B5">
            <w:pPr>
              <w:keepNext/>
              <w:spacing w:before="60" w:after="60"/>
              <w:rPr>
                <w:b/>
                <w:bCs/>
                <w:noProof/>
                <w:sz w:val="20"/>
              </w:rPr>
            </w:pPr>
            <w:r>
              <w:rPr>
                <w:b/>
                <w:bCs/>
                <w:noProof/>
                <w:color w:val="FFFFFF" w:themeColor="background1"/>
                <w:sz w:val="20"/>
              </w:rPr>
              <w:t>Podpora evropského způsobu života</w:t>
            </w:r>
          </w:p>
        </w:tc>
      </w:tr>
      <w:tr w:rsidR="00ED6F51" w:rsidRPr="00C041CA" w14:paraId="78C20148" w14:textId="77777777" w:rsidTr="000E35B5">
        <w:trPr>
          <w:cantSplit/>
        </w:trPr>
        <w:tc>
          <w:tcPr>
            <w:tcW w:w="565" w:type="dxa"/>
            <w:tcBorders>
              <w:bottom w:val="single" w:sz="4" w:space="0" w:color="auto"/>
            </w:tcBorders>
            <w:shd w:val="clear" w:color="auto" w:fill="auto"/>
          </w:tcPr>
          <w:p w14:paraId="72E3F0D9" w14:textId="77777777" w:rsidR="00ED6F51" w:rsidRPr="00C041CA" w:rsidRDefault="00ED6F51" w:rsidP="00ED6F51">
            <w:pPr>
              <w:numPr>
                <w:ilvl w:val="0"/>
                <w:numId w:val="30"/>
              </w:numPr>
              <w:spacing w:after="0" w:line="276" w:lineRule="auto"/>
              <w:jc w:val="left"/>
              <w:rPr>
                <w:rFonts w:eastAsiaTheme="minorHAnsi"/>
                <w:b/>
                <w:noProof/>
                <w:color w:val="000000" w:themeColor="text1"/>
                <w:sz w:val="20"/>
                <w:lang w:eastAsia="en-US"/>
              </w:rPr>
            </w:pPr>
          </w:p>
        </w:tc>
        <w:tc>
          <w:tcPr>
            <w:tcW w:w="4482" w:type="dxa"/>
            <w:tcBorders>
              <w:bottom w:val="single" w:sz="4" w:space="0" w:color="auto"/>
            </w:tcBorders>
          </w:tcPr>
          <w:p w14:paraId="2D9BA500" w14:textId="77777777" w:rsidR="00ED6F51" w:rsidRPr="00C041CA" w:rsidRDefault="00ED6F51" w:rsidP="000E35B5">
            <w:pPr>
              <w:spacing w:after="60"/>
              <w:jc w:val="left"/>
              <w:rPr>
                <w:b/>
                <w:noProof/>
                <w:sz w:val="20"/>
              </w:rPr>
            </w:pPr>
            <w:r>
              <w:rPr>
                <w:b/>
                <w:noProof/>
                <w:sz w:val="20"/>
              </w:rPr>
              <w:t>Revize právních předpisů týkajících se léčivých přípravků</w:t>
            </w:r>
          </w:p>
        </w:tc>
        <w:tc>
          <w:tcPr>
            <w:tcW w:w="9780" w:type="dxa"/>
            <w:tcBorders>
              <w:bottom w:val="single" w:sz="4" w:space="0" w:color="auto"/>
            </w:tcBorders>
          </w:tcPr>
          <w:p w14:paraId="4715C7B1" w14:textId="35EEFBD6" w:rsidR="00ED6F51" w:rsidRPr="00C041CA" w:rsidRDefault="00ED6F51" w:rsidP="000E35B5">
            <w:pPr>
              <w:spacing w:after="60"/>
              <w:rPr>
                <w:noProof/>
                <w:sz w:val="20"/>
              </w:rPr>
            </w:pPr>
            <w:r>
              <w:rPr>
                <w:noProof/>
                <w:sz w:val="20"/>
              </w:rPr>
              <w:t>Cílem revize obecného právního rámce pro léčivé přípravky je zajistit přístup ke kvalitním, bezpečným, účinným a cenově dostupným léčivým přípravkům v EU. Jeho cílem je podpořit inovace, a to i v oblastech nenaplněných léčebných potřeb (včetně antimikrobiálních látek), zvýšit bezpečnost dodávek a zároveň se přizpůsobit novému vědeckému a technologickému vývoji a případně snížit regulační zátěž. V rámci ponaučení z pandemie COVID-19 podpoří farmaceutický systém, který obstojí i v budoucnu a bude odolný vůči krizím.</w:t>
            </w:r>
          </w:p>
          <w:p w14:paraId="299AB136" w14:textId="10E439FA" w:rsidR="00ED6F51" w:rsidRPr="00C041CA" w:rsidRDefault="00ED6F51" w:rsidP="000E35B5">
            <w:pPr>
              <w:spacing w:after="60"/>
              <w:rPr>
                <w:rFonts w:eastAsiaTheme="minorEastAsia"/>
                <w:noProof/>
                <w:sz w:val="20"/>
              </w:rPr>
            </w:pPr>
            <w:r>
              <w:rPr>
                <w:noProof/>
                <w:sz w:val="20"/>
              </w:rPr>
              <w:t>Iniciativa zjednoduší právní předpisy a vytvoří účinné regulační prostředí, mimo jiné snížením administrativní zátěže a digitalizací procesů a postupů, a očekává se, že bude mít pozitivní dopad na regulační orgány a společnosti.</w:t>
            </w:r>
          </w:p>
          <w:p w14:paraId="2E8D2B47" w14:textId="77777777" w:rsidR="00ED6F51" w:rsidRPr="00C041CA" w:rsidRDefault="00ED6F51" w:rsidP="000E35B5">
            <w:pPr>
              <w:spacing w:after="60"/>
              <w:rPr>
                <w:rFonts w:eastAsiaTheme="minorEastAsia"/>
                <w:noProof/>
                <w:sz w:val="20"/>
              </w:rPr>
            </w:pPr>
            <w:r>
              <w:rPr>
                <w:noProof/>
                <w:sz w:val="20"/>
              </w:rPr>
              <w:t>(legislativní, včetně posouzení dopadů, články 114 a 168 SFEU, Q4 2022)</w:t>
            </w:r>
          </w:p>
        </w:tc>
      </w:tr>
      <w:tr w:rsidR="00ED6F51" w:rsidRPr="00C041CA" w14:paraId="3040530F" w14:textId="77777777" w:rsidTr="000E35B5">
        <w:trPr>
          <w:cantSplit/>
        </w:trPr>
        <w:tc>
          <w:tcPr>
            <w:tcW w:w="565" w:type="dxa"/>
            <w:tcBorders>
              <w:bottom w:val="single" w:sz="4" w:space="0" w:color="auto"/>
            </w:tcBorders>
            <w:shd w:val="clear" w:color="auto" w:fill="auto"/>
          </w:tcPr>
          <w:p w14:paraId="45B813BA" w14:textId="77777777" w:rsidR="00ED6F51" w:rsidRPr="00C041CA" w:rsidRDefault="00ED6F51" w:rsidP="00ED6F51">
            <w:pPr>
              <w:numPr>
                <w:ilvl w:val="0"/>
                <w:numId w:val="30"/>
              </w:numPr>
              <w:spacing w:after="0" w:line="276" w:lineRule="auto"/>
              <w:jc w:val="left"/>
              <w:rPr>
                <w:rFonts w:eastAsiaTheme="minorHAnsi"/>
                <w:b/>
                <w:noProof/>
                <w:color w:val="000000" w:themeColor="text1"/>
                <w:sz w:val="20"/>
                <w:lang w:eastAsia="en-US"/>
              </w:rPr>
            </w:pPr>
          </w:p>
        </w:tc>
        <w:tc>
          <w:tcPr>
            <w:tcW w:w="4482" w:type="dxa"/>
            <w:tcBorders>
              <w:bottom w:val="single" w:sz="4" w:space="0" w:color="auto"/>
            </w:tcBorders>
          </w:tcPr>
          <w:p w14:paraId="41D9A80D" w14:textId="77777777" w:rsidR="00ED6F51" w:rsidRPr="00C041CA" w:rsidRDefault="00ED6F51" w:rsidP="000E35B5">
            <w:pPr>
              <w:spacing w:after="60"/>
              <w:jc w:val="left"/>
              <w:rPr>
                <w:rFonts w:eastAsiaTheme="minorEastAsia"/>
                <w:b/>
                <w:bCs/>
                <w:noProof/>
                <w:sz w:val="20"/>
              </w:rPr>
            </w:pPr>
            <w:r>
              <w:rPr>
                <w:b/>
                <w:noProof/>
                <w:sz w:val="20"/>
              </w:rPr>
              <w:t>Revize legislativy EU týkající se léčivých přípravků pro děti a na vzácná onemocnění</w:t>
            </w:r>
          </w:p>
        </w:tc>
        <w:tc>
          <w:tcPr>
            <w:tcW w:w="9780" w:type="dxa"/>
            <w:tcBorders>
              <w:bottom w:val="single" w:sz="4" w:space="0" w:color="auto"/>
            </w:tcBorders>
          </w:tcPr>
          <w:p w14:paraId="5610E0A0" w14:textId="1E90D70E" w:rsidR="00ED6F51" w:rsidRPr="00C041CA" w:rsidRDefault="00ED6F51" w:rsidP="000E35B5">
            <w:pPr>
              <w:spacing w:after="60"/>
              <w:rPr>
                <w:noProof/>
                <w:sz w:val="20"/>
              </w:rPr>
            </w:pPr>
            <w:r>
              <w:rPr>
                <w:noProof/>
                <w:sz w:val="20"/>
              </w:rPr>
              <w:t>Tato iniciativa se bude zabývat řadou nedostatků ve fungování stávajícího rámce, které byly zjištěny při nedávném hodnocení nařízení o léčivých přípravcích pro vzácná onemocnění a o léčivých přípravcích pro děti. Cílem této iniciativy bude podpora vývoje produktů v oblastech s největšími neuspokojenými potřebami pacientů a zajištění včasného přístupu k nim. Rovněž zajistí, aby právní předpisy byly v souladu s technologickým a vědeckým vývojem. V neposlední řadě zefektivní a zjednoduší stávající postupy.</w:t>
            </w:r>
          </w:p>
          <w:p w14:paraId="60863529" w14:textId="35970682" w:rsidR="00ED6F51" w:rsidRPr="00C041CA" w:rsidRDefault="00ED6F51" w:rsidP="000E35B5">
            <w:pPr>
              <w:spacing w:after="60"/>
              <w:rPr>
                <w:rFonts w:eastAsiaTheme="minorEastAsia"/>
                <w:noProof/>
                <w:sz w:val="20"/>
              </w:rPr>
            </w:pPr>
            <w:r>
              <w:rPr>
                <w:noProof/>
                <w:sz w:val="20"/>
              </w:rPr>
              <w:t>Cílem iniciativy bude zjednodušení a zefektivnění postupů souvisejících s hodnocením a schvalováním léčivých přípravků na vzácná onemocnění a pro děti, čímž se sníží zátěž jak pro společnosti, tak pro regulační orgány.</w:t>
            </w:r>
          </w:p>
          <w:p w14:paraId="17B25A56" w14:textId="77777777" w:rsidR="00ED6F51" w:rsidRPr="00C041CA" w:rsidRDefault="00ED6F51" w:rsidP="000E35B5">
            <w:pPr>
              <w:spacing w:after="60"/>
              <w:rPr>
                <w:rFonts w:eastAsiaTheme="minorEastAsia"/>
                <w:noProof/>
                <w:sz w:val="20"/>
              </w:rPr>
            </w:pPr>
            <w:r>
              <w:rPr>
                <w:noProof/>
                <w:sz w:val="20"/>
              </w:rPr>
              <w:t>(legislativní, včetně posouzení dopadů, články 114 a 168 SFEU, Q4 2022)</w:t>
            </w:r>
          </w:p>
        </w:tc>
      </w:tr>
      <w:tr w:rsidR="00ED6F51" w:rsidRPr="00C041CA" w14:paraId="793A9240" w14:textId="77777777" w:rsidTr="000E35B5">
        <w:trPr>
          <w:cantSplit/>
        </w:trPr>
        <w:tc>
          <w:tcPr>
            <w:tcW w:w="14827" w:type="dxa"/>
            <w:gridSpan w:val="3"/>
            <w:tcBorders>
              <w:top w:val="single" w:sz="4" w:space="0" w:color="auto"/>
              <w:left w:val="single" w:sz="4" w:space="0" w:color="auto"/>
              <w:bottom w:val="single" w:sz="4" w:space="0" w:color="auto"/>
              <w:right w:val="single" w:sz="4" w:space="0" w:color="auto"/>
            </w:tcBorders>
            <w:shd w:val="clear" w:color="auto" w:fill="00ADDC" w:themeFill="accent5"/>
          </w:tcPr>
          <w:p w14:paraId="2EBF3AAC" w14:textId="77777777" w:rsidR="00ED6F51" w:rsidRPr="00C041CA" w:rsidRDefault="00ED6F51" w:rsidP="000E35B5">
            <w:pPr>
              <w:keepNext/>
              <w:spacing w:before="60" w:after="60"/>
              <w:rPr>
                <w:b/>
                <w:bCs/>
                <w:noProof/>
                <w:sz w:val="20"/>
              </w:rPr>
            </w:pPr>
            <w:r>
              <w:rPr>
                <w:b/>
                <w:bCs/>
                <w:noProof/>
                <w:color w:val="FFFFFF" w:themeColor="background1"/>
                <w:sz w:val="20"/>
              </w:rPr>
              <w:t>Nový impuls pro evropskou demokracii</w:t>
            </w:r>
          </w:p>
        </w:tc>
      </w:tr>
      <w:tr w:rsidR="00ED6F51" w:rsidRPr="00C041CA" w14:paraId="43214EFB" w14:textId="77777777" w:rsidTr="000E35B5">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14:paraId="5709A32D" w14:textId="77777777" w:rsidR="00ED6F51" w:rsidRPr="00C041CA" w:rsidRDefault="00ED6F51" w:rsidP="00ED6F51">
            <w:pPr>
              <w:numPr>
                <w:ilvl w:val="0"/>
                <w:numId w:val="30"/>
              </w:numPr>
              <w:spacing w:after="0" w:line="276" w:lineRule="auto"/>
              <w:jc w:val="left"/>
              <w:rPr>
                <w:rFonts w:eastAsiaTheme="minorHAns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14:paraId="27C5CDFD" w14:textId="7DE17B92" w:rsidR="00ED6F51" w:rsidRPr="00C041CA" w:rsidRDefault="00ED6F51" w:rsidP="008F4115">
            <w:pPr>
              <w:spacing w:after="120"/>
              <w:jc w:val="left"/>
              <w:rPr>
                <w:rFonts w:eastAsiaTheme="minorEastAsia"/>
                <w:b/>
                <w:bCs/>
                <w:noProof/>
                <w:sz w:val="20"/>
              </w:rPr>
            </w:pPr>
            <w:r>
              <w:rPr>
                <w:b/>
                <w:noProof/>
                <w:sz w:val="20"/>
              </w:rPr>
              <w:t xml:space="preserve">Revize </w:t>
            </w:r>
            <w:r>
              <w:rPr>
                <w:b/>
                <w:i/>
                <w:iCs/>
                <w:noProof/>
                <w:sz w:val="20"/>
              </w:rPr>
              <w:t>acquis</w:t>
            </w:r>
            <w:r>
              <w:rPr>
                <w:b/>
                <w:noProof/>
                <w:sz w:val="20"/>
              </w:rPr>
              <w:t xml:space="preserve"> v oblasti práv obětí</w:t>
            </w:r>
          </w:p>
        </w:tc>
        <w:tc>
          <w:tcPr>
            <w:tcW w:w="9780" w:type="dxa"/>
            <w:tcBorders>
              <w:top w:val="single" w:sz="4" w:space="0" w:color="auto"/>
              <w:left w:val="single" w:sz="4" w:space="0" w:color="auto"/>
              <w:bottom w:val="single" w:sz="4" w:space="0" w:color="auto"/>
              <w:right w:val="single" w:sz="4" w:space="0" w:color="auto"/>
            </w:tcBorders>
          </w:tcPr>
          <w:p w14:paraId="6A7C382D" w14:textId="41F07231" w:rsidR="00ED6F51" w:rsidRPr="00C041CA" w:rsidRDefault="00ED6F51" w:rsidP="00C81A35">
            <w:pPr>
              <w:spacing w:after="60"/>
              <w:rPr>
                <w:noProof/>
                <w:sz w:val="20"/>
              </w:rPr>
            </w:pPr>
            <w:r>
              <w:rPr>
                <w:noProof/>
                <w:sz w:val="20"/>
              </w:rPr>
              <w:t>Pokračování v práci v oblasti práv obětí by mělo být komplexní a mělo by se zaměřit na účinnější přístup k právům obětí, včetně práva na odškodnění, a lepší přístupu ke spravedlnosti pro oběti všech trestných činů, včetně obětí genderově podmíněného násilí. V návaznosti na hodnocení směrnice o právech obětí může být do konce roku 2022 navržena možná revize směrnice nebo jiný legislativní nástroj. Na možnou revizi směrnice o právech obětí by se mělo nahlížet nejen v kontextu obětí genderově podmíněného násilí, ale i ve vztahu k obětem všech trestných činů. Odpověď a otázku, zda směrnici o právech obětí revidovat, by byla jasnější po jejím zhodnocení a po probíhajících diskusích se zúčastněnými stranami, včetně diskusí v rámci stávajícího a nadcházejícího předsednictví a platformy pro práva obětí.</w:t>
            </w:r>
          </w:p>
          <w:p w14:paraId="3A840B50" w14:textId="71F6B397" w:rsidR="00ED6F51" w:rsidRPr="00C041CA" w:rsidRDefault="00ED6F51" w:rsidP="000E35B5">
            <w:pPr>
              <w:spacing w:after="60"/>
              <w:rPr>
                <w:rFonts w:eastAsiaTheme="minorEastAsia"/>
                <w:noProof/>
                <w:sz w:val="20"/>
              </w:rPr>
            </w:pPr>
            <w:r>
              <w:rPr>
                <w:noProof/>
                <w:sz w:val="20"/>
              </w:rPr>
              <w:t>Případná revize by se zaměřila na zlepšení přístupu obětí ke spravedlnosti. Zejména by mohla zahrnovat dodatečná ustanovení posilující fyzickou ochranu obětí stanovením minimálních norem pro vydávání a fungování ochranných příkazů, včetně bezpečnostních zákazů vstupu do obydlí. Další možné doplnění by mohlo zahrnovat posílení práv obětí na informace o dostupném odškodnění vypláceném státem. Je však ještě třeba vyjasnit a rozhodnout, zda by revize směrnice o právech obětí byla nezbytným a nejvhodnějším nástrojem k dosažení cíle posílení fyzické ochrany obětí a práv obětí na informace o dostupném odškodnění.</w:t>
            </w:r>
          </w:p>
          <w:p w14:paraId="76B2C44A" w14:textId="77777777" w:rsidR="00ED6F51" w:rsidRPr="00C041CA" w:rsidRDefault="00ED6F51" w:rsidP="000E35B5">
            <w:pPr>
              <w:spacing w:after="60"/>
              <w:rPr>
                <w:rFonts w:eastAsiaTheme="minorEastAsia"/>
                <w:noProof/>
                <w:sz w:val="20"/>
              </w:rPr>
            </w:pPr>
            <w:r>
              <w:rPr>
                <w:noProof/>
                <w:sz w:val="20"/>
              </w:rPr>
              <w:t>(legislativní, včetně posouzení dopadů, čl. 82 odst. 2 SFEU, Q4 2022)</w:t>
            </w:r>
          </w:p>
        </w:tc>
      </w:tr>
      <w:tr w:rsidR="00ED6F51" w:rsidRPr="00C041CA" w14:paraId="0EFF92A2" w14:textId="6FD3086C" w:rsidTr="000E35B5">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14:paraId="6FDFD603" w14:textId="66507D9F" w:rsidR="00ED6F51" w:rsidRPr="00C041CA" w:rsidRDefault="00ED6F51" w:rsidP="00ED6F51">
            <w:pPr>
              <w:numPr>
                <w:ilvl w:val="0"/>
                <w:numId w:val="30"/>
              </w:numPr>
              <w:spacing w:after="0" w:line="276" w:lineRule="auto"/>
              <w:jc w:val="left"/>
              <w:rPr>
                <w:rFonts w:eastAsiaTheme="minorHAns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14:paraId="79222154" w14:textId="17D5105C" w:rsidR="00ED6F51" w:rsidRPr="00C041CA" w:rsidRDefault="00ED6F51" w:rsidP="000E35B5">
            <w:pPr>
              <w:spacing w:after="60"/>
              <w:jc w:val="left"/>
              <w:rPr>
                <w:rFonts w:eastAsiaTheme="minorEastAsia"/>
                <w:b/>
                <w:bCs/>
                <w:noProof/>
                <w:sz w:val="20"/>
              </w:rPr>
            </w:pPr>
            <w:r>
              <w:rPr>
                <w:b/>
                <w:noProof/>
                <w:sz w:val="20"/>
              </w:rPr>
              <w:t>Revize směrnice o souborných cestovních službách – její přizpůsobení kontextu pandemie COVID-19</w:t>
            </w:r>
          </w:p>
        </w:tc>
        <w:tc>
          <w:tcPr>
            <w:tcW w:w="9780" w:type="dxa"/>
            <w:tcBorders>
              <w:top w:val="single" w:sz="4" w:space="0" w:color="auto"/>
              <w:left w:val="single" w:sz="4" w:space="0" w:color="auto"/>
              <w:bottom w:val="single" w:sz="4" w:space="0" w:color="auto"/>
              <w:right w:val="single" w:sz="4" w:space="0" w:color="auto"/>
            </w:tcBorders>
          </w:tcPr>
          <w:p w14:paraId="2D65979E" w14:textId="58D67C9E" w:rsidR="00ED6F51" w:rsidRPr="00C041CA" w:rsidRDefault="00ED6F51" w:rsidP="000E35B5">
            <w:pPr>
              <w:spacing w:after="60"/>
              <w:rPr>
                <w:noProof/>
                <w:sz w:val="20"/>
              </w:rPr>
            </w:pPr>
            <w:r>
              <w:rPr>
                <w:noProof/>
                <w:sz w:val="20"/>
              </w:rPr>
              <w:t xml:space="preserve">Jak bylo oznámeno v novém programu pro spotřebitele z roku 2020 a ve zprávě o uplatňování směrnice o souborných cestovních službách z roku 2021, Komise zhodnotí, zda tato směrnice za všech okolností zajišťuje silnou a komplexní ochranu spotřebitelů, včetně ochrany pro případ platební neschopnosti a poučení z pandemie COVID-19. Hodnocení zohlední příslušná opatření Strategie pro udržitelnou a inteligentní mobilitu. S ohledem na toto hodnocení může být na konci roku 2022 předložen návrh na revizi směrnice. </w:t>
            </w:r>
          </w:p>
          <w:p w14:paraId="2D7644DE" w14:textId="02D3CBC4" w:rsidR="00ED6F51" w:rsidRDefault="00ED6F51" w:rsidP="000E35B5">
            <w:pPr>
              <w:spacing w:after="60"/>
              <w:rPr>
                <w:noProof/>
                <w:sz w:val="20"/>
              </w:rPr>
            </w:pPr>
            <w:r>
              <w:rPr>
                <w:noProof/>
                <w:sz w:val="20"/>
              </w:rPr>
              <w:t>Revize se rovněž zaměří prozkoumání možnosti zjednodušení nebo zefektivnění pravidel a definic týkajících se spojených cestovních služeb a jejich odlišení od souborných služeb, aby bylo pro odvětví, spotřebitele a donucovací orgány snazší stanovit, která pravidla se vztahují na konkrétní kombinaci služeb. Přezkoumá možnosti zjednodušení požadavků na informace při současném zachování stejné úrovně ochrany spotřebitele, vyjasnění některých dalších pravidel (např. pro dobrovolné poukazy) a dalšího zajištění souladu směrnice o souborných cestovních službách s nařízeními o právech cestujících.</w:t>
            </w:r>
          </w:p>
          <w:p w14:paraId="2D3CC287" w14:textId="2E403236" w:rsidR="00ED6F51" w:rsidRPr="00284F2F" w:rsidRDefault="00ED6F51" w:rsidP="000E35B5">
            <w:pPr>
              <w:spacing w:after="60"/>
              <w:rPr>
                <w:noProof/>
                <w:sz w:val="20"/>
              </w:rPr>
            </w:pPr>
            <w:r>
              <w:rPr>
                <w:noProof/>
                <w:sz w:val="20"/>
              </w:rPr>
              <w:t>(legislativní, včetně posouzení dopadů, článek 114 SFEU, Q4 2022)</w:t>
            </w:r>
          </w:p>
        </w:tc>
      </w:tr>
      <w:tr w:rsidR="00966AC9" w:rsidRPr="00C041CA" w14:paraId="4413533C" w14:textId="77777777" w:rsidTr="00C4528F">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14:paraId="74D1881F" w14:textId="2EC5CDAF" w:rsidR="00966AC9" w:rsidRPr="00C041CA" w:rsidRDefault="00966AC9" w:rsidP="00966AC9">
            <w:pPr>
              <w:numPr>
                <w:ilvl w:val="0"/>
                <w:numId w:val="30"/>
              </w:numPr>
              <w:spacing w:after="0" w:line="276" w:lineRule="auto"/>
              <w:jc w:val="left"/>
              <w:rPr>
                <w:rFonts w:eastAsiaTheme="minorHAns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14:paraId="256001C7" w14:textId="7CD6BE9A" w:rsidR="00966AC9" w:rsidRPr="00C041CA" w:rsidRDefault="00966AC9" w:rsidP="00966AC9">
            <w:pPr>
              <w:spacing w:after="60"/>
              <w:jc w:val="left"/>
              <w:rPr>
                <w:b/>
                <w:noProof/>
                <w:sz w:val="20"/>
              </w:rPr>
            </w:pPr>
            <w:r>
              <w:rPr>
                <w:b/>
                <w:noProof/>
                <w:sz w:val="20"/>
              </w:rPr>
              <w:t>Revize směrnice o řidičských průkazech</w:t>
            </w:r>
          </w:p>
        </w:tc>
        <w:tc>
          <w:tcPr>
            <w:tcW w:w="9780" w:type="dxa"/>
            <w:tcBorders>
              <w:top w:val="single" w:sz="4" w:space="0" w:color="auto"/>
              <w:left w:val="single" w:sz="4" w:space="0" w:color="auto"/>
              <w:bottom w:val="single" w:sz="4" w:space="0" w:color="auto"/>
              <w:right w:val="single" w:sz="4" w:space="0" w:color="auto"/>
            </w:tcBorders>
          </w:tcPr>
          <w:p w14:paraId="555B2191" w14:textId="77777777" w:rsidR="00966AC9" w:rsidRDefault="00966AC9" w:rsidP="00966AC9">
            <w:pPr>
              <w:spacing w:after="60"/>
              <w:rPr>
                <w:noProof/>
                <w:sz w:val="20"/>
              </w:rPr>
            </w:pPr>
            <w:r>
              <w:rPr>
                <w:noProof/>
                <w:sz w:val="20"/>
              </w:rPr>
              <w:t>Komise provede revizi stávající směrnice 2006/126/ES o řidičských průkazech s cílem zvýšit bezpečnost silničního provozu a usnadnit volný pohyb. Nová iniciativa zohlední nové výzvy v oblasti mobility, zejména v digitální oblasti, a přispěje k cílům Unie stanoveným ve strategii pro inteligentní a udržitelnou mobilitu z roku 2020.</w:t>
            </w:r>
          </w:p>
          <w:p w14:paraId="6F30F426" w14:textId="0980D707" w:rsidR="00966AC9" w:rsidRPr="00C041CA" w:rsidRDefault="00966AC9" w:rsidP="00966AC9">
            <w:pPr>
              <w:spacing w:after="60"/>
              <w:rPr>
                <w:noProof/>
                <w:sz w:val="20"/>
              </w:rPr>
            </w:pPr>
            <w:r>
              <w:rPr>
                <w:noProof/>
                <w:sz w:val="20"/>
              </w:rPr>
              <w:t>(legislativní, včetně posouzení dopadů, článek 91 SFEU, Q4 2022)</w:t>
            </w:r>
          </w:p>
        </w:tc>
      </w:tr>
      <w:tr w:rsidR="00966AC9" w:rsidRPr="00C041CA" w14:paraId="21CEA862" w14:textId="77777777" w:rsidTr="00C4528F">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14:paraId="56EC6352" w14:textId="1F93F092" w:rsidR="00966AC9" w:rsidRDefault="00966AC9" w:rsidP="00966AC9">
            <w:pPr>
              <w:numPr>
                <w:ilvl w:val="0"/>
                <w:numId w:val="30"/>
              </w:numPr>
              <w:spacing w:after="0" w:line="276" w:lineRule="auto"/>
              <w:jc w:val="left"/>
              <w:rPr>
                <w:rFonts w:eastAsiaTheme="minorHAns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14:paraId="45AB1EAD" w14:textId="75C5DBA8" w:rsidR="00966AC9" w:rsidRPr="00C041CA" w:rsidRDefault="00966AC9" w:rsidP="00966AC9">
            <w:pPr>
              <w:spacing w:after="60"/>
              <w:jc w:val="left"/>
              <w:rPr>
                <w:b/>
                <w:noProof/>
                <w:sz w:val="20"/>
              </w:rPr>
            </w:pPr>
            <w:r>
              <w:rPr>
                <w:b/>
                <w:noProof/>
                <w:sz w:val="20"/>
              </w:rPr>
              <w:t>Revize směrnice o usnadnění přeshraniční výměny informací o dopravních deliktech v oblasti bezpečnosti silničního provozu.</w:t>
            </w:r>
          </w:p>
        </w:tc>
        <w:tc>
          <w:tcPr>
            <w:tcW w:w="9780" w:type="dxa"/>
            <w:tcBorders>
              <w:top w:val="single" w:sz="4" w:space="0" w:color="auto"/>
              <w:left w:val="single" w:sz="4" w:space="0" w:color="auto"/>
              <w:bottom w:val="single" w:sz="4" w:space="0" w:color="auto"/>
              <w:right w:val="single" w:sz="4" w:space="0" w:color="auto"/>
            </w:tcBorders>
          </w:tcPr>
          <w:p w14:paraId="4288B7AA" w14:textId="77777777" w:rsidR="00966AC9" w:rsidRDefault="00966AC9" w:rsidP="00966AC9">
            <w:pPr>
              <w:autoSpaceDE w:val="0"/>
              <w:autoSpaceDN w:val="0"/>
              <w:spacing w:after="60"/>
              <w:rPr>
                <w:iCs/>
                <w:noProof/>
                <w:color w:val="00B050"/>
                <w:sz w:val="20"/>
              </w:rPr>
            </w:pPr>
            <w:r>
              <w:rPr>
                <w:noProof/>
                <w:sz w:val="20"/>
              </w:rPr>
              <w:t>Revize směrnice (EU) 2015/413 by členským státům pomohla lépe vyšetřovat dopravní přestupky spáchané řidiči-nerezidenty a lépe vymáhat sankce za tyto přestupky, a to zefektivněním postupů vzájemné pomoci a uznávání s cílem zvýšit bezpečnost silničního provozu. Jeho cílem je snížit administrativní zátěž zjednodušením a digitalizací postupů (např. zlepšením elektronické výměny informací). Revize by posílila rovné zacházení s evropskými řidiči bez ohledu na zemi, v níž je jejich vozidlo registrováno. Přispěla by to rovněž k lepší ochraně základních práv předpokládaných pachatelů.</w:t>
            </w:r>
            <w:r>
              <w:rPr>
                <w:i/>
                <w:iCs/>
                <w:noProof/>
                <w:color w:val="00B050"/>
                <w:sz w:val="20"/>
              </w:rPr>
              <w:t xml:space="preserve"> </w:t>
            </w:r>
          </w:p>
          <w:p w14:paraId="50C49D2D" w14:textId="21B45E57" w:rsidR="00966AC9" w:rsidRDefault="00966AC9" w:rsidP="00966AC9">
            <w:pPr>
              <w:spacing w:after="60"/>
              <w:rPr>
                <w:noProof/>
                <w:sz w:val="20"/>
              </w:rPr>
            </w:pPr>
            <w:r>
              <w:rPr>
                <w:noProof/>
                <w:sz w:val="20"/>
              </w:rPr>
              <w:t>(legislativní, včetně posouzení dopadů, článek 91 SFEU, Q4 2022)</w:t>
            </w:r>
          </w:p>
        </w:tc>
      </w:tr>
    </w:tbl>
    <w:p w14:paraId="43806C15" w14:textId="77777777" w:rsidR="00874D20" w:rsidRDefault="00874D20">
      <w:pPr>
        <w:spacing w:after="0"/>
        <w:jc w:val="left"/>
        <w:rPr>
          <w:noProof/>
          <w:sz w:val="20"/>
        </w:rPr>
      </w:pPr>
      <w:r>
        <w:rPr>
          <w:noProof/>
        </w:rPr>
        <w:br w:type="page"/>
      </w:r>
    </w:p>
    <w:p w14:paraId="01348182" w14:textId="77777777" w:rsidR="00935A4E" w:rsidRDefault="00935A4E" w:rsidP="00935A4E">
      <w:pPr>
        <w:spacing w:after="600"/>
        <w:jc w:val="center"/>
        <w:rPr>
          <w:b/>
          <w:noProof/>
          <w:sz w:val="28"/>
          <w:szCs w:val="28"/>
          <w:u w:val="single"/>
        </w:rPr>
      </w:pPr>
      <w:r>
        <w:rPr>
          <w:b/>
          <w:bCs/>
          <w:noProof/>
          <w:sz w:val="28"/>
          <w:szCs w:val="28"/>
          <w:u w:val="single"/>
        </w:rPr>
        <w:t>Příloha III: Prioritní projednávané návrhy</w:t>
      </w:r>
    </w:p>
    <w:tbl>
      <w:tblPr>
        <w:tblStyle w:val="TableGrid"/>
        <w:tblW w:w="14850" w:type="dxa"/>
        <w:tblLayout w:type="fixed"/>
        <w:tblLook w:val="04A0" w:firstRow="1" w:lastRow="0" w:firstColumn="1" w:lastColumn="0" w:noHBand="0" w:noVBand="1"/>
      </w:tblPr>
      <w:tblGrid>
        <w:gridCol w:w="652"/>
        <w:gridCol w:w="12072"/>
        <w:gridCol w:w="2126"/>
      </w:tblGrid>
      <w:tr w:rsidR="00935A4E" w14:paraId="0CB2C10F" w14:textId="77777777" w:rsidTr="008F4115">
        <w:trPr>
          <w:cantSplit/>
          <w:tblHeader/>
        </w:trPr>
        <w:tc>
          <w:tcPr>
            <w:tcW w:w="652" w:type="dxa"/>
            <w:tcBorders>
              <w:bottom w:val="single" w:sz="4" w:space="0" w:color="auto"/>
            </w:tcBorders>
            <w:shd w:val="clear" w:color="auto" w:fill="99CCFF"/>
            <w:tcMar>
              <w:top w:w="85" w:type="dxa"/>
              <w:left w:w="85" w:type="dxa"/>
              <w:bottom w:w="85" w:type="dxa"/>
              <w:right w:w="85" w:type="dxa"/>
            </w:tcMar>
          </w:tcPr>
          <w:p w14:paraId="5658F97E" w14:textId="77777777" w:rsidR="00935A4E" w:rsidRDefault="00935A4E" w:rsidP="008F4115">
            <w:pPr>
              <w:spacing w:before="60" w:after="60"/>
              <w:rPr>
                <w:b/>
                <w:bCs/>
                <w:noProof/>
                <w:sz w:val="20"/>
              </w:rPr>
            </w:pPr>
            <w:r>
              <w:rPr>
                <w:b/>
                <w:bCs/>
                <w:noProof/>
                <w:sz w:val="20"/>
              </w:rPr>
              <w:t>Č.</w:t>
            </w:r>
          </w:p>
        </w:tc>
        <w:tc>
          <w:tcPr>
            <w:tcW w:w="12072" w:type="dxa"/>
            <w:tcBorders>
              <w:bottom w:val="single" w:sz="4" w:space="0" w:color="auto"/>
            </w:tcBorders>
            <w:shd w:val="clear" w:color="auto" w:fill="99CCFF"/>
            <w:tcMar>
              <w:top w:w="85" w:type="dxa"/>
              <w:left w:w="85" w:type="dxa"/>
              <w:bottom w:w="85" w:type="dxa"/>
              <w:right w:w="85" w:type="dxa"/>
            </w:tcMar>
          </w:tcPr>
          <w:p w14:paraId="2E68497E" w14:textId="77777777" w:rsidR="00935A4E" w:rsidRDefault="00935A4E" w:rsidP="008F4115">
            <w:pPr>
              <w:spacing w:before="60" w:after="60"/>
              <w:jc w:val="center"/>
              <w:rPr>
                <w:b/>
                <w:bCs/>
                <w:noProof/>
                <w:sz w:val="20"/>
              </w:rPr>
            </w:pPr>
            <w:r>
              <w:rPr>
                <w:b/>
                <w:bCs/>
                <w:noProof/>
                <w:sz w:val="20"/>
              </w:rPr>
              <w:t>Celý název</w:t>
            </w:r>
          </w:p>
        </w:tc>
        <w:tc>
          <w:tcPr>
            <w:tcW w:w="2126" w:type="dxa"/>
            <w:tcBorders>
              <w:bottom w:val="single" w:sz="4" w:space="0" w:color="auto"/>
            </w:tcBorders>
            <w:shd w:val="clear" w:color="auto" w:fill="99CCFF"/>
            <w:tcMar>
              <w:top w:w="85" w:type="dxa"/>
              <w:left w:w="85" w:type="dxa"/>
              <w:bottom w:w="85" w:type="dxa"/>
              <w:right w:w="85" w:type="dxa"/>
            </w:tcMar>
          </w:tcPr>
          <w:p w14:paraId="71D8293B" w14:textId="77777777" w:rsidR="00935A4E" w:rsidRDefault="00935A4E" w:rsidP="008F4115">
            <w:pPr>
              <w:spacing w:before="60" w:after="60"/>
              <w:jc w:val="center"/>
              <w:rPr>
                <w:b/>
                <w:bCs/>
                <w:noProof/>
                <w:sz w:val="20"/>
              </w:rPr>
            </w:pPr>
            <w:r>
              <w:rPr>
                <w:b/>
                <w:bCs/>
                <w:noProof/>
                <w:sz w:val="20"/>
              </w:rPr>
              <w:t>Odkazy</w:t>
            </w:r>
          </w:p>
        </w:tc>
      </w:tr>
      <w:tr w:rsidR="00935A4E" w14:paraId="1A4C2726" w14:textId="77777777" w:rsidTr="008F4115">
        <w:trPr>
          <w:cantSplit/>
        </w:trPr>
        <w:tc>
          <w:tcPr>
            <w:tcW w:w="14850" w:type="dxa"/>
            <w:gridSpan w:val="3"/>
            <w:shd w:val="clear" w:color="auto" w:fill="9ACA3C" w:themeFill="accent1"/>
            <w:tcMar>
              <w:top w:w="85" w:type="dxa"/>
              <w:left w:w="85" w:type="dxa"/>
              <w:bottom w:w="85" w:type="dxa"/>
              <w:right w:w="85" w:type="dxa"/>
            </w:tcMar>
          </w:tcPr>
          <w:p w14:paraId="40A52368" w14:textId="77777777" w:rsidR="00935A4E" w:rsidRDefault="00935A4E" w:rsidP="008F4115">
            <w:pPr>
              <w:keepNext/>
              <w:spacing w:before="60" w:after="60"/>
              <w:rPr>
                <w:b/>
                <w:bCs/>
                <w:noProof/>
                <w:sz w:val="20"/>
              </w:rPr>
            </w:pPr>
            <w:r>
              <w:rPr>
                <w:b/>
                <w:bCs/>
                <w:noProof/>
                <w:color w:val="FFFFFF" w:themeColor="background1"/>
                <w:sz w:val="20"/>
              </w:rPr>
              <w:t>Zelená dohoda pro Evropu</w:t>
            </w:r>
          </w:p>
        </w:tc>
      </w:tr>
      <w:tr w:rsidR="00935A4E" w14:paraId="75CFB316" w14:textId="77777777" w:rsidTr="008F4115">
        <w:trPr>
          <w:cantSplit/>
        </w:trPr>
        <w:tc>
          <w:tcPr>
            <w:tcW w:w="652" w:type="dxa"/>
            <w:tcBorders>
              <w:right w:val="nil"/>
            </w:tcBorders>
            <w:shd w:val="clear" w:color="auto" w:fill="auto"/>
            <w:tcMar>
              <w:top w:w="85" w:type="dxa"/>
              <w:left w:w="85" w:type="dxa"/>
              <w:bottom w:w="85" w:type="dxa"/>
            </w:tcMar>
          </w:tcPr>
          <w:p w14:paraId="76869286"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23B027F3" w14:textId="77777777" w:rsidR="00935A4E" w:rsidRPr="00C540BA" w:rsidRDefault="00935A4E" w:rsidP="008F4115">
            <w:pPr>
              <w:rPr>
                <w:noProof/>
                <w:sz w:val="20"/>
              </w:rPr>
            </w:pPr>
            <w:r>
              <w:rPr>
                <w:noProof/>
                <w:sz w:val="20"/>
              </w:rPr>
              <w:t>Návrh ROZHODNUTÍ EVROPSKÉHO PARLAMENTU A RADY, kterým se mění rozhodnutí (EU) 2015/1814 v souvislosti s množstvím povolenek, jež má být umístěno do rezervy tržní stability pro systém EU pro obchodování emisemi skleníkových plynů do roku 2030</w:t>
            </w:r>
          </w:p>
        </w:tc>
        <w:tc>
          <w:tcPr>
            <w:tcW w:w="2126" w:type="dxa"/>
            <w:tcMar>
              <w:top w:w="85" w:type="dxa"/>
              <w:left w:w="85" w:type="dxa"/>
              <w:bottom w:w="85" w:type="dxa"/>
            </w:tcMar>
          </w:tcPr>
          <w:p w14:paraId="37F96620" w14:textId="77777777" w:rsidR="00935A4E" w:rsidRPr="00C540BA" w:rsidRDefault="00935A4E" w:rsidP="000E35B5">
            <w:pPr>
              <w:spacing w:after="0"/>
              <w:jc w:val="left"/>
              <w:rPr>
                <w:noProof/>
                <w:sz w:val="20"/>
              </w:rPr>
            </w:pPr>
            <w:r>
              <w:rPr>
                <w:noProof/>
                <w:sz w:val="20"/>
              </w:rPr>
              <w:t>COM(2021)571 final</w:t>
            </w:r>
            <w:r>
              <w:rPr>
                <w:noProof/>
              </w:rPr>
              <w:t xml:space="preserve"> </w:t>
            </w:r>
            <w:r>
              <w:rPr>
                <w:noProof/>
              </w:rPr>
              <w:br/>
            </w:r>
            <w:r>
              <w:rPr>
                <w:noProof/>
                <w:sz w:val="20"/>
              </w:rPr>
              <w:t>2021/0202 (COD)</w:t>
            </w:r>
            <w:r>
              <w:rPr>
                <w:noProof/>
              </w:rPr>
              <w:t xml:space="preserve"> </w:t>
            </w:r>
            <w:r>
              <w:rPr>
                <w:noProof/>
              </w:rPr>
              <w:br/>
            </w:r>
            <w:r>
              <w:rPr>
                <w:noProof/>
                <w:sz w:val="20"/>
              </w:rPr>
              <w:t>14. 7. 2021</w:t>
            </w:r>
          </w:p>
        </w:tc>
      </w:tr>
      <w:tr w:rsidR="00935A4E" w14:paraId="7F9CE8E4" w14:textId="77777777" w:rsidTr="008F4115">
        <w:trPr>
          <w:cantSplit/>
        </w:trPr>
        <w:tc>
          <w:tcPr>
            <w:tcW w:w="652" w:type="dxa"/>
            <w:tcBorders>
              <w:right w:val="nil"/>
            </w:tcBorders>
            <w:shd w:val="clear" w:color="auto" w:fill="auto"/>
            <w:tcMar>
              <w:top w:w="85" w:type="dxa"/>
              <w:left w:w="85" w:type="dxa"/>
              <w:bottom w:w="85" w:type="dxa"/>
            </w:tcMar>
          </w:tcPr>
          <w:p w14:paraId="3C164E8D"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3ED03EEE" w14:textId="77777777" w:rsidR="00935A4E" w:rsidRPr="005604E2" w:rsidRDefault="00935A4E" w:rsidP="008F4115">
            <w:pPr>
              <w:rPr>
                <w:noProof/>
                <w:sz w:val="20"/>
              </w:rPr>
            </w:pPr>
            <w:r>
              <w:rPr>
                <w:noProof/>
                <w:sz w:val="20"/>
              </w:rPr>
              <w:t>Návrh NAŘÍZENÍ EVROPSKÉHO PARLAMENTU A RADY, kterým se zřizuje Sociální fond pro klimatická opatření</w:t>
            </w:r>
          </w:p>
        </w:tc>
        <w:tc>
          <w:tcPr>
            <w:tcW w:w="2126" w:type="dxa"/>
            <w:tcMar>
              <w:top w:w="85" w:type="dxa"/>
              <w:left w:w="85" w:type="dxa"/>
              <w:bottom w:w="85" w:type="dxa"/>
            </w:tcMar>
          </w:tcPr>
          <w:p w14:paraId="560B03C8" w14:textId="77777777" w:rsidR="00935A4E" w:rsidRDefault="00935A4E" w:rsidP="000E35B5">
            <w:pPr>
              <w:spacing w:after="0"/>
              <w:jc w:val="left"/>
              <w:rPr>
                <w:noProof/>
                <w:sz w:val="20"/>
              </w:rPr>
            </w:pPr>
            <w:r>
              <w:rPr>
                <w:noProof/>
                <w:sz w:val="20"/>
              </w:rPr>
              <w:t>COM(2021)568 final</w:t>
            </w:r>
            <w:r>
              <w:rPr>
                <w:noProof/>
              </w:rPr>
              <w:t xml:space="preserve"> </w:t>
            </w:r>
            <w:r>
              <w:rPr>
                <w:noProof/>
              </w:rPr>
              <w:br/>
            </w:r>
            <w:r>
              <w:rPr>
                <w:noProof/>
                <w:sz w:val="20"/>
              </w:rPr>
              <w:t>2021/0206 (COD)</w:t>
            </w:r>
            <w:r>
              <w:rPr>
                <w:noProof/>
              </w:rPr>
              <w:t xml:space="preserve"> </w:t>
            </w:r>
            <w:r>
              <w:rPr>
                <w:noProof/>
              </w:rPr>
              <w:br/>
            </w:r>
            <w:r>
              <w:rPr>
                <w:noProof/>
                <w:sz w:val="20"/>
              </w:rPr>
              <w:t>14. 7. 2021</w:t>
            </w:r>
          </w:p>
        </w:tc>
      </w:tr>
      <w:tr w:rsidR="00935A4E" w14:paraId="70472135" w14:textId="77777777" w:rsidTr="008F4115">
        <w:trPr>
          <w:cantSplit/>
        </w:trPr>
        <w:tc>
          <w:tcPr>
            <w:tcW w:w="652" w:type="dxa"/>
            <w:tcBorders>
              <w:right w:val="nil"/>
            </w:tcBorders>
            <w:shd w:val="clear" w:color="auto" w:fill="auto"/>
            <w:tcMar>
              <w:top w:w="85" w:type="dxa"/>
              <w:left w:w="85" w:type="dxa"/>
              <w:bottom w:w="85" w:type="dxa"/>
            </w:tcMar>
          </w:tcPr>
          <w:p w14:paraId="419F7FD8"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1EF8559E" w14:textId="77777777" w:rsidR="00935A4E" w:rsidRPr="005604E2" w:rsidRDefault="00935A4E" w:rsidP="008F4115">
            <w:pPr>
              <w:rPr>
                <w:noProof/>
                <w:sz w:val="20"/>
              </w:rPr>
            </w:pPr>
            <w:r>
              <w:rPr>
                <w:noProof/>
                <w:sz w:val="20"/>
              </w:rPr>
              <w:t>Návrh ROZHODNUTÍ EVROPSKÉHO PARLAMENTU A RADY, kterým se mění směrnice 2003/87/ES, pokud jde o oznámení kompenzace v souvislosti s celosvětovým tržním opatřením pro provozovatele letadel se sídlem v Unii</w:t>
            </w:r>
          </w:p>
        </w:tc>
        <w:tc>
          <w:tcPr>
            <w:tcW w:w="2126" w:type="dxa"/>
            <w:tcMar>
              <w:top w:w="85" w:type="dxa"/>
              <w:left w:w="85" w:type="dxa"/>
              <w:bottom w:w="85" w:type="dxa"/>
            </w:tcMar>
          </w:tcPr>
          <w:p w14:paraId="37F94133" w14:textId="77777777" w:rsidR="00935A4E" w:rsidRDefault="00935A4E" w:rsidP="000E35B5">
            <w:pPr>
              <w:spacing w:after="0"/>
              <w:jc w:val="left"/>
              <w:rPr>
                <w:noProof/>
                <w:sz w:val="20"/>
              </w:rPr>
            </w:pPr>
            <w:r>
              <w:rPr>
                <w:noProof/>
                <w:sz w:val="20"/>
              </w:rPr>
              <w:t>COM(2021)567 final</w:t>
            </w:r>
            <w:r>
              <w:rPr>
                <w:noProof/>
              </w:rPr>
              <w:t xml:space="preserve"> </w:t>
            </w:r>
            <w:r>
              <w:rPr>
                <w:noProof/>
              </w:rPr>
              <w:br/>
            </w:r>
            <w:r>
              <w:rPr>
                <w:noProof/>
                <w:sz w:val="20"/>
              </w:rPr>
              <w:t>2021/0204 (COD)</w:t>
            </w:r>
            <w:r>
              <w:rPr>
                <w:noProof/>
              </w:rPr>
              <w:t xml:space="preserve"> </w:t>
            </w:r>
            <w:r>
              <w:rPr>
                <w:noProof/>
              </w:rPr>
              <w:br/>
            </w:r>
            <w:r>
              <w:rPr>
                <w:noProof/>
                <w:sz w:val="20"/>
              </w:rPr>
              <w:t>14. 7. 2021</w:t>
            </w:r>
          </w:p>
        </w:tc>
      </w:tr>
      <w:tr w:rsidR="00935A4E" w14:paraId="5628F717" w14:textId="77777777" w:rsidTr="008F4115">
        <w:trPr>
          <w:cantSplit/>
        </w:trPr>
        <w:tc>
          <w:tcPr>
            <w:tcW w:w="652" w:type="dxa"/>
            <w:tcBorders>
              <w:right w:val="nil"/>
            </w:tcBorders>
            <w:shd w:val="clear" w:color="auto" w:fill="auto"/>
            <w:tcMar>
              <w:top w:w="85" w:type="dxa"/>
              <w:left w:w="85" w:type="dxa"/>
              <w:bottom w:w="85" w:type="dxa"/>
            </w:tcMar>
          </w:tcPr>
          <w:p w14:paraId="73D1ECBB"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5773B326" w14:textId="77777777" w:rsidR="00935A4E" w:rsidRPr="00C540BA" w:rsidRDefault="00935A4E" w:rsidP="008F4115">
            <w:pPr>
              <w:rPr>
                <w:noProof/>
                <w:sz w:val="20"/>
              </w:rPr>
            </w:pPr>
            <w:r>
              <w:rPr>
                <w:noProof/>
                <w:sz w:val="20"/>
              </w:rPr>
              <w:t>Návrh NAŘÍZENÍ EVROPSKÉHO PARLAMENTU A RADY, kterým se zavádí mechanismus uhlíkového vyrovnání na hranicích</w:t>
            </w:r>
          </w:p>
        </w:tc>
        <w:tc>
          <w:tcPr>
            <w:tcW w:w="2126" w:type="dxa"/>
            <w:tcMar>
              <w:top w:w="85" w:type="dxa"/>
              <w:left w:w="85" w:type="dxa"/>
              <w:bottom w:w="85" w:type="dxa"/>
            </w:tcMar>
          </w:tcPr>
          <w:p w14:paraId="0CACA455" w14:textId="77777777" w:rsidR="00935A4E" w:rsidRDefault="00935A4E" w:rsidP="000E35B5">
            <w:pPr>
              <w:spacing w:after="0"/>
              <w:jc w:val="left"/>
              <w:rPr>
                <w:noProof/>
                <w:sz w:val="20"/>
              </w:rPr>
            </w:pPr>
            <w:r>
              <w:rPr>
                <w:noProof/>
                <w:sz w:val="20"/>
              </w:rPr>
              <w:t>COM(2021)564 final</w:t>
            </w:r>
            <w:r>
              <w:rPr>
                <w:noProof/>
              </w:rPr>
              <w:t xml:space="preserve"> </w:t>
            </w:r>
            <w:r>
              <w:rPr>
                <w:noProof/>
              </w:rPr>
              <w:br/>
            </w:r>
            <w:r>
              <w:rPr>
                <w:noProof/>
                <w:sz w:val="20"/>
              </w:rPr>
              <w:t>2021/0214 (COD)</w:t>
            </w:r>
            <w:r>
              <w:rPr>
                <w:noProof/>
              </w:rPr>
              <w:t xml:space="preserve"> </w:t>
            </w:r>
            <w:r>
              <w:rPr>
                <w:noProof/>
              </w:rPr>
              <w:br/>
            </w:r>
            <w:r>
              <w:rPr>
                <w:noProof/>
                <w:sz w:val="20"/>
              </w:rPr>
              <w:t>14. 7. 2021</w:t>
            </w:r>
          </w:p>
        </w:tc>
      </w:tr>
      <w:tr w:rsidR="00935A4E" w14:paraId="243C91AE" w14:textId="77777777" w:rsidTr="008F4115">
        <w:trPr>
          <w:cantSplit/>
        </w:trPr>
        <w:tc>
          <w:tcPr>
            <w:tcW w:w="652" w:type="dxa"/>
            <w:tcBorders>
              <w:right w:val="nil"/>
            </w:tcBorders>
            <w:shd w:val="clear" w:color="auto" w:fill="auto"/>
            <w:tcMar>
              <w:top w:w="85" w:type="dxa"/>
              <w:left w:w="85" w:type="dxa"/>
              <w:bottom w:w="85" w:type="dxa"/>
            </w:tcMar>
          </w:tcPr>
          <w:p w14:paraId="7C9C1F9E"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0C75F0AE" w14:textId="77777777" w:rsidR="00935A4E" w:rsidRPr="005604E2" w:rsidRDefault="00935A4E" w:rsidP="008F4115">
            <w:pPr>
              <w:rPr>
                <w:noProof/>
                <w:sz w:val="20"/>
              </w:rPr>
            </w:pPr>
            <w:r>
              <w:rPr>
                <w:noProof/>
                <w:sz w:val="20"/>
              </w:rPr>
              <w:t>Návrh SMĚRNICE RADY, kterou se mění struktura rámcových předpisů Unie o zdanění energetických produktů a elektřiny (přepracované znění)</w:t>
            </w:r>
          </w:p>
        </w:tc>
        <w:tc>
          <w:tcPr>
            <w:tcW w:w="2126" w:type="dxa"/>
            <w:tcMar>
              <w:top w:w="85" w:type="dxa"/>
              <w:left w:w="85" w:type="dxa"/>
              <w:bottom w:w="85" w:type="dxa"/>
            </w:tcMar>
          </w:tcPr>
          <w:p w14:paraId="239EF57D" w14:textId="0163C6F9" w:rsidR="00935A4E" w:rsidRDefault="00935A4E" w:rsidP="000E35B5">
            <w:pPr>
              <w:spacing w:after="0"/>
              <w:jc w:val="left"/>
              <w:rPr>
                <w:noProof/>
                <w:sz w:val="20"/>
              </w:rPr>
            </w:pPr>
            <w:r>
              <w:rPr>
                <w:noProof/>
                <w:sz w:val="20"/>
              </w:rPr>
              <w:t>COM(2021)563 final</w:t>
            </w:r>
            <w:r>
              <w:rPr>
                <w:noProof/>
              </w:rPr>
              <w:t xml:space="preserve"> </w:t>
            </w:r>
            <w:r>
              <w:rPr>
                <w:noProof/>
              </w:rPr>
              <w:br/>
            </w:r>
            <w:r>
              <w:rPr>
                <w:noProof/>
                <w:sz w:val="20"/>
              </w:rPr>
              <w:t>2021/0213 (CNS)</w:t>
            </w:r>
            <w:r>
              <w:rPr>
                <w:noProof/>
              </w:rPr>
              <w:t xml:space="preserve"> </w:t>
            </w:r>
            <w:r>
              <w:rPr>
                <w:noProof/>
              </w:rPr>
              <w:br/>
            </w:r>
            <w:r>
              <w:rPr>
                <w:noProof/>
                <w:sz w:val="20"/>
              </w:rPr>
              <w:t>14. 7. 2021</w:t>
            </w:r>
          </w:p>
        </w:tc>
      </w:tr>
      <w:tr w:rsidR="00935A4E" w14:paraId="69EB6770" w14:textId="77777777" w:rsidTr="008F4115">
        <w:trPr>
          <w:cantSplit/>
        </w:trPr>
        <w:tc>
          <w:tcPr>
            <w:tcW w:w="652" w:type="dxa"/>
            <w:tcBorders>
              <w:right w:val="nil"/>
            </w:tcBorders>
            <w:shd w:val="clear" w:color="auto" w:fill="auto"/>
            <w:tcMar>
              <w:top w:w="85" w:type="dxa"/>
              <w:left w:w="85" w:type="dxa"/>
              <w:bottom w:w="85" w:type="dxa"/>
            </w:tcMar>
          </w:tcPr>
          <w:p w14:paraId="42AD8ED0"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174C89CC" w14:textId="77777777" w:rsidR="00935A4E" w:rsidRPr="00D55470" w:rsidRDefault="00935A4E" w:rsidP="008F4115">
            <w:pPr>
              <w:rPr>
                <w:noProof/>
                <w:sz w:val="20"/>
              </w:rPr>
            </w:pPr>
            <w:r>
              <w:rPr>
                <w:noProof/>
                <w:sz w:val="20"/>
              </w:rPr>
              <w:t>Návrh NAŘÍZENÍ EVROPSKÉHO PARLAMENTU A RADY o využívání obnovitelných a nízkouhlíkových paliv v námořní dopravě a o změně směrnice 2009/16/ES</w:t>
            </w:r>
          </w:p>
        </w:tc>
        <w:tc>
          <w:tcPr>
            <w:tcW w:w="2126" w:type="dxa"/>
            <w:tcMar>
              <w:top w:w="85" w:type="dxa"/>
              <w:left w:w="85" w:type="dxa"/>
              <w:bottom w:w="85" w:type="dxa"/>
            </w:tcMar>
          </w:tcPr>
          <w:p w14:paraId="6E4F0E7B" w14:textId="77777777" w:rsidR="00935A4E" w:rsidRDefault="00935A4E" w:rsidP="000E35B5">
            <w:pPr>
              <w:spacing w:after="0"/>
              <w:jc w:val="left"/>
              <w:rPr>
                <w:noProof/>
                <w:sz w:val="20"/>
              </w:rPr>
            </w:pPr>
            <w:r>
              <w:rPr>
                <w:noProof/>
                <w:sz w:val="20"/>
              </w:rPr>
              <w:t>COM(2021)562 final</w:t>
            </w:r>
            <w:r>
              <w:rPr>
                <w:noProof/>
              </w:rPr>
              <w:t xml:space="preserve"> </w:t>
            </w:r>
            <w:r>
              <w:rPr>
                <w:noProof/>
              </w:rPr>
              <w:br/>
            </w:r>
            <w:r>
              <w:rPr>
                <w:noProof/>
                <w:sz w:val="20"/>
              </w:rPr>
              <w:t>2021/0210 (COD)</w:t>
            </w:r>
            <w:r>
              <w:rPr>
                <w:noProof/>
              </w:rPr>
              <w:t xml:space="preserve"> </w:t>
            </w:r>
            <w:r>
              <w:rPr>
                <w:noProof/>
              </w:rPr>
              <w:br/>
            </w:r>
            <w:r>
              <w:rPr>
                <w:noProof/>
                <w:sz w:val="20"/>
              </w:rPr>
              <w:t>14. 7. 2021</w:t>
            </w:r>
          </w:p>
        </w:tc>
      </w:tr>
      <w:tr w:rsidR="00935A4E" w14:paraId="0BA1216A" w14:textId="77777777" w:rsidTr="008F4115">
        <w:trPr>
          <w:cantSplit/>
        </w:trPr>
        <w:tc>
          <w:tcPr>
            <w:tcW w:w="652" w:type="dxa"/>
            <w:tcBorders>
              <w:right w:val="nil"/>
            </w:tcBorders>
            <w:shd w:val="clear" w:color="auto" w:fill="auto"/>
            <w:tcMar>
              <w:top w:w="85" w:type="dxa"/>
              <w:left w:w="85" w:type="dxa"/>
              <w:bottom w:w="85" w:type="dxa"/>
            </w:tcMar>
          </w:tcPr>
          <w:p w14:paraId="06EC1D1E"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2B25AAD1" w14:textId="77777777" w:rsidR="00935A4E" w:rsidRPr="005604E2" w:rsidRDefault="00935A4E" w:rsidP="000E35B5">
            <w:pPr>
              <w:spacing w:after="0"/>
              <w:rPr>
                <w:noProof/>
                <w:sz w:val="20"/>
              </w:rPr>
            </w:pPr>
            <w:r>
              <w:rPr>
                <w:noProof/>
                <w:sz w:val="20"/>
              </w:rPr>
              <w:t>Návrh NAŘÍZENÍ EVROPSKÉHO PARLAMENTU A RADY o zajištění rovných podmínek pro udržitelnou leteckou dopravu</w:t>
            </w:r>
          </w:p>
        </w:tc>
        <w:tc>
          <w:tcPr>
            <w:tcW w:w="2126" w:type="dxa"/>
            <w:tcMar>
              <w:top w:w="85" w:type="dxa"/>
              <w:left w:w="85" w:type="dxa"/>
              <w:bottom w:w="85" w:type="dxa"/>
            </w:tcMar>
          </w:tcPr>
          <w:p w14:paraId="5F16E020" w14:textId="77777777" w:rsidR="00935A4E" w:rsidRPr="005604E2" w:rsidRDefault="00935A4E" w:rsidP="000E35B5">
            <w:pPr>
              <w:spacing w:after="0"/>
              <w:jc w:val="left"/>
              <w:rPr>
                <w:noProof/>
                <w:sz w:val="20"/>
              </w:rPr>
            </w:pPr>
            <w:r>
              <w:rPr>
                <w:noProof/>
                <w:sz w:val="20"/>
              </w:rPr>
              <w:t>COM(2021)561 final</w:t>
            </w:r>
            <w:r>
              <w:rPr>
                <w:noProof/>
              </w:rPr>
              <w:t xml:space="preserve"> </w:t>
            </w:r>
            <w:r>
              <w:rPr>
                <w:noProof/>
              </w:rPr>
              <w:br/>
            </w:r>
            <w:r>
              <w:rPr>
                <w:noProof/>
                <w:sz w:val="20"/>
              </w:rPr>
              <w:t>2021/0205 (COD)</w:t>
            </w:r>
            <w:r>
              <w:rPr>
                <w:noProof/>
              </w:rPr>
              <w:t xml:space="preserve"> </w:t>
            </w:r>
            <w:r>
              <w:rPr>
                <w:noProof/>
              </w:rPr>
              <w:br/>
            </w:r>
            <w:r>
              <w:rPr>
                <w:noProof/>
                <w:sz w:val="20"/>
              </w:rPr>
              <w:t>14. 7. 2021</w:t>
            </w:r>
          </w:p>
        </w:tc>
      </w:tr>
      <w:tr w:rsidR="00935A4E" w14:paraId="22B67290" w14:textId="77777777" w:rsidTr="008F4115">
        <w:trPr>
          <w:cantSplit/>
        </w:trPr>
        <w:tc>
          <w:tcPr>
            <w:tcW w:w="652" w:type="dxa"/>
            <w:tcBorders>
              <w:right w:val="nil"/>
            </w:tcBorders>
            <w:shd w:val="clear" w:color="auto" w:fill="auto"/>
            <w:tcMar>
              <w:top w:w="85" w:type="dxa"/>
              <w:left w:w="85" w:type="dxa"/>
              <w:bottom w:w="85" w:type="dxa"/>
            </w:tcMar>
          </w:tcPr>
          <w:p w14:paraId="3F8BA7AA"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6BABFB86" w14:textId="77777777" w:rsidR="00935A4E" w:rsidRPr="005604E2" w:rsidRDefault="00935A4E" w:rsidP="008F4115">
            <w:pPr>
              <w:rPr>
                <w:noProof/>
                <w:sz w:val="20"/>
              </w:rPr>
            </w:pPr>
            <w:r>
              <w:rPr>
                <w:noProof/>
                <w:sz w:val="20"/>
              </w:rPr>
              <w:t>Návrh NAŘÍZENÍ EVROPSKÉHO PARLAMENTU A RADY o zavádění infrastruktury pro alternativní paliva a o zrušení směrnice Evropského parlamentu a Rady 2014/94/EU</w:t>
            </w:r>
          </w:p>
        </w:tc>
        <w:tc>
          <w:tcPr>
            <w:tcW w:w="2126" w:type="dxa"/>
            <w:tcMar>
              <w:top w:w="85" w:type="dxa"/>
              <w:left w:w="85" w:type="dxa"/>
              <w:bottom w:w="85" w:type="dxa"/>
            </w:tcMar>
          </w:tcPr>
          <w:p w14:paraId="3FDD2A8E" w14:textId="77777777" w:rsidR="00935A4E" w:rsidRPr="005604E2" w:rsidRDefault="00935A4E" w:rsidP="00A6020F">
            <w:pPr>
              <w:spacing w:after="0"/>
              <w:jc w:val="left"/>
              <w:rPr>
                <w:noProof/>
                <w:sz w:val="20"/>
              </w:rPr>
            </w:pPr>
            <w:r>
              <w:rPr>
                <w:noProof/>
                <w:sz w:val="20"/>
              </w:rPr>
              <w:t>COM(2021)559 final</w:t>
            </w:r>
            <w:r>
              <w:rPr>
                <w:noProof/>
              </w:rPr>
              <w:t xml:space="preserve"> </w:t>
            </w:r>
            <w:r>
              <w:rPr>
                <w:noProof/>
              </w:rPr>
              <w:br/>
            </w:r>
            <w:r>
              <w:rPr>
                <w:noProof/>
                <w:sz w:val="20"/>
              </w:rPr>
              <w:t>2021/0223 (COD)</w:t>
            </w:r>
            <w:r>
              <w:rPr>
                <w:noProof/>
              </w:rPr>
              <w:t xml:space="preserve"> </w:t>
            </w:r>
            <w:r>
              <w:rPr>
                <w:noProof/>
              </w:rPr>
              <w:br/>
            </w:r>
            <w:r>
              <w:rPr>
                <w:noProof/>
                <w:sz w:val="20"/>
              </w:rPr>
              <w:t>14. 7. 2021</w:t>
            </w:r>
          </w:p>
        </w:tc>
      </w:tr>
      <w:tr w:rsidR="00935A4E" w14:paraId="70464638" w14:textId="77777777" w:rsidTr="008F4115">
        <w:trPr>
          <w:cantSplit/>
        </w:trPr>
        <w:tc>
          <w:tcPr>
            <w:tcW w:w="652" w:type="dxa"/>
            <w:tcBorders>
              <w:right w:val="nil"/>
            </w:tcBorders>
            <w:shd w:val="clear" w:color="auto" w:fill="auto"/>
            <w:tcMar>
              <w:top w:w="85" w:type="dxa"/>
              <w:left w:w="85" w:type="dxa"/>
              <w:bottom w:w="85" w:type="dxa"/>
            </w:tcMar>
          </w:tcPr>
          <w:p w14:paraId="4C55C425"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1152A45F" w14:textId="77777777" w:rsidR="00935A4E" w:rsidRPr="005604E2" w:rsidRDefault="00935A4E" w:rsidP="00A6020F">
            <w:pPr>
              <w:spacing w:after="0"/>
              <w:rPr>
                <w:noProof/>
                <w:sz w:val="20"/>
              </w:rPr>
            </w:pPr>
            <w:r>
              <w:rPr>
                <w:noProof/>
                <w:sz w:val="20"/>
              </w:rPr>
              <w:t>Návrh SMĚRNICE EVROPSKÉHO PARLAMENTU A RADY, kterou se mění směrnice Evropského parlamentu a Rady (EU) 2018/2001, nařízení Evropského parlamentu a Rady (EU) 2018/1999 a směrnice Evropského parlamentu a Rady 98/70/ES, pokud jde o podporu energie z obnovitelných zdrojů, a zrušuje směrnice Rady (EU) 2015/652</w:t>
            </w:r>
          </w:p>
        </w:tc>
        <w:tc>
          <w:tcPr>
            <w:tcW w:w="2126" w:type="dxa"/>
            <w:tcMar>
              <w:top w:w="85" w:type="dxa"/>
              <w:left w:w="85" w:type="dxa"/>
              <w:bottom w:w="85" w:type="dxa"/>
            </w:tcMar>
          </w:tcPr>
          <w:p w14:paraId="2A789DB1" w14:textId="77777777" w:rsidR="00935A4E" w:rsidRPr="005604E2" w:rsidRDefault="00935A4E" w:rsidP="00A6020F">
            <w:pPr>
              <w:spacing w:after="0"/>
              <w:jc w:val="left"/>
              <w:rPr>
                <w:noProof/>
                <w:sz w:val="20"/>
              </w:rPr>
            </w:pPr>
            <w:r>
              <w:rPr>
                <w:noProof/>
                <w:sz w:val="20"/>
              </w:rPr>
              <w:t>COM(2021)557 final</w:t>
            </w:r>
            <w:r>
              <w:rPr>
                <w:noProof/>
              </w:rPr>
              <w:t xml:space="preserve"> </w:t>
            </w:r>
            <w:r>
              <w:rPr>
                <w:noProof/>
              </w:rPr>
              <w:br/>
            </w:r>
            <w:r>
              <w:rPr>
                <w:noProof/>
                <w:sz w:val="20"/>
              </w:rPr>
              <w:t>2021/0218 (COD)</w:t>
            </w:r>
            <w:r>
              <w:rPr>
                <w:noProof/>
              </w:rPr>
              <w:t xml:space="preserve"> </w:t>
            </w:r>
            <w:r>
              <w:rPr>
                <w:noProof/>
              </w:rPr>
              <w:br/>
            </w:r>
            <w:r>
              <w:rPr>
                <w:noProof/>
                <w:sz w:val="20"/>
              </w:rPr>
              <w:t>14. 7. 2021</w:t>
            </w:r>
          </w:p>
        </w:tc>
      </w:tr>
      <w:tr w:rsidR="00935A4E" w14:paraId="23D59723" w14:textId="77777777" w:rsidTr="008F4115">
        <w:trPr>
          <w:cantSplit/>
        </w:trPr>
        <w:tc>
          <w:tcPr>
            <w:tcW w:w="652" w:type="dxa"/>
            <w:tcBorders>
              <w:right w:val="nil"/>
            </w:tcBorders>
            <w:shd w:val="clear" w:color="auto" w:fill="auto"/>
            <w:tcMar>
              <w:top w:w="85" w:type="dxa"/>
              <w:left w:w="85" w:type="dxa"/>
              <w:bottom w:w="85" w:type="dxa"/>
            </w:tcMar>
          </w:tcPr>
          <w:p w14:paraId="5300D804"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626BED17" w14:textId="77777777" w:rsidR="00935A4E" w:rsidRPr="00D55470" w:rsidRDefault="00935A4E" w:rsidP="00A6020F">
            <w:pPr>
              <w:spacing w:after="0"/>
              <w:rPr>
                <w:noProof/>
                <w:sz w:val="20"/>
              </w:rPr>
            </w:pPr>
            <w:r>
              <w:rPr>
                <w:noProof/>
                <w:sz w:val="20"/>
              </w:rPr>
              <w:t>Návrh NAŘÍZENÍ EVROPSKÉHO PARLAMENTU A RADY, kterým se mění nařízení (EU) 2019/631, pokud jde o zpřísnění výkonnostních norem pro emise CO2 pro nové osobní automobily a nová lehká užitková vozidla v souladu s ambicióznějšími cíli Unie v oblasti klimatu</w:t>
            </w:r>
          </w:p>
        </w:tc>
        <w:tc>
          <w:tcPr>
            <w:tcW w:w="2126" w:type="dxa"/>
            <w:tcMar>
              <w:top w:w="85" w:type="dxa"/>
              <w:left w:w="85" w:type="dxa"/>
              <w:bottom w:w="85" w:type="dxa"/>
            </w:tcMar>
          </w:tcPr>
          <w:p w14:paraId="61736AD0" w14:textId="77777777" w:rsidR="00935A4E" w:rsidRDefault="00935A4E" w:rsidP="00A6020F">
            <w:pPr>
              <w:spacing w:after="0"/>
              <w:jc w:val="left"/>
              <w:rPr>
                <w:noProof/>
                <w:sz w:val="20"/>
              </w:rPr>
            </w:pPr>
            <w:r>
              <w:rPr>
                <w:noProof/>
                <w:sz w:val="20"/>
              </w:rPr>
              <w:t>COM(2021)556 final</w:t>
            </w:r>
            <w:r>
              <w:rPr>
                <w:noProof/>
              </w:rPr>
              <w:t xml:space="preserve"> </w:t>
            </w:r>
            <w:r>
              <w:rPr>
                <w:noProof/>
              </w:rPr>
              <w:br/>
            </w:r>
            <w:r>
              <w:rPr>
                <w:noProof/>
                <w:sz w:val="20"/>
              </w:rPr>
              <w:t>2021/0197 (COD)</w:t>
            </w:r>
            <w:r>
              <w:rPr>
                <w:noProof/>
              </w:rPr>
              <w:t xml:space="preserve"> </w:t>
            </w:r>
            <w:r>
              <w:rPr>
                <w:noProof/>
              </w:rPr>
              <w:br/>
            </w:r>
            <w:r>
              <w:rPr>
                <w:noProof/>
                <w:sz w:val="20"/>
              </w:rPr>
              <w:t>14. 7. 2021</w:t>
            </w:r>
          </w:p>
        </w:tc>
      </w:tr>
      <w:tr w:rsidR="00935A4E" w14:paraId="0372F648" w14:textId="77777777" w:rsidTr="008F4115">
        <w:trPr>
          <w:cantSplit/>
        </w:trPr>
        <w:tc>
          <w:tcPr>
            <w:tcW w:w="652" w:type="dxa"/>
            <w:tcBorders>
              <w:right w:val="nil"/>
            </w:tcBorders>
            <w:shd w:val="clear" w:color="auto" w:fill="auto"/>
            <w:tcMar>
              <w:top w:w="85" w:type="dxa"/>
              <w:left w:w="85" w:type="dxa"/>
              <w:bottom w:w="85" w:type="dxa"/>
            </w:tcMar>
          </w:tcPr>
          <w:p w14:paraId="5413F0EE"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1C0EC4C9" w14:textId="77777777" w:rsidR="00935A4E" w:rsidRPr="00D55470" w:rsidRDefault="00935A4E" w:rsidP="00A6020F">
            <w:pPr>
              <w:spacing w:after="0"/>
              <w:rPr>
                <w:noProof/>
                <w:sz w:val="20"/>
              </w:rPr>
            </w:pPr>
            <w:r>
              <w:rPr>
                <w:noProof/>
                <w:sz w:val="20"/>
              </w:rPr>
              <w:t>Návrh NAŘÍZENÍ EVROPSKÉHO PARLAMENTU A RADY, kterým se mění nařízení (EU) 2018/842 o závazném každoročním snižování emisí skleníkových plynů členskými státy v období 2021–2030 přispívajícím k opatřením v oblasti klimatu za účelem splnění závazků podle Pařížské dohody</w:t>
            </w:r>
          </w:p>
        </w:tc>
        <w:tc>
          <w:tcPr>
            <w:tcW w:w="2126" w:type="dxa"/>
            <w:tcMar>
              <w:top w:w="85" w:type="dxa"/>
              <w:left w:w="85" w:type="dxa"/>
              <w:bottom w:w="85" w:type="dxa"/>
            </w:tcMar>
          </w:tcPr>
          <w:p w14:paraId="7DA02330" w14:textId="77777777" w:rsidR="00935A4E" w:rsidRDefault="00935A4E" w:rsidP="00A6020F">
            <w:pPr>
              <w:spacing w:after="0"/>
              <w:jc w:val="left"/>
              <w:rPr>
                <w:noProof/>
                <w:sz w:val="20"/>
              </w:rPr>
            </w:pPr>
            <w:r>
              <w:rPr>
                <w:noProof/>
                <w:sz w:val="20"/>
              </w:rPr>
              <w:t>COM(2021)555 final</w:t>
            </w:r>
            <w:r>
              <w:rPr>
                <w:noProof/>
              </w:rPr>
              <w:t xml:space="preserve"> </w:t>
            </w:r>
            <w:r>
              <w:rPr>
                <w:noProof/>
              </w:rPr>
              <w:br/>
            </w:r>
            <w:r>
              <w:rPr>
                <w:noProof/>
                <w:sz w:val="20"/>
              </w:rPr>
              <w:t>2021/0200 (COD)</w:t>
            </w:r>
            <w:r>
              <w:rPr>
                <w:noProof/>
              </w:rPr>
              <w:t xml:space="preserve"> </w:t>
            </w:r>
            <w:r>
              <w:rPr>
                <w:noProof/>
              </w:rPr>
              <w:br/>
            </w:r>
            <w:r>
              <w:rPr>
                <w:noProof/>
                <w:sz w:val="20"/>
              </w:rPr>
              <w:t>14. 7. 2021</w:t>
            </w:r>
          </w:p>
        </w:tc>
      </w:tr>
      <w:tr w:rsidR="00935A4E" w14:paraId="2CE3A5F3" w14:textId="77777777" w:rsidTr="008F4115">
        <w:trPr>
          <w:cantSplit/>
        </w:trPr>
        <w:tc>
          <w:tcPr>
            <w:tcW w:w="652" w:type="dxa"/>
            <w:tcBorders>
              <w:right w:val="nil"/>
            </w:tcBorders>
            <w:shd w:val="clear" w:color="auto" w:fill="auto"/>
            <w:tcMar>
              <w:top w:w="85" w:type="dxa"/>
              <w:left w:w="85" w:type="dxa"/>
              <w:bottom w:w="85" w:type="dxa"/>
            </w:tcMar>
          </w:tcPr>
          <w:p w14:paraId="6C5ED5C9"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0D3C719D" w14:textId="77777777" w:rsidR="00935A4E" w:rsidRPr="005604E2" w:rsidRDefault="00935A4E" w:rsidP="00A6020F">
            <w:pPr>
              <w:spacing w:after="0"/>
              <w:rPr>
                <w:noProof/>
                <w:sz w:val="20"/>
              </w:rPr>
            </w:pPr>
            <w:r>
              <w:rPr>
                <w:noProof/>
                <w:sz w:val="20"/>
              </w:rPr>
              <w:t>Návrh NAŘÍZENÍ EVROPSKÉHO PARLAMENTU A RADY, kterým se mění nařízení (EU) 2018/841, pokud jde o oblast působnosti, zjednodušení pravidel souladu, stanovení cílů členských států pro rok 2030 a závazek ke společnému dosažení klimatické neutrality v odvětví využívání půdy, lesnictví a zemědělství do roku 2035, a nařízení (EU) 2018/1999, pokud jde o zlepšení monitorování, vykazování, sledování pokroku a přezkum</w:t>
            </w:r>
          </w:p>
        </w:tc>
        <w:tc>
          <w:tcPr>
            <w:tcW w:w="2126" w:type="dxa"/>
            <w:tcMar>
              <w:top w:w="85" w:type="dxa"/>
              <w:left w:w="85" w:type="dxa"/>
              <w:bottom w:w="85" w:type="dxa"/>
            </w:tcMar>
          </w:tcPr>
          <w:p w14:paraId="62DF5598" w14:textId="77777777" w:rsidR="00935A4E" w:rsidRPr="005604E2" w:rsidRDefault="00935A4E" w:rsidP="008F4115">
            <w:pPr>
              <w:jc w:val="left"/>
              <w:rPr>
                <w:noProof/>
                <w:sz w:val="20"/>
              </w:rPr>
            </w:pPr>
            <w:r>
              <w:rPr>
                <w:noProof/>
                <w:sz w:val="20"/>
              </w:rPr>
              <w:t>COM(2021)554 final</w:t>
            </w:r>
            <w:r>
              <w:rPr>
                <w:noProof/>
              </w:rPr>
              <w:t xml:space="preserve"> </w:t>
            </w:r>
            <w:r>
              <w:rPr>
                <w:noProof/>
              </w:rPr>
              <w:br/>
            </w:r>
            <w:r>
              <w:rPr>
                <w:noProof/>
                <w:sz w:val="20"/>
              </w:rPr>
              <w:t>2021/0201 (COD)</w:t>
            </w:r>
            <w:r>
              <w:rPr>
                <w:noProof/>
              </w:rPr>
              <w:t xml:space="preserve"> </w:t>
            </w:r>
            <w:r>
              <w:rPr>
                <w:noProof/>
              </w:rPr>
              <w:br/>
            </w:r>
            <w:r>
              <w:rPr>
                <w:noProof/>
                <w:sz w:val="20"/>
              </w:rPr>
              <w:t>14. 7. 2021</w:t>
            </w:r>
          </w:p>
        </w:tc>
      </w:tr>
      <w:tr w:rsidR="00935A4E" w14:paraId="67B87FB1" w14:textId="77777777" w:rsidTr="008F4115">
        <w:trPr>
          <w:cantSplit/>
        </w:trPr>
        <w:tc>
          <w:tcPr>
            <w:tcW w:w="652" w:type="dxa"/>
            <w:tcBorders>
              <w:right w:val="nil"/>
            </w:tcBorders>
            <w:shd w:val="clear" w:color="auto" w:fill="auto"/>
            <w:tcMar>
              <w:top w:w="85" w:type="dxa"/>
              <w:left w:w="85" w:type="dxa"/>
              <w:bottom w:w="85" w:type="dxa"/>
            </w:tcMar>
          </w:tcPr>
          <w:p w14:paraId="34622D2D"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356BDF48" w14:textId="77777777" w:rsidR="00935A4E" w:rsidRPr="005604E2" w:rsidRDefault="00935A4E" w:rsidP="008F4115">
            <w:pPr>
              <w:rPr>
                <w:noProof/>
                <w:sz w:val="20"/>
              </w:rPr>
            </w:pPr>
            <w:r>
              <w:rPr>
                <w:noProof/>
                <w:sz w:val="20"/>
              </w:rPr>
              <w:t>Návrh SMĚRNICE EVROPSKÉHO PARLAMENTU A RADY, kterou se mění směrnice 2003/87/ES, pokud jde o příspěvek letecké dopravy k cíli Unie snížit emise v celém hospodářství a o řádné zavedení celosvětového tržního opatření</w:t>
            </w:r>
          </w:p>
        </w:tc>
        <w:tc>
          <w:tcPr>
            <w:tcW w:w="2126" w:type="dxa"/>
            <w:tcMar>
              <w:top w:w="85" w:type="dxa"/>
              <w:left w:w="85" w:type="dxa"/>
              <w:bottom w:w="85" w:type="dxa"/>
            </w:tcMar>
          </w:tcPr>
          <w:p w14:paraId="06618F06" w14:textId="77777777" w:rsidR="00935A4E" w:rsidRPr="005604E2" w:rsidRDefault="00935A4E" w:rsidP="00A6020F">
            <w:pPr>
              <w:spacing w:after="0"/>
              <w:jc w:val="left"/>
              <w:rPr>
                <w:noProof/>
                <w:sz w:val="20"/>
              </w:rPr>
            </w:pPr>
            <w:r>
              <w:rPr>
                <w:noProof/>
                <w:sz w:val="20"/>
              </w:rPr>
              <w:t>COM(2021)552 final</w:t>
            </w:r>
            <w:r>
              <w:rPr>
                <w:noProof/>
              </w:rPr>
              <w:t xml:space="preserve"> </w:t>
            </w:r>
            <w:r>
              <w:rPr>
                <w:noProof/>
              </w:rPr>
              <w:br/>
            </w:r>
            <w:r>
              <w:rPr>
                <w:noProof/>
                <w:sz w:val="20"/>
              </w:rPr>
              <w:t>2021/0207 (COD)</w:t>
            </w:r>
            <w:r>
              <w:rPr>
                <w:noProof/>
              </w:rPr>
              <w:t xml:space="preserve"> </w:t>
            </w:r>
            <w:r>
              <w:rPr>
                <w:noProof/>
              </w:rPr>
              <w:br/>
            </w:r>
            <w:r>
              <w:rPr>
                <w:noProof/>
                <w:sz w:val="20"/>
              </w:rPr>
              <w:t>14. 7. 2021</w:t>
            </w:r>
          </w:p>
        </w:tc>
      </w:tr>
      <w:tr w:rsidR="00935A4E" w14:paraId="3CE53105" w14:textId="77777777" w:rsidTr="008F4115">
        <w:trPr>
          <w:cantSplit/>
        </w:trPr>
        <w:tc>
          <w:tcPr>
            <w:tcW w:w="652" w:type="dxa"/>
            <w:tcBorders>
              <w:right w:val="nil"/>
            </w:tcBorders>
            <w:shd w:val="clear" w:color="auto" w:fill="auto"/>
            <w:tcMar>
              <w:top w:w="85" w:type="dxa"/>
              <w:left w:w="85" w:type="dxa"/>
              <w:bottom w:w="85" w:type="dxa"/>
            </w:tcMar>
          </w:tcPr>
          <w:p w14:paraId="2C079114"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395575B2" w14:textId="77777777" w:rsidR="00935A4E" w:rsidRPr="005604E2" w:rsidRDefault="00935A4E" w:rsidP="00A6020F">
            <w:pPr>
              <w:spacing w:after="0"/>
              <w:rPr>
                <w:noProof/>
                <w:sz w:val="20"/>
              </w:rPr>
            </w:pPr>
            <w:r>
              <w:rPr>
                <w:noProof/>
                <w:sz w:val="20"/>
              </w:rPr>
              <w:t>Návrh SMĚRNICE EVROPSKÉHO PARLAMENTU A RADY, kterou se mění směrnice 2003/87/ES o vytvoření systému pro obchodování s povolenkami na emise skleníkových plynů v Unii, rozhodnutí (EU) 2015/1814 o vytvoření a uplatňování rezervy tržní stability pro systém Unie pro obchodování s povolenkami na emise skleníkových plynů a nařízení (EU) 2015/757</w:t>
            </w:r>
          </w:p>
        </w:tc>
        <w:tc>
          <w:tcPr>
            <w:tcW w:w="2126" w:type="dxa"/>
            <w:tcMar>
              <w:top w:w="85" w:type="dxa"/>
              <w:left w:w="85" w:type="dxa"/>
              <w:bottom w:w="85" w:type="dxa"/>
            </w:tcMar>
          </w:tcPr>
          <w:p w14:paraId="1E9107CE" w14:textId="77777777" w:rsidR="00935A4E" w:rsidRPr="005604E2" w:rsidRDefault="00935A4E" w:rsidP="00A6020F">
            <w:pPr>
              <w:spacing w:after="0"/>
              <w:jc w:val="left"/>
              <w:rPr>
                <w:noProof/>
                <w:sz w:val="20"/>
              </w:rPr>
            </w:pPr>
            <w:r>
              <w:rPr>
                <w:noProof/>
                <w:sz w:val="20"/>
              </w:rPr>
              <w:t>COM(2021)551 final</w:t>
            </w:r>
            <w:r>
              <w:rPr>
                <w:noProof/>
              </w:rPr>
              <w:t xml:space="preserve"> </w:t>
            </w:r>
            <w:r>
              <w:rPr>
                <w:noProof/>
              </w:rPr>
              <w:br/>
            </w:r>
            <w:r>
              <w:rPr>
                <w:noProof/>
                <w:sz w:val="20"/>
              </w:rPr>
              <w:t>2021/0211 (COD)</w:t>
            </w:r>
            <w:r>
              <w:rPr>
                <w:noProof/>
              </w:rPr>
              <w:t xml:space="preserve"> </w:t>
            </w:r>
            <w:r>
              <w:rPr>
                <w:noProof/>
              </w:rPr>
              <w:br/>
            </w:r>
            <w:r>
              <w:rPr>
                <w:noProof/>
                <w:sz w:val="20"/>
              </w:rPr>
              <w:t>14. 7. 2021</w:t>
            </w:r>
          </w:p>
        </w:tc>
      </w:tr>
      <w:tr w:rsidR="00935A4E" w14:paraId="2769AF0F" w14:textId="77777777" w:rsidTr="008F4115">
        <w:trPr>
          <w:cantSplit/>
        </w:trPr>
        <w:tc>
          <w:tcPr>
            <w:tcW w:w="652" w:type="dxa"/>
            <w:tcBorders>
              <w:right w:val="nil"/>
            </w:tcBorders>
            <w:shd w:val="clear" w:color="auto" w:fill="auto"/>
            <w:tcMar>
              <w:top w:w="85" w:type="dxa"/>
              <w:left w:w="85" w:type="dxa"/>
              <w:bottom w:w="85" w:type="dxa"/>
            </w:tcMar>
          </w:tcPr>
          <w:p w14:paraId="3F9655B9" w14:textId="77777777" w:rsidR="00935A4E" w:rsidRDefault="00935A4E" w:rsidP="00935A4E">
            <w:pPr>
              <w:pStyle w:val="ListParagraph"/>
              <w:numPr>
                <w:ilvl w:val="0"/>
                <w:numId w:val="31"/>
              </w:numPr>
              <w:spacing w:after="0"/>
              <w:ind w:left="425" w:hanging="357"/>
              <w:rPr>
                <w:b/>
                <w:noProof/>
                <w:sz w:val="20"/>
              </w:rPr>
            </w:pPr>
          </w:p>
        </w:tc>
        <w:tc>
          <w:tcPr>
            <w:tcW w:w="12072" w:type="dxa"/>
            <w:shd w:val="clear" w:color="auto" w:fill="auto"/>
            <w:tcMar>
              <w:top w:w="85" w:type="dxa"/>
              <w:left w:w="85" w:type="dxa"/>
              <w:bottom w:w="85" w:type="dxa"/>
            </w:tcMar>
          </w:tcPr>
          <w:p w14:paraId="056369EF" w14:textId="2F83B4B4" w:rsidR="00935A4E" w:rsidRPr="00C540BA" w:rsidRDefault="00935A4E" w:rsidP="008F4115">
            <w:pPr>
              <w:rPr>
                <w:noProof/>
                <w:sz w:val="20"/>
              </w:rPr>
            </w:pPr>
            <w:r>
              <w:rPr>
                <w:noProof/>
                <w:sz w:val="20"/>
              </w:rPr>
              <w:t>Návrh nařízení Evropského parlamentu a Rady, kterým se stanoví hlavní směry pro transevropské energetické sítě a kterým se zrušuje rozhodnutí (EU) 347/2013 (revize nařízení o transevropské energetické síti (TEN-E))</w:t>
            </w:r>
          </w:p>
        </w:tc>
        <w:tc>
          <w:tcPr>
            <w:tcW w:w="2126" w:type="dxa"/>
            <w:tcMar>
              <w:top w:w="85" w:type="dxa"/>
              <w:left w:w="85" w:type="dxa"/>
              <w:bottom w:w="85" w:type="dxa"/>
            </w:tcMar>
          </w:tcPr>
          <w:p w14:paraId="51E3B37D" w14:textId="133C26E5" w:rsidR="00935A4E" w:rsidRDefault="00935A4E" w:rsidP="00A6020F">
            <w:pPr>
              <w:spacing w:after="0"/>
              <w:jc w:val="left"/>
              <w:rPr>
                <w:noProof/>
                <w:sz w:val="20"/>
              </w:rPr>
            </w:pPr>
            <w:r>
              <w:rPr>
                <w:noProof/>
                <w:sz w:val="20"/>
              </w:rPr>
              <w:t>COM(2020)824 final</w:t>
            </w:r>
            <w:r>
              <w:rPr>
                <w:noProof/>
              </w:rPr>
              <w:t xml:space="preserve"> </w:t>
            </w:r>
            <w:r>
              <w:rPr>
                <w:noProof/>
              </w:rPr>
              <w:br/>
            </w:r>
            <w:r>
              <w:rPr>
                <w:noProof/>
                <w:sz w:val="20"/>
              </w:rPr>
              <w:t>2020/0360 (COD)</w:t>
            </w:r>
            <w:r>
              <w:rPr>
                <w:noProof/>
              </w:rPr>
              <w:t xml:space="preserve"> </w:t>
            </w:r>
            <w:r>
              <w:rPr>
                <w:noProof/>
              </w:rPr>
              <w:br/>
            </w:r>
            <w:r>
              <w:rPr>
                <w:noProof/>
                <w:sz w:val="20"/>
              </w:rPr>
              <w:t>15. 12. 2020</w:t>
            </w:r>
          </w:p>
        </w:tc>
      </w:tr>
      <w:tr w:rsidR="00935A4E" w14:paraId="731DC890" w14:textId="77777777" w:rsidTr="008F4115">
        <w:trPr>
          <w:cantSplit/>
        </w:trPr>
        <w:tc>
          <w:tcPr>
            <w:tcW w:w="652" w:type="dxa"/>
            <w:tcBorders>
              <w:right w:val="nil"/>
            </w:tcBorders>
            <w:shd w:val="clear" w:color="auto" w:fill="auto"/>
            <w:tcMar>
              <w:top w:w="85" w:type="dxa"/>
              <w:left w:w="85" w:type="dxa"/>
              <w:bottom w:w="85" w:type="dxa"/>
            </w:tcMar>
          </w:tcPr>
          <w:p w14:paraId="1C6D9477"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32E54DAE" w14:textId="77777777" w:rsidR="00935A4E" w:rsidRPr="005604E2" w:rsidRDefault="00935A4E" w:rsidP="008F4115">
            <w:pPr>
              <w:rPr>
                <w:noProof/>
                <w:sz w:val="20"/>
              </w:rPr>
            </w:pPr>
            <w:r>
              <w:rPr>
                <w:noProof/>
                <w:sz w:val="20"/>
              </w:rPr>
              <w:t>Návrh NAŘÍZENÍ EVROPSKÉHO PARLAMENTU A RADY, kterým se mění nařízení (EU) 2018/1139, pokud jde o působení Agentury Evropské unie pro bezpečnost letectví jako orgánu pro kontrolu výkonnosti v rámci jednotného evropského nebe</w:t>
            </w:r>
          </w:p>
        </w:tc>
        <w:tc>
          <w:tcPr>
            <w:tcW w:w="2126" w:type="dxa"/>
            <w:tcMar>
              <w:top w:w="85" w:type="dxa"/>
              <w:left w:w="85" w:type="dxa"/>
              <w:bottom w:w="85" w:type="dxa"/>
            </w:tcMar>
          </w:tcPr>
          <w:p w14:paraId="21E1EBBF" w14:textId="2CA80760" w:rsidR="00935A4E" w:rsidRPr="005604E2" w:rsidRDefault="00935A4E" w:rsidP="00A6020F">
            <w:pPr>
              <w:spacing w:after="0"/>
              <w:jc w:val="left"/>
              <w:rPr>
                <w:noProof/>
                <w:sz w:val="20"/>
              </w:rPr>
            </w:pPr>
            <w:r>
              <w:rPr>
                <w:noProof/>
                <w:sz w:val="20"/>
              </w:rPr>
              <w:t>COM(2020)577 final</w:t>
            </w:r>
            <w:r>
              <w:rPr>
                <w:noProof/>
              </w:rPr>
              <w:t xml:space="preserve"> </w:t>
            </w:r>
            <w:r>
              <w:rPr>
                <w:noProof/>
              </w:rPr>
              <w:br/>
            </w:r>
            <w:r>
              <w:rPr>
                <w:noProof/>
                <w:sz w:val="20"/>
              </w:rPr>
              <w:t>2020/0264 (COD)</w:t>
            </w:r>
            <w:r>
              <w:rPr>
                <w:noProof/>
              </w:rPr>
              <w:t xml:space="preserve"> </w:t>
            </w:r>
            <w:r>
              <w:rPr>
                <w:noProof/>
              </w:rPr>
              <w:br/>
            </w:r>
            <w:r>
              <w:rPr>
                <w:noProof/>
                <w:sz w:val="20"/>
              </w:rPr>
              <w:t>22. 9. 2020</w:t>
            </w:r>
          </w:p>
        </w:tc>
      </w:tr>
      <w:tr w:rsidR="00935A4E" w14:paraId="36E7C1D2" w14:textId="77777777" w:rsidTr="008F4115">
        <w:trPr>
          <w:cantSplit/>
        </w:trPr>
        <w:tc>
          <w:tcPr>
            <w:tcW w:w="652" w:type="dxa"/>
            <w:tcBorders>
              <w:right w:val="nil"/>
            </w:tcBorders>
            <w:shd w:val="clear" w:color="auto" w:fill="auto"/>
            <w:tcMar>
              <w:top w:w="85" w:type="dxa"/>
              <w:left w:w="85" w:type="dxa"/>
              <w:bottom w:w="85" w:type="dxa"/>
            </w:tcMar>
          </w:tcPr>
          <w:p w14:paraId="58A435C5"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2EAFB157" w14:textId="77777777" w:rsidR="00935A4E" w:rsidRPr="005604E2" w:rsidRDefault="00935A4E" w:rsidP="00A6020F">
            <w:pPr>
              <w:spacing w:after="0"/>
              <w:rPr>
                <w:noProof/>
                <w:sz w:val="20"/>
              </w:rPr>
            </w:pPr>
            <w:r>
              <w:rPr>
                <w:noProof/>
                <w:sz w:val="20"/>
              </w:rPr>
              <w:t>Návrh NAŘÍZENÍ EVROPSKÉHO PARLAMENTU A RADY, kterým se mění nařízení Rady (ES) č. 1224/2009, nařízení Rady (ES) č. 768/2005, nařízení Rady (ES) č. 1967/2006, nařízení Rady (ES) č. 1005/2008 a nařízení Evropského parlamentu a Rady (EU) 2016/1139, pokud jde o kontrolu rybolovu</w:t>
            </w:r>
          </w:p>
        </w:tc>
        <w:tc>
          <w:tcPr>
            <w:tcW w:w="2126" w:type="dxa"/>
            <w:tcMar>
              <w:top w:w="85" w:type="dxa"/>
              <w:left w:w="85" w:type="dxa"/>
              <w:bottom w:w="85" w:type="dxa"/>
            </w:tcMar>
          </w:tcPr>
          <w:p w14:paraId="25332A3A" w14:textId="77777777" w:rsidR="00935A4E" w:rsidRPr="005604E2" w:rsidRDefault="00935A4E" w:rsidP="00A6020F">
            <w:pPr>
              <w:spacing w:after="0"/>
              <w:jc w:val="left"/>
              <w:rPr>
                <w:noProof/>
                <w:sz w:val="20"/>
              </w:rPr>
            </w:pPr>
            <w:r>
              <w:rPr>
                <w:noProof/>
                <w:sz w:val="20"/>
              </w:rPr>
              <w:t>COM(2018)368 final</w:t>
            </w:r>
            <w:r>
              <w:rPr>
                <w:noProof/>
              </w:rPr>
              <w:t xml:space="preserve"> </w:t>
            </w:r>
            <w:r>
              <w:rPr>
                <w:noProof/>
              </w:rPr>
              <w:br/>
            </w:r>
            <w:r>
              <w:rPr>
                <w:noProof/>
                <w:sz w:val="20"/>
              </w:rPr>
              <w:t>2018/0193 (COD)</w:t>
            </w:r>
            <w:r>
              <w:rPr>
                <w:noProof/>
              </w:rPr>
              <w:t xml:space="preserve"> </w:t>
            </w:r>
            <w:r>
              <w:rPr>
                <w:noProof/>
              </w:rPr>
              <w:br/>
            </w:r>
            <w:r>
              <w:rPr>
                <w:noProof/>
                <w:sz w:val="20"/>
              </w:rPr>
              <w:t>30. 5. 2018</w:t>
            </w:r>
          </w:p>
        </w:tc>
      </w:tr>
      <w:tr w:rsidR="00935A4E" w:rsidRPr="00A06848" w14:paraId="6EF58072" w14:textId="77777777" w:rsidTr="008F4115">
        <w:trPr>
          <w:cantSplit/>
        </w:trPr>
        <w:tc>
          <w:tcPr>
            <w:tcW w:w="652" w:type="dxa"/>
            <w:tcBorders>
              <w:right w:val="nil"/>
            </w:tcBorders>
            <w:shd w:val="clear" w:color="auto" w:fill="auto"/>
            <w:tcMar>
              <w:top w:w="85" w:type="dxa"/>
              <w:left w:w="85" w:type="dxa"/>
              <w:bottom w:w="85" w:type="dxa"/>
            </w:tcMar>
          </w:tcPr>
          <w:p w14:paraId="74036B74"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423E3CFF" w14:textId="77777777" w:rsidR="00935A4E" w:rsidRDefault="00935A4E" w:rsidP="008F4115">
            <w:pPr>
              <w:spacing w:after="0"/>
              <w:rPr>
                <w:noProof/>
                <w:sz w:val="20"/>
              </w:rPr>
            </w:pPr>
            <w:r>
              <w:rPr>
                <w:noProof/>
                <w:sz w:val="20"/>
              </w:rPr>
              <w:t>Návrh NAŘÍZENÍ EVROPSKÉHO PARLAMENTU A RADY o provádění jednotného evropského nebe (přepracované znění)</w:t>
            </w:r>
          </w:p>
        </w:tc>
        <w:tc>
          <w:tcPr>
            <w:tcW w:w="2126" w:type="dxa"/>
            <w:tcMar>
              <w:top w:w="85" w:type="dxa"/>
              <w:left w:w="85" w:type="dxa"/>
              <w:bottom w:w="85" w:type="dxa"/>
            </w:tcMar>
          </w:tcPr>
          <w:p w14:paraId="68B6E637" w14:textId="77777777" w:rsidR="00935A4E" w:rsidRDefault="00935A4E" w:rsidP="008F4115">
            <w:pPr>
              <w:spacing w:after="0"/>
              <w:jc w:val="left"/>
              <w:rPr>
                <w:noProof/>
                <w:sz w:val="20"/>
              </w:rPr>
            </w:pPr>
            <w:r>
              <w:rPr>
                <w:noProof/>
                <w:sz w:val="20"/>
              </w:rPr>
              <w:t>COM(2013)410 final</w:t>
            </w:r>
            <w:r>
              <w:rPr>
                <w:noProof/>
              </w:rPr>
              <w:t xml:space="preserve"> </w:t>
            </w:r>
            <w:r>
              <w:rPr>
                <w:noProof/>
              </w:rPr>
              <w:br/>
            </w:r>
            <w:r>
              <w:rPr>
                <w:noProof/>
                <w:sz w:val="20"/>
              </w:rPr>
              <w:t>2013/0186 (COD)</w:t>
            </w:r>
            <w:r>
              <w:rPr>
                <w:noProof/>
              </w:rPr>
              <w:t xml:space="preserve"> </w:t>
            </w:r>
            <w:r>
              <w:rPr>
                <w:noProof/>
              </w:rPr>
              <w:br/>
            </w:r>
            <w:r>
              <w:rPr>
                <w:noProof/>
                <w:sz w:val="20"/>
              </w:rPr>
              <w:t>11. 6. 2013</w:t>
            </w:r>
            <w:r>
              <w:rPr>
                <w:noProof/>
              </w:rPr>
              <w:t xml:space="preserve"> </w:t>
            </w:r>
            <w:r>
              <w:rPr>
                <w:noProof/>
              </w:rPr>
              <w:br/>
            </w:r>
          </w:p>
          <w:p w14:paraId="4BAAB52E" w14:textId="77777777" w:rsidR="00935A4E" w:rsidRDefault="00935A4E" w:rsidP="008F4115">
            <w:pPr>
              <w:spacing w:after="0"/>
              <w:jc w:val="left"/>
              <w:rPr>
                <w:noProof/>
                <w:sz w:val="20"/>
              </w:rPr>
            </w:pPr>
            <w:r>
              <w:rPr>
                <w:noProof/>
                <w:sz w:val="20"/>
              </w:rPr>
              <w:t>COM(2020)579 final</w:t>
            </w:r>
            <w:r>
              <w:rPr>
                <w:noProof/>
              </w:rPr>
              <w:t xml:space="preserve"> </w:t>
            </w:r>
            <w:r>
              <w:rPr>
                <w:noProof/>
              </w:rPr>
              <w:br/>
            </w:r>
            <w:r>
              <w:rPr>
                <w:noProof/>
                <w:sz w:val="20"/>
              </w:rPr>
              <w:t>22. 9. 2020</w:t>
            </w:r>
          </w:p>
        </w:tc>
      </w:tr>
      <w:tr w:rsidR="00935A4E" w14:paraId="194A1806" w14:textId="77777777" w:rsidTr="008F4115">
        <w:trPr>
          <w:cantSplit/>
        </w:trPr>
        <w:tc>
          <w:tcPr>
            <w:tcW w:w="652" w:type="dxa"/>
            <w:tcBorders>
              <w:right w:val="nil"/>
            </w:tcBorders>
            <w:shd w:val="clear" w:color="auto" w:fill="auto"/>
            <w:tcMar>
              <w:top w:w="85" w:type="dxa"/>
              <w:left w:w="85" w:type="dxa"/>
              <w:bottom w:w="85" w:type="dxa"/>
            </w:tcMar>
          </w:tcPr>
          <w:p w14:paraId="5B4D9457" w14:textId="77777777" w:rsidR="00935A4E" w:rsidRPr="0094264B" w:rsidRDefault="00935A4E" w:rsidP="00935A4E">
            <w:pPr>
              <w:pStyle w:val="ListParagraph"/>
              <w:numPr>
                <w:ilvl w:val="0"/>
                <w:numId w:val="31"/>
              </w:numPr>
              <w:spacing w:after="0"/>
              <w:rPr>
                <w:b/>
                <w:noProof/>
                <w:sz w:val="20"/>
                <w:lang w:val="pt-PT"/>
              </w:rPr>
            </w:pPr>
          </w:p>
        </w:tc>
        <w:tc>
          <w:tcPr>
            <w:tcW w:w="12072" w:type="dxa"/>
            <w:shd w:val="clear" w:color="auto" w:fill="auto"/>
            <w:tcMar>
              <w:top w:w="85" w:type="dxa"/>
              <w:left w:w="85" w:type="dxa"/>
              <w:bottom w:w="85" w:type="dxa"/>
            </w:tcMar>
          </w:tcPr>
          <w:p w14:paraId="4A40C26B" w14:textId="77777777" w:rsidR="00935A4E" w:rsidRDefault="00935A4E" w:rsidP="008F4115">
            <w:pPr>
              <w:spacing w:after="0"/>
              <w:rPr>
                <w:noProof/>
                <w:sz w:val="20"/>
              </w:rPr>
            </w:pPr>
            <w:r>
              <w:rPr>
                <w:noProof/>
                <w:sz w:val="20"/>
              </w:rPr>
              <w:t>Návrh NAŘÍZENÍ EVROPSKÉHO PARLAMENTU A RADY o změně nařízení (ES) č. 261/2004, kterým se stanoví společná pravidla náhrad a pomoci cestujícím v letecké dopravě v případě odepření nástupu na palubu, zrušení nebo významného zpoždění letů, a nařízení (ES) č. 2027/97 o odpovědnosti leteckého dopravce při letecké dopravě cestujících a jejich zavazadel,</w:t>
            </w:r>
          </w:p>
        </w:tc>
        <w:tc>
          <w:tcPr>
            <w:tcW w:w="2126" w:type="dxa"/>
            <w:shd w:val="clear" w:color="auto" w:fill="auto"/>
            <w:tcMar>
              <w:top w:w="85" w:type="dxa"/>
              <w:left w:w="85" w:type="dxa"/>
              <w:bottom w:w="85" w:type="dxa"/>
            </w:tcMar>
          </w:tcPr>
          <w:p w14:paraId="316F6388" w14:textId="77777777" w:rsidR="00935A4E" w:rsidRDefault="00935A4E" w:rsidP="008F4115">
            <w:pPr>
              <w:spacing w:after="0"/>
              <w:jc w:val="left"/>
              <w:rPr>
                <w:noProof/>
                <w:sz w:val="20"/>
              </w:rPr>
            </w:pPr>
            <w:r>
              <w:rPr>
                <w:noProof/>
                <w:sz w:val="20"/>
              </w:rPr>
              <w:t>COM(2013)130 final</w:t>
            </w:r>
            <w:r>
              <w:rPr>
                <w:noProof/>
              </w:rPr>
              <w:t xml:space="preserve"> </w:t>
            </w:r>
            <w:r>
              <w:rPr>
                <w:noProof/>
              </w:rPr>
              <w:br/>
            </w:r>
            <w:r>
              <w:rPr>
                <w:noProof/>
                <w:sz w:val="20"/>
              </w:rPr>
              <w:t>2013/0072 (COD)</w:t>
            </w:r>
            <w:r>
              <w:rPr>
                <w:noProof/>
              </w:rPr>
              <w:t xml:space="preserve"> </w:t>
            </w:r>
            <w:r>
              <w:rPr>
                <w:noProof/>
              </w:rPr>
              <w:br/>
            </w:r>
            <w:r>
              <w:rPr>
                <w:noProof/>
                <w:sz w:val="20"/>
              </w:rPr>
              <w:t>13. 3. 2013</w:t>
            </w:r>
          </w:p>
        </w:tc>
      </w:tr>
      <w:tr w:rsidR="00935A4E" w14:paraId="5F983A22" w14:textId="77777777" w:rsidTr="008F4115">
        <w:trPr>
          <w:cantSplit/>
        </w:trPr>
        <w:tc>
          <w:tcPr>
            <w:tcW w:w="652" w:type="dxa"/>
            <w:tcBorders>
              <w:right w:val="nil"/>
            </w:tcBorders>
            <w:shd w:val="clear" w:color="auto" w:fill="auto"/>
            <w:tcMar>
              <w:top w:w="85" w:type="dxa"/>
              <w:left w:w="85" w:type="dxa"/>
              <w:bottom w:w="85" w:type="dxa"/>
            </w:tcMar>
          </w:tcPr>
          <w:p w14:paraId="4A8859D3" w14:textId="77777777" w:rsidR="00935A4E" w:rsidRDefault="00935A4E" w:rsidP="00935A4E">
            <w:pPr>
              <w:pStyle w:val="ListParagraph"/>
              <w:numPr>
                <w:ilvl w:val="0"/>
                <w:numId w:val="31"/>
              </w:numPr>
              <w:spacing w:after="0"/>
              <w:rPr>
                <w:b/>
                <w:noProof/>
                <w:sz w:val="20"/>
                <w:lang w:val="pt-PT"/>
              </w:rPr>
            </w:pPr>
          </w:p>
        </w:tc>
        <w:tc>
          <w:tcPr>
            <w:tcW w:w="12072" w:type="dxa"/>
            <w:shd w:val="clear" w:color="auto" w:fill="auto"/>
            <w:tcMar>
              <w:top w:w="85" w:type="dxa"/>
              <w:left w:w="85" w:type="dxa"/>
              <w:bottom w:w="85" w:type="dxa"/>
            </w:tcMar>
          </w:tcPr>
          <w:p w14:paraId="6BEABD9B" w14:textId="77777777" w:rsidR="00935A4E" w:rsidRDefault="00935A4E" w:rsidP="008F4115">
            <w:pPr>
              <w:spacing w:after="0"/>
              <w:rPr>
                <w:noProof/>
                <w:sz w:val="20"/>
              </w:rPr>
            </w:pPr>
            <w:r>
              <w:rPr>
                <w:noProof/>
                <w:sz w:val="20"/>
              </w:rPr>
              <w:t>Návrh NAŘÍZENÍ EVROPSKÉHO PARLAMENTU A RADY o společných pravidlech pro přidělování letištních časů na letištích Evropské unie</w:t>
            </w:r>
          </w:p>
        </w:tc>
        <w:tc>
          <w:tcPr>
            <w:tcW w:w="2126" w:type="dxa"/>
            <w:tcMar>
              <w:top w:w="85" w:type="dxa"/>
              <w:left w:w="85" w:type="dxa"/>
              <w:bottom w:w="85" w:type="dxa"/>
            </w:tcMar>
          </w:tcPr>
          <w:p w14:paraId="2778C7DD" w14:textId="77777777" w:rsidR="00935A4E" w:rsidRDefault="00935A4E" w:rsidP="008F4115">
            <w:pPr>
              <w:spacing w:after="0"/>
              <w:jc w:val="left"/>
              <w:rPr>
                <w:noProof/>
                <w:sz w:val="20"/>
              </w:rPr>
            </w:pPr>
            <w:r>
              <w:rPr>
                <w:noProof/>
                <w:sz w:val="20"/>
              </w:rPr>
              <w:t>COM(2011)827 final</w:t>
            </w:r>
            <w:r>
              <w:rPr>
                <w:noProof/>
              </w:rPr>
              <w:t xml:space="preserve"> </w:t>
            </w:r>
            <w:r>
              <w:rPr>
                <w:noProof/>
              </w:rPr>
              <w:br/>
            </w:r>
            <w:r>
              <w:rPr>
                <w:noProof/>
                <w:sz w:val="20"/>
              </w:rPr>
              <w:t>2011/0391 (COD)</w:t>
            </w:r>
            <w:r>
              <w:rPr>
                <w:noProof/>
              </w:rPr>
              <w:t xml:space="preserve"> </w:t>
            </w:r>
            <w:r>
              <w:rPr>
                <w:noProof/>
              </w:rPr>
              <w:br/>
            </w:r>
            <w:r>
              <w:rPr>
                <w:noProof/>
                <w:sz w:val="20"/>
              </w:rPr>
              <w:t>1. 12. 2011</w:t>
            </w:r>
          </w:p>
        </w:tc>
      </w:tr>
      <w:tr w:rsidR="00935A4E" w14:paraId="51CE3E1E" w14:textId="77777777" w:rsidTr="008F4115">
        <w:trPr>
          <w:cantSplit/>
        </w:trPr>
        <w:tc>
          <w:tcPr>
            <w:tcW w:w="14850" w:type="dxa"/>
            <w:gridSpan w:val="3"/>
            <w:shd w:val="clear" w:color="auto" w:fill="18BAA8" w:themeFill="accent2"/>
            <w:tcMar>
              <w:top w:w="85" w:type="dxa"/>
              <w:left w:w="85" w:type="dxa"/>
              <w:bottom w:w="85" w:type="dxa"/>
              <w:right w:w="85" w:type="dxa"/>
            </w:tcMar>
          </w:tcPr>
          <w:p w14:paraId="6DFB03D0" w14:textId="77777777" w:rsidR="00935A4E" w:rsidRDefault="00935A4E" w:rsidP="008F4115">
            <w:pPr>
              <w:keepNext/>
              <w:keepLines/>
              <w:spacing w:before="60" w:after="60"/>
              <w:rPr>
                <w:noProof/>
                <w:sz w:val="20"/>
              </w:rPr>
            </w:pPr>
            <w:r>
              <w:rPr>
                <w:b/>
                <w:bCs/>
                <w:noProof/>
                <w:color w:val="FFFFFF" w:themeColor="background1"/>
                <w:sz w:val="20"/>
              </w:rPr>
              <w:t>Evropa připravená na digitální věk</w:t>
            </w:r>
          </w:p>
        </w:tc>
      </w:tr>
      <w:tr w:rsidR="00935A4E" w14:paraId="18704676" w14:textId="77777777" w:rsidTr="008F4115">
        <w:trPr>
          <w:cantSplit/>
        </w:trPr>
        <w:tc>
          <w:tcPr>
            <w:tcW w:w="652" w:type="dxa"/>
            <w:tcBorders>
              <w:right w:val="nil"/>
            </w:tcBorders>
            <w:shd w:val="clear" w:color="auto" w:fill="auto"/>
            <w:tcMar>
              <w:top w:w="85" w:type="dxa"/>
              <w:left w:w="85" w:type="dxa"/>
              <w:bottom w:w="85" w:type="dxa"/>
            </w:tcMar>
          </w:tcPr>
          <w:p w14:paraId="7031F2F7"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4742E76A" w14:textId="77777777" w:rsidR="00935A4E" w:rsidRPr="007F161F" w:rsidRDefault="00935A4E" w:rsidP="008F4115">
            <w:pPr>
              <w:spacing w:after="0"/>
              <w:ind w:left="68"/>
              <w:rPr>
                <w:noProof/>
                <w:sz w:val="20"/>
              </w:rPr>
            </w:pPr>
            <w:r>
              <w:rPr>
                <w:noProof/>
                <w:sz w:val="20"/>
              </w:rPr>
              <w:t>Návrh SMĚRNICE EVROPSKÉHO PARLAMENTU A RADY, kterou se mění směrnice 2014/53/EU o harmonizaci právních předpisů členských států týkajících se dodávání rádiových zařízení na trh</w:t>
            </w:r>
          </w:p>
        </w:tc>
        <w:tc>
          <w:tcPr>
            <w:tcW w:w="2126" w:type="dxa"/>
            <w:tcMar>
              <w:top w:w="85" w:type="dxa"/>
              <w:left w:w="85" w:type="dxa"/>
              <w:bottom w:w="85" w:type="dxa"/>
            </w:tcMar>
          </w:tcPr>
          <w:p w14:paraId="356C57C7" w14:textId="2F9004B2" w:rsidR="00935A4E" w:rsidRDefault="00935A4E" w:rsidP="008F4115">
            <w:pPr>
              <w:spacing w:after="0"/>
              <w:jc w:val="left"/>
              <w:rPr>
                <w:noProof/>
                <w:sz w:val="20"/>
              </w:rPr>
            </w:pPr>
            <w:r>
              <w:rPr>
                <w:noProof/>
                <w:sz w:val="20"/>
              </w:rPr>
              <w:t>COM(2021)547 final</w:t>
            </w:r>
            <w:r>
              <w:rPr>
                <w:noProof/>
              </w:rPr>
              <w:t xml:space="preserve"> </w:t>
            </w:r>
            <w:r>
              <w:rPr>
                <w:noProof/>
              </w:rPr>
              <w:br/>
            </w:r>
            <w:r>
              <w:rPr>
                <w:noProof/>
                <w:sz w:val="20"/>
              </w:rPr>
              <w:t>2021/0291 (COD)</w:t>
            </w:r>
            <w:r>
              <w:rPr>
                <w:noProof/>
              </w:rPr>
              <w:t xml:space="preserve"> </w:t>
            </w:r>
            <w:r>
              <w:rPr>
                <w:noProof/>
              </w:rPr>
              <w:br/>
            </w:r>
            <w:r>
              <w:rPr>
                <w:noProof/>
                <w:sz w:val="20"/>
              </w:rPr>
              <w:t>23. 9. 2021</w:t>
            </w:r>
          </w:p>
        </w:tc>
      </w:tr>
      <w:tr w:rsidR="00935A4E" w14:paraId="2A357D23" w14:textId="77777777" w:rsidTr="008F4115">
        <w:trPr>
          <w:cantSplit/>
        </w:trPr>
        <w:tc>
          <w:tcPr>
            <w:tcW w:w="652" w:type="dxa"/>
            <w:tcBorders>
              <w:right w:val="nil"/>
            </w:tcBorders>
            <w:shd w:val="clear" w:color="auto" w:fill="auto"/>
            <w:tcMar>
              <w:top w:w="85" w:type="dxa"/>
              <w:left w:w="85" w:type="dxa"/>
              <w:bottom w:w="85" w:type="dxa"/>
            </w:tcMar>
          </w:tcPr>
          <w:p w14:paraId="264BD630"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4664C78E" w14:textId="77777777" w:rsidR="00935A4E" w:rsidRPr="00AE0B86" w:rsidRDefault="00935A4E" w:rsidP="008F4115">
            <w:pPr>
              <w:spacing w:after="0"/>
              <w:rPr>
                <w:noProof/>
                <w:sz w:val="20"/>
              </w:rPr>
            </w:pPr>
            <w:r>
              <w:rPr>
                <w:noProof/>
                <w:sz w:val="20"/>
              </w:rPr>
              <w:t>Návrh NAŘÍZENÍ EVROPSKÉHO PARLAMENTU A RADY, kterým se mění nařízení (EU) č. 910/2014, pokud jde o zřízení rámce pro evropskou digitální identitu</w:t>
            </w:r>
          </w:p>
        </w:tc>
        <w:tc>
          <w:tcPr>
            <w:tcW w:w="2126" w:type="dxa"/>
            <w:tcMar>
              <w:top w:w="85" w:type="dxa"/>
              <w:left w:w="85" w:type="dxa"/>
              <w:bottom w:w="85" w:type="dxa"/>
            </w:tcMar>
          </w:tcPr>
          <w:p w14:paraId="23485D71" w14:textId="77777777" w:rsidR="00935A4E" w:rsidRDefault="00935A4E" w:rsidP="008F4115">
            <w:pPr>
              <w:spacing w:after="0"/>
              <w:jc w:val="left"/>
              <w:rPr>
                <w:noProof/>
                <w:sz w:val="20"/>
              </w:rPr>
            </w:pPr>
            <w:r>
              <w:rPr>
                <w:noProof/>
                <w:sz w:val="20"/>
              </w:rPr>
              <w:t>COM(2021)281 final</w:t>
            </w:r>
            <w:r>
              <w:rPr>
                <w:noProof/>
              </w:rPr>
              <w:t xml:space="preserve"> </w:t>
            </w:r>
            <w:r>
              <w:rPr>
                <w:noProof/>
              </w:rPr>
              <w:br/>
            </w:r>
            <w:r>
              <w:rPr>
                <w:noProof/>
                <w:sz w:val="20"/>
              </w:rPr>
              <w:t>2021/0136 (COD)</w:t>
            </w:r>
            <w:r>
              <w:rPr>
                <w:noProof/>
              </w:rPr>
              <w:t xml:space="preserve"> </w:t>
            </w:r>
            <w:r>
              <w:rPr>
                <w:noProof/>
              </w:rPr>
              <w:br/>
            </w:r>
            <w:r>
              <w:rPr>
                <w:noProof/>
                <w:sz w:val="20"/>
              </w:rPr>
              <w:t>3. 6. 2021</w:t>
            </w:r>
          </w:p>
        </w:tc>
      </w:tr>
      <w:tr w:rsidR="00935A4E" w14:paraId="063A1CA2" w14:textId="77777777" w:rsidTr="008F4115">
        <w:trPr>
          <w:cantSplit/>
        </w:trPr>
        <w:tc>
          <w:tcPr>
            <w:tcW w:w="652" w:type="dxa"/>
            <w:tcBorders>
              <w:right w:val="nil"/>
            </w:tcBorders>
            <w:shd w:val="clear" w:color="auto" w:fill="auto"/>
            <w:tcMar>
              <w:top w:w="85" w:type="dxa"/>
              <w:left w:w="85" w:type="dxa"/>
              <w:bottom w:w="85" w:type="dxa"/>
            </w:tcMar>
          </w:tcPr>
          <w:p w14:paraId="610E6D52"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0184D92E" w14:textId="77777777" w:rsidR="00935A4E" w:rsidRDefault="00935A4E" w:rsidP="008F4115">
            <w:pPr>
              <w:spacing w:after="0"/>
              <w:rPr>
                <w:noProof/>
                <w:sz w:val="20"/>
              </w:rPr>
            </w:pPr>
            <w:r>
              <w:rPr>
                <w:noProof/>
                <w:sz w:val="20"/>
              </w:rPr>
              <w:t>Návrh NAŘÍZENÍ EVROPSKÉHO PARLAMENTU A RADY o zahraničních subvencích narušujících vnitřní trh</w:t>
            </w:r>
          </w:p>
        </w:tc>
        <w:tc>
          <w:tcPr>
            <w:tcW w:w="2126" w:type="dxa"/>
            <w:tcMar>
              <w:top w:w="85" w:type="dxa"/>
              <w:left w:w="85" w:type="dxa"/>
              <w:bottom w:w="85" w:type="dxa"/>
            </w:tcMar>
          </w:tcPr>
          <w:p w14:paraId="608C6CE3" w14:textId="77777777" w:rsidR="00935A4E" w:rsidRDefault="00935A4E" w:rsidP="008F4115">
            <w:pPr>
              <w:spacing w:after="0"/>
              <w:jc w:val="left"/>
              <w:rPr>
                <w:noProof/>
                <w:sz w:val="20"/>
              </w:rPr>
            </w:pPr>
            <w:r>
              <w:rPr>
                <w:noProof/>
                <w:sz w:val="20"/>
              </w:rPr>
              <w:t>COM(2021)223 final</w:t>
            </w:r>
            <w:r>
              <w:rPr>
                <w:noProof/>
              </w:rPr>
              <w:t xml:space="preserve"> </w:t>
            </w:r>
            <w:r>
              <w:rPr>
                <w:noProof/>
              </w:rPr>
              <w:br/>
            </w:r>
            <w:r>
              <w:rPr>
                <w:noProof/>
                <w:sz w:val="20"/>
              </w:rPr>
              <w:t>2021/0114 (COD)</w:t>
            </w:r>
            <w:r>
              <w:rPr>
                <w:noProof/>
              </w:rPr>
              <w:t xml:space="preserve"> </w:t>
            </w:r>
            <w:r>
              <w:rPr>
                <w:noProof/>
              </w:rPr>
              <w:br/>
            </w:r>
            <w:r>
              <w:rPr>
                <w:noProof/>
                <w:sz w:val="20"/>
              </w:rPr>
              <w:t>5. 5. 2021</w:t>
            </w:r>
          </w:p>
        </w:tc>
      </w:tr>
      <w:tr w:rsidR="00935A4E" w14:paraId="1D320DB6" w14:textId="77777777" w:rsidTr="008F4115">
        <w:trPr>
          <w:cantSplit/>
        </w:trPr>
        <w:tc>
          <w:tcPr>
            <w:tcW w:w="652" w:type="dxa"/>
            <w:tcBorders>
              <w:right w:val="nil"/>
            </w:tcBorders>
            <w:shd w:val="clear" w:color="auto" w:fill="auto"/>
            <w:tcMar>
              <w:top w:w="85" w:type="dxa"/>
              <w:left w:w="85" w:type="dxa"/>
              <w:bottom w:w="85" w:type="dxa"/>
            </w:tcMar>
          </w:tcPr>
          <w:p w14:paraId="7E691B76"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214F68F1" w14:textId="06F19D5F" w:rsidR="00935A4E" w:rsidRDefault="00935A4E" w:rsidP="008F4115">
            <w:pPr>
              <w:spacing w:after="0"/>
              <w:rPr>
                <w:noProof/>
                <w:sz w:val="20"/>
              </w:rPr>
            </w:pPr>
            <w:r>
              <w:rPr>
                <w:noProof/>
                <w:sz w:val="20"/>
              </w:rPr>
              <w:t xml:space="preserve">Návrh NAŘÍZENÍ EVROPSKÉHO PARLAMENTU A RADY, kterým se stanoví harmonizovaná pravidla pro umělou inteligenci (akt o umělé inteligenci) a kterým se mění určité právní akty Unie </w:t>
            </w:r>
          </w:p>
        </w:tc>
        <w:tc>
          <w:tcPr>
            <w:tcW w:w="2126" w:type="dxa"/>
            <w:tcMar>
              <w:top w:w="85" w:type="dxa"/>
              <w:left w:w="85" w:type="dxa"/>
              <w:bottom w:w="85" w:type="dxa"/>
            </w:tcMar>
          </w:tcPr>
          <w:p w14:paraId="7E79AEC1" w14:textId="77777777" w:rsidR="00935A4E" w:rsidRDefault="00935A4E" w:rsidP="008F4115">
            <w:pPr>
              <w:spacing w:after="0"/>
              <w:jc w:val="left"/>
              <w:rPr>
                <w:noProof/>
                <w:sz w:val="20"/>
              </w:rPr>
            </w:pPr>
            <w:r>
              <w:rPr>
                <w:noProof/>
                <w:sz w:val="20"/>
              </w:rPr>
              <w:t>COM(2021)206 final</w:t>
            </w:r>
            <w:r>
              <w:rPr>
                <w:noProof/>
              </w:rPr>
              <w:t xml:space="preserve"> </w:t>
            </w:r>
            <w:r>
              <w:rPr>
                <w:noProof/>
              </w:rPr>
              <w:br/>
            </w:r>
            <w:r>
              <w:rPr>
                <w:noProof/>
                <w:sz w:val="20"/>
              </w:rPr>
              <w:t>2021/0106 (COD)</w:t>
            </w:r>
            <w:r>
              <w:rPr>
                <w:noProof/>
              </w:rPr>
              <w:t xml:space="preserve"> </w:t>
            </w:r>
            <w:r>
              <w:rPr>
                <w:noProof/>
              </w:rPr>
              <w:br/>
            </w:r>
            <w:r>
              <w:rPr>
                <w:noProof/>
                <w:sz w:val="20"/>
              </w:rPr>
              <w:t>21. 4. 2021</w:t>
            </w:r>
          </w:p>
        </w:tc>
      </w:tr>
      <w:tr w:rsidR="00935A4E" w14:paraId="0DE98F6E" w14:textId="77777777" w:rsidTr="008F4115">
        <w:trPr>
          <w:cantSplit/>
        </w:trPr>
        <w:tc>
          <w:tcPr>
            <w:tcW w:w="652" w:type="dxa"/>
            <w:tcBorders>
              <w:right w:val="nil"/>
            </w:tcBorders>
            <w:shd w:val="clear" w:color="auto" w:fill="auto"/>
            <w:tcMar>
              <w:top w:w="85" w:type="dxa"/>
              <w:left w:w="85" w:type="dxa"/>
              <w:bottom w:w="85" w:type="dxa"/>
            </w:tcMar>
          </w:tcPr>
          <w:p w14:paraId="2444D2AA"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7F528B89" w14:textId="77777777" w:rsidR="00935A4E" w:rsidRDefault="00935A4E" w:rsidP="008F4115">
            <w:pPr>
              <w:spacing w:after="0"/>
              <w:rPr>
                <w:noProof/>
                <w:sz w:val="20"/>
              </w:rPr>
            </w:pPr>
            <w:r>
              <w:rPr>
                <w:noProof/>
                <w:sz w:val="20"/>
              </w:rPr>
              <w:t>Návrh NAŘÍZENÍ EVROPSKÉHO PARLAMENTU A RADY o strojních výrobcích</w:t>
            </w:r>
          </w:p>
        </w:tc>
        <w:tc>
          <w:tcPr>
            <w:tcW w:w="2126" w:type="dxa"/>
            <w:tcMar>
              <w:top w:w="85" w:type="dxa"/>
              <w:left w:w="85" w:type="dxa"/>
              <w:bottom w:w="85" w:type="dxa"/>
            </w:tcMar>
          </w:tcPr>
          <w:p w14:paraId="1CC0076D" w14:textId="77777777" w:rsidR="00935A4E" w:rsidRDefault="00935A4E" w:rsidP="008F4115">
            <w:pPr>
              <w:spacing w:after="0"/>
              <w:jc w:val="left"/>
              <w:rPr>
                <w:noProof/>
                <w:sz w:val="20"/>
              </w:rPr>
            </w:pPr>
            <w:r>
              <w:rPr>
                <w:noProof/>
                <w:sz w:val="20"/>
              </w:rPr>
              <w:t>COM(2021)202 final</w:t>
            </w:r>
            <w:r>
              <w:rPr>
                <w:noProof/>
              </w:rPr>
              <w:t xml:space="preserve"> </w:t>
            </w:r>
            <w:r>
              <w:rPr>
                <w:noProof/>
              </w:rPr>
              <w:br/>
            </w:r>
            <w:r>
              <w:rPr>
                <w:noProof/>
                <w:sz w:val="20"/>
              </w:rPr>
              <w:t>2021/0105 (COD)</w:t>
            </w:r>
            <w:r>
              <w:rPr>
                <w:noProof/>
              </w:rPr>
              <w:t xml:space="preserve"> </w:t>
            </w:r>
            <w:r>
              <w:rPr>
                <w:noProof/>
              </w:rPr>
              <w:br/>
            </w:r>
            <w:r>
              <w:rPr>
                <w:noProof/>
                <w:sz w:val="20"/>
              </w:rPr>
              <w:t>21. 4. 2021</w:t>
            </w:r>
          </w:p>
        </w:tc>
      </w:tr>
      <w:tr w:rsidR="00935A4E" w14:paraId="2F85AE55" w14:textId="77777777" w:rsidTr="008F4115">
        <w:trPr>
          <w:cantSplit/>
        </w:trPr>
        <w:tc>
          <w:tcPr>
            <w:tcW w:w="652" w:type="dxa"/>
            <w:tcBorders>
              <w:right w:val="nil"/>
            </w:tcBorders>
            <w:shd w:val="clear" w:color="auto" w:fill="auto"/>
            <w:tcMar>
              <w:top w:w="85" w:type="dxa"/>
              <w:left w:w="85" w:type="dxa"/>
              <w:bottom w:w="85" w:type="dxa"/>
            </w:tcMar>
          </w:tcPr>
          <w:p w14:paraId="54303697"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58AB3192" w14:textId="77777777" w:rsidR="00935A4E" w:rsidRDefault="00935A4E" w:rsidP="008F4115">
            <w:pPr>
              <w:spacing w:after="0"/>
              <w:rPr>
                <w:noProof/>
                <w:sz w:val="20"/>
              </w:rPr>
            </w:pPr>
            <w:r>
              <w:rPr>
                <w:noProof/>
                <w:sz w:val="20"/>
              </w:rPr>
              <w:t>Návrh NAŘÍZENÍ RADY, kterým se zřizují společné podniky v rámci programu Horizont Evropa</w:t>
            </w:r>
          </w:p>
        </w:tc>
        <w:tc>
          <w:tcPr>
            <w:tcW w:w="2126" w:type="dxa"/>
            <w:tcMar>
              <w:top w:w="85" w:type="dxa"/>
              <w:left w:w="85" w:type="dxa"/>
              <w:bottom w:w="85" w:type="dxa"/>
            </w:tcMar>
          </w:tcPr>
          <w:p w14:paraId="3A998B66" w14:textId="77777777" w:rsidR="00935A4E" w:rsidRDefault="00935A4E" w:rsidP="008F4115">
            <w:pPr>
              <w:spacing w:after="0"/>
              <w:jc w:val="left"/>
              <w:rPr>
                <w:noProof/>
                <w:sz w:val="20"/>
              </w:rPr>
            </w:pPr>
            <w:r>
              <w:rPr>
                <w:noProof/>
                <w:sz w:val="20"/>
              </w:rPr>
              <w:t>COM(2021)87 final</w:t>
            </w:r>
            <w:r>
              <w:rPr>
                <w:noProof/>
              </w:rPr>
              <w:t xml:space="preserve"> </w:t>
            </w:r>
            <w:r>
              <w:rPr>
                <w:noProof/>
              </w:rPr>
              <w:br/>
            </w:r>
            <w:r>
              <w:rPr>
                <w:noProof/>
                <w:sz w:val="20"/>
              </w:rPr>
              <w:t>2021/0048 (NLE)</w:t>
            </w:r>
            <w:r>
              <w:rPr>
                <w:noProof/>
              </w:rPr>
              <w:t xml:space="preserve"> </w:t>
            </w:r>
            <w:r>
              <w:rPr>
                <w:noProof/>
              </w:rPr>
              <w:br/>
            </w:r>
            <w:r>
              <w:rPr>
                <w:noProof/>
                <w:sz w:val="20"/>
              </w:rPr>
              <w:t>23. 2. 2021</w:t>
            </w:r>
          </w:p>
        </w:tc>
      </w:tr>
      <w:tr w:rsidR="00935A4E" w14:paraId="23FC44E9" w14:textId="77777777" w:rsidTr="008F4115">
        <w:trPr>
          <w:cantSplit/>
        </w:trPr>
        <w:tc>
          <w:tcPr>
            <w:tcW w:w="652" w:type="dxa"/>
            <w:tcBorders>
              <w:right w:val="nil"/>
            </w:tcBorders>
            <w:shd w:val="clear" w:color="auto" w:fill="auto"/>
            <w:tcMar>
              <w:top w:w="85" w:type="dxa"/>
              <w:left w:w="85" w:type="dxa"/>
              <w:bottom w:w="85" w:type="dxa"/>
            </w:tcMar>
          </w:tcPr>
          <w:p w14:paraId="367DCA65"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12CA6487" w14:textId="77777777" w:rsidR="00935A4E" w:rsidRDefault="00935A4E" w:rsidP="008F4115">
            <w:pPr>
              <w:spacing w:after="0"/>
              <w:rPr>
                <w:noProof/>
                <w:sz w:val="20"/>
              </w:rPr>
            </w:pPr>
            <w:r>
              <w:rPr>
                <w:noProof/>
                <w:sz w:val="20"/>
              </w:rPr>
              <w:t>Návrh NAŘÍZENÍ EVROPSKÉHO PARLAMENTU A RADY o spravedlivých trzích otevřených hospodářské soutěži v digitálním odvětví (akt o digitálních trzích)</w:t>
            </w:r>
          </w:p>
        </w:tc>
        <w:tc>
          <w:tcPr>
            <w:tcW w:w="2126" w:type="dxa"/>
            <w:tcMar>
              <w:top w:w="85" w:type="dxa"/>
              <w:left w:w="85" w:type="dxa"/>
              <w:bottom w:w="85" w:type="dxa"/>
            </w:tcMar>
          </w:tcPr>
          <w:p w14:paraId="797F4EBB" w14:textId="77777777" w:rsidR="00935A4E" w:rsidRDefault="00935A4E" w:rsidP="008F4115">
            <w:pPr>
              <w:spacing w:after="0"/>
              <w:jc w:val="left"/>
              <w:rPr>
                <w:noProof/>
                <w:sz w:val="20"/>
              </w:rPr>
            </w:pPr>
            <w:r>
              <w:rPr>
                <w:noProof/>
                <w:sz w:val="20"/>
              </w:rPr>
              <w:t>COM(2020)842 final</w:t>
            </w:r>
            <w:r>
              <w:rPr>
                <w:noProof/>
              </w:rPr>
              <w:t xml:space="preserve"> </w:t>
            </w:r>
            <w:r>
              <w:rPr>
                <w:noProof/>
              </w:rPr>
              <w:br/>
            </w:r>
            <w:r>
              <w:rPr>
                <w:noProof/>
                <w:sz w:val="20"/>
              </w:rPr>
              <w:t>2020/0374 (COD)</w:t>
            </w:r>
            <w:r>
              <w:rPr>
                <w:noProof/>
              </w:rPr>
              <w:t xml:space="preserve"> </w:t>
            </w:r>
            <w:r>
              <w:rPr>
                <w:noProof/>
              </w:rPr>
              <w:br/>
            </w:r>
            <w:r>
              <w:rPr>
                <w:noProof/>
                <w:sz w:val="20"/>
              </w:rPr>
              <w:t>15. 12. 2020</w:t>
            </w:r>
          </w:p>
        </w:tc>
      </w:tr>
      <w:tr w:rsidR="00935A4E" w14:paraId="64D52016" w14:textId="77777777" w:rsidTr="008F4115">
        <w:trPr>
          <w:cantSplit/>
        </w:trPr>
        <w:tc>
          <w:tcPr>
            <w:tcW w:w="652" w:type="dxa"/>
            <w:tcBorders>
              <w:right w:val="nil"/>
            </w:tcBorders>
            <w:shd w:val="clear" w:color="auto" w:fill="auto"/>
            <w:tcMar>
              <w:top w:w="85" w:type="dxa"/>
              <w:left w:w="85" w:type="dxa"/>
              <w:bottom w:w="85" w:type="dxa"/>
            </w:tcMar>
          </w:tcPr>
          <w:p w14:paraId="1FEC648E"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4ADA611E" w14:textId="77777777" w:rsidR="00935A4E" w:rsidRDefault="00935A4E" w:rsidP="008F4115">
            <w:pPr>
              <w:spacing w:after="0"/>
              <w:rPr>
                <w:noProof/>
                <w:sz w:val="20"/>
              </w:rPr>
            </w:pPr>
            <w:r>
              <w:rPr>
                <w:noProof/>
                <w:sz w:val="20"/>
              </w:rPr>
              <w:t>Návrh NAŘÍZENÍ EVROPSKÉHO PARLAMENTU A RADY o jednotném trhu digitálních služeb (akt o digitálních službách) a o změně směrnice 2000/31/ES</w:t>
            </w:r>
          </w:p>
        </w:tc>
        <w:tc>
          <w:tcPr>
            <w:tcW w:w="2126" w:type="dxa"/>
            <w:tcMar>
              <w:top w:w="85" w:type="dxa"/>
              <w:left w:w="85" w:type="dxa"/>
              <w:bottom w:w="85" w:type="dxa"/>
            </w:tcMar>
          </w:tcPr>
          <w:p w14:paraId="36CCAB51" w14:textId="7E2F068C" w:rsidR="00935A4E" w:rsidRDefault="00935A4E" w:rsidP="008F4115">
            <w:pPr>
              <w:spacing w:after="0"/>
              <w:jc w:val="left"/>
              <w:rPr>
                <w:noProof/>
                <w:sz w:val="20"/>
              </w:rPr>
            </w:pPr>
            <w:r>
              <w:rPr>
                <w:noProof/>
                <w:sz w:val="20"/>
              </w:rPr>
              <w:t>COM(2020)825 final</w:t>
            </w:r>
            <w:r>
              <w:rPr>
                <w:noProof/>
              </w:rPr>
              <w:t xml:space="preserve"> </w:t>
            </w:r>
            <w:r>
              <w:rPr>
                <w:noProof/>
              </w:rPr>
              <w:br/>
            </w:r>
            <w:r>
              <w:rPr>
                <w:noProof/>
                <w:sz w:val="20"/>
              </w:rPr>
              <w:t>2020/0361 (COD)</w:t>
            </w:r>
            <w:r>
              <w:rPr>
                <w:noProof/>
              </w:rPr>
              <w:t xml:space="preserve"> </w:t>
            </w:r>
            <w:r>
              <w:rPr>
                <w:noProof/>
              </w:rPr>
              <w:br/>
            </w:r>
            <w:r>
              <w:rPr>
                <w:noProof/>
                <w:sz w:val="20"/>
              </w:rPr>
              <w:t>15. 12. 2020</w:t>
            </w:r>
          </w:p>
        </w:tc>
      </w:tr>
      <w:tr w:rsidR="00935A4E" w14:paraId="0D3AA609" w14:textId="77777777" w:rsidTr="008F4115">
        <w:trPr>
          <w:cantSplit/>
        </w:trPr>
        <w:tc>
          <w:tcPr>
            <w:tcW w:w="652" w:type="dxa"/>
            <w:tcBorders>
              <w:right w:val="nil"/>
            </w:tcBorders>
            <w:shd w:val="clear" w:color="auto" w:fill="auto"/>
            <w:tcMar>
              <w:top w:w="85" w:type="dxa"/>
              <w:left w:w="85" w:type="dxa"/>
              <w:bottom w:w="85" w:type="dxa"/>
            </w:tcMar>
          </w:tcPr>
          <w:p w14:paraId="5F3CC7C7"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39C90AB0" w14:textId="77777777" w:rsidR="00935A4E" w:rsidRDefault="00935A4E" w:rsidP="008F4115">
            <w:pPr>
              <w:spacing w:after="0"/>
              <w:rPr>
                <w:noProof/>
                <w:sz w:val="20"/>
              </w:rPr>
            </w:pPr>
            <w:r>
              <w:rPr>
                <w:noProof/>
                <w:sz w:val="20"/>
              </w:rPr>
              <w:t>Návrh SMĚRNICE EVROPSKÉHO PARLAMENTU A RADY o opatřeních k zajištění vysoké společné úrovně kybernetické bezpečnosti v Unii a o zrušení směrnice (EU) 2016/1148</w:t>
            </w:r>
          </w:p>
        </w:tc>
        <w:tc>
          <w:tcPr>
            <w:tcW w:w="2126" w:type="dxa"/>
            <w:tcMar>
              <w:top w:w="85" w:type="dxa"/>
              <w:left w:w="85" w:type="dxa"/>
              <w:bottom w:w="85" w:type="dxa"/>
            </w:tcMar>
          </w:tcPr>
          <w:p w14:paraId="70ABE344" w14:textId="6D1B1C2C" w:rsidR="00935A4E" w:rsidRDefault="00935A4E" w:rsidP="008F4115">
            <w:pPr>
              <w:spacing w:after="0"/>
              <w:jc w:val="left"/>
              <w:rPr>
                <w:noProof/>
                <w:sz w:val="20"/>
              </w:rPr>
            </w:pPr>
            <w:r>
              <w:rPr>
                <w:noProof/>
                <w:sz w:val="20"/>
              </w:rPr>
              <w:t>COM(2020)823 final</w:t>
            </w:r>
            <w:r>
              <w:rPr>
                <w:noProof/>
              </w:rPr>
              <w:t xml:space="preserve"> </w:t>
            </w:r>
            <w:r>
              <w:rPr>
                <w:noProof/>
              </w:rPr>
              <w:br/>
            </w:r>
            <w:r>
              <w:rPr>
                <w:noProof/>
                <w:sz w:val="20"/>
              </w:rPr>
              <w:t>2020/0359 (COD)</w:t>
            </w:r>
            <w:r>
              <w:rPr>
                <w:noProof/>
              </w:rPr>
              <w:t xml:space="preserve"> </w:t>
            </w:r>
            <w:r>
              <w:rPr>
                <w:noProof/>
              </w:rPr>
              <w:br/>
            </w:r>
            <w:r>
              <w:rPr>
                <w:noProof/>
                <w:sz w:val="20"/>
              </w:rPr>
              <w:t>16. 12. 2020</w:t>
            </w:r>
          </w:p>
        </w:tc>
      </w:tr>
      <w:tr w:rsidR="00935A4E" w14:paraId="18A9534A" w14:textId="77777777" w:rsidTr="008F4115">
        <w:trPr>
          <w:cantSplit/>
        </w:trPr>
        <w:tc>
          <w:tcPr>
            <w:tcW w:w="652" w:type="dxa"/>
            <w:tcBorders>
              <w:right w:val="nil"/>
            </w:tcBorders>
            <w:shd w:val="clear" w:color="auto" w:fill="auto"/>
            <w:tcMar>
              <w:top w:w="85" w:type="dxa"/>
              <w:left w:w="85" w:type="dxa"/>
              <w:bottom w:w="85" w:type="dxa"/>
            </w:tcMar>
          </w:tcPr>
          <w:p w14:paraId="1E006457"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10161282" w14:textId="77777777" w:rsidR="00935A4E" w:rsidRDefault="00935A4E" w:rsidP="008F4115">
            <w:pPr>
              <w:spacing w:after="0"/>
              <w:rPr>
                <w:noProof/>
                <w:sz w:val="20"/>
              </w:rPr>
            </w:pPr>
            <w:r>
              <w:rPr>
                <w:noProof/>
                <w:sz w:val="20"/>
              </w:rPr>
              <w:t>Návrh NAŘÍZENÍ EVROPSKÉHO PARLAMENTU A RADY o evropské správě dat (akt o správě dat)</w:t>
            </w:r>
          </w:p>
        </w:tc>
        <w:tc>
          <w:tcPr>
            <w:tcW w:w="2126" w:type="dxa"/>
            <w:tcMar>
              <w:top w:w="85" w:type="dxa"/>
              <w:left w:w="85" w:type="dxa"/>
              <w:bottom w:w="85" w:type="dxa"/>
            </w:tcMar>
          </w:tcPr>
          <w:p w14:paraId="39D0C1D8" w14:textId="77777777" w:rsidR="00935A4E" w:rsidRDefault="00935A4E" w:rsidP="008F4115">
            <w:pPr>
              <w:spacing w:after="0"/>
              <w:jc w:val="left"/>
              <w:rPr>
                <w:noProof/>
                <w:sz w:val="20"/>
              </w:rPr>
            </w:pPr>
            <w:r>
              <w:rPr>
                <w:noProof/>
                <w:sz w:val="20"/>
              </w:rPr>
              <w:t>COM(2020)767 final</w:t>
            </w:r>
            <w:r>
              <w:rPr>
                <w:noProof/>
              </w:rPr>
              <w:t xml:space="preserve"> </w:t>
            </w:r>
            <w:r>
              <w:rPr>
                <w:noProof/>
              </w:rPr>
              <w:br/>
            </w:r>
            <w:r>
              <w:rPr>
                <w:noProof/>
                <w:sz w:val="20"/>
              </w:rPr>
              <w:t>2020/0340 (COD)</w:t>
            </w:r>
            <w:r>
              <w:rPr>
                <w:noProof/>
              </w:rPr>
              <w:t xml:space="preserve"> </w:t>
            </w:r>
            <w:r>
              <w:rPr>
                <w:noProof/>
              </w:rPr>
              <w:br/>
            </w:r>
            <w:r>
              <w:rPr>
                <w:noProof/>
                <w:sz w:val="20"/>
              </w:rPr>
              <w:t>25. 11. 2020</w:t>
            </w:r>
          </w:p>
        </w:tc>
      </w:tr>
      <w:tr w:rsidR="00935A4E" w14:paraId="6A4F063B" w14:textId="77777777" w:rsidTr="008F4115">
        <w:trPr>
          <w:cantSplit/>
        </w:trPr>
        <w:tc>
          <w:tcPr>
            <w:tcW w:w="652" w:type="dxa"/>
            <w:tcBorders>
              <w:right w:val="nil"/>
            </w:tcBorders>
            <w:shd w:val="clear" w:color="auto" w:fill="auto"/>
            <w:tcMar>
              <w:top w:w="85" w:type="dxa"/>
              <w:left w:w="85" w:type="dxa"/>
              <w:bottom w:w="85" w:type="dxa"/>
            </w:tcMar>
          </w:tcPr>
          <w:p w14:paraId="32ECECDD"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4647AFDA" w14:textId="77777777" w:rsidR="00935A4E" w:rsidRDefault="00935A4E" w:rsidP="008F4115">
            <w:pPr>
              <w:spacing w:after="0"/>
              <w:rPr>
                <w:noProof/>
                <w:sz w:val="20"/>
              </w:rPr>
            </w:pPr>
            <w:r>
              <w:rPr>
                <w:noProof/>
                <w:sz w:val="20"/>
              </w:rPr>
              <w:t>Návrh SMĚRNICE EVROPSKÉHO PARLAMENTU A RADY, kterou se mění směrnice 2006/43/ES, 2009/65/ES, 2009/138/EU, 2011/61/EU, 2013/36/EU, 2014/65/EU, (EU) 2015/2366 a (EU) 2016/2341</w:t>
            </w:r>
          </w:p>
        </w:tc>
        <w:tc>
          <w:tcPr>
            <w:tcW w:w="2126" w:type="dxa"/>
            <w:tcMar>
              <w:top w:w="85" w:type="dxa"/>
              <w:left w:w="85" w:type="dxa"/>
              <w:bottom w:w="85" w:type="dxa"/>
            </w:tcMar>
          </w:tcPr>
          <w:p w14:paraId="473228AB" w14:textId="77777777" w:rsidR="00935A4E" w:rsidRDefault="00935A4E" w:rsidP="008F4115">
            <w:pPr>
              <w:spacing w:after="0"/>
              <w:jc w:val="left"/>
              <w:rPr>
                <w:noProof/>
                <w:sz w:val="20"/>
              </w:rPr>
            </w:pPr>
            <w:r>
              <w:rPr>
                <w:noProof/>
                <w:sz w:val="20"/>
              </w:rPr>
              <w:t>COM(2020)596 final</w:t>
            </w:r>
            <w:r>
              <w:rPr>
                <w:noProof/>
              </w:rPr>
              <w:t xml:space="preserve"> </w:t>
            </w:r>
            <w:r>
              <w:rPr>
                <w:noProof/>
              </w:rPr>
              <w:br/>
            </w:r>
            <w:r>
              <w:rPr>
                <w:noProof/>
                <w:sz w:val="20"/>
              </w:rPr>
              <w:t>2020/0268 (COD)</w:t>
            </w:r>
            <w:r>
              <w:rPr>
                <w:noProof/>
              </w:rPr>
              <w:t xml:space="preserve"> </w:t>
            </w:r>
            <w:r>
              <w:rPr>
                <w:noProof/>
              </w:rPr>
              <w:br/>
            </w:r>
            <w:r>
              <w:rPr>
                <w:noProof/>
                <w:sz w:val="20"/>
              </w:rPr>
              <w:t>24. 9. 2020</w:t>
            </w:r>
          </w:p>
        </w:tc>
      </w:tr>
      <w:tr w:rsidR="00935A4E" w14:paraId="78349661" w14:textId="77777777" w:rsidTr="008F4115">
        <w:trPr>
          <w:cantSplit/>
        </w:trPr>
        <w:tc>
          <w:tcPr>
            <w:tcW w:w="652" w:type="dxa"/>
            <w:tcBorders>
              <w:right w:val="nil"/>
            </w:tcBorders>
            <w:shd w:val="clear" w:color="auto" w:fill="auto"/>
            <w:tcMar>
              <w:top w:w="85" w:type="dxa"/>
              <w:left w:w="85" w:type="dxa"/>
              <w:bottom w:w="85" w:type="dxa"/>
            </w:tcMar>
          </w:tcPr>
          <w:p w14:paraId="74AEE4AA"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748748CA" w14:textId="77777777" w:rsidR="00935A4E" w:rsidRPr="00C81A35" w:rsidRDefault="00935A4E" w:rsidP="008F4115">
            <w:pPr>
              <w:spacing w:after="0"/>
              <w:rPr>
                <w:noProof/>
                <w:sz w:val="20"/>
              </w:rPr>
            </w:pPr>
            <w:r>
              <w:rPr>
                <w:noProof/>
                <w:sz w:val="20"/>
              </w:rPr>
              <w:t>Návrh NAŘÍZENÍ EVROPSKÉHO PARLAMENTU A RADY o digitální provozní odolnosti finančního sektoru a o změně nařízení (ES) č. 1060/2009, (EU) č. 648/2012, (EU) č. 600/2014 a (EU) č. 909/2014 (DORA)</w:t>
            </w:r>
          </w:p>
        </w:tc>
        <w:tc>
          <w:tcPr>
            <w:tcW w:w="2126" w:type="dxa"/>
            <w:tcMar>
              <w:top w:w="85" w:type="dxa"/>
              <w:left w:w="85" w:type="dxa"/>
              <w:bottom w:w="85" w:type="dxa"/>
            </w:tcMar>
          </w:tcPr>
          <w:p w14:paraId="0500511E" w14:textId="77777777" w:rsidR="00935A4E" w:rsidRPr="00C81A35" w:rsidRDefault="00935A4E" w:rsidP="008F4115">
            <w:pPr>
              <w:spacing w:after="0"/>
              <w:jc w:val="left"/>
              <w:rPr>
                <w:noProof/>
                <w:sz w:val="20"/>
              </w:rPr>
            </w:pPr>
            <w:r>
              <w:rPr>
                <w:noProof/>
                <w:sz w:val="20"/>
              </w:rPr>
              <w:t>COM(2020)595 final</w:t>
            </w:r>
            <w:r>
              <w:rPr>
                <w:noProof/>
              </w:rPr>
              <w:t xml:space="preserve"> </w:t>
            </w:r>
            <w:r>
              <w:rPr>
                <w:noProof/>
              </w:rPr>
              <w:br/>
            </w:r>
            <w:r>
              <w:rPr>
                <w:noProof/>
                <w:sz w:val="20"/>
              </w:rPr>
              <w:t>2020/0266 (COD)</w:t>
            </w:r>
            <w:r>
              <w:rPr>
                <w:noProof/>
              </w:rPr>
              <w:t xml:space="preserve"> </w:t>
            </w:r>
            <w:r>
              <w:rPr>
                <w:noProof/>
              </w:rPr>
              <w:br/>
            </w:r>
            <w:r>
              <w:rPr>
                <w:noProof/>
                <w:sz w:val="20"/>
              </w:rPr>
              <w:t>24. 9. 2020</w:t>
            </w:r>
          </w:p>
        </w:tc>
      </w:tr>
      <w:tr w:rsidR="00935A4E" w14:paraId="4C91EB93" w14:textId="77777777" w:rsidTr="008F4115">
        <w:trPr>
          <w:cantSplit/>
        </w:trPr>
        <w:tc>
          <w:tcPr>
            <w:tcW w:w="652" w:type="dxa"/>
            <w:tcBorders>
              <w:right w:val="nil"/>
            </w:tcBorders>
            <w:shd w:val="clear" w:color="auto" w:fill="auto"/>
            <w:tcMar>
              <w:top w:w="85" w:type="dxa"/>
              <w:left w:w="85" w:type="dxa"/>
              <w:bottom w:w="85" w:type="dxa"/>
            </w:tcMar>
          </w:tcPr>
          <w:p w14:paraId="147A0712"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286DEC85" w14:textId="77777777" w:rsidR="00935A4E" w:rsidRDefault="00935A4E" w:rsidP="008F4115">
            <w:pPr>
              <w:spacing w:after="0"/>
              <w:rPr>
                <w:noProof/>
                <w:sz w:val="20"/>
              </w:rPr>
            </w:pPr>
            <w:r>
              <w:rPr>
                <w:noProof/>
                <w:sz w:val="20"/>
              </w:rPr>
              <w:t>Návrh NAŘÍZENÍ EVROPSKÉHO PARLAMENTU A RADY o pilotním režimu pro tržní infrastruktury založené na technologii distribuované účetní knihy</w:t>
            </w:r>
          </w:p>
        </w:tc>
        <w:tc>
          <w:tcPr>
            <w:tcW w:w="2126" w:type="dxa"/>
            <w:tcMar>
              <w:top w:w="85" w:type="dxa"/>
              <w:left w:w="85" w:type="dxa"/>
              <w:bottom w:w="85" w:type="dxa"/>
            </w:tcMar>
          </w:tcPr>
          <w:p w14:paraId="1C177FE3" w14:textId="77777777" w:rsidR="00935A4E" w:rsidRDefault="00935A4E" w:rsidP="008F4115">
            <w:pPr>
              <w:spacing w:after="0"/>
              <w:jc w:val="left"/>
              <w:rPr>
                <w:noProof/>
                <w:sz w:val="20"/>
              </w:rPr>
            </w:pPr>
            <w:r>
              <w:rPr>
                <w:noProof/>
                <w:sz w:val="20"/>
              </w:rPr>
              <w:t>COM(2020)594 final</w:t>
            </w:r>
            <w:r>
              <w:rPr>
                <w:noProof/>
              </w:rPr>
              <w:t xml:space="preserve"> </w:t>
            </w:r>
            <w:r>
              <w:rPr>
                <w:noProof/>
              </w:rPr>
              <w:br/>
            </w:r>
            <w:r>
              <w:rPr>
                <w:noProof/>
                <w:sz w:val="20"/>
              </w:rPr>
              <w:t>2020/0267 (COD)</w:t>
            </w:r>
            <w:r>
              <w:rPr>
                <w:noProof/>
              </w:rPr>
              <w:t xml:space="preserve"> </w:t>
            </w:r>
            <w:r>
              <w:rPr>
                <w:noProof/>
              </w:rPr>
              <w:br/>
            </w:r>
            <w:r>
              <w:rPr>
                <w:noProof/>
                <w:sz w:val="20"/>
              </w:rPr>
              <w:t>24. 9. 2020</w:t>
            </w:r>
          </w:p>
        </w:tc>
      </w:tr>
      <w:tr w:rsidR="00935A4E" w14:paraId="0099C85F" w14:textId="77777777" w:rsidTr="008F4115">
        <w:trPr>
          <w:cantSplit/>
        </w:trPr>
        <w:tc>
          <w:tcPr>
            <w:tcW w:w="652" w:type="dxa"/>
            <w:tcBorders>
              <w:right w:val="nil"/>
            </w:tcBorders>
            <w:shd w:val="clear" w:color="auto" w:fill="auto"/>
            <w:tcMar>
              <w:top w:w="85" w:type="dxa"/>
              <w:left w:w="85" w:type="dxa"/>
              <w:bottom w:w="85" w:type="dxa"/>
            </w:tcMar>
          </w:tcPr>
          <w:p w14:paraId="15074484"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52DC34D3" w14:textId="77777777" w:rsidR="00935A4E" w:rsidRPr="00C81A35" w:rsidRDefault="00935A4E" w:rsidP="008F4115">
            <w:pPr>
              <w:spacing w:after="0"/>
              <w:rPr>
                <w:noProof/>
                <w:sz w:val="20"/>
              </w:rPr>
            </w:pPr>
            <w:r>
              <w:rPr>
                <w:noProof/>
                <w:sz w:val="20"/>
              </w:rPr>
              <w:t>Návrh NAŘÍZENÍ EVROPSKÉHO PARLAMENTU A RADY o trzích s kryptoaktivy a o změně směrnice (EU) 2019/1937 (MICA)</w:t>
            </w:r>
          </w:p>
        </w:tc>
        <w:tc>
          <w:tcPr>
            <w:tcW w:w="2126" w:type="dxa"/>
            <w:tcMar>
              <w:top w:w="85" w:type="dxa"/>
              <w:left w:w="85" w:type="dxa"/>
              <w:bottom w:w="85" w:type="dxa"/>
            </w:tcMar>
          </w:tcPr>
          <w:p w14:paraId="64E35752" w14:textId="77777777" w:rsidR="00935A4E" w:rsidRPr="00C81A35" w:rsidRDefault="00935A4E" w:rsidP="008F4115">
            <w:pPr>
              <w:spacing w:after="0"/>
              <w:jc w:val="left"/>
              <w:rPr>
                <w:noProof/>
                <w:sz w:val="20"/>
              </w:rPr>
            </w:pPr>
            <w:r>
              <w:rPr>
                <w:noProof/>
                <w:sz w:val="20"/>
              </w:rPr>
              <w:t>COM(2020)593 final</w:t>
            </w:r>
            <w:r>
              <w:rPr>
                <w:noProof/>
              </w:rPr>
              <w:t xml:space="preserve"> </w:t>
            </w:r>
            <w:r>
              <w:rPr>
                <w:noProof/>
              </w:rPr>
              <w:br/>
            </w:r>
            <w:r>
              <w:rPr>
                <w:noProof/>
                <w:sz w:val="20"/>
              </w:rPr>
              <w:t>2020/0265 (COD)</w:t>
            </w:r>
            <w:r>
              <w:rPr>
                <w:noProof/>
              </w:rPr>
              <w:t xml:space="preserve"> </w:t>
            </w:r>
            <w:r>
              <w:rPr>
                <w:noProof/>
              </w:rPr>
              <w:br/>
            </w:r>
            <w:r>
              <w:rPr>
                <w:noProof/>
                <w:sz w:val="20"/>
              </w:rPr>
              <w:t>24. 9. 2020</w:t>
            </w:r>
          </w:p>
        </w:tc>
      </w:tr>
      <w:tr w:rsidR="00935A4E" w14:paraId="15925143" w14:textId="77777777" w:rsidTr="008F4115">
        <w:trPr>
          <w:cantSplit/>
        </w:trPr>
        <w:tc>
          <w:tcPr>
            <w:tcW w:w="652" w:type="dxa"/>
            <w:tcBorders>
              <w:right w:val="nil"/>
            </w:tcBorders>
            <w:shd w:val="clear" w:color="auto" w:fill="auto"/>
            <w:tcMar>
              <w:top w:w="85" w:type="dxa"/>
              <w:left w:w="85" w:type="dxa"/>
              <w:bottom w:w="85" w:type="dxa"/>
            </w:tcMar>
          </w:tcPr>
          <w:p w14:paraId="26A8A75A"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2F28DC13" w14:textId="77777777" w:rsidR="00935A4E" w:rsidRPr="00E023DF" w:rsidRDefault="00935A4E" w:rsidP="008F4115">
            <w:pPr>
              <w:spacing w:after="0"/>
              <w:rPr>
                <w:bCs/>
                <w:i/>
                <w:noProof/>
                <w:sz w:val="20"/>
              </w:rPr>
            </w:pPr>
            <w:r>
              <w:rPr>
                <w:noProof/>
                <w:sz w:val="20"/>
              </w:rPr>
              <w:t>Návrh NAŘÍZENÍ EVROPSKÉHO PARLAMENTU A RADY, kterým se mění nařízení (ES) č. 715/2007 o schvalování typu motorových vozidel z hlediska emisí z lehkých osobních vozidel a z užitkových vozidel (Euro 5 a Euro 6) a z hlediska přístupu k informacím o opravách a údržbě vozidla</w:t>
            </w:r>
          </w:p>
        </w:tc>
        <w:tc>
          <w:tcPr>
            <w:tcW w:w="2126" w:type="dxa"/>
            <w:tcMar>
              <w:top w:w="85" w:type="dxa"/>
              <w:left w:w="85" w:type="dxa"/>
              <w:bottom w:w="85" w:type="dxa"/>
            </w:tcMar>
          </w:tcPr>
          <w:p w14:paraId="4D8F829B" w14:textId="77777777" w:rsidR="00935A4E" w:rsidRDefault="00935A4E" w:rsidP="008F4115">
            <w:pPr>
              <w:spacing w:after="0"/>
              <w:jc w:val="left"/>
              <w:rPr>
                <w:noProof/>
                <w:sz w:val="20"/>
                <w:shd w:val="clear" w:color="auto" w:fill="FFFFFF"/>
              </w:rPr>
            </w:pPr>
            <w:r>
              <w:rPr>
                <w:noProof/>
                <w:sz w:val="20"/>
              </w:rPr>
              <w:t>COM(2019)208 final</w:t>
            </w:r>
            <w:r>
              <w:rPr>
                <w:noProof/>
              </w:rPr>
              <w:t xml:space="preserve"> </w:t>
            </w:r>
            <w:r>
              <w:rPr>
                <w:noProof/>
              </w:rPr>
              <w:br/>
            </w:r>
            <w:r>
              <w:rPr>
                <w:noProof/>
                <w:sz w:val="20"/>
              </w:rPr>
              <w:t>2019/0101 (COD)</w:t>
            </w:r>
            <w:r>
              <w:rPr>
                <w:noProof/>
              </w:rPr>
              <w:t xml:space="preserve"> </w:t>
            </w:r>
            <w:r>
              <w:rPr>
                <w:noProof/>
              </w:rPr>
              <w:br/>
            </w:r>
            <w:r>
              <w:rPr>
                <w:noProof/>
                <w:sz w:val="20"/>
              </w:rPr>
              <w:t>14. 6. 2019</w:t>
            </w:r>
          </w:p>
        </w:tc>
      </w:tr>
      <w:tr w:rsidR="00935A4E" w14:paraId="56B077A3" w14:textId="77777777" w:rsidTr="008F4115">
        <w:trPr>
          <w:cantSplit/>
        </w:trPr>
        <w:tc>
          <w:tcPr>
            <w:tcW w:w="652" w:type="dxa"/>
            <w:tcBorders>
              <w:right w:val="nil"/>
            </w:tcBorders>
            <w:shd w:val="clear" w:color="auto" w:fill="auto"/>
            <w:tcMar>
              <w:top w:w="85" w:type="dxa"/>
              <w:left w:w="85" w:type="dxa"/>
              <w:bottom w:w="85" w:type="dxa"/>
            </w:tcMar>
          </w:tcPr>
          <w:p w14:paraId="29442426"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362B911C" w14:textId="77777777" w:rsidR="00935A4E" w:rsidRDefault="00935A4E" w:rsidP="008F4115">
            <w:pPr>
              <w:spacing w:after="0"/>
              <w:rPr>
                <w:bCs/>
                <w:noProof/>
                <w:sz w:val="20"/>
              </w:rPr>
            </w:pPr>
            <w:r>
              <w:rPr>
                <w:noProof/>
                <w:sz w:val="20"/>
              </w:rPr>
              <w:t>Návrh NAŘÍZENÍ EVROPSKÉHO PARLAMENTU A RADY o respektování soukromého života a ochraně osobních údajů v elektronických komunikacích a o zrušení směrnice 2002/58/ES (nařízení o soukromí a elektronických komunikacích)</w:t>
            </w:r>
          </w:p>
        </w:tc>
        <w:tc>
          <w:tcPr>
            <w:tcW w:w="2126" w:type="dxa"/>
            <w:tcMar>
              <w:top w:w="85" w:type="dxa"/>
              <w:left w:w="85" w:type="dxa"/>
              <w:bottom w:w="85" w:type="dxa"/>
            </w:tcMar>
          </w:tcPr>
          <w:p w14:paraId="406AA7B4" w14:textId="77777777" w:rsidR="00935A4E" w:rsidRDefault="00935A4E" w:rsidP="008F4115">
            <w:pPr>
              <w:spacing w:after="0"/>
              <w:jc w:val="left"/>
              <w:rPr>
                <w:noProof/>
                <w:sz w:val="20"/>
                <w:shd w:val="clear" w:color="auto" w:fill="FFFFFF"/>
              </w:rPr>
            </w:pPr>
            <w:r>
              <w:rPr>
                <w:noProof/>
                <w:sz w:val="20"/>
              </w:rPr>
              <w:t>COM(2017)10 final</w:t>
            </w:r>
            <w:r>
              <w:rPr>
                <w:noProof/>
              </w:rPr>
              <w:t xml:space="preserve"> </w:t>
            </w:r>
            <w:r>
              <w:rPr>
                <w:noProof/>
              </w:rPr>
              <w:br/>
            </w:r>
            <w:r>
              <w:rPr>
                <w:noProof/>
                <w:sz w:val="20"/>
              </w:rPr>
              <w:t>2017/0003 (COD)</w:t>
            </w:r>
            <w:r>
              <w:rPr>
                <w:noProof/>
              </w:rPr>
              <w:t xml:space="preserve"> </w:t>
            </w:r>
            <w:r>
              <w:rPr>
                <w:noProof/>
              </w:rPr>
              <w:br/>
            </w:r>
            <w:r>
              <w:rPr>
                <w:noProof/>
                <w:sz w:val="20"/>
              </w:rPr>
              <w:t>10. 1. 2017</w:t>
            </w:r>
          </w:p>
        </w:tc>
      </w:tr>
      <w:tr w:rsidR="00935A4E" w14:paraId="2069D1D2" w14:textId="77777777" w:rsidTr="008F4115">
        <w:trPr>
          <w:cantSplit/>
        </w:trPr>
        <w:tc>
          <w:tcPr>
            <w:tcW w:w="14850" w:type="dxa"/>
            <w:gridSpan w:val="3"/>
            <w:shd w:val="clear" w:color="auto" w:fill="F68A42" w:themeFill="accent3"/>
            <w:tcMar>
              <w:top w:w="85" w:type="dxa"/>
              <w:left w:w="85" w:type="dxa"/>
              <w:bottom w:w="85" w:type="dxa"/>
              <w:right w:w="85" w:type="dxa"/>
            </w:tcMar>
          </w:tcPr>
          <w:p w14:paraId="4AEA7A7C" w14:textId="77777777" w:rsidR="00935A4E" w:rsidRDefault="00935A4E" w:rsidP="00CD7C6A">
            <w:pPr>
              <w:spacing w:before="60" w:after="60"/>
              <w:rPr>
                <w:noProof/>
                <w:sz w:val="20"/>
              </w:rPr>
            </w:pPr>
            <w:r>
              <w:rPr>
                <w:b/>
                <w:bCs/>
                <w:noProof/>
                <w:color w:val="FFFFFF" w:themeColor="background1"/>
                <w:sz w:val="20"/>
              </w:rPr>
              <w:t>Hospodářství ve prospěch lidí</w:t>
            </w:r>
          </w:p>
        </w:tc>
      </w:tr>
      <w:tr w:rsidR="00935A4E" w14:paraId="051FF153" w14:textId="77777777" w:rsidTr="008F4115">
        <w:trPr>
          <w:cantSplit/>
        </w:trPr>
        <w:tc>
          <w:tcPr>
            <w:tcW w:w="652" w:type="dxa"/>
            <w:tcBorders>
              <w:right w:val="nil"/>
            </w:tcBorders>
            <w:shd w:val="clear" w:color="auto" w:fill="auto"/>
            <w:tcMar>
              <w:top w:w="85" w:type="dxa"/>
              <w:left w:w="85" w:type="dxa"/>
              <w:bottom w:w="85" w:type="dxa"/>
            </w:tcMar>
          </w:tcPr>
          <w:p w14:paraId="16A338E9"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0ECB1166" w14:textId="6B6E0A77" w:rsidR="00935A4E" w:rsidRDefault="00935A4E" w:rsidP="008F4115">
            <w:pPr>
              <w:spacing w:after="0"/>
              <w:rPr>
                <w:noProof/>
                <w:sz w:val="20"/>
              </w:rPr>
            </w:pPr>
            <w:r>
              <w:rPr>
                <w:noProof/>
                <w:sz w:val="20"/>
              </w:rPr>
              <w:t>Návrh SMĚRNICE EVROPSKÉHO PARLAMENTU A RADY, kterou se mění směrnice 2009/138/ES, pokud jde o proporcionalitu, kvalitu dohledu, podávání zpráv, opatření týkající se dlouhodobých záruk, makroobezřetnostní nástroje, rizika pro udržitelnost, dohled nad skupinou a přeshraniční dohled</w:t>
            </w:r>
          </w:p>
        </w:tc>
        <w:tc>
          <w:tcPr>
            <w:tcW w:w="2126" w:type="dxa"/>
            <w:tcMar>
              <w:top w:w="85" w:type="dxa"/>
              <w:left w:w="85" w:type="dxa"/>
              <w:bottom w:w="85" w:type="dxa"/>
            </w:tcMar>
          </w:tcPr>
          <w:p w14:paraId="307B4C04" w14:textId="7B982D5A" w:rsidR="00935A4E" w:rsidRDefault="00935A4E">
            <w:pPr>
              <w:spacing w:after="0"/>
              <w:jc w:val="left"/>
              <w:rPr>
                <w:noProof/>
                <w:sz w:val="20"/>
              </w:rPr>
            </w:pPr>
            <w:r>
              <w:rPr>
                <w:noProof/>
                <w:sz w:val="20"/>
              </w:rPr>
              <w:t>COM(2021)581 final</w:t>
            </w:r>
            <w:r>
              <w:rPr>
                <w:noProof/>
              </w:rPr>
              <w:t xml:space="preserve"> </w:t>
            </w:r>
            <w:r>
              <w:rPr>
                <w:noProof/>
              </w:rPr>
              <w:br/>
            </w:r>
            <w:r>
              <w:rPr>
                <w:noProof/>
                <w:sz w:val="20"/>
              </w:rPr>
              <w:t>2021/0295 (COD)</w:t>
            </w:r>
            <w:r>
              <w:rPr>
                <w:noProof/>
              </w:rPr>
              <w:t xml:space="preserve"> </w:t>
            </w:r>
            <w:r>
              <w:rPr>
                <w:noProof/>
              </w:rPr>
              <w:br/>
            </w:r>
            <w:r>
              <w:rPr>
                <w:noProof/>
                <w:sz w:val="20"/>
              </w:rPr>
              <w:t>22. 9. 2021</w:t>
            </w:r>
          </w:p>
        </w:tc>
      </w:tr>
      <w:tr w:rsidR="00935A4E" w14:paraId="1DEF18BC" w14:textId="77777777" w:rsidTr="008F4115">
        <w:trPr>
          <w:cantSplit/>
        </w:trPr>
        <w:tc>
          <w:tcPr>
            <w:tcW w:w="652" w:type="dxa"/>
            <w:tcBorders>
              <w:right w:val="nil"/>
            </w:tcBorders>
            <w:shd w:val="clear" w:color="auto" w:fill="auto"/>
            <w:tcMar>
              <w:top w:w="85" w:type="dxa"/>
              <w:left w:w="85" w:type="dxa"/>
              <w:bottom w:w="85" w:type="dxa"/>
            </w:tcMar>
          </w:tcPr>
          <w:p w14:paraId="3579B5A6"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193A797F" w14:textId="77777777" w:rsidR="00935A4E" w:rsidRDefault="00935A4E" w:rsidP="008F4115">
            <w:pPr>
              <w:spacing w:after="0"/>
              <w:rPr>
                <w:noProof/>
                <w:sz w:val="20"/>
              </w:rPr>
            </w:pPr>
            <w:r>
              <w:rPr>
                <w:noProof/>
                <w:sz w:val="20"/>
              </w:rPr>
              <w:t>Návrh SMĚRNICE EVROPSKÉHO PARLAMENTU A RADY, kterou se stanoví rámec pro ozdravné postupy a řešení krize pojišťoven a zajišťoven a kterou se mění směrnice 2002/47/ES, 2004/25/ES, 2009/138/ES, (EU) 2017/1132 a nařízení (EU) č. 1094/2010 a (EU) č. 648/2012</w:t>
            </w:r>
          </w:p>
        </w:tc>
        <w:tc>
          <w:tcPr>
            <w:tcW w:w="2126" w:type="dxa"/>
            <w:tcMar>
              <w:top w:w="85" w:type="dxa"/>
              <w:left w:w="85" w:type="dxa"/>
              <w:bottom w:w="85" w:type="dxa"/>
            </w:tcMar>
          </w:tcPr>
          <w:p w14:paraId="7776A6EF" w14:textId="5A8B7779" w:rsidR="00935A4E" w:rsidRDefault="00935A4E" w:rsidP="003A3EEC">
            <w:pPr>
              <w:spacing w:after="0"/>
              <w:jc w:val="left"/>
              <w:rPr>
                <w:noProof/>
                <w:sz w:val="20"/>
              </w:rPr>
            </w:pPr>
            <w:r>
              <w:rPr>
                <w:noProof/>
                <w:sz w:val="20"/>
              </w:rPr>
              <w:t>COM(2021)582 final</w:t>
            </w:r>
            <w:r>
              <w:rPr>
                <w:noProof/>
              </w:rPr>
              <w:t xml:space="preserve"> </w:t>
            </w:r>
            <w:r>
              <w:rPr>
                <w:noProof/>
              </w:rPr>
              <w:br/>
            </w:r>
            <w:r>
              <w:rPr>
                <w:noProof/>
                <w:sz w:val="20"/>
              </w:rPr>
              <w:t>2021/096 (COD)</w:t>
            </w:r>
            <w:r>
              <w:rPr>
                <w:noProof/>
              </w:rPr>
              <w:t xml:space="preserve"> </w:t>
            </w:r>
            <w:r>
              <w:rPr>
                <w:noProof/>
              </w:rPr>
              <w:br/>
            </w:r>
            <w:r>
              <w:rPr>
                <w:noProof/>
                <w:sz w:val="20"/>
              </w:rPr>
              <w:t>22. 9. 2021</w:t>
            </w:r>
          </w:p>
        </w:tc>
      </w:tr>
      <w:tr w:rsidR="00935A4E" w14:paraId="2DE96971" w14:textId="77777777" w:rsidTr="008F4115">
        <w:trPr>
          <w:cantSplit/>
        </w:trPr>
        <w:tc>
          <w:tcPr>
            <w:tcW w:w="652" w:type="dxa"/>
            <w:tcBorders>
              <w:right w:val="nil"/>
            </w:tcBorders>
            <w:shd w:val="clear" w:color="auto" w:fill="auto"/>
            <w:tcMar>
              <w:top w:w="85" w:type="dxa"/>
              <w:left w:w="85" w:type="dxa"/>
              <w:bottom w:w="85" w:type="dxa"/>
            </w:tcMar>
          </w:tcPr>
          <w:p w14:paraId="7894AC26"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7A9D356C" w14:textId="77777777" w:rsidR="00935A4E" w:rsidRDefault="00935A4E" w:rsidP="008F4115">
            <w:pPr>
              <w:spacing w:after="0"/>
              <w:rPr>
                <w:noProof/>
                <w:sz w:val="20"/>
              </w:rPr>
            </w:pPr>
            <w:r>
              <w:rPr>
                <w:noProof/>
                <w:sz w:val="20"/>
              </w:rPr>
              <w:t>Návrh NAŘÍZENÍ EVROPSKÉHO PARLAMENTU A RADY o uplatňování systému všeobecných celních preferencí a o zrušení nařízení Evropského parlamentu a Rady (EU) č. 978/2012</w:t>
            </w:r>
          </w:p>
        </w:tc>
        <w:tc>
          <w:tcPr>
            <w:tcW w:w="2126" w:type="dxa"/>
            <w:tcMar>
              <w:top w:w="85" w:type="dxa"/>
              <w:left w:w="85" w:type="dxa"/>
              <w:bottom w:w="85" w:type="dxa"/>
            </w:tcMar>
          </w:tcPr>
          <w:p w14:paraId="28F3D970" w14:textId="3373469B" w:rsidR="00935A4E" w:rsidRDefault="00935A4E" w:rsidP="003A3EEC">
            <w:pPr>
              <w:spacing w:after="0"/>
              <w:jc w:val="left"/>
              <w:rPr>
                <w:noProof/>
                <w:sz w:val="20"/>
              </w:rPr>
            </w:pPr>
            <w:r>
              <w:rPr>
                <w:noProof/>
                <w:sz w:val="20"/>
              </w:rPr>
              <w:t>COM(2021)579 final</w:t>
            </w:r>
            <w:r>
              <w:rPr>
                <w:noProof/>
              </w:rPr>
              <w:t xml:space="preserve"> </w:t>
            </w:r>
            <w:r>
              <w:rPr>
                <w:noProof/>
              </w:rPr>
              <w:br/>
            </w:r>
            <w:r>
              <w:rPr>
                <w:noProof/>
                <w:sz w:val="20"/>
              </w:rPr>
              <w:t>2021/0297 (COD)</w:t>
            </w:r>
            <w:r>
              <w:rPr>
                <w:noProof/>
              </w:rPr>
              <w:t xml:space="preserve"> </w:t>
            </w:r>
            <w:r>
              <w:rPr>
                <w:noProof/>
              </w:rPr>
              <w:br/>
            </w:r>
            <w:r>
              <w:rPr>
                <w:noProof/>
                <w:sz w:val="20"/>
              </w:rPr>
              <w:t>22. 9. 2021</w:t>
            </w:r>
          </w:p>
        </w:tc>
      </w:tr>
      <w:tr w:rsidR="00935A4E" w14:paraId="094AEB6A" w14:textId="77777777" w:rsidTr="008F4115">
        <w:trPr>
          <w:cantSplit/>
        </w:trPr>
        <w:tc>
          <w:tcPr>
            <w:tcW w:w="652" w:type="dxa"/>
            <w:tcBorders>
              <w:right w:val="nil"/>
            </w:tcBorders>
            <w:shd w:val="clear" w:color="auto" w:fill="auto"/>
            <w:tcMar>
              <w:top w:w="85" w:type="dxa"/>
              <w:left w:w="85" w:type="dxa"/>
              <w:bottom w:w="85" w:type="dxa"/>
            </w:tcMar>
          </w:tcPr>
          <w:p w14:paraId="6E7EE007"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14654D6E" w14:textId="77777777" w:rsidR="00935A4E" w:rsidRDefault="00935A4E" w:rsidP="008F4115">
            <w:pPr>
              <w:spacing w:after="0"/>
              <w:rPr>
                <w:noProof/>
                <w:sz w:val="20"/>
              </w:rPr>
            </w:pPr>
            <w:r>
              <w:rPr>
                <w:noProof/>
                <w:sz w:val="20"/>
              </w:rPr>
              <w:t>Návrh SMĚRNICE EVROPSKÉHO PARLAMENTU A RADY o mechanismech, které mají členské státy zavést za účelem předcházení využívání finančního systému k praní peněz nebo financování terorismu, a o zrušení směrnice (EU) 2015/849</w:t>
            </w:r>
          </w:p>
        </w:tc>
        <w:tc>
          <w:tcPr>
            <w:tcW w:w="2126" w:type="dxa"/>
            <w:tcMar>
              <w:top w:w="85" w:type="dxa"/>
              <w:left w:w="85" w:type="dxa"/>
              <w:bottom w:w="85" w:type="dxa"/>
            </w:tcMar>
          </w:tcPr>
          <w:p w14:paraId="0D582332" w14:textId="77777777" w:rsidR="00935A4E" w:rsidRDefault="00935A4E" w:rsidP="008F4115">
            <w:pPr>
              <w:spacing w:after="0"/>
              <w:jc w:val="left"/>
              <w:rPr>
                <w:noProof/>
                <w:sz w:val="20"/>
              </w:rPr>
            </w:pPr>
            <w:r>
              <w:rPr>
                <w:noProof/>
                <w:sz w:val="20"/>
              </w:rPr>
              <w:t>COM(2021)423 final</w:t>
            </w:r>
            <w:r>
              <w:rPr>
                <w:noProof/>
              </w:rPr>
              <w:t xml:space="preserve"> </w:t>
            </w:r>
            <w:r>
              <w:rPr>
                <w:noProof/>
              </w:rPr>
              <w:br/>
            </w:r>
            <w:r>
              <w:rPr>
                <w:noProof/>
                <w:sz w:val="20"/>
              </w:rPr>
              <w:t>2021/0250 (COD)</w:t>
            </w:r>
            <w:r>
              <w:rPr>
                <w:noProof/>
              </w:rPr>
              <w:t xml:space="preserve"> </w:t>
            </w:r>
            <w:r>
              <w:rPr>
                <w:noProof/>
              </w:rPr>
              <w:br/>
            </w:r>
            <w:r>
              <w:rPr>
                <w:noProof/>
                <w:sz w:val="20"/>
              </w:rPr>
              <w:t>20. 7. 2021</w:t>
            </w:r>
          </w:p>
        </w:tc>
      </w:tr>
      <w:tr w:rsidR="00935A4E" w14:paraId="15D5593F" w14:textId="77777777" w:rsidTr="008F4115">
        <w:trPr>
          <w:cantSplit/>
        </w:trPr>
        <w:tc>
          <w:tcPr>
            <w:tcW w:w="652" w:type="dxa"/>
            <w:tcBorders>
              <w:right w:val="nil"/>
            </w:tcBorders>
            <w:shd w:val="clear" w:color="auto" w:fill="auto"/>
            <w:tcMar>
              <w:top w:w="85" w:type="dxa"/>
              <w:left w:w="85" w:type="dxa"/>
              <w:bottom w:w="85" w:type="dxa"/>
            </w:tcMar>
          </w:tcPr>
          <w:p w14:paraId="1A360878"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25EF9799" w14:textId="77777777" w:rsidR="00935A4E" w:rsidRDefault="00935A4E" w:rsidP="008F4115">
            <w:pPr>
              <w:spacing w:after="0"/>
              <w:rPr>
                <w:noProof/>
                <w:sz w:val="20"/>
              </w:rPr>
            </w:pPr>
            <w:r>
              <w:rPr>
                <w:noProof/>
                <w:sz w:val="20"/>
              </w:rPr>
              <w:t>Návrh NAŘÍZENÍ EVROPSKÉHO PARLAMENTU A RADY o informacích doprovázejících převody peněžních prostředků a některých kryptoaktiv (přepracované znění)</w:t>
            </w:r>
          </w:p>
        </w:tc>
        <w:tc>
          <w:tcPr>
            <w:tcW w:w="2126" w:type="dxa"/>
            <w:tcMar>
              <w:top w:w="85" w:type="dxa"/>
              <w:left w:w="85" w:type="dxa"/>
              <w:bottom w:w="85" w:type="dxa"/>
            </w:tcMar>
          </w:tcPr>
          <w:p w14:paraId="73977E4E" w14:textId="77777777" w:rsidR="00935A4E" w:rsidRDefault="00935A4E" w:rsidP="008F4115">
            <w:pPr>
              <w:spacing w:after="0"/>
              <w:jc w:val="left"/>
              <w:rPr>
                <w:noProof/>
                <w:sz w:val="20"/>
              </w:rPr>
            </w:pPr>
            <w:r>
              <w:rPr>
                <w:noProof/>
                <w:sz w:val="20"/>
              </w:rPr>
              <w:t>COM(2021)422 final</w:t>
            </w:r>
            <w:r>
              <w:rPr>
                <w:noProof/>
              </w:rPr>
              <w:t xml:space="preserve"> </w:t>
            </w:r>
            <w:r>
              <w:rPr>
                <w:noProof/>
              </w:rPr>
              <w:br/>
            </w:r>
            <w:r>
              <w:rPr>
                <w:noProof/>
                <w:sz w:val="20"/>
              </w:rPr>
              <w:t>2021/0241 (COD)</w:t>
            </w:r>
            <w:r>
              <w:rPr>
                <w:noProof/>
              </w:rPr>
              <w:t xml:space="preserve"> </w:t>
            </w:r>
            <w:r>
              <w:rPr>
                <w:noProof/>
              </w:rPr>
              <w:br/>
            </w:r>
            <w:r>
              <w:rPr>
                <w:noProof/>
                <w:sz w:val="20"/>
              </w:rPr>
              <w:t>20. 7. 2021</w:t>
            </w:r>
          </w:p>
        </w:tc>
      </w:tr>
      <w:tr w:rsidR="00935A4E" w14:paraId="3CE2AA16" w14:textId="77777777" w:rsidTr="008F4115">
        <w:trPr>
          <w:cantSplit/>
        </w:trPr>
        <w:tc>
          <w:tcPr>
            <w:tcW w:w="652" w:type="dxa"/>
            <w:tcBorders>
              <w:right w:val="nil"/>
            </w:tcBorders>
            <w:shd w:val="clear" w:color="auto" w:fill="auto"/>
            <w:tcMar>
              <w:top w:w="85" w:type="dxa"/>
              <w:left w:w="85" w:type="dxa"/>
              <w:bottom w:w="85" w:type="dxa"/>
            </w:tcMar>
          </w:tcPr>
          <w:p w14:paraId="34CD705F"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485CC5FA" w14:textId="77777777" w:rsidR="00935A4E" w:rsidRDefault="00935A4E" w:rsidP="008F4115">
            <w:pPr>
              <w:tabs>
                <w:tab w:val="left" w:pos="5300"/>
              </w:tabs>
              <w:spacing w:after="0"/>
              <w:rPr>
                <w:noProof/>
                <w:sz w:val="20"/>
              </w:rPr>
            </w:pPr>
            <w:r>
              <w:rPr>
                <w:noProof/>
                <w:sz w:val="20"/>
              </w:rPr>
              <w:t>Návrh NAŘÍZENÍ EVROPSKÉHO PARLAMENTU A RADY, kterým se zřizuje Orgán pro boj proti praní peněz a financování terorismu a mění nařízení (EU) č. 1093/2010, (EU) č. 1094/2010 a (EU) č. 1095/2010</w:t>
            </w:r>
          </w:p>
        </w:tc>
        <w:tc>
          <w:tcPr>
            <w:tcW w:w="2126" w:type="dxa"/>
            <w:tcMar>
              <w:top w:w="85" w:type="dxa"/>
              <w:left w:w="85" w:type="dxa"/>
              <w:bottom w:w="85" w:type="dxa"/>
            </w:tcMar>
          </w:tcPr>
          <w:p w14:paraId="2A23DD04" w14:textId="77777777" w:rsidR="00935A4E" w:rsidRDefault="00935A4E" w:rsidP="008F4115">
            <w:pPr>
              <w:spacing w:after="0"/>
              <w:jc w:val="left"/>
              <w:rPr>
                <w:noProof/>
                <w:sz w:val="20"/>
              </w:rPr>
            </w:pPr>
            <w:r>
              <w:rPr>
                <w:noProof/>
                <w:sz w:val="20"/>
              </w:rPr>
              <w:t>COM(2021)421 final</w:t>
            </w:r>
            <w:r>
              <w:rPr>
                <w:noProof/>
              </w:rPr>
              <w:t xml:space="preserve"> </w:t>
            </w:r>
            <w:r>
              <w:rPr>
                <w:noProof/>
              </w:rPr>
              <w:br/>
            </w:r>
            <w:r>
              <w:rPr>
                <w:noProof/>
                <w:sz w:val="20"/>
              </w:rPr>
              <w:t>2021/0240 (COD)</w:t>
            </w:r>
            <w:r>
              <w:rPr>
                <w:noProof/>
              </w:rPr>
              <w:t xml:space="preserve"> </w:t>
            </w:r>
            <w:r>
              <w:rPr>
                <w:noProof/>
              </w:rPr>
              <w:br/>
            </w:r>
            <w:r>
              <w:rPr>
                <w:noProof/>
                <w:sz w:val="20"/>
              </w:rPr>
              <w:t>22. 7. 2021</w:t>
            </w:r>
          </w:p>
        </w:tc>
      </w:tr>
      <w:tr w:rsidR="00935A4E" w14:paraId="7B65C642" w14:textId="77777777" w:rsidTr="008F4115">
        <w:trPr>
          <w:cantSplit/>
        </w:trPr>
        <w:tc>
          <w:tcPr>
            <w:tcW w:w="652" w:type="dxa"/>
            <w:tcBorders>
              <w:right w:val="nil"/>
            </w:tcBorders>
            <w:shd w:val="clear" w:color="auto" w:fill="auto"/>
            <w:tcMar>
              <w:top w:w="85" w:type="dxa"/>
              <w:left w:w="85" w:type="dxa"/>
              <w:bottom w:w="85" w:type="dxa"/>
            </w:tcMar>
          </w:tcPr>
          <w:p w14:paraId="5EA3DA58"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4EFC3F54" w14:textId="77777777" w:rsidR="00935A4E" w:rsidRDefault="00935A4E" w:rsidP="008F4115">
            <w:pPr>
              <w:spacing w:after="0"/>
              <w:rPr>
                <w:noProof/>
                <w:sz w:val="20"/>
              </w:rPr>
            </w:pPr>
            <w:r>
              <w:rPr>
                <w:noProof/>
                <w:sz w:val="20"/>
              </w:rPr>
              <w:t>Návrh NAŘÍZENÍ EVROPSKÉHO PARLAMENTU A RADY o předcházení využívání finančního systému k praní peněz nebo financování terorismu</w:t>
            </w:r>
          </w:p>
        </w:tc>
        <w:tc>
          <w:tcPr>
            <w:tcW w:w="2126" w:type="dxa"/>
            <w:tcMar>
              <w:top w:w="85" w:type="dxa"/>
              <w:left w:w="85" w:type="dxa"/>
              <w:bottom w:w="85" w:type="dxa"/>
            </w:tcMar>
          </w:tcPr>
          <w:p w14:paraId="3E165FCB" w14:textId="77777777" w:rsidR="00935A4E" w:rsidRDefault="00935A4E" w:rsidP="008F4115">
            <w:pPr>
              <w:spacing w:after="0"/>
              <w:jc w:val="left"/>
              <w:rPr>
                <w:noProof/>
                <w:sz w:val="20"/>
              </w:rPr>
            </w:pPr>
            <w:r>
              <w:rPr>
                <w:noProof/>
                <w:sz w:val="20"/>
              </w:rPr>
              <w:t>COM(2021)420 final</w:t>
            </w:r>
            <w:r>
              <w:rPr>
                <w:noProof/>
              </w:rPr>
              <w:t xml:space="preserve"> </w:t>
            </w:r>
            <w:r>
              <w:rPr>
                <w:noProof/>
              </w:rPr>
              <w:br/>
            </w:r>
            <w:r>
              <w:rPr>
                <w:noProof/>
                <w:sz w:val="20"/>
              </w:rPr>
              <w:t>2021/0239 (COD)</w:t>
            </w:r>
            <w:r>
              <w:rPr>
                <w:noProof/>
              </w:rPr>
              <w:t xml:space="preserve"> </w:t>
            </w:r>
            <w:r>
              <w:rPr>
                <w:noProof/>
              </w:rPr>
              <w:br/>
            </w:r>
            <w:r>
              <w:rPr>
                <w:noProof/>
                <w:sz w:val="20"/>
              </w:rPr>
              <w:t>20. 7. 2021</w:t>
            </w:r>
          </w:p>
        </w:tc>
      </w:tr>
      <w:tr w:rsidR="00935A4E" w14:paraId="60ADC09C" w14:textId="77777777" w:rsidTr="008F4115">
        <w:trPr>
          <w:cantSplit/>
        </w:trPr>
        <w:tc>
          <w:tcPr>
            <w:tcW w:w="652" w:type="dxa"/>
            <w:tcBorders>
              <w:right w:val="nil"/>
            </w:tcBorders>
            <w:shd w:val="clear" w:color="auto" w:fill="auto"/>
            <w:tcMar>
              <w:top w:w="85" w:type="dxa"/>
              <w:left w:w="85" w:type="dxa"/>
              <w:bottom w:w="85" w:type="dxa"/>
            </w:tcMar>
          </w:tcPr>
          <w:p w14:paraId="0A73D82D"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1938F61D" w14:textId="77777777" w:rsidR="00935A4E" w:rsidRDefault="00935A4E" w:rsidP="008F4115">
            <w:pPr>
              <w:spacing w:after="0"/>
              <w:rPr>
                <w:noProof/>
                <w:sz w:val="20"/>
              </w:rPr>
            </w:pPr>
            <w:r>
              <w:rPr>
                <w:noProof/>
                <w:sz w:val="20"/>
              </w:rPr>
              <w:t>Návrh NAŘÍZENÍ EVROPSKÉHO PARLAMENTU A RADY o evropských zelených dluhopisech</w:t>
            </w:r>
          </w:p>
        </w:tc>
        <w:tc>
          <w:tcPr>
            <w:tcW w:w="2126" w:type="dxa"/>
            <w:tcMar>
              <w:top w:w="85" w:type="dxa"/>
              <w:left w:w="85" w:type="dxa"/>
              <w:bottom w:w="85" w:type="dxa"/>
            </w:tcMar>
          </w:tcPr>
          <w:p w14:paraId="3946801E" w14:textId="77777777" w:rsidR="00935A4E" w:rsidRDefault="00935A4E" w:rsidP="008F4115">
            <w:pPr>
              <w:spacing w:after="0"/>
              <w:jc w:val="left"/>
              <w:rPr>
                <w:noProof/>
                <w:sz w:val="20"/>
              </w:rPr>
            </w:pPr>
            <w:r>
              <w:rPr>
                <w:noProof/>
                <w:sz w:val="20"/>
              </w:rPr>
              <w:t>COM(2021)391 final</w:t>
            </w:r>
            <w:r>
              <w:rPr>
                <w:noProof/>
              </w:rPr>
              <w:t xml:space="preserve"> </w:t>
            </w:r>
            <w:r>
              <w:rPr>
                <w:noProof/>
              </w:rPr>
              <w:br/>
            </w:r>
            <w:r>
              <w:rPr>
                <w:noProof/>
                <w:sz w:val="20"/>
              </w:rPr>
              <w:t>2021/0191 (COD)</w:t>
            </w:r>
            <w:r>
              <w:rPr>
                <w:noProof/>
              </w:rPr>
              <w:t xml:space="preserve"> </w:t>
            </w:r>
            <w:r>
              <w:rPr>
                <w:noProof/>
              </w:rPr>
              <w:br/>
            </w:r>
            <w:r>
              <w:rPr>
                <w:noProof/>
                <w:sz w:val="20"/>
              </w:rPr>
              <w:t>6. 7. 2021</w:t>
            </w:r>
          </w:p>
        </w:tc>
      </w:tr>
      <w:tr w:rsidR="00935A4E" w14:paraId="5847672E" w14:textId="77777777" w:rsidTr="008F4115">
        <w:trPr>
          <w:cantSplit/>
        </w:trPr>
        <w:tc>
          <w:tcPr>
            <w:tcW w:w="652" w:type="dxa"/>
            <w:tcBorders>
              <w:right w:val="nil"/>
            </w:tcBorders>
            <w:shd w:val="clear" w:color="auto" w:fill="auto"/>
            <w:tcMar>
              <w:top w:w="85" w:type="dxa"/>
              <w:left w:w="85" w:type="dxa"/>
              <w:bottom w:w="85" w:type="dxa"/>
            </w:tcMar>
          </w:tcPr>
          <w:p w14:paraId="04C305FB"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48C9117A" w14:textId="77777777" w:rsidR="00935A4E" w:rsidRPr="00C81A35" w:rsidRDefault="00935A4E" w:rsidP="008F4115">
            <w:pPr>
              <w:tabs>
                <w:tab w:val="left" w:pos="6580"/>
              </w:tabs>
              <w:spacing w:after="0"/>
              <w:rPr>
                <w:noProof/>
                <w:sz w:val="20"/>
              </w:rPr>
            </w:pPr>
            <w:r>
              <w:rPr>
                <w:noProof/>
                <w:sz w:val="20"/>
              </w:rPr>
              <w:t>Návrh SMĚRNICE EVROPSKÉHO PARLAMENTU A RADY, kterou se mění směrnice 2013/34/EU, směrnice 2004/109/ES, směrnice 2006/43/ES a nařízení (EU) č. 537/2014, pokud jde o podávání zpráv podniků o udržitelnosti</w:t>
            </w:r>
          </w:p>
        </w:tc>
        <w:tc>
          <w:tcPr>
            <w:tcW w:w="2126" w:type="dxa"/>
            <w:tcMar>
              <w:top w:w="85" w:type="dxa"/>
              <w:left w:w="85" w:type="dxa"/>
              <w:bottom w:w="85" w:type="dxa"/>
            </w:tcMar>
          </w:tcPr>
          <w:p w14:paraId="64B03E00" w14:textId="5F4DA5EA" w:rsidR="00935A4E" w:rsidRDefault="00935A4E" w:rsidP="008F4115">
            <w:pPr>
              <w:spacing w:after="0"/>
              <w:jc w:val="left"/>
              <w:rPr>
                <w:noProof/>
                <w:sz w:val="20"/>
              </w:rPr>
            </w:pPr>
            <w:r>
              <w:rPr>
                <w:noProof/>
                <w:sz w:val="20"/>
              </w:rPr>
              <w:t>COM(2021)189 final</w:t>
            </w:r>
            <w:r>
              <w:rPr>
                <w:noProof/>
              </w:rPr>
              <w:t xml:space="preserve"> </w:t>
            </w:r>
            <w:r>
              <w:rPr>
                <w:noProof/>
              </w:rPr>
              <w:br/>
            </w:r>
            <w:r>
              <w:rPr>
                <w:noProof/>
                <w:sz w:val="20"/>
              </w:rPr>
              <w:t>2021/0104 (COD)</w:t>
            </w:r>
            <w:r>
              <w:rPr>
                <w:noProof/>
              </w:rPr>
              <w:t xml:space="preserve"> </w:t>
            </w:r>
            <w:r>
              <w:rPr>
                <w:noProof/>
              </w:rPr>
              <w:br/>
            </w:r>
            <w:r>
              <w:rPr>
                <w:noProof/>
                <w:sz w:val="20"/>
              </w:rPr>
              <w:t>21. 4. 2021</w:t>
            </w:r>
          </w:p>
        </w:tc>
      </w:tr>
      <w:tr w:rsidR="00935A4E" w14:paraId="021B8064" w14:textId="77777777" w:rsidTr="008F4115">
        <w:trPr>
          <w:cantSplit/>
        </w:trPr>
        <w:tc>
          <w:tcPr>
            <w:tcW w:w="652" w:type="dxa"/>
            <w:tcBorders>
              <w:right w:val="nil"/>
            </w:tcBorders>
            <w:shd w:val="clear" w:color="auto" w:fill="auto"/>
            <w:tcMar>
              <w:top w:w="85" w:type="dxa"/>
              <w:left w:w="85" w:type="dxa"/>
              <w:bottom w:w="85" w:type="dxa"/>
            </w:tcMar>
          </w:tcPr>
          <w:p w14:paraId="464E401A"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42FE10F8" w14:textId="77777777" w:rsidR="00935A4E" w:rsidRDefault="00935A4E" w:rsidP="008F4115">
            <w:pPr>
              <w:tabs>
                <w:tab w:val="left" w:pos="4030"/>
              </w:tabs>
              <w:spacing w:after="0"/>
              <w:rPr>
                <w:noProof/>
                <w:sz w:val="20"/>
              </w:rPr>
            </w:pPr>
            <w:r>
              <w:rPr>
                <w:noProof/>
                <w:sz w:val="20"/>
              </w:rPr>
              <w:t>Návrh SMĚRNICE EVROPSKÉHO PARLAMENTU A RADY o přiměřených minimálních mzdách v Evropské unii</w:t>
            </w:r>
          </w:p>
        </w:tc>
        <w:tc>
          <w:tcPr>
            <w:tcW w:w="2126" w:type="dxa"/>
            <w:tcMar>
              <w:top w:w="85" w:type="dxa"/>
              <w:left w:w="85" w:type="dxa"/>
              <w:bottom w:w="85" w:type="dxa"/>
            </w:tcMar>
          </w:tcPr>
          <w:p w14:paraId="27DDC6AC" w14:textId="77777777" w:rsidR="00935A4E" w:rsidRDefault="00935A4E" w:rsidP="008F4115">
            <w:pPr>
              <w:spacing w:after="0"/>
              <w:jc w:val="left"/>
              <w:rPr>
                <w:noProof/>
                <w:sz w:val="20"/>
              </w:rPr>
            </w:pPr>
            <w:r>
              <w:rPr>
                <w:noProof/>
                <w:sz w:val="20"/>
              </w:rPr>
              <w:t>COM(2020)682 final</w:t>
            </w:r>
            <w:r>
              <w:rPr>
                <w:noProof/>
              </w:rPr>
              <w:t xml:space="preserve"> </w:t>
            </w:r>
            <w:r>
              <w:rPr>
                <w:noProof/>
              </w:rPr>
              <w:br/>
            </w:r>
            <w:r>
              <w:rPr>
                <w:noProof/>
                <w:sz w:val="20"/>
              </w:rPr>
              <w:t>2020/0310 (COD)</w:t>
            </w:r>
            <w:r>
              <w:rPr>
                <w:noProof/>
              </w:rPr>
              <w:t xml:space="preserve"> </w:t>
            </w:r>
            <w:r>
              <w:rPr>
                <w:noProof/>
              </w:rPr>
              <w:br/>
            </w:r>
            <w:r>
              <w:rPr>
                <w:noProof/>
                <w:sz w:val="20"/>
              </w:rPr>
              <w:t>28. 10. 2020</w:t>
            </w:r>
          </w:p>
        </w:tc>
      </w:tr>
      <w:tr w:rsidR="00935A4E" w14:paraId="5D8CE31F" w14:textId="77777777" w:rsidTr="008F4115">
        <w:trPr>
          <w:cantSplit/>
        </w:trPr>
        <w:tc>
          <w:tcPr>
            <w:tcW w:w="652" w:type="dxa"/>
            <w:tcBorders>
              <w:right w:val="nil"/>
            </w:tcBorders>
            <w:shd w:val="clear" w:color="auto" w:fill="auto"/>
            <w:tcMar>
              <w:top w:w="85" w:type="dxa"/>
              <w:left w:w="85" w:type="dxa"/>
              <w:bottom w:w="85" w:type="dxa"/>
            </w:tcMar>
          </w:tcPr>
          <w:p w14:paraId="74192FE0"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054EA362" w14:textId="77777777" w:rsidR="00935A4E" w:rsidRPr="00C81A35" w:rsidRDefault="00935A4E" w:rsidP="008F4115">
            <w:pPr>
              <w:spacing w:after="0"/>
              <w:rPr>
                <w:noProof/>
                <w:sz w:val="20"/>
              </w:rPr>
            </w:pPr>
            <w:r>
              <w:rPr>
                <w:noProof/>
                <w:sz w:val="20"/>
              </w:rPr>
              <w:t>Návrh NAŘÍZENÍ EVROPSKÉHO PARLAMENTU A RADY, kterým se zřizuje jednotný portál Evropské unie pro oblast celnictví a mění nařízení (EU) č. 952/2013</w:t>
            </w:r>
          </w:p>
        </w:tc>
        <w:tc>
          <w:tcPr>
            <w:tcW w:w="2126" w:type="dxa"/>
            <w:tcMar>
              <w:top w:w="85" w:type="dxa"/>
              <w:left w:w="85" w:type="dxa"/>
              <w:bottom w:w="85" w:type="dxa"/>
            </w:tcMar>
          </w:tcPr>
          <w:p w14:paraId="34DEAC83" w14:textId="77777777" w:rsidR="00935A4E" w:rsidRPr="00C81A35" w:rsidRDefault="00935A4E" w:rsidP="008F4115">
            <w:pPr>
              <w:spacing w:after="0"/>
              <w:jc w:val="left"/>
              <w:rPr>
                <w:noProof/>
                <w:sz w:val="20"/>
              </w:rPr>
            </w:pPr>
            <w:r>
              <w:rPr>
                <w:noProof/>
                <w:sz w:val="20"/>
              </w:rPr>
              <w:t>COM(2020)673 final</w:t>
            </w:r>
            <w:r>
              <w:rPr>
                <w:noProof/>
              </w:rPr>
              <w:t xml:space="preserve"> </w:t>
            </w:r>
            <w:r>
              <w:rPr>
                <w:noProof/>
              </w:rPr>
              <w:br/>
            </w:r>
            <w:r>
              <w:rPr>
                <w:noProof/>
                <w:sz w:val="20"/>
              </w:rPr>
              <w:t>2020/0306 (COD)</w:t>
            </w:r>
            <w:r>
              <w:rPr>
                <w:noProof/>
              </w:rPr>
              <w:t xml:space="preserve"> </w:t>
            </w:r>
            <w:r>
              <w:rPr>
                <w:noProof/>
              </w:rPr>
              <w:br/>
            </w:r>
            <w:r>
              <w:rPr>
                <w:noProof/>
                <w:sz w:val="20"/>
              </w:rPr>
              <w:t>28. 10. 2020</w:t>
            </w:r>
          </w:p>
        </w:tc>
      </w:tr>
      <w:tr w:rsidR="00935A4E" w:rsidRPr="00A06848" w14:paraId="76CCC668" w14:textId="77777777" w:rsidTr="008F4115">
        <w:trPr>
          <w:cantSplit/>
        </w:trPr>
        <w:tc>
          <w:tcPr>
            <w:tcW w:w="652" w:type="dxa"/>
            <w:tcBorders>
              <w:right w:val="nil"/>
            </w:tcBorders>
            <w:shd w:val="clear" w:color="auto" w:fill="auto"/>
            <w:tcMar>
              <w:top w:w="85" w:type="dxa"/>
              <w:left w:w="85" w:type="dxa"/>
              <w:bottom w:w="85" w:type="dxa"/>
            </w:tcMar>
          </w:tcPr>
          <w:p w14:paraId="00F20BAF"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651D19CC" w14:textId="6868867E" w:rsidR="00935A4E" w:rsidRPr="00801154" w:rsidRDefault="00935A4E">
            <w:pPr>
              <w:spacing w:after="0"/>
              <w:rPr>
                <w:noProof/>
                <w:sz w:val="20"/>
                <w:shd w:val="clear" w:color="auto" w:fill="FFFFFF"/>
              </w:rPr>
            </w:pPr>
            <w:r>
              <w:rPr>
                <w:noProof/>
                <w:sz w:val="20"/>
              </w:rPr>
              <w:t>Návrh SMĚRNICE EVROPSKÉHO PARLAMENTU A RADY o obsluhovatelích úvěrů, kupcích úvěrů a vymáhání kolaterálu</w:t>
            </w:r>
          </w:p>
        </w:tc>
        <w:tc>
          <w:tcPr>
            <w:tcW w:w="2126" w:type="dxa"/>
            <w:tcMar>
              <w:top w:w="85" w:type="dxa"/>
              <w:left w:w="85" w:type="dxa"/>
              <w:bottom w:w="85" w:type="dxa"/>
            </w:tcMar>
          </w:tcPr>
          <w:p w14:paraId="28739FF8" w14:textId="77777777" w:rsidR="00935A4E" w:rsidRPr="00C81A35" w:rsidRDefault="00935A4E" w:rsidP="008F4115">
            <w:pPr>
              <w:spacing w:after="0"/>
              <w:jc w:val="left"/>
              <w:rPr>
                <w:noProof/>
                <w:sz w:val="20"/>
              </w:rPr>
            </w:pPr>
            <w:r>
              <w:rPr>
                <w:noProof/>
                <w:sz w:val="20"/>
              </w:rPr>
              <w:t>COM(2018)135 final</w:t>
            </w:r>
            <w:r>
              <w:rPr>
                <w:noProof/>
              </w:rPr>
              <w:t xml:space="preserve"> </w:t>
            </w:r>
            <w:r>
              <w:rPr>
                <w:noProof/>
              </w:rPr>
              <w:br/>
            </w:r>
            <w:r>
              <w:rPr>
                <w:noProof/>
                <w:sz w:val="20"/>
              </w:rPr>
              <w:t>2018/0063A (COD)</w:t>
            </w:r>
            <w:r>
              <w:rPr>
                <w:noProof/>
              </w:rPr>
              <w:t xml:space="preserve"> </w:t>
            </w:r>
            <w:r>
              <w:rPr>
                <w:noProof/>
              </w:rPr>
              <w:br/>
            </w:r>
            <w:r>
              <w:rPr>
                <w:noProof/>
                <w:sz w:val="20"/>
              </w:rPr>
              <w:t>2018/0063B (COD)</w:t>
            </w:r>
            <w:r>
              <w:rPr>
                <w:noProof/>
              </w:rPr>
              <w:t xml:space="preserve"> </w:t>
            </w:r>
            <w:r>
              <w:rPr>
                <w:noProof/>
              </w:rPr>
              <w:br/>
            </w:r>
            <w:r>
              <w:rPr>
                <w:noProof/>
                <w:sz w:val="20"/>
              </w:rPr>
              <w:t>14. 3. 2018</w:t>
            </w:r>
          </w:p>
        </w:tc>
      </w:tr>
      <w:tr w:rsidR="00935A4E" w14:paraId="7ECD6720" w14:textId="77777777" w:rsidTr="008F4115">
        <w:trPr>
          <w:cantSplit/>
        </w:trPr>
        <w:tc>
          <w:tcPr>
            <w:tcW w:w="652" w:type="dxa"/>
            <w:tcBorders>
              <w:right w:val="nil"/>
            </w:tcBorders>
            <w:shd w:val="clear" w:color="auto" w:fill="auto"/>
            <w:tcMar>
              <w:top w:w="85" w:type="dxa"/>
              <w:left w:w="85" w:type="dxa"/>
              <w:bottom w:w="85" w:type="dxa"/>
            </w:tcMar>
          </w:tcPr>
          <w:p w14:paraId="28E47167" w14:textId="77777777" w:rsidR="00935A4E" w:rsidRPr="0094264B" w:rsidRDefault="00935A4E" w:rsidP="00935A4E">
            <w:pPr>
              <w:pStyle w:val="ListParagraph"/>
              <w:numPr>
                <w:ilvl w:val="0"/>
                <w:numId w:val="31"/>
              </w:numPr>
              <w:spacing w:after="0"/>
              <w:rPr>
                <w:b/>
                <w:noProof/>
                <w:sz w:val="20"/>
                <w:lang w:val="pt-PT"/>
              </w:rPr>
            </w:pPr>
          </w:p>
        </w:tc>
        <w:tc>
          <w:tcPr>
            <w:tcW w:w="12072" w:type="dxa"/>
            <w:shd w:val="clear" w:color="auto" w:fill="auto"/>
            <w:tcMar>
              <w:top w:w="85" w:type="dxa"/>
              <w:left w:w="85" w:type="dxa"/>
              <w:bottom w:w="85" w:type="dxa"/>
            </w:tcMar>
          </w:tcPr>
          <w:p w14:paraId="5EDF4C5D" w14:textId="4414B2CE" w:rsidR="00935A4E" w:rsidRDefault="00935A4E" w:rsidP="008F4115">
            <w:pPr>
              <w:spacing w:after="0"/>
              <w:rPr>
                <w:noProof/>
                <w:sz w:val="20"/>
              </w:rPr>
            </w:pPr>
            <w:r>
              <w:rPr>
                <w:noProof/>
                <w:sz w:val="20"/>
              </w:rPr>
              <w:t xml:space="preserve">Návrh NAŘÍZENÍ EVROPSKÉHO PARLAMENTU A RADY, kterým se mění nařízení (ES) č. 883/2004 o koordinaci systémů sociálního zabezpečení a nařízení (ES) č. 987/2009, kterým se stanoví prováděcí pravidla k nařízení (ES) č. 883/2004 </w:t>
            </w:r>
          </w:p>
        </w:tc>
        <w:tc>
          <w:tcPr>
            <w:tcW w:w="2126" w:type="dxa"/>
            <w:tcMar>
              <w:top w:w="85" w:type="dxa"/>
              <w:left w:w="85" w:type="dxa"/>
              <w:bottom w:w="85" w:type="dxa"/>
            </w:tcMar>
          </w:tcPr>
          <w:p w14:paraId="378184B8" w14:textId="77777777" w:rsidR="00935A4E" w:rsidRDefault="00935A4E" w:rsidP="008F4115">
            <w:pPr>
              <w:spacing w:after="0"/>
              <w:jc w:val="left"/>
              <w:rPr>
                <w:noProof/>
                <w:sz w:val="20"/>
              </w:rPr>
            </w:pPr>
            <w:r>
              <w:rPr>
                <w:noProof/>
                <w:sz w:val="20"/>
              </w:rPr>
              <w:t>COM(2016)815 final</w:t>
            </w:r>
            <w:r>
              <w:rPr>
                <w:noProof/>
              </w:rPr>
              <w:t xml:space="preserve"> </w:t>
            </w:r>
            <w:r>
              <w:rPr>
                <w:noProof/>
              </w:rPr>
              <w:br/>
            </w:r>
            <w:r>
              <w:rPr>
                <w:noProof/>
                <w:sz w:val="20"/>
              </w:rPr>
              <w:t>2016/0397 (COD)</w:t>
            </w:r>
            <w:r>
              <w:rPr>
                <w:noProof/>
              </w:rPr>
              <w:t xml:space="preserve"> </w:t>
            </w:r>
            <w:r>
              <w:rPr>
                <w:noProof/>
              </w:rPr>
              <w:br/>
            </w:r>
            <w:r>
              <w:rPr>
                <w:noProof/>
                <w:sz w:val="20"/>
              </w:rPr>
              <w:t>14. 12. 2016</w:t>
            </w:r>
          </w:p>
        </w:tc>
      </w:tr>
      <w:tr w:rsidR="00935A4E" w14:paraId="0CCB74F9" w14:textId="77777777" w:rsidTr="008F4115">
        <w:trPr>
          <w:cantSplit/>
        </w:trPr>
        <w:tc>
          <w:tcPr>
            <w:tcW w:w="652" w:type="dxa"/>
            <w:tcBorders>
              <w:right w:val="nil"/>
            </w:tcBorders>
            <w:shd w:val="clear" w:color="auto" w:fill="auto"/>
            <w:tcMar>
              <w:top w:w="85" w:type="dxa"/>
              <w:left w:w="85" w:type="dxa"/>
              <w:bottom w:w="85" w:type="dxa"/>
            </w:tcMar>
          </w:tcPr>
          <w:p w14:paraId="28FA2020"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4398C875" w14:textId="0CFC75FB" w:rsidR="00935A4E" w:rsidRPr="00434BED" w:rsidRDefault="00935A4E" w:rsidP="00C4528F">
            <w:pPr>
              <w:spacing w:after="0"/>
              <w:rPr>
                <w:i/>
                <w:noProof/>
                <w:sz w:val="20"/>
              </w:rPr>
            </w:pPr>
            <w:r>
              <w:rPr>
                <w:noProof/>
                <w:sz w:val="20"/>
              </w:rPr>
              <w:t>Návrh NAŘÍZENÍ EVROPSKÉHO PARLAMENTU A RADY, kterým se mění nařízení (EU) 806/2014 za účelem zřízení evropského systému pojištění vkladů</w:t>
            </w:r>
          </w:p>
        </w:tc>
        <w:tc>
          <w:tcPr>
            <w:tcW w:w="2126" w:type="dxa"/>
            <w:tcMar>
              <w:top w:w="85" w:type="dxa"/>
              <w:left w:w="85" w:type="dxa"/>
              <w:bottom w:w="85" w:type="dxa"/>
            </w:tcMar>
          </w:tcPr>
          <w:p w14:paraId="574F004D" w14:textId="77777777" w:rsidR="00935A4E" w:rsidRDefault="00935A4E" w:rsidP="008F4115">
            <w:pPr>
              <w:spacing w:after="0"/>
              <w:jc w:val="left"/>
              <w:rPr>
                <w:noProof/>
                <w:sz w:val="20"/>
              </w:rPr>
            </w:pPr>
            <w:r>
              <w:rPr>
                <w:noProof/>
                <w:sz w:val="20"/>
              </w:rPr>
              <w:t>COM(2015)586 final</w:t>
            </w:r>
            <w:r>
              <w:rPr>
                <w:noProof/>
              </w:rPr>
              <w:t xml:space="preserve"> </w:t>
            </w:r>
            <w:r>
              <w:rPr>
                <w:noProof/>
              </w:rPr>
              <w:br/>
            </w:r>
            <w:r>
              <w:rPr>
                <w:noProof/>
                <w:sz w:val="20"/>
              </w:rPr>
              <w:t>2015/0270 (COD)</w:t>
            </w:r>
            <w:r>
              <w:rPr>
                <w:noProof/>
              </w:rPr>
              <w:t xml:space="preserve"> </w:t>
            </w:r>
            <w:r>
              <w:rPr>
                <w:noProof/>
              </w:rPr>
              <w:br/>
            </w:r>
            <w:r>
              <w:rPr>
                <w:noProof/>
                <w:sz w:val="20"/>
              </w:rPr>
              <w:t>24. 11. 2015</w:t>
            </w:r>
          </w:p>
        </w:tc>
      </w:tr>
      <w:tr w:rsidR="00935A4E" w14:paraId="37633426" w14:textId="77777777" w:rsidTr="008F4115">
        <w:trPr>
          <w:cantSplit/>
        </w:trPr>
        <w:tc>
          <w:tcPr>
            <w:tcW w:w="14850" w:type="dxa"/>
            <w:gridSpan w:val="3"/>
            <w:shd w:val="clear" w:color="auto" w:fill="585EAA" w:themeFill="accent4"/>
            <w:tcMar>
              <w:top w:w="85" w:type="dxa"/>
              <w:left w:w="85" w:type="dxa"/>
              <w:bottom w:w="85" w:type="dxa"/>
              <w:right w:w="85" w:type="dxa"/>
            </w:tcMar>
          </w:tcPr>
          <w:p w14:paraId="7453369E" w14:textId="77777777" w:rsidR="00935A4E" w:rsidRDefault="00935A4E" w:rsidP="008F4115">
            <w:pPr>
              <w:keepNext/>
              <w:spacing w:before="60" w:after="60"/>
              <w:rPr>
                <w:noProof/>
                <w:sz w:val="20"/>
              </w:rPr>
            </w:pPr>
            <w:r>
              <w:rPr>
                <w:b/>
                <w:bCs/>
                <w:noProof/>
                <w:color w:val="FFFFFF" w:themeColor="background1"/>
                <w:sz w:val="20"/>
              </w:rPr>
              <w:t>Silnější Evropa ve světě</w:t>
            </w:r>
          </w:p>
        </w:tc>
      </w:tr>
      <w:tr w:rsidR="00935A4E" w14:paraId="68070B13" w14:textId="77777777" w:rsidTr="008F4115">
        <w:trPr>
          <w:cantSplit/>
        </w:trPr>
        <w:tc>
          <w:tcPr>
            <w:tcW w:w="652" w:type="dxa"/>
            <w:tcBorders>
              <w:right w:val="nil"/>
            </w:tcBorders>
            <w:shd w:val="clear" w:color="auto" w:fill="auto"/>
            <w:tcMar>
              <w:top w:w="85" w:type="dxa"/>
              <w:left w:w="85" w:type="dxa"/>
              <w:bottom w:w="85" w:type="dxa"/>
            </w:tcMar>
          </w:tcPr>
          <w:p w14:paraId="73D46D3E"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376FE2C1" w14:textId="77777777" w:rsidR="00935A4E" w:rsidRDefault="00935A4E" w:rsidP="008F4115">
            <w:pPr>
              <w:spacing w:after="0"/>
              <w:rPr>
                <w:noProof/>
                <w:sz w:val="20"/>
              </w:rPr>
            </w:pPr>
            <w:r>
              <w:rPr>
                <w:noProof/>
                <w:sz w:val="20"/>
              </w:rPr>
              <w:t>Návrh NAŘÍZENÍ EVROPSKÉHO PARLAMENTU A RADY o přístupu zboží a služeb třetích zemí na vnitřní trh Unie s veřejnými zakázkami a o postupech na podporu jednání o přístupu zboží a služeb Unie na trhy třetích zemí s veřejnými zakázkami</w:t>
            </w:r>
          </w:p>
        </w:tc>
        <w:tc>
          <w:tcPr>
            <w:tcW w:w="2126" w:type="dxa"/>
            <w:tcMar>
              <w:top w:w="85" w:type="dxa"/>
              <w:left w:w="85" w:type="dxa"/>
              <w:bottom w:w="85" w:type="dxa"/>
            </w:tcMar>
          </w:tcPr>
          <w:p w14:paraId="5A5ACA12" w14:textId="77777777" w:rsidR="00935A4E" w:rsidRDefault="00935A4E" w:rsidP="008F4115">
            <w:pPr>
              <w:spacing w:after="0"/>
              <w:jc w:val="left"/>
              <w:rPr>
                <w:noProof/>
                <w:sz w:val="20"/>
              </w:rPr>
            </w:pPr>
            <w:r>
              <w:rPr>
                <w:noProof/>
                <w:sz w:val="20"/>
              </w:rPr>
              <w:t>COM(2012)124 final</w:t>
            </w:r>
            <w:r>
              <w:rPr>
                <w:noProof/>
              </w:rPr>
              <w:t xml:space="preserve"> </w:t>
            </w:r>
            <w:r>
              <w:rPr>
                <w:noProof/>
              </w:rPr>
              <w:br/>
            </w:r>
            <w:r>
              <w:rPr>
                <w:noProof/>
                <w:sz w:val="20"/>
              </w:rPr>
              <w:t>2012/0060 (COD)</w:t>
            </w:r>
            <w:r>
              <w:rPr>
                <w:noProof/>
              </w:rPr>
              <w:t xml:space="preserve"> </w:t>
            </w:r>
            <w:r>
              <w:rPr>
                <w:noProof/>
              </w:rPr>
              <w:br/>
            </w:r>
            <w:r>
              <w:rPr>
                <w:noProof/>
                <w:sz w:val="20"/>
              </w:rPr>
              <w:t>21. 3. 2012</w:t>
            </w:r>
          </w:p>
        </w:tc>
      </w:tr>
      <w:tr w:rsidR="00935A4E" w14:paraId="5BFAC028" w14:textId="77777777" w:rsidTr="008F4115">
        <w:trPr>
          <w:cantSplit/>
        </w:trPr>
        <w:tc>
          <w:tcPr>
            <w:tcW w:w="14850" w:type="dxa"/>
            <w:gridSpan w:val="3"/>
            <w:shd w:val="clear" w:color="auto" w:fill="DA5C57" w:themeFill="accent6"/>
            <w:tcMar>
              <w:top w:w="85" w:type="dxa"/>
              <w:left w:w="85" w:type="dxa"/>
              <w:bottom w:w="85" w:type="dxa"/>
              <w:right w:w="85" w:type="dxa"/>
            </w:tcMar>
          </w:tcPr>
          <w:p w14:paraId="7140BF60" w14:textId="77777777" w:rsidR="00935A4E" w:rsidRDefault="00935A4E" w:rsidP="008F4115">
            <w:pPr>
              <w:spacing w:before="60" w:after="60"/>
              <w:rPr>
                <w:noProof/>
                <w:color w:val="FFFFFF" w:themeColor="background1"/>
                <w:sz w:val="20"/>
              </w:rPr>
            </w:pPr>
            <w:r>
              <w:rPr>
                <w:b/>
                <w:bCs/>
                <w:noProof/>
                <w:color w:val="FFFFFF" w:themeColor="background1"/>
                <w:sz w:val="20"/>
              </w:rPr>
              <w:t>Podpora evropského způsobu života</w:t>
            </w:r>
          </w:p>
        </w:tc>
      </w:tr>
      <w:tr w:rsidR="00935A4E" w14:paraId="3E9F9AE0" w14:textId="77777777" w:rsidTr="008F4115">
        <w:trPr>
          <w:cantSplit/>
        </w:trPr>
        <w:tc>
          <w:tcPr>
            <w:tcW w:w="652" w:type="dxa"/>
            <w:tcBorders>
              <w:right w:val="nil"/>
            </w:tcBorders>
            <w:shd w:val="clear" w:color="auto" w:fill="auto"/>
            <w:tcMar>
              <w:top w:w="85" w:type="dxa"/>
              <w:left w:w="85" w:type="dxa"/>
              <w:bottom w:w="85" w:type="dxa"/>
            </w:tcMar>
          </w:tcPr>
          <w:p w14:paraId="3DAAA928" w14:textId="77777777" w:rsidR="00935A4E" w:rsidRDefault="00935A4E" w:rsidP="00935A4E">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57282937" w14:textId="77777777" w:rsidR="00935A4E" w:rsidRPr="00C81A35" w:rsidRDefault="00935A4E" w:rsidP="008F4115">
            <w:pPr>
              <w:rPr>
                <w:noProof/>
                <w:sz w:val="20"/>
              </w:rPr>
            </w:pPr>
            <w:r>
              <w:rPr>
                <w:noProof/>
                <w:sz w:val="20"/>
              </w:rPr>
              <w:t>Návrh NAŘÍZENÍ RADY o rámci pro opatření týkající se lékařských protiopatření v případě ohrožení veřejného zdraví na úrovni Unie</w:t>
            </w:r>
          </w:p>
        </w:tc>
        <w:tc>
          <w:tcPr>
            <w:tcW w:w="2126" w:type="dxa"/>
            <w:tcMar>
              <w:top w:w="85" w:type="dxa"/>
              <w:left w:w="85" w:type="dxa"/>
              <w:bottom w:w="85" w:type="dxa"/>
            </w:tcMar>
          </w:tcPr>
          <w:p w14:paraId="3AC1F9F9" w14:textId="77777777" w:rsidR="00935A4E" w:rsidRPr="00C81A35" w:rsidRDefault="00935A4E" w:rsidP="00A6020F">
            <w:pPr>
              <w:spacing w:after="0"/>
              <w:jc w:val="left"/>
              <w:rPr>
                <w:noProof/>
                <w:sz w:val="20"/>
              </w:rPr>
            </w:pPr>
            <w:r>
              <w:rPr>
                <w:noProof/>
                <w:sz w:val="20"/>
              </w:rPr>
              <w:t>COM(2021)577 final</w:t>
            </w:r>
            <w:r>
              <w:rPr>
                <w:noProof/>
              </w:rPr>
              <w:t xml:space="preserve"> </w:t>
            </w:r>
            <w:r>
              <w:rPr>
                <w:noProof/>
              </w:rPr>
              <w:br/>
            </w:r>
            <w:r>
              <w:rPr>
                <w:noProof/>
                <w:sz w:val="20"/>
              </w:rPr>
              <w:t>2021/0294 (NLE)</w:t>
            </w:r>
            <w:r>
              <w:rPr>
                <w:noProof/>
              </w:rPr>
              <w:t xml:space="preserve"> </w:t>
            </w:r>
            <w:r>
              <w:rPr>
                <w:noProof/>
              </w:rPr>
              <w:br/>
            </w:r>
            <w:r>
              <w:rPr>
                <w:noProof/>
                <w:sz w:val="20"/>
              </w:rPr>
              <w:t>16. 9. 2021</w:t>
            </w:r>
          </w:p>
        </w:tc>
      </w:tr>
      <w:tr w:rsidR="00935A4E" w14:paraId="222B4CFA" w14:textId="77777777" w:rsidTr="008F4115">
        <w:trPr>
          <w:cantSplit/>
        </w:trPr>
        <w:tc>
          <w:tcPr>
            <w:tcW w:w="652" w:type="dxa"/>
            <w:tcBorders>
              <w:right w:val="nil"/>
            </w:tcBorders>
            <w:shd w:val="clear" w:color="auto" w:fill="auto"/>
            <w:tcMar>
              <w:top w:w="85" w:type="dxa"/>
              <w:left w:w="85" w:type="dxa"/>
              <w:bottom w:w="85" w:type="dxa"/>
            </w:tcMar>
          </w:tcPr>
          <w:p w14:paraId="0C055FEA" w14:textId="77777777" w:rsidR="00935A4E" w:rsidRDefault="00935A4E" w:rsidP="00935A4E">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453D53FF" w14:textId="77777777" w:rsidR="00935A4E" w:rsidRPr="00C81A35" w:rsidRDefault="00935A4E" w:rsidP="008F4115">
            <w:pPr>
              <w:rPr>
                <w:noProof/>
                <w:sz w:val="20"/>
              </w:rPr>
            </w:pPr>
            <w:r>
              <w:rPr>
                <w:noProof/>
                <w:sz w:val="20"/>
              </w:rPr>
              <w:t>Návrh NAŘÍZENÍ RADY o vytvoření a fungování hodnotícího a monitorovacího mechanismu k ověření uplatňování schengenského acquis a o zrušení nařízení (EU) č. 1053/2013</w:t>
            </w:r>
          </w:p>
        </w:tc>
        <w:tc>
          <w:tcPr>
            <w:tcW w:w="2126" w:type="dxa"/>
            <w:tcMar>
              <w:top w:w="85" w:type="dxa"/>
              <w:left w:w="85" w:type="dxa"/>
              <w:bottom w:w="85" w:type="dxa"/>
            </w:tcMar>
          </w:tcPr>
          <w:p w14:paraId="5CCC3C1F" w14:textId="77777777" w:rsidR="00935A4E" w:rsidRPr="00C81A35" w:rsidRDefault="00935A4E" w:rsidP="00A6020F">
            <w:pPr>
              <w:spacing w:after="0"/>
              <w:jc w:val="left"/>
              <w:rPr>
                <w:noProof/>
                <w:sz w:val="20"/>
              </w:rPr>
            </w:pPr>
            <w:r>
              <w:rPr>
                <w:noProof/>
                <w:sz w:val="20"/>
              </w:rPr>
              <w:t>COM(2021)278 final</w:t>
            </w:r>
            <w:r>
              <w:rPr>
                <w:noProof/>
              </w:rPr>
              <w:t xml:space="preserve"> </w:t>
            </w:r>
            <w:r>
              <w:rPr>
                <w:noProof/>
              </w:rPr>
              <w:br/>
            </w:r>
            <w:r>
              <w:rPr>
                <w:noProof/>
                <w:sz w:val="20"/>
              </w:rPr>
              <w:t>2021/0140 (CNS)</w:t>
            </w:r>
            <w:r>
              <w:rPr>
                <w:noProof/>
              </w:rPr>
              <w:t xml:space="preserve"> </w:t>
            </w:r>
            <w:r>
              <w:rPr>
                <w:noProof/>
              </w:rPr>
              <w:br/>
            </w:r>
            <w:r>
              <w:rPr>
                <w:noProof/>
                <w:sz w:val="20"/>
              </w:rPr>
              <w:t>2. 6. 2021</w:t>
            </w:r>
          </w:p>
        </w:tc>
      </w:tr>
      <w:tr w:rsidR="00935A4E" w14:paraId="76DEDCF6" w14:textId="77777777" w:rsidTr="008F4115">
        <w:trPr>
          <w:cantSplit/>
        </w:trPr>
        <w:tc>
          <w:tcPr>
            <w:tcW w:w="652" w:type="dxa"/>
            <w:tcBorders>
              <w:right w:val="nil"/>
            </w:tcBorders>
            <w:shd w:val="clear" w:color="auto" w:fill="auto"/>
            <w:tcMar>
              <w:top w:w="85" w:type="dxa"/>
              <w:left w:w="85" w:type="dxa"/>
              <w:bottom w:w="85" w:type="dxa"/>
            </w:tcMar>
          </w:tcPr>
          <w:p w14:paraId="7234D2E2" w14:textId="77777777" w:rsidR="00935A4E" w:rsidRDefault="00935A4E" w:rsidP="00935A4E">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6F8B0D8D" w14:textId="77777777" w:rsidR="00935A4E" w:rsidRPr="00C81A35" w:rsidRDefault="00935A4E" w:rsidP="00A6020F">
            <w:pPr>
              <w:spacing w:after="0"/>
              <w:rPr>
                <w:noProof/>
                <w:sz w:val="20"/>
              </w:rPr>
            </w:pPr>
            <w:r>
              <w:rPr>
                <w:noProof/>
                <w:sz w:val="20"/>
              </w:rPr>
              <w:t>Návrh NAŘÍZENÍ EVROPSKÉHO PARLAMENTU A RADY, kterým se mění nařízení (EU) 2019/816, kterým se zřizuje centralizovaný systém pro identifikaci členských států, jež mají informace o odsouzeních státních příslušníků třetích zemí a osob bez státní příslušnosti (ECRIS-TCN), na doplnění Evropského informačního systému rejstříků trestů, a nařízení (EU) 2019/818, kterým se zřizuje rámec pro interoperabilitu mezi informačními systémy EU v oblasti policejní a justiční spolupráce, azylu a migrace a kterým se mění nařízení (EU) 2018/1726, (EU) 2018/1862 a (EU) 2019/816, za účelem zavedení prověřování státních příslušníků třetích zemí na vnějších hranicích</w:t>
            </w:r>
          </w:p>
        </w:tc>
        <w:tc>
          <w:tcPr>
            <w:tcW w:w="2126" w:type="dxa"/>
            <w:tcMar>
              <w:top w:w="85" w:type="dxa"/>
              <w:left w:w="85" w:type="dxa"/>
              <w:bottom w:w="85" w:type="dxa"/>
            </w:tcMar>
          </w:tcPr>
          <w:p w14:paraId="4493D854" w14:textId="77777777" w:rsidR="00935A4E" w:rsidRPr="00C81A35" w:rsidRDefault="00935A4E" w:rsidP="00C81A35">
            <w:pPr>
              <w:spacing w:after="0"/>
              <w:jc w:val="left"/>
              <w:rPr>
                <w:noProof/>
                <w:sz w:val="20"/>
              </w:rPr>
            </w:pPr>
            <w:r>
              <w:rPr>
                <w:noProof/>
                <w:sz w:val="20"/>
              </w:rPr>
              <w:t>COM(2021)96 final</w:t>
            </w:r>
            <w:r>
              <w:rPr>
                <w:noProof/>
              </w:rPr>
              <w:t xml:space="preserve"> </w:t>
            </w:r>
            <w:r>
              <w:rPr>
                <w:noProof/>
              </w:rPr>
              <w:br/>
            </w:r>
            <w:r>
              <w:rPr>
                <w:noProof/>
                <w:sz w:val="20"/>
              </w:rPr>
              <w:t>2021/0046 (COD)</w:t>
            </w:r>
            <w:r>
              <w:rPr>
                <w:noProof/>
              </w:rPr>
              <w:t xml:space="preserve"> </w:t>
            </w:r>
            <w:r>
              <w:rPr>
                <w:noProof/>
              </w:rPr>
              <w:br/>
            </w:r>
            <w:r>
              <w:rPr>
                <w:noProof/>
                <w:sz w:val="20"/>
              </w:rPr>
              <w:t>2. 3. 2021</w:t>
            </w:r>
          </w:p>
        </w:tc>
      </w:tr>
      <w:tr w:rsidR="00935A4E" w14:paraId="09B991B0" w14:textId="77777777" w:rsidTr="008F4115">
        <w:trPr>
          <w:cantSplit/>
        </w:trPr>
        <w:tc>
          <w:tcPr>
            <w:tcW w:w="652" w:type="dxa"/>
            <w:tcBorders>
              <w:right w:val="nil"/>
            </w:tcBorders>
            <w:shd w:val="clear" w:color="auto" w:fill="auto"/>
            <w:tcMar>
              <w:top w:w="85" w:type="dxa"/>
              <w:left w:w="85" w:type="dxa"/>
              <w:bottom w:w="85" w:type="dxa"/>
            </w:tcMar>
          </w:tcPr>
          <w:p w14:paraId="5ECFD063" w14:textId="77777777" w:rsidR="00935A4E" w:rsidRDefault="00935A4E" w:rsidP="00935A4E">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657A4C17" w14:textId="77777777" w:rsidR="00935A4E" w:rsidRPr="00C81A35" w:rsidRDefault="00935A4E" w:rsidP="00A6020F">
            <w:pPr>
              <w:spacing w:after="0"/>
              <w:rPr>
                <w:noProof/>
                <w:sz w:val="20"/>
              </w:rPr>
            </w:pPr>
            <w:r>
              <w:rPr>
                <w:noProof/>
                <w:sz w:val="20"/>
              </w:rPr>
              <w:t>Návrh SMĚRNICE EVROPSKÉHO PARLAMENTU A RADY o posílení odolnosti kritických subjektů</w:t>
            </w:r>
          </w:p>
        </w:tc>
        <w:tc>
          <w:tcPr>
            <w:tcW w:w="2126" w:type="dxa"/>
            <w:tcMar>
              <w:top w:w="85" w:type="dxa"/>
              <w:left w:w="85" w:type="dxa"/>
              <w:bottom w:w="85" w:type="dxa"/>
            </w:tcMar>
          </w:tcPr>
          <w:p w14:paraId="1FC5FE4D" w14:textId="77777777" w:rsidR="00935A4E" w:rsidRPr="00C81A35" w:rsidRDefault="00935A4E" w:rsidP="00A6020F">
            <w:pPr>
              <w:spacing w:after="0"/>
              <w:jc w:val="left"/>
              <w:rPr>
                <w:noProof/>
                <w:sz w:val="20"/>
              </w:rPr>
            </w:pPr>
            <w:r>
              <w:rPr>
                <w:noProof/>
                <w:sz w:val="20"/>
              </w:rPr>
              <w:t>COM(2020)829 final</w:t>
            </w:r>
            <w:r>
              <w:rPr>
                <w:noProof/>
              </w:rPr>
              <w:t xml:space="preserve"> </w:t>
            </w:r>
            <w:r>
              <w:rPr>
                <w:noProof/>
              </w:rPr>
              <w:br/>
            </w:r>
            <w:r>
              <w:rPr>
                <w:noProof/>
                <w:sz w:val="20"/>
              </w:rPr>
              <w:t>2020/0365 (COD)</w:t>
            </w:r>
            <w:r>
              <w:rPr>
                <w:noProof/>
              </w:rPr>
              <w:t xml:space="preserve"> </w:t>
            </w:r>
            <w:r>
              <w:rPr>
                <w:noProof/>
              </w:rPr>
              <w:br/>
            </w:r>
            <w:r>
              <w:rPr>
                <w:noProof/>
                <w:sz w:val="20"/>
              </w:rPr>
              <w:t>16. 12. 2020</w:t>
            </w:r>
          </w:p>
        </w:tc>
      </w:tr>
      <w:tr w:rsidR="00935A4E" w14:paraId="0FEBBCB2" w14:textId="77777777" w:rsidTr="008F4115">
        <w:trPr>
          <w:cantSplit/>
        </w:trPr>
        <w:tc>
          <w:tcPr>
            <w:tcW w:w="652" w:type="dxa"/>
            <w:tcBorders>
              <w:right w:val="nil"/>
            </w:tcBorders>
            <w:shd w:val="clear" w:color="auto" w:fill="auto"/>
            <w:tcMar>
              <w:top w:w="85" w:type="dxa"/>
              <w:left w:w="85" w:type="dxa"/>
              <w:bottom w:w="85" w:type="dxa"/>
            </w:tcMar>
          </w:tcPr>
          <w:p w14:paraId="2F16CBE1" w14:textId="77777777" w:rsidR="00935A4E" w:rsidRDefault="00935A4E" w:rsidP="00935A4E">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18984065" w14:textId="77777777" w:rsidR="00935A4E" w:rsidRPr="00C81A35" w:rsidRDefault="00935A4E" w:rsidP="00A6020F">
            <w:pPr>
              <w:spacing w:after="0"/>
              <w:rPr>
                <w:noProof/>
                <w:sz w:val="20"/>
              </w:rPr>
            </w:pPr>
            <w:r>
              <w:rPr>
                <w:noProof/>
                <w:sz w:val="20"/>
              </w:rPr>
              <w:t>Návrh NAŘÍZENÍ EVROPSKÉHO PARLAMENTU A RADY, kterým se mění nařízení (EU) 2016/794, pokud jde o spolupráci Europolu se soukromými subjekty, zpracování osobních údajů Europolem na podporu vyšetřování trestné činnosti a úlohu Europolu v oblasti výzkumu a inovací</w:t>
            </w:r>
          </w:p>
        </w:tc>
        <w:tc>
          <w:tcPr>
            <w:tcW w:w="2126" w:type="dxa"/>
            <w:tcMar>
              <w:top w:w="85" w:type="dxa"/>
              <w:left w:w="85" w:type="dxa"/>
              <w:bottom w:w="85" w:type="dxa"/>
            </w:tcMar>
          </w:tcPr>
          <w:p w14:paraId="23EB2B60" w14:textId="77777777" w:rsidR="00935A4E" w:rsidRPr="00C81A35" w:rsidRDefault="00935A4E" w:rsidP="00A6020F">
            <w:pPr>
              <w:spacing w:after="0"/>
              <w:jc w:val="left"/>
              <w:rPr>
                <w:noProof/>
                <w:sz w:val="20"/>
              </w:rPr>
            </w:pPr>
            <w:r>
              <w:rPr>
                <w:noProof/>
                <w:sz w:val="20"/>
              </w:rPr>
              <w:t>COM(2020)796 final</w:t>
            </w:r>
            <w:r>
              <w:rPr>
                <w:noProof/>
              </w:rPr>
              <w:t xml:space="preserve"> </w:t>
            </w:r>
            <w:r>
              <w:rPr>
                <w:noProof/>
              </w:rPr>
              <w:br/>
            </w:r>
            <w:r>
              <w:rPr>
                <w:noProof/>
                <w:sz w:val="20"/>
              </w:rPr>
              <w:t>2020/0349 (COD)</w:t>
            </w:r>
            <w:r>
              <w:rPr>
                <w:noProof/>
              </w:rPr>
              <w:t xml:space="preserve"> </w:t>
            </w:r>
            <w:r>
              <w:rPr>
                <w:noProof/>
              </w:rPr>
              <w:br/>
            </w:r>
            <w:r>
              <w:rPr>
                <w:noProof/>
                <w:sz w:val="20"/>
              </w:rPr>
              <w:t>9. 12. 2020</w:t>
            </w:r>
          </w:p>
        </w:tc>
      </w:tr>
      <w:tr w:rsidR="00935A4E" w14:paraId="478D0556" w14:textId="77777777" w:rsidTr="008F4115">
        <w:trPr>
          <w:cantSplit/>
        </w:trPr>
        <w:tc>
          <w:tcPr>
            <w:tcW w:w="652" w:type="dxa"/>
            <w:tcBorders>
              <w:right w:val="nil"/>
            </w:tcBorders>
            <w:shd w:val="clear" w:color="auto" w:fill="auto"/>
            <w:tcMar>
              <w:top w:w="85" w:type="dxa"/>
              <w:left w:w="85" w:type="dxa"/>
              <w:bottom w:w="85" w:type="dxa"/>
            </w:tcMar>
          </w:tcPr>
          <w:p w14:paraId="61B2C2B1" w14:textId="77777777" w:rsidR="00935A4E" w:rsidRDefault="00935A4E" w:rsidP="00935A4E">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21E3EBD3" w14:textId="77777777" w:rsidR="00935A4E" w:rsidRPr="00C81A35" w:rsidRDefault="00935A4E" w:rsidP="00A6020F">
            <w:pPr>
              <w:spacing w:after="0"/>
              <w:rPr>
                <w:noProof/>
                <w:sz w:val="20"/>
              </w:rPr>
            </w:pPr>
            <w:r>
              <w:rPr>
                <w:noProof/>
                <w:sz w:val="20"/>
              </w:rPr>
              <w:t>Návrh NAŘÍZENÍ EVROPSKÉHO PARLAMENTU A RADY, kterým se mění nařízení (EU) 2018/1862 o zřízení, provozu a využívání Schengenského informačního systému (SIS) v oblasti policejní spolupráce a justiční spolupráce v trestních věcech, pokud jde o vkládání záznamů Europolem</w:t>
            </w:r>
          </w:p>
        </w:tc>
        <w:tc>
          <w:tcPr>
            <w:tcW w:w="2126" w:type="dxa"/>
            <w:tcMar>
              <w:top w:w="85" w:type="dxa"/>
              <w:left w:w="85" w:type="dxa"/>
              <w:bottom w:w="85" w:type="dxa"/>
            </w:tcMar>
          </w:tcPr>
          <w:p w14:paraId="3FDACA3B" w14:textId="77777777" w:rsidR="00935A4E" w:rsidRPr="00C81A35" w:rsidRDefault="00935A4E" w:rsidP="00A6020F">
            <w:pPr>
              <w:spacing w:after="0"/>
              <w:jc w:val="left"/>
              <w:rPr>
                <w:noProof/>
                <w:sz w:val="20"/>
              </w:rPr>
            </w:pPr>
            <w:r>
              <w:rPr>
                <w:noProof/>
                <w:sz w:val="20"/>
              </w:rPr>
              <w:t>COM(2020)791 final</w:t>
            </w:r>
            <w:r>
              <w:rPr>
                <w:noProof/>
              </w:rPr>
              <w:t xml:space="preserve"> </w:t>
            </w:r>
            <w:r>
              <w:rPr>
                <w:noProof/>
              </w:rPr>
              <w:br/>
            </w:r>
            <w:r>
              <w:rPr>
                <w:noProof/>
                <w:sz w:val="20"/>
              </w:rPr>
              <w:t>2020/0350 (COD)</w:t>
            </w:r>
            <w:r>
              <w:rPr>
                <w:noProof/>
              </w:rPr>
              <w:t xml:space="preserve"> </w:t>
            </w:r>
            <w:r>
              <w:rPr>
                <w:noProof/>
              </w:rPr>
              <w:br/>
            </w:r>
            <w:r>
              <w:rPr>
                <w:noProof/>
                <w:sz w:val="20"/>
              </w:rPr>
              <w:t>9. 12. 2020</w:t>
            </w:r>
          </w:p>
        </w:tc>
      </w:tr>
      <w:tr w:rsidR="00935A4E" w14:paraId="1825BA37" w14:textId="77777777" w:rsidTr="008F4115">
        <w:trPr>
          <w:cantSplit/>
        </w:trPr>
        <w:tc>
          <w:tcPr>
            <w:tcW w:w="652" w:type="dxa"/>
            <w:tcBorders>
              <w:right w:val="nil"/>
            </w:tcBorders>
            <w:shd w:val="clear" w:color="auto" w:fill="auto"/>
            <w:tcMar>
              <w:top w:w="85" w:type="dxa"/>
              <w:left w:w="85" w:type="dxa"/>
              <w:bottom w:w="85" w:type="dxa"/>
            </w:tcMar>
          </w:tcPr>
          <w:p w14:paraId="08128E29" w14:textId="77777777" w:rsidR="00935A4E" w:rsidRDefault="00935A4E" w:rsidP="00935A4E">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4AE46D2C" w14:textId="77777777" w:rsidR="00935A4E" w:rsidRPr="00C81A35" w:rsidRDefault="00935A4E" w:rsidP="008F4115">
            <w:pPr>
              <w:tabs>
                <w:tab w:val="left" w:pos="8560"/>
              </w:tabs>
              <w:rPr>
                <w:noProof/>
                <w:sz w:val="20"/>
              </w:rPr>
            </w:pPr>
            <w:r>
              <w:rPr>
                <w:noProof/>
                <w:sz w:val="20"/>
              </w:rPr>
              <w:t>Návrh NAŘÍZENÍ EVROPSKÉHO PARLAMENTU A RADY o vážných přeshraničních zdravotních hrozbách a o zrušení rozhodnutí č. 1082/2013/EU</w:t>
            </w:r>
          </w:p>
        </w:tc>
        <w:tc>
          <w:tcPr>
            <w:tcW w:w="2126" w:type="dxa"/>
            <w:tcMar>
              <w:top w:w="85" w:type="dxa"/>
              <w:left w:w="85" w:type="dxa"/>
              <w:bottom w:w="85" w:type="dxa"/>
            </w:tcMar>
          </w:tcPr>
          <w:p w14:paraId="383D0641" w14:textId="77777777" w:rsidR="00935A4E" w:rsidRPr="00C81A35" w:rsidRDefault="00935A4E" w:rsidP="00A6020F">
            <w:pPr>
              <w:spacing w:after="0"/>
              <w:jc w:val="left"/>
              <w:rPr>
                <w:noProof/>
                <w:sz w:val="20"/>
              </w:rPr>
            </w:pPr>
            <w:r>
              <w:rPr>
                <w:noProof/>
                <w:sz w:val="20"/>
              </w:rPr>
              <w:t>COM(2020)727 final</w:t>
            </w:r>
            <w:r>
              <w:rPr>
                <w:noProof/>
              </w:rPr>
              <w:t xml:space="preserve"> </w:t>
            </w:r>
            <w:r>
              <w:rPr>
                <w:noProof/>
              </w:rPr>
              <w:br/>
            </w:r>
            <w:r>
              <w:rPr>
                <w:noProof/>
                <w:sz w:val="20"/>
              </w:rPr>
              <w:t>2020/0322 (COD)</w:t>
            </w:r>
            <w:r>
              <w:rPr>
                <w:noProof/>
              </w:rPr>
              <w:t xml:space="preserve"> </w:t>
            </w:r>
            <w:r>
              <w:rPr>
                <w:noProof/>
              </w:rPr>
              <w:br/>
            </w:r>
            <w:r>
              <w:rPr>
                <w:noProof/>
                <w:sz w:val="20"/>
              </w:rPr>
              <w:t>11. 11. 2020</w:t>
            </w:r>
          </w:p>
        </w:tc>
      </w:tr>
      <w:tr w:rsidR="00935A4E" w14:paraId="6FE0DCEB" w14:textId="77777777" w:rsidTr="008F4115">
        <w:trPr>
          <w:cantSplit/>
        </w:trPr>
        <w:tc>
          <w:tcPr>
            <w:tcW w:w="652" w:type="dxa"/>
            <w:tcBorders>
              <w:right w:val="nil"/>
            </w:tcBorders>
            <w:shd w:val="clear" w:color="auto" w:fill="auto"/>
            <w:tcMar>
              <w:top w:w="85" w:type="dxa"/>
              <w:left w:w="85" w:type="dxa"/>
              <w:bottom w:w="85" w:type="dxa"/>
            </w:tcMar>
          </w:tcPr>
          <w:p w14:paraId="7A659835" w14:textId="77777777" w:rsidR="00935A4E" w:rsidRDefault="00935A4E" w:rsidP="00935A4E">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268D2D5B" w14:textId="77777777" w:rsidR="00935A4E" w:rsidRPr="00C81A35" w:rsidRDefault="00935A4E" w:rsidP="008F4115">
            <w:pPr>
              <w:rPr>
                <w:noProof/>
                <w:sz w:val="20"/>
              </w:rPr>
            </w:pPr>
            <w:r>
              <w:rPr>
                <w:noProof/>
                <w:sz w:val="20"/>
              </w:rPr>
              <w:t>Návrh NAŘÍZENÍ EVROPSKÉHO PARLAMENTU A RADY, kterým se mění nařízení (ES) č. 851/2004 o zřízení Evropského střediska pro prevenci a kontrolu nemocí</w:t>
            </w:r>
          </w:p>
        </w:tc>
        <w:tc>
          <w:tcPr>
            <w:tcW w:w="2126" w:type="dxa"/>
            <w:tcMar>
              <w:top w:w="85" w:type="dxa"/>
              <w:left w:w="85" w:type="dxa"/>
              <w:bottom w:w="85" w:type="dxa"/>
            </w:tcMar>
          </w:tcPr>
          <w:p w14:paraId="1111B887" w14:textId="77777777" w:rsidR="00935A4E" w:rsidRPr="00C81A35" w:rsidRDefault="00935A4E" w:rsidP="00A6020F">
            <w:pPr>
              <w:spacing w:after="0"/>
              <w:jc w:val="left"/>
              <w:rPr>
                <w:noProof/>
                <w:sz w:val="20"/>
              </w:rPr>
            </w:pPr>
            <w:r>
              <w:rPr>
                <w:noProof/>
                <w:sz w:val="20"/>
              </w:rPr>
              <w:t>COM(2020)726 final</w:t>
            </w:r>
            <w:r>
              <w:rPr>
                <w:noProof/>
              </w:rPr>
              <w:t xml:space="preserve"> </w:t>
            </w:r>
            <w:r>
              <w:rPr>
                <w:noProof/>
              </w:rPr>
              <w:br/>
            </w:r>
            <w:r>
              <w:rPr>
                <w:noProof/>
                <w:sz w:val="20"/>
              </w:rPr>
              <w:t>2020/0320 (COD)</w:t>
            </w:r>
            <w:r>
              <w:rPr>
                <w:noProof/>
              </w:rPr>
              <w:t xml:space="preserve"> </w:t>
            </w:r>
            <w:r>
              <w:rPr>
                <w:noProof/>
              </w:rPr>
              <w:br/>
            </w:r>
            <w:r>
              <w:rPr>
                <w:noProof/>
                <w:sz w:val="20"/>
              </w:rPr>
              <w:t>11. 11. 2020</w:t>
            </w:r>
          </w:p>
        </w:tc>
      </w:tr>
      <w:tr w:rsidR="00935A4E" w14:paraId="1DF7D981" w14:textId="77777777" w:rsidTr="008F4115">
        <w:trPr>
          <w:cantSplit/>
        </w:trPr>
        <w:tc>
          <w:tcPr>
            <w:tcW w:w="652" w:type="dxa"/>
            <w:tcBorders>
              <w:right w:val="nil"/>
            </w:tcBorders>
            <w:shd w:val="clear" w:color="auto" w:fill="auto"/>
            <w:tcMar>
              <w:top w:w="85" w:type="dxa"/>
              <w:left w:w="85" w:type="dxa"/>
              <w:bottom w:w="85" w:type="dxa"/>
            </w:tcMar>
          </w:tcPr>
          <w:p w14:paraId="20882752" w14:textId="77777777" w:rsidR="00935A4E" w:rsidRDefault="00935A4E" w:rsidP="00935A4E">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225949AF" w14:textId="77777777" w:rsidR="00935A4E" w:rsidRPr="00C81A35" w:rsidRDefault="00935A4E" w:rsidP="008F4115">
            <w:pPr>
              <w:rPr>
                <w:noProof/>
                <w:sz w:val="20"/>
              </w:rPr>
            </w:pPr>
            <w:r>
              <w:rPr>
                <w:noProof/>
                <w:sz w:val="20"/>
              </w:rPr>
              <w:t>Návrh NAŘÍZENÍ EVROPSKÉHO PARLAMENTU A RADY o posílené úloze Evropské agentury pro léčivé přípravky při připravenosti na krize a krizovém řízení v oblasti léčivých přípravků a zdravotnických prostředků</w:t>
            </w:r>
          </w:p>
        </w:tc>
        <w:tc>
          <w:tcPr>
            <w:tcW w:w="2126" w:type="dxa"/>
            <w:tcMar>
              <w:top w:w="85" w:type="dxa"/>
              <w:left w:w="85" w:type="dxa"/>
              <w:bottom w:w="85" w:type="dxa"/>
            </w:tcMar>
          </w:tcPr>
          <w:p w14:paraId="566C90B2" w14:textId="77777777" w:rsidR="00935A4E" w:rsidRPr="00C81A35" w:rsidRDefault="00935A4E" w:rsidP="00A6020F">
            <w:pPr>
              <w:spacing w:after="0"/>
              <w:jc w:val="left"/>
              <w:rPr>
                <w:noProof/>
                <w:sz w:val="20"/>
              </w:rPr>
            </w:pPr>
            <w:r>
              <w:rPr>
                <w:noProof/>
                <w:sz w:val="20"/>
              </w:rPr>
              <w:t>COM(2020)725 final</w:t>
            </w:r>
            <w:r>
              <w:rPr>
                <w:noProof/>
              </w:rPr>
              <w:t xml:space="preserve"> </w:t>
            </w:r>
            <w:r>
              <w:rPr>
                <w:noProof/>
              </w:rPr>
              <w:br/>
            </w:r>
            <w:r>
              <w:rPr>
                <w:noProof/>
                <w:sz w:val="20"/>
              </w:rPr>
              <w:t>2020/0321 (COD)</w:t>
            </w:r>
            <w:r>
              <w:rPr>
                <w:noProof/>
              </w:rPr>
              <w:t xml:space="preserve"> </w:t>
            </w:r>
            <w:r>
              <w:rPr>
                <w:noProof/>
              </w:rPr>
              <w:br/>
            </w:r>
            <w:r>
              <w:rPr>
                <w:noProof/>
                <w:sz w:val="20"/>
              </w:rPr>
              <w:t>11. 11. 2020</w:t>
            </w:r>
          </w:p>
        </w:tc>
      </w:tr>
      <w:tr w:rsidR="00935A4E" w14:paraId="00B9FBC7" w14:textId="77777777" w:rsidTr="008F4115">
        <w:trPr>
          <w:cantSplit/>
        </w:trPr>
        <w:tc>
          <w:tcPr>
            <w:tcW w:w="652" w:type="dxa"/>
            <w:tcBorders>
              <w:right w:val="nil"/>
            </w:tcBorders>
            <w:shd w:val="clear" w:color="auto" w:fill="auto"/>
            <w:tcMar>
              <w:top w:w="85" w:type="dxa"/>
              <w:left w:w="85" w:type="dxa"/>
              <w:bottom w:w="85" w:type="dxa"/>
            </w:tcMar>
          </w:tcPr>
          <w:p w14:paraId="485FDF5D" w14:textId="77777777" w:rsidR="00935A4E" w:rsidRDefault="00935A4E" w:rsidP="00935A4E">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2108C0CA" w14:textId="77777777" w:rsidR="00935A4E" w:rsidRPr="00C81A35" w:rsidRDefault="00935A4E" w:rsidP="008F4115">
            <w:pPr>
              <w:rPr>
                <w:noProof/>
                <w:sz w:val="20"/>
              </w:rPr>
            </w:pPr>
            <w:r>
              <w:rPr>
                <w:noProof/>
                <w:sz w:val="20"/>
              </w:rPr>
              <w:t>Návrh NAŘÍZENÍ EVROPSKÉHO PARLAMENTU A RADY o řešení krizových situací a zásahů vyšší moci v oblasti migrace a azylu</w:t>
            </w:r>
          </w:p>
        </w:tc>
        <w:tc>
          <w:tcPr>
            <w:tcW w:w="2126" w:type="dxa"/>
            <w:tcMar>
              <w:top w:w="85" w:type="dxa"/>
              <w:left w:w="85" w:type="dxa"/>
              <w:bottom w:w="85" w:type="dxa"/>
            </w:tcMar>
          </w:tcPr>
          <w:p w14:paraId="67D8BC3A" w14:textId="77777777" w:rsidR="00935A4E" w:rsidRPr="00C81A35" w:rsidRDefault="00935A4E" w:rsidP="00A6020F">
            <w:pPr>
              <w:spacing w:after="0"/>
              <w:jc w:val="left"/>
              <w:rPr>
                <w:noProof/>
                <w:sz w:val="20"/>
              </w:rPr>
            </w:pPr>
            <w:r>
              <w:rPr>
                <w:noProof/>
                <w:sz w:val="20"/>
              </w:rPr>
              <w:t>COM(2020)613 final</w:t>
            </w:r>
            <w:r>
              <w:rPr>
                <w:noProof/>
              </w:rPr>
              <w:t xml:space="preserve"> </w:t>
            </w:r>
            <w:r>
              <w:rPr>
                <w:noProof/>
              </w:rPr>
              <w:br/>
            </w:r>
            <w:r>
              <w:rPr>
                <w:noProof/>
                <w:sz w:val="20"/>
              </w:rPr>
              <w:t>2020/0277 (COD)</w:t>
            </w:r>
            <w:r>
              <w:rPr>
                <w:noProof/>
              </w:rPr>
              <w:t xml:space="preserve"> </w:t>
            </w:r>
            <w:r>
              <w:rPr>
                <w:noProof/>
              </w:rPr>
              <w:br/>
            </w:r>
            <w:r>
              <w:rPr>
                <w:noProof/>
                <w:sz w:val="20"/>
              </w:rPr>
              <w:t>23. 9. 2020</w:t>
            </w:r>
          </w:p>
        </w:tc>
      </w:tr>
      <w:tr w:rsidR="00935A4E" w14:paraId="65FFF77E" w14:textId="77777777" w:rsidTr="008F4115">
        <w:trPr>
          <w:cantSplit/>
        </w:trPr>
        <w:tc>
          <w:tcPr>
            <w:tcW w:w="652" w:type="dxa"/>
            <w:tcBorders>
              <w:right w:val="nil"/>
            </w:tcBorders>
            <w:shd w:val="clear" w:color="auto" w:fill="auto"/>
            <w:tcMar>
              <w:top w:w="85" w:type="dxa"/>
              <w:left w:w="85" w:type="dxa"/>
              <w:bottom w:w="85" w:type="dxa"/>
            </w:tcMar>
          </w:tcPr>
          <w:p w14:paraId="79FCBAAF" w14:textId="77777777" w:rsidR="00935A4E" w:rsidRDefault="00935A4E" w:rsidP="00935A4E">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6F92D105" w14:textId="77777777" w:rsidR="00935A4E" w:rsidRPr="00C81A35" w:rsidRDefault="00935A4E" w:rsidP="008F4115">
            <w:pPr>
              <w:tabs>
                <w:tab w:val="left" w:pos="8280"/>
              </w:tabs>
              <w:rPr>
                <w:noProof/>
                <w:sz w:val="20"/>
              </w:rPr>
            </w:pPr>
            <w:r>
              <w:rPr>
                <w:noProof/>
                <w:sz w:val="20"/>
              </w:rPr>
              <w:t>Návrh NAŘÍZENÍ EVROPSKÉHO PARLAMENTU A RADY, kterým se zavádí prověřování státních příslušníků třetích zemí na vnějších hranicích a mění nařízení (ES) č. 767/2008, (EU) 2017/2226, (EU) 2018/1240 a (EU) 2019/817</w:t>
            </w:r>
          </w:p>
        </w:tc>
        <w:tc>
          <w:tcPr>
            <w:tcW w:w="2126" w:type="dxa"/>
            <w:tcMar>
              <w:top w:w="85" w:type="dxa"/>
              <w:left w:w="85" w:type="dxa"/>
              <w:bottom w:w="85" w:type="dxa"/>
            </w:tcMar>
          </w:tcPr>
          <w:p w14:paraId="6E69A586" w14:textId="77777777" w:rsidR="00935A4E" w:rsidRPr="00C81A35" w:rsidRDefault="00935A4E" w:rsidP="00A6020F">
            <w:pPr>
              <w:spacing w:after="0"/>
              <w:jc w:val="left"/>
              <w:rPr>
                <w:noProof/>
                <w:sz w:val="20"/>
              </w:rPr>
            </w:pPr>
            <w:r>
              <w:rPr>
                <w:noProof/>
                <w:sz w:val="20"/>
              </w:rPr>
              <w:t>COM(2020)612 final</w:t>
            </w:r>
            <w:r>
              <w:rPr>
                <w:noProof/>
              </w:rPr>
              <w:t xml:space="preserve"> </w:t>
            </w:r>
            <w:r>
              <w:rPr>
                <w:noProof/>
              </w:rPr>
              <w:br/>
            </w:r>
            <w:r>
              <w:rPr>
                <w:noProof/>
                <w:sz w:val="20"/>
              </w:rPr>
              <w:t>2020/0278 (COD)</w:t>
            </w:r>
            <w:r>
              <w:rPr>
                <w:noProof/>
              </w:rPr>
              <w:t xml:space="preserve"> </w:t>
            </w:r>
            <w:r>
              <w:rPr>
                <w:noProof/>
              </w:rPr>
              <w:br/>
            </w:r>
            <w:r>
              <w:rPr>
                <w:noProof/>
                <w:sz w:val="20"/>
              </w:rPr>
              <w:t>23. 9. 2020</w:t>
            </w:r>
          </w:p>
        </w:tc>
      </w:tr>
      <w:tr w:rsidR="00935A4E" w14:paraId="50A1D38F" w14:textId="77777777" w:rsidTr="008F4115">
        <w:trPr>
          <w:cantSplit/>
        </w:trPr>
        <w:tc>
          <w:tcPr>
            <w:tcW w:w="652" w:type="dxa"/>
            <w:tcBorders>
              <w:right w:val="nil"/>
            </w:tcBorders>
            <w:shd w:val="clear" w:color="auto" w:fill="auto"/>
            <w:tcMar>
              <w:top w:w="85" w:type="dxa"/>
              <w:left w:w="85" w:type="dxa"/>
              <w:bottom w:w="85" w:type="dxa"/>
            </w:tcMar>
          </w:tcPr>
          <w:p w14:paraId="27C699AE" w14:textId="77777777" w:rsidR="00935A4E" w:rsidRDefault="00935A4E" w:rsidP="00935A4E">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09027A30" w14:textId="77777777" w:rsidR="00935A4E" w:rsidRDefault="00935A4E" w:rsidP="008F4115">
            <w:pPr>
              <w:spacing w:after="0"/>
              <w:rPr>
                <w:noProof/>
                <w:sz w:val="20"/>
              </w:rPr>
            </w:pPr>
            <w:r>
              <w:rPr>
                <w:noProof/>
                <w:sz w:val="20"/>
              </w:rPr>
              <w:t>Návrh NAŘÍZENÍ EVROPSKÉHO PARLAMENTU A RADY o řízení azylu a migrace a o změně směrnice Rady (ES) 2003/109 a navrhovaného nařízení (EU) XXX/XXX [nařízení o Azylovém a migračním fondu]</w:t>
            </w:r>
          </w:p>
        </w:tc>
        <w:tc>
          <w:tcPr>
            <w:tcW w:w="2126" w:type="dxa"/>
            <w:tcMar>
              <w:top w:w="85" w:type="dxa"/>
              <w:left w:w="85" w:type="dxa"/>
              <w:bottom w:w="85" w:type="dxa"/>
            </w:tcMar>
          </w:tcPr>
          <w:p w14:paraId="3F162BF9" w14:textId="77777777" w:rsidR="00935A4E" w:rsidRDefault="00935A4E" w:rsidP="008F4115">
            <w:pPr>
              <w:spacing w:after="0"/>
              <w:jc w:val="left"/>
              <w:rPr>
                <w:noProof/>
                <w:sz w:val="20"/>
              </w:rPr>
            </w:pPr>
            <w:r>
              <w:rPr>
                <w:noProof/>
                <w:sz w:val="20"/>
              </w:rPr>
              <w:t>COM(2020)610 final</w:t>
            </w:r>
            <w:r>
              <w:rPr>
                <w:noProof/>
              </w:rPr>
              <w:t xml:space="preserve"> </w:t>
            </w:r>
            <w:r>
              <w:rPr>
                <w:noProof/>
              </w:rPr>
              <w:br/>
            </w:r>
            <w:r>
              <w:rPr>
                <w:noProof/>
                <w:sz w:val="20"/>
              </w:rPr>
              <w:t>2020/0279 (COD)</w:t>
            </w:r>
            <w:r>
              <w:rPr>
                <w:noProof/>
              </w:rPr>
              <w:t xml:space="preserve"> </w:t>
            </w:r>
            <w:r>
              <w:rPr>
                <w:noProof/>
              </w:rPr>
              <w:br/>
            </w:r>
            <w:r>
              <w:rPr>
                <w:noProof/>
                <w:sz w:val="20"/>
              </w:rPr>
              <w:t>23. 9. 2020</w:t>
            </w:r>
          </w:p>
        </w:tc>
      </w:tr>
      <w:tr w:rsidR="00935A4E" w14:paraId="08003B0B" w14:textId="77777777" w:rsidTr="008F4115">
        <w:trPr>
          <w:cantSplit/>
        </w:trPr>
        <w:tc>
          <w:tcPr>
            <w:tcW w:w="652" w:type="dxa"/>
            <w:tcBorders>
              <w:right w:val="nil"/>
            </w:tcBorders>
            <w:shd w:val="clear" w:color="auto" w:fill="auto"/>
            <w:tcMar>
              <w:top w:w="85" w:type="dxa"/>
              <w:left w:w="85" w:type="dxa"/>
              <w:bottom w:w="85" w:type="dxa"/>
            </w:tcMar>
          </w:tcPr>
          <w:p w14:paraId="6B3E0890"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45DB6091" w14:textId="77777777" w:rsidR="00935A4E" w:rsidRDefault="00935A4E" w:rsidP="008F4115">
            <w:pPr>
              <w:spacing w:after="0"/>
              <w:rPr>
                <w:noProof/>
                <w:sz w:val="20"/>
              </w:rPr>
            </w:pPr>
            <w:r>
              <w:rPr>
                <w:noProof/>
                <w:sz w:val="20"/>
              </w:rPr>
              <w:t xml:space="preserve">Návrh SMĚRNICE EVROPSKÉHO PARLAMENTU A RADY o společných normách a postupech v členských státech při navracení neoprávněně pobývajících státních příslušníků třetích zemí (přepracované znění) </w:t>
            </w:r>
          </w:p>
        </w:tc>
        <w:tc>
          <w:tcPr>
            <w:tcW w:w="2126" w:type="dxa"/>
            <w:tcMar>
              <w:top w:w="85" w:type="dxa"/>
              <w:left w:w="85" w:type="dxa"/>
              <w:bottom w:w="85" w:type="dxa"/>
            </w:tcMar>
          </w:tcPr>
          <w:p w14:paraId="0C147604" w14:textId="77777777" w:rsidR="00935A4E" w:rsidRPr="00932416" w:rsidRDefault="00935A4E" w:rsidP="008F4115">
            <w:pPr>
              <w:spacing w:after="0"/>
              <w:jc w:val="left"/>
              <w:rPr>
                <w:noProof/>
                <w:sz w:val="20"/>
              </w:rPr>
            </w:pPr>
            <w:r>
              <w:rPr>
                <w:noProof/>
                <w:sz w:val="20"/>
              </w:rPr>
              <w:t>COM(2018)634 final</w:t>
            </w:r>
            <w:r>
              <w:rPr>
                <w:noProof/>
              </w:rPr>
              <w:t xml:space="preserve"> </w:t>
            </w:r>
            <w:r>
              <w:rPr>
                <w:noProof/>
              </w:rPr>
              <w:br/>
            </w:r>
            <w:r>
              <w:rPr>
                <w:noProof/>
                <w:sz w:val="20"/>
              </w:rPr>
              <w:t>2018/0329 (COD)</w:t>
            </w:r>
            <w:r>
              <w:rPr>
                <w:noProof/>
              </w:rPr>
              <w:t xml:space="preserve"> </w:t>
            </w:r>
            <w:r>
              <w:rPr>
                <w:noProof/>
              </w:rPr>
              <w:br/>
            </w:r>
            <w:r>
              <w:rPr>
                <w:noProof/>
                <w:sz w:val="20"/>
              </w:rPr>
              <w:t>12. 9. 2018</w:t>
            </w:r>
          </w:p>
        </w:tc>
      </w:tr>
      <w:tr w:rsidR="00935A4E" w14:paraId="6F91FD56" w14:textId="77777777" w:rsidTr="008F4115">
        <w:trPr>
          <w:cantSplit/>
        </w:trPr>
        <w:tc>
          <w:tcPr>
            <w:tcW w:w="652" w:type="dxa"/>
            <w:tcBorders>
              <w:right w:val="nil"/>
            </w:tcBorders>
            <w:shd w:val="clear" w:color="auto" w:fill="auto"/>
            <w:tcMar>
              <w:top w:w="85" w:type="dxa"/>
              <w:left w:w="85" w:type="dxa"/>
              <w:bottom w:w="85" w:type="dxa"/>
            </w:tcMar>
          </w:tcPr>
          <w:p w14:paraId="0BE5C255" w14:textId="77777777" w:rsidR="00935A4E" w:rsidRDefault="00935A4E" w:rsidP="00935A4E">
            <w:pPr>
              <w:pStyle w:val="ListParagraph"/>
              <w:numPr>
                <w:ilvl w:val="0"/>
                <w:numId w:val="31"/>
              </w:numPr>
              <w:spacing w:after="0"/>
              <w:rPr>
                <w:b/>
                <w:noProof/>
                <w:sz w:val="20"/>
                <w:lang w:val="pt-PT"/>
              </w:rPr>
            </w:pPr>
          </w:p>
        </w:tc>
        <w:tc>
          <w:tcPr>
            <w:tcW w:w="12072" w:type="dxa"/>
            <w:shd w:val="clear" w:color="auto" w:fill="auto"/>
            <w:tcMar>
              <w:top w:w="85" w:type="dxa"/>
              <w:left w:w="85" w:type="dxa"/>
              <w:bottom w:w="85" w:type="dxa"/>
            </w:tcMar>
          </w:tcPr>
          <w:p w14:paraId="085CE63D" w14:textId="77777777" w:rsidR="00935A4E" w:rsidRDefault="00935A4E" w:rsidP="008F4115">
            <w:pPr>
              <w:spacing w:after="0"/>
              <w:rPr>
                <w:noProof/>
                <w:sz w:val="20"/>
              </w:rPr>
            </w:pPr>
            <w:r>
              <w:rPr>
                <w:noProof/>
                <w:sz w:val="20"/>
              </w:rPr>
              <w:t>Návrh NAŘÍZENÍ EVROPSKÉHO PARLAMENTU A RADY, kterým se zřizuje rámec Unie pro znovuusídlování a mění nařízení Evropského parlamentu a Rady (EU) č. 516/2014</w:t>
            </w:r>
          </w:p>
        </w:tc>
        <w:tc>
          <w:tcPr>
            <w:tcW w:w="2126" w:type="dxa"/>
            <w:tcMar>
              <w:top w:w="85" w:type="dxa"/>
              <w:left w:w="85" w:type="dxa"/>
              <w:bottom w:w="85" w:type="dxa"/>
            </w:tcMar>
          </w:tcPr>
          <w:p w14:paraId="6EF95DD7" w14:textId="77777777" w:rsidR="00935A4E" w:rsidRPr="00932416" w:rsidRDefault="00935A4E" w:rsidP="008F4115">
            <w:pPr>
              <w:spacing w:after="0"/>
              <w:jc w:val="left"/>
              <w:rPr>
                <w:noProof/>
                <w:sz w:val="20"/>
              </w:rPr>
            </w:pPr>
            <w:r>
              <w:rPr>
                <w:noProof/>
                <w:sz w:val="20"/>
              </w:rPr>
              <w:t>COM(2016)468 final</w:t>
            </w:r>
            <w:r>
              <w:rPr>
                <w:noProof/>
              </w:rPr>
              <w:t xml:space="preserve"> </w:t>
            </w:r>
            <w:r>
              <w:rPr>
                <w:noProof/>
              </w:rPr>
              <w:br/>
            </w:r>
            <w:r>
              <w:rPr>
                <w:noProof/>
                <w:sz w:val="20"/>
              </w:rPr>
              <w:t>2016/0225 (COD)</w:t>
            </w:r>
            <w:r>
              <w:rPr>
                <w:noProof/>
              </w:rPr>
              <w:t xml:space="preserve"> </w:t>
            </w:r>
            <w:r>
              <w:rPr>
                <w:noProof/>
              </w:rPr>
              <w:br/>
            </w:r>
            <w:r>
              <w:rPr>
                <w:noProof/>
                <w:sz w:val="20"/>
              </w:rPr>
              <w:t>13. 7. 2016</w:t>
            </w:r>
          </w:p>
        </w:tc>
      </w:tr>
      <w:tr w:rsidR="00935A4E" w:rsidRPr="00A06848" w14:paraId="669713C8" w14:textId="77777777" w:rsidTr="008F4115">
        <w:trPr>
          <w:cantSplit/>
        </w:trPr>
        <w:tc>
          <w:tcPr>
            <w:tcW w:w="652" w:type="dxa"/>
            <w:tcBorders>
              <w:right w:val="nil"/>
            </w:tcBorders>
            <w:shd w:val="clear" w:color="auto" w:fill="auto"/>
            <w:tcMar>
              <w:top w:w="85" w:type="dxa"/>
              <w:left w:w="85" w:type="dxa"/>
              <w:bottom w:w="85" w:type="dxa"/>
            </w:tcMar>
          </w:tcPr>
          <w:p w14:paraId="4EB0AC60" w14:textId="77777777" w:rsidR="00935A4E" w:rsidRDefault="00935A4E" w:rsidP="00935A4E">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6AD1BA83" w14:textId="77777777" w:rsidR="00935A4E" w:rsidRDefault="00935A4E" w:rsidP="008F4115">
            <w:pPr>
              <w:spacing w:after="0"/>
              <w:rPr>
                <w:noProof/>
                <w:sz w:val="20"/>
              </w:rPr>
            </w:pPr>
            <w:r>
              <w:rPr>
                <w:noProof/>
                <w:sz w:val="20"/>
              </w:rPr>
              <w:t>Návrh NAŘÍZENÍ EVROPSKÉHO PARLAMENTU A RADY o zavedení společného postupu pro mezinárodní ochranu v Unii a o zrušení směrnice 2013/32/EU</w:t>
            </w:r>
          </w:p>
        </w:tc>
        <w:tc>
          <w:tcPr>
            <w:tcW w:w="2126" w:type="dxa"/>
            <w:tcMar>
              <w:top w:w="85" w:type="dxa"/>
              <w:left w:w="85" w:type="dxa"/>
              <w:bottom w:w="85" w:type="dxa"/>
            </w:tcMar>
          </w:tcPr>
          <w:p w14:paraId="0AED130D" w14:textId="77777777" w:rsidR="00935A4E" w:rsidRPr="00932416" w:rsidRDefault="00935A4E" w:rsidP="008F4115">
            <w:pPr>
              <w:spacing w:after="0"/>
              <w:jc w:val="left"/>
              <w:rPr>
                <w:noProof/>
                <w:sz w:val="20"/>
              </w:rPr>
            </w:pPr>
            <w:r>
              <w:rPr>
                <w:noProof/>
                <w:sz w:val="20"/>
              </w:rPr>
              <w:t>COM(2016)467 final</w:t>
            </w:r>
            <w:r>
              <w:rPr>
                <w:noProof/>
              </w:rPr>
              <w:t xml:space="preserve"> </w:t>
            </w:r>
            <w:r>
              <w:rPr>
                <w:noProof/>
              </w:rPr>
              <w:br/>
            </w:r>
            <w:r>
              <w:rPr>
                <w:noProof/>
                <w:sz w:val="20"/>
              </w:rPr>
              <w:t>2016/0224 (COD)</w:t>
            </w:r>
            <w:r>
              <w:rPr>
                <w:noProof/>
              </w:rPr>
              <w:t xml:space="preserve"> </w:t>
            </w:r>
            <w:r>
              <w:rPr>
                <w:noProof/>
              </w:rPr>
              <w:br/>
            </w:r>
            <w:r>
              <w:rPr>
                <w:noProof/>
                <w:sz w:val="20"/>
              </w:rPr>
              <w:t>13. 7. 2016</w:t>
            </w:r>
            <w:r>
              <w:rPr>
                <w:noProof/>
              </w:rPr>
              <w:t xml:space="preserve"> </w:t>
            </w:r>
            <w:r>
              <w:rPr>
                <w:noProof/>
              </w:rPr>
              <w:br/>
            </w:r>
          </w:p>
          <w:p w14:paraId="44009D15" w14:textId="77777777" w:rsidR="00935A4E" w:rsidRPr="00932416" w:rsidRDefault="00935A4E" w:rsidP="008F4115">
            <w:pPr>
              <w:spacing w:after="0"/>
              <w:jc w:val="left"/>
              <w:rPr>
                <w:noProof/>
                <w:sz w:val="20"/>
              </w:rPr>
            </w:pPr>
            <w:r>
              <w:rPr>
                <w:noProof/>
                <w:sz w:val="20"/>
              </w:rPr>
              <w:t>COM(2020)611 final</w:t>
            </w:r>
            <w:r>
              <w:rPr>
                <w:noProof/>
              </w:rPr>
              <w:t xml:space="preserve"> </w:t>
            </w:r>
            <w:r>
              <w:rPr>
                <w:noProof/>
              </w:rPr>
              <w:br/>
            </w:r>
            <w:r>
              <w:rPr>
                <w:noProof/>
                <w:sz w:val="20"/>
              </w:rPr>
              <w:t>23. 9. 2020</w:t>
            </w:r>
          </w:p>
        </w:tc>
      </w:tr>
      <w:tr w:rsidR="00935A4E" w14:paraId="19E98963" w14:textId="77777777" w:rsidTr="008F4115">
        <w:trPr>
          <w:cantSplit/>
        </w:trPr>
        <w:tc>
          <w:tcPr>
            <w:tcW w:w="652" w:type="dxa"/>
            <w:tcBorders>
              <w:right w:val="nil"/>
            </w:tcBorders>
            <w:shd w:val="clear" w:color="auto" w:fill="auto"/>
            <w:tcMar>
              <w:top w:w="85" w:type="dxa"/>
              <w:left w:w="85" w:type="dxa"/>
              <w:bottom w:w="85" w:type="dxa"/>
            </w:tcMar>
          </w:tcPr>
          <w:p w14:paraId="4CDEC1BD" w14:textId="77777777" w:rsidR="00935A4E" w:rsidRPr="0094264B" w:rsidRDefault="00935A4E" w:rsidP="00935A4E">
            <w:pPr>
              <w:pStyle w:val="ListParagraph"/>
              <w:numPr>
                <w:ilvl w:val="0"/>
                <w:numId w:val="31"/>
              </w:numPr>
              <w:spacing w:after="0"/>
              <w:rPr>
                <w:b/>
                <w:noProof/>
                <w:sz w:val="20"/>
                <w:lang w:val="pt-PT"/>
              </w:rPr>
            </w:pPr>
          </w:p>
        </w:tc>
        <w:tc>
          <w:tcPr>
            <w:tcW w:w="12072" w:type="dxa"/>
            <w:shd w:val="clear" w:color="auto" w:fill="auto"/>
            <w:tcMar>
              <w:top w:w="85" w:type="dxa"/>
              <w:left w:w="85" w:type="dxa"/>
              <w:bottom w:w="85" w:type="dxa"/>
            </w:tcMar>
          </w:tcPr>
          <w:p w14:paraId="18BB4096" w14:textId="77777777" w:rsidR="00935A4E" w:rsidRDefault="00935A4E" w:rsidP="008F4115">
            <w:pPr>
              <w:spacing w:after="0"/>
              <w:rPr>
                <w:noProof/>
                <w:sz w:val="20"/>
              </w:rPr>
            </w:pPr>
            <w:r>
              <w:rPr>
                <w:noProof/>
                <w:sz w:val="20"/>
              </w:rPr>
              <w:t xml:space="preserve">Návrh NAŘÍZENÍ EVROPSKÉHO PARLAMENTU A RADY o normách, které musí splňovat státní příslušníci třetích zemí nebo osoby bez státní příslušnosti, aby mohli požívat mezinárodní ochrany, o jednotném statusu pro uprchlíky nebo osoby, které mají nárok na doplňkovou ochranu, a o obsahu poskytnuté ochrany a o změně směrnice Rady 2003/109/ES ze dne 25. listopadu 2003 o právním postavení státních příslušníků třetích zemí, kteří jsou dlouhodobě pobývajícími rezidenty </w:t>
            </w:r>
          </w:p>
        </w:tc>
        <w:tc>
          <w:tcPr>
            <w:tcW w:w="2126" w:type="dxa"/>
            <w:tcMar>
              <w:top w:w="85" w:type="dxa"/>
              <w:left w:w="85" w:type="dxa"/>
              <w:bottom w:w="85" w:type="dxa"/>
            </w:tcMar>
          </w:tcPr>
          <w:p w14:paraId="62A9748F" w14:textId="77777777" w:rsidR="00935A4E" w:rsidRPr="00932416" w:rsidRDefault="00935A4E" w:rsidP="008F4115">
            <w:pPr>
              <w:spacing w:after="0"/>
              <w:jc w:val="left"/>
              <w:rPr>
                <w:noProof/>
                <w:sz w:val="20"/>
              </w:rPr>
            </w:pPr>
            <w:r>
              <w:rPr>
                <w:noProof/>
                <w:sz w:val="20"/>
              </w:rPr>
              <w:t>COM(2016)466 final</w:t>
            </w:r>
            <w:r>
              <w:rPr>
                <w:noProof/>
              </w:rPr>
              <w:t xml:space="preserve"> </w:t>
            </w:r>
            <w:r>
              <w:rPr>
                <w:noProof/>
              </w:rPr>
              <w:br/>
            </w:r>
            <w:r>
              <w:rPr>
                <w:noProof/>
                <w:sz w:val="20"/>
              </w:rPr>
              <w:t>2016/0223 (COD)</w:t>
            </w:r>
            <w:r>
              <w:rPr>
                <w:noProof/>
              </w:rPr>
              <w:t xml:space="preserve"> </w:t>
            </w:r>
            <w:r>
              <w:rPr>
                <w:noProof/>
              </w:rPr>
              <w:br/>
            </w:r>
            <w:r>
              <w:rPr>
                <w:noProof/>
                <w:sz w:val="20"/>
              </w:rPr>
              <w:t>13. 7. 2016</w:t>
            </w:r>
          </w:p>
        </w:tc>
      </w:tr>
      <w:tr w:rsidR="00935A4E" w14:paraId="3AAFE35E" w14:textId="77777777" w:rsidTr="008F4115">
        <w:trPr>
          <w:cantSplit/>
        </w:trPr>
        <w:tc>
          <w:tcPr>
            <w:tcW w:w="652" w:type="dxa"/>
            <w:tcBorders>
              <w:right w:val="nil"/>
            </w:tcBorders>
            <w:shd w:val="clear" w:color="auto" w:fill="auto"/>
            <w:tcMar>
              <w:top w:w="85" w:type="dxa"/>
              <w:left w:w="85" w:type="dxa"/>
              <w:bottom w:w="85" w:type="dxa"/>
            </w:tcMar>
          </w:tcPr>
          <w:p w14:paraId="2F4862F9" w14:textId="77777777" w:rsidR="00935A4E" w:rsidRDefault="00935A4E" w:rsidP="00935A4E">
            <w:pPr>
              <w:pStyle w:val="ListParagraph"/>
              <w:numPr>
                <w:ilvl w:val="0"/>
                <w:numId w:val="31"/>
              </w:numPr>
              <w:spacing w:after="0"/>
              <w:rPr>
                <w:b/>
                <w:noProof/>
                <w:sz w:val="20"/>
                <w:lang w:val="pt-PT"/>
              </w:rPr>
            </w:pPr>
          </w:p>
        </w:tc>
        <w:tc>
          <w:tcPr>
            <w:tcW w:w="12072" w:type="dxa"/>
            <w:shd w:val="clear" w:color="auto" w:fill="auto"/>
            <w:tcMar>
              <w:top w:w="85" w:type="dxa"/>
              <w:left w:w="85" w:type="dxa"/>
              <w:bottom w:w="85" w:type="dxa"/>
            </w:tcMar>
          </w:tcPr>
          <w:p w14:paraId="0709B34B" w14:textId="77777777" w:rsidR="00935A4E" w:rsidRDefault="00935A4E" w:rsidP="008F4115">
            <w:pPr>
              <w:spacing w:after="0"/>
              <w:rPr>
                <w:noProof/>
                <w:sz w:val="20"/>
              </w:rPr>
            </w:pPr>
            <w:r>
              <w:rPr>
                <w:noProof/>
                <w:sz w:val="20"/>
              </w:rPr>
              <w:t>Návrh SMĚRNICE EVROPSKÉHO PARLAMENTU A RADY, kterou se stanoví normy pro přijímání žadatelů o mezinárodní ochranu (přepracované znění)</w:t>
            </w:r>
          </w:p>
        </w:tc>
        <w:tc>
          <w:tcPr>
            <w:tcW w:w="2126" w:type="dxa"/>
            <w:tcMar>
              <w:top w:w="85" w:type="dxa"/>
              <w:left w:w="85" w:type="dxa"/>
              <w:bottom w:w="85" w:type="dxa"/>
            </w:tcMar>
          </w:tcPr>
          <w:p w14:paraId="1A2FE6A4" w14:textId="77777777" w:rsidR="00935A4E" w:rsidRPr="00932416" w:rsidRDefault="00935A4E" w:rsidP="008F4115">
            <w:pPr>
              <w:spacing w:after="0"/>
              <w:jc w:val="left"/>
              <w:rPr>
                <w:noProof/>
                <w:sz w:val="20"/>
              </w:rPr>
            </w:pPr>
            <w:r>
              <w:rPr>
                <w:noProof/>
                <w:sz w:val="20"/>
              </w:rPr>
              <w:t>COM(2016)465 final</w:t>
            </w:r>
            <w:r>
              <w:rPr>
                <w:noProof/>
              </w:rPr>
              <w:t xml:space="preserve"> </w:t>
            </w:r>
            <w:r>
              <w:rPr>
                <w:noProof/>
              </w:rPr>
              <w:br/>
            </w:r>
            <w:r>
              <w:rPr>
                <w:noProof/>
                <w:sz w:val="20"/>
              </w:rPr>
              <w:t>2016/0222 (COD)</w:t>
            </w:r>
            <w:r>
              <w:rPr>
                <w:noProof/>
              </w:rPr>
              <w:t xml:space="preserve"> </w:t>
            </w:r>
            <w:r>
              <w:rPr>
                <w:noProof/>
              </w:rPr>
              <w:br/>
            </w:r>
            <w:r>
              <w:rPr>
                <w:noProof/>
                <w:sz w:val="20"/>
              </w:rPr>
              <w:t>13. 7. 2016</w:t>
            </w:r>
          </w:p>
        </w:tc>
      </w:tr>
      <w:tr w:rsidR="00935A4E" w:rsidRPr="00A06848" w14:paraId="70DB941D" w14:textId="77777777" w:rsidTr="008F4115">
        <w:trPr>
          <w:cantSplit/>
        </w:trPr>
        <w:tc>
          <w:tcPr>
            <w:tcW w:w="652" w:type="dxa"/>
            <w:tcBorders>
              <w:right w:val="nil"/>
            </w:tcBorders>
            <w:shd w:val="clear" w:color="auto" w:fill="auto"/>
            <w:tcMar>
              <w:top w:w="85" w:type="dxa"/>
              <w:left w:w="85" w:type="dxa"/>
              <w:bottom w:w="85" w:type="dxa"/>
            </w:tcMar>
          </w:tcPr>
          <w:p w14:paraId="08B2530F" w14:textId="77777777" w:rsidR="00935A4E" w:rsidRDefault="00935A4E" w:rsidP="00935A4E">
            <w:pPr>
              <w:pStyle w:val="ListParagraph"/>
              <w:numPr>
                <w:ilvl w:val="0"/>
                <w:numId w:val="31"/>
              </w:numPr>
              <w:spacing w:after="0"/>
              <w:rPr>
                <w:b/>
                <w:noProof/>
                <w:sz w:val="20"/>
                <w:lang w:val="pt-PT"/>
              </w:rPr>
            </w:pPr>
          </w:p>
        </w:tc>
        <w:tc>
          <w:tcPr>
            <w:tcW w:w="12072" w:type="dxa"/>
            <w:shd w:val="clear" w:color="auto" w:fill="auto"/>
            <w:tcMar>
              <w:top w:w="85" w:type="dxa"/>
              <w:left w:w="85" w:type="dxa"/>
              <w:bottom w:w="85" w:type="dxa"/>
            </w:tcMar>
          </w:tcPr>
          <w:p w14:paraId="3C292BFC" w14:textId="77777777" w:rsidR="00935A4E" w:rsidRDefault="00935A4E" w:rsidP="008F4115">
            <w:pPr>
              <w:spacing w:after="0"/>
              <w:rPr>
                <w:noProof/>
                <w:sz w:val="20"/>
              </w:rPr>
            </w:pPr>
            <w:r>
              <w:rPr>
                <w:noProof/>
                <w:sz w:val="20"/>
              </w:rPr>
              <w:t>Návrh NAŘÍZENÍ EVROPSKÉHO PARLAMENTU A RADY o zřízení systému Eurodac pro porovnávání otisků prstů za účelem účinného uplatňování [nařízení (EU) č. 604/2013, kterým se stanoví kritéria a postupy pro určení členského státu příslušného k posuzování žádosti o mezinárodní ochranu podané státním příslušníkem třetí země nebo osobou bez státní příslušnosti v některém z členských států], za účelem identifikace neoprávněně pobývajícího státního příslušníka třetí země nebo osoby bez státní příslušnosti a o žádostech orgánů pro vymáhání práva členských států a Europolu o porovnání údajů s údaji systému Eurodac pro účely vymáhání práva (přepracované znění)</w:t>
            </w:r>
          </w:p>
        </w:tc>
        <w:tc>
          <w:tcPr>
            <w:tcW w:w="2126" w:type="dxa"/>
            <w:tcMar>
              <w:top w:w="85" w:type="dxa"/>
              <w:left w:w="85" w:type="dxa"/>
              <w:bottom w:w="85" w:type="dxa"/>
            </w:tcMar>
          </w:tcPr>
          <w:p w14:paraId="12892B9B" w14:textId="77777777" w:rsidR="00935A4E" w:rsidRPr="00932416" w:rsidRDefault="00935A4E" w:rsidP="008F4115">
            <w:pPr>
              <w:spacing w:after="0"/>
              <w:jc w:val="left"/>
              <w:rPr>
                <w:noProof/>
                <w:sz w:val="20"/>
              </w:rPr>
            </w:pPr>
            <w:r>
              <w:rPr>
                <w:noProof/>
                <w:sz w:val="20"/>
              </w:rPr>
              <w:t>COM(2016)272 final</w:t>
            </w:r>
            <w:r>
              <w:rPr>
                <w:noProof/>
              </w:rPr>
              <w:t xml:space="preserve"> </w:t>
            </w:r>
            <w:r>
              <w:rPr>
                <w:noProof/>
              </w:rPr>
              <w:br/>
            </w:r>
            <w:r>
              <w:rPr>
                <w:noProof/>
                <w:sz w:val="20"/>
              </w:rPr>
              <w:t>2016/0132 (COD)</w:t>
            </w:r>
            <w:r>
              <w:rPr>
                <w:noProof/>
              </w:rPr>
              <w:t xml:space="preserve"> </w:t>
            </w:r>
            <w:r>
              <w:rPr>
                <w:noProof/>
              </w:rPr>
              <w:br/>
            </w:r>
            <w:r>
              <w:rPr>
                <w:noProof/>
                <w:sz w:val="20"/>
              </w:rPr>
              <w:t xml:space="preserve">4. 5. 2016 </w:t>
            </w:r>
            <w:r>
              <w:rPr>
                <w:noProof/>
              </w:rPr>
              <w:t xml:space="preserve"> </w:t>
            </w:r>
            <w:r>
              <w:rPr>
                <w:noProof/>
              </w:rPr>
              <w:br/>
            </w:r>
          </w:p>
          <w:p w14:paraId="346A6619" w14:textId="4C46C85E" w:rsidR="00935A4E" w:rsidRPr="00932416" w:rsidRDefault="00935A4E">
            <w:pPr>
              <w:spacing w:after="0"/>
              <w:jc w:val="left"/>
              <w:rPr>
                <w:noProof/>
                <w:sz w:val="20"/>
              </w:rPr>
            </w:pPr>
            <w:r>
              <w:rPr>
                <w:noProof/>
                <w:sz w:val="20"/>
              </w:rPr>
              <w:t>COM(2020)614 final</w:t>
            </w:r>
            <w:r>
              <w:rPr>
                <w:noProof/>
              </w:rPr>
              <w:t xml:space="preserve"> </w:t>
            </w:r>
            <w:r>
              <w:rPr>
                <w:noProof/>
              </w:rPr>
              <w:br/>
            </w:r>
            <w:r>
              <w:rPr>
                <w:noProof/>
                <w:sz w:val="20"/>
              </w:rPr>
              <w:t>23. 9. 2020</w:t>
            </w:r>
          </w:p>
        </w:tc>
      </w:tr>
      <w:tr w:rsidR="00D66025" w14:paraId="6DD789B2" w14:textId="77777777" w:rsidTr="00E148E5">
        <w:trPr>
          <w:cantSplit/>
        </w:trPr>
        <w:tc>
          <w:tcPr>
            <w:tcW w:w="14850" w:type="dxa"/>
            <w:gridSpan w:val="3"/>
            <w:shd w:val="clear" w:color="auto" w:fill="00ADDC" w:themeFill="accent5"/>
            <w:tcMar>
              <w:top w:w="85" w:type="dxa"/>
              <w:left w:w="85" w:type="dxa"/>
              <w:bottom w:w="85" w:type="dxa"/>
              <w:right w:w="85" w:type="dxa"/>
            </w:tcMar>
          </w:tcPr>
          <w:p w14:paraId="6E7DDEC1" w14:textId="77777777" w:rsidR="00D66025" w:rsidRDefault="00D66025" w:rsidP="00C4528F">
            <w:pPr>
              <w:spacing w:before="60" w:after="60"/>
              <w:rPr>
                <w:noProof/>
                <w:sz w:val="20"/>
              </w:rPr>
            </w:pPr>
            <w:r>
              <w:rPr>
                <w:b/>
                <w:bCs/>
                <w:noProof/>
                <w:color w:val="FFFFFF" w:themeColor="background1"/>
                <w:sz w:val="20"/>
              </w:rPr>
              <w:t>Nový impuls pro evropskou demokracii</w:t>
            </w:r>
          </w:p>
        </w:tc>
      </w:tr>
      <w:tr w:rsidR="00D66025" w14:paraId="07D70FD3" w14:textId="77777777" w:rsidTr="00E148E5">
        <w:trPr>
          <w:cantSplit/>
        </w:trPr>
        <w:tc>
          <w:tcPr>
            <w:tcW w:w="652" w:type="dxa"/>
            <w:tcBorders>
              <w:right w:val="nil"/>
            </w:tcBorders>
            <w:shd w:val="clear" w:color="auto" w:fill="auto"/>
            <w:tcMar>
              <w:top w:w="85" w:type="dxa"/>
              <w:left w:w="85" w:type="dxa"/>
              <w:bottom w:w="85" w:type="dxa"/>
            </w:tcMar>
          </w:tcPr>
          <w:p w14:paraId="00CA6DF9" w14:textId="77777777" w:rsidR="00D66025" w:rsidRDefault="00D66025" w:rsidP="00A6020F">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70E9AA1E" w14:textId="77777777" w:rsidR="00D66025" w:rsidRDefault="00D66025" w:rsidP="00E148E5">
            <w:pPr>
              <w:spacing w:after="0"/>
              <w:rPr>
                <w:noProof/>
                <w:sz w:val="20"/>
              </w:rPr>
            </w:pPr>
            <w:r>
              <w:rPr>
                <w:noProof/>
                <w:sz w:val="20"/>
              </w:rPr>
              <w:t>Návrh SMĚRNICE EVROPSKÉHO PARLAMENTU A RADY o spotřebitelských úvěrech</w:t>
            </w:r>
          </w:p>
        </w:tc>
        <w:tc>
          <w:tcPr>
            <w:tcW w:w="2126" w:type="dxa"/>
            <w:tcMar>
              <w:top w:w="85" w:type="dxa"/>
              <w:left w:w="85" w:type="dxa"/>
              <w:bottom w:w="85" w:type="dxa"/>
            </w:tcMar>
          </w:tcPr>
          <w:p w14:paraId="4F3037BC" w14:textId="77777777" w:rsidR="00D66025" w:rsidRDefault="00D66025" w:rsidP="00E148E5">
            <w:pPr>
              <w:spacing w:after="0"/>
              <w:jc w:val="left"/>
              <w:rPr>
                <w:noProof/>
                <w:sz w:val="20"/>
              </w:rPr>
            </w:pPr>
            <w:r>
              <w:rPr>
                <w:noProof/>
                <w:sz w:val="20"/>
              </w:rPr>
              <w:t>COM(2021)347 final</w:t>
            </w:r>
            <w:r>
              <w:rPr>
                <w:noProof/>
              </w:rPr>
              <w:t xml:space="preserve"> </w:t>
            </w:r>
            <w:r>
              <w:rPr>
                <w:noProof/>
              </w:rPr>
              <w:br/>
            </w:r>
            <w:r>
              <w:rPr>
                <w:noProof/>
                <w:sz w:val="20"/>
              </w:rPr>
              <w:t>2021/0171 (COD)</w:t>
            </w:r>
            <w:r>
              <w:rPr>
                <w:noProof/>
              </w:rPr>
              <w:t xml:space="preserve"> </w:t>
            </w:r>
            <w:r>
              <w:rPr>
                <w:noProof/>
              </w:rPr>
              <w:br/>
            </w:r>
            <w:r>
              <w:rPr>
                <w:noProof/>
                <w:sz w:val="20"/>
              </w:rPr>
              <w:t>30. 6. 2021</w:t>
            </w:r>
          </w:p>
        </w:tc>
      </w:tr>
      <w:tr w:rsidR="00D66025" w14:paraId="19563599" w14:textId="77777777" w:rsidTr="00E148E5">
        <w:trPr>
          <w:cantSplit/>
        </w:trPr>
        <w:tc>
          <w:tcPr>
            <w:tcW w:w="652" w:type="dxa"/>
            <w:tcBorders>
              <w:right w:val="nil"/>
            </w:tcBorders>
            <w:shd w:val="clear" w:color="auto" w:fill="auto"/>
            <w:tcMar>
              <w:top w:w="85" w:type="dxa"/>
              <w:left w:w="85" w:type="dxa"/>
              <w:bottom w:w="85" w:type="dxa"/>
            </w:tcMar>
          </w:tcPr>
          <w:p w14:paraId="6086D40A" w14:textId="77777777" w:rsidR="00D66025" w:rsidRDefault="00D66025" w:rsidP="00A6020F">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2F815AED" w14:textId="77777777" w:rsidR="00D66025" w:rsidRDefault="00D66025" w:rsidP="00E148E5">
            <w:pPr>
              <w:tabs>
                <w:tab w:val="left" w:pos="3270"/>
              </w:tabs>
              <w:spacing w:after="0"/>
              <w:rPr>
                <w:noProof/>
                <w:sz w:val="20"/>
              </w:rPr>
            </w:pPr>
            <w:r>
              <w:rPr>
                <w:noProof/>
                <w:sz w:val="20"/>
              </w:rPr>
              <w:t>Návrh NAŘÍZENÍ EVROPSKÉHO PARLAMENTU A RADY o obecné bezpečnosti výrobků, o změně nařízení Evropského parlamentu a Rady (EU) č. 1025/2012 a o zrušení směrnice Rady 87/357/EHS a směrnice Evropského parlamentu a Rady 2001/95/ES</w:t>
            </w:r>
          </w:p>
        </w:tc>
        <w:tc>
          <w:tcPr>
            <w:tcW w:w="2126" w:type="dxa"/>
            <w:tcMar>
              <w:top w:w="85" w:type="dxa"/>
              <w:left w:w="85" w:type="dxa"/>
              <w:bottom w:w="85" w:type="dxa"/>
            </w:tcMar>
          </w:tcPr>
          <w:p w14:paraId="108A0107" w14:textId="77777777" w:rsidR="00D66025" w:rsidRDefault="00D66025" w:rsidP="00E148E5">
            <w:pPr>
              <w:spacing w:after="0"/>
              <w:jc w:val="left"/>
              <w:rPr>
                <w:noProof/>
                <w:sz w:val="20"/>
              </w:rPr>
            </w:pPr>
            <w:r>
              <w:rPr>
                <w:noProof/>
                <w:sz w:val="20"/>
              </w:rPr>
              <w:t>COM(2021)346 final</w:t>
            </w:r>
            <w:r>
              <w:rPr>
                <w:noProof/>
              </w:rPr>
              <w:t xml:space="preserve"> </w:t>
            </w:r>
            <w:r>
              <w:rPr>
                <w:noProof/>
              </w:rPr>
              <w:br/>
            </w:r>
            <w:r>
              <w:rPr>
                <w:noProof/>
                <w:sz w:val="20"/>
              </w:rPr>
              <w:t>2021/0170 (COD)</w:t>
            </w:r>
            <w:r>
              <w:rPr>
                <w:noProof/>
              </w:rPr>
              <w:t xml:space="preserve"> </w:t>
            </w:r>
            <w:r>
              <w:rPr>
                <w:noProof/>
              </w:rPr>
              <w:br/>
            </w:r>
            <w:r>
              <w:rPr>
                <w:noProof/>
                <w:sz w:val="20"/>
              </w:rPr>
              <w:t>30. 6. 2021</w:t>
            </w:r>
          </w:p>
        </w:tc>
      </w:tr>
      <w:tr w:rsidR="00D66025" w14:paraId="0E82F3D0" w14:textId="77777777" w:rsidTr="00E148E5">
        <w:trPr>
          <w:cantSplit/>
        </w:trPr>
        <w:tc>
          <w:tcPr>
            <w:tcW w:w="652" w:type="dxa"/>
            <w:tcBorders>
              <w:right w:val="nil"/>
            </w:tcBorders>
            <w:shd w:val="clear" w:color="auto" w:fill="auto"/>
            <w:tcMar>
              <w:top w:w="85" w:type="dxa"/>
              <w:left w:w="85" w:type="dxa"/>
              <w:bottom w:w="85" w:type="dxa"/>
            </w:tcMar>
          </w:tcPr>
          <w:p w14:paraId="1B52F012" w14:textId="77777777" w:rsidR="00D66025" w:rsidRDefault="00D66025" w:rsidP="00A6020F">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57D0B2F0" w14:textId="77777777" w:rsidR="00D66025" w:rsidRDefault="00D66025" w:rsidP="00E148E5">
            <w:pPr>
              <w:spacing w:after="0"/>
              <w:rPr>
                <w:noProof/>
                <w:sz w:val="20"/>
              </w:rPr>
            </w:pPr>
            <w:r>
              <w:rPr>
                <w:noProof/>
                <w:sz w:val="20"/>
              </w:rPr>
              <w:t>Návrh SMĚRNICE EVROPSKÉHO PARLAMENTU A RADY, kterou se posiluje uplatňování zásady stejné odměny mužů a žen za stejnou nebo rovnocennou práci prostřednictvím transparentnosti odměňování a mechanismů prosazování</w:t>
            </w:r>
          </w:p>
        </w:tc>
        <w:tc>
          <w:tcPr>
            <w:tcW w:w="2126" w:type="dxa"/>
            <w:tcMar>
              <w:top w:w="85" w:type="dxa"/>
              <w:left w:w="85" w:type="dxa"/>
              <w:bottom w:w="85" w:type="dxa"/>
            </w:tcMar>
          </w:tcPr>
          <w:p w14:paraId="7C6D7734" w14:textId="77777777" w:rsidR="00D66025" w:rsidRDefault="00D66025" w:rsidP="00E148E5">
            <w:pPr>
              <w:spacing w:after="0"/>
              <w:jc w:val="left"/>
              <w:rPr>
                <w:noProof/>
                <w:sz w:val="20"/>
              </w:rPr>
            </w:pPr>
            <w:r>
              <w:rPr>
                <w:noProof/>
                <w:sz w:val="20"/>
              </w:rPr>
              <w:t>COM(2021)93 final</w:t>
            </w:r>
            <w:r>
              <w:rPr>
                <w:noProof/>
              </w:rPr>
              <w:t xml:space="preserve"> </w:t>
            </w:r>
            <w:r>
              <w:rPr>
                <w:noProof/>
              </w:rPr>
              <w:br/>
            </w:r>
            <w:r>
              <w:rPr>
                <w:noProof/>
                <w:sz w:val="20"/>
              </w:rPr>
              <w:t>2021/0050 (COD)</w:t>
            </w:r>
            <w:r>
              <w:rPr>
                <w:noProof/>
              </w:rPr>
              <w:t xml:space="preserve"> </w:t>
            </w:r>
            <w:r>
              <w:rPr>
                <w:noProof/>
              </w:rPr>
              <w:br/>
            </w:r>
            <w:r>
              <w:rPr>
                <w:noProof/>
                <w:sz w:val="20"/>
              </w:rPr>
              <w:t>4. 3. 2021</w:t>
            </w:r>
          </w:p>
        </w:tc>
      </w:tr>
      <w:tr w:rsidR="00D66025" w14:paraId="71BEFA75" w14:textId="77777777" w:rsidTr="00E148E5">
        <w:trPr>
          <w:cantSplit/>
        </w:trPr>
        <w:tc>
          <w:tcPr>
            <w:tcW w:w="652" w:type="dxa"/>
            <w:tcBorders>
              <w:right w:val="nil"/>
            </w:tcBorders>
            <w:shd w:val="clear" w:color="auto" w:fill="auto"/>
            <w:tcMar>
              <w:top w:w="85" w:type="dxa"/>
              <w:left w:w="85" w:type="dxa"/>
              <w:bottom w:w="85" w:type="dxa"/>
            </w:tcMar>
          </w:tcPr>
          <w:p w14:paraId="50D03805" w14:textId="77777777" w:rsidR="00D66025" w:rsidRDefault="00D66025" w:rsidP="00A6020F">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5F020044" w14:textId="77777777" w:rsidR="00D66025" w:rsidRDefault="00D66025" w:rsidP="00E148E5">
            <w:pPr>
              <w:spacing w:after="0"/>
              <w:rPr>
                <w:noProof/>
                <w:sz w:val="20"/>
              </w:rPr>
            </w:pPr>
            <w:r>
              <w:rPr>
                <w:noProof/>
                <w:sz w:val="20"/>
              </w:rPr>
              <w:t>Návrh SMĚRNICE EVROPSKÉHO PARLAMENTU A RADY, kterou se stanoví harmonizovaná pravidla pro jmenování právních zástupců za účelem shromažďování důkazů v trestním řízení</w:t>
            </w:r>
          </w:p>
        </w:tc>
        <w:tc>
          <w:tcPr>
            <w:tcW w:w="2126" w:type="dxa"/>
            <w:tcMar>
              <w:top w:w="85" w:type="dxa"/>
              <w:left w:w="85" w:type="dxa"/>
              <w:bottom w:w="85" w:type="dxa"/>
            </w:tcMar>
          </w:tcPr>
          <w:p w14:paraId="6AD1127B" w14:textId="77777777" w:rsidR="00D66025" w:rsidRDefault="00D66025" w:rsidP="00E148E5">
            <w:pPr>
              <w:spacing w:after="0"/>
              <w:jc w:val="left"/>
              <w:rPr>
                <w:noProof/>
                <w:sz w:val="20"/>
              </w:rPr>
            </w:pPr>
            <w:r>
              <w:rPr>
                <w:noProof/>
                <w:sz w:val="20"/>
              </w:rPr>
              <w:t>COM(2018)226 final</w:t>
            </w:r>
            <w:r>
              <w:rPr>
                <w:noProof/>
              </w:rPr>
              <w:t xml:space="preserve"> </w:t>
            </w:r>
            <w:r>
              <w:rPr>
                <w:noProof/>
              </w:rPr>
              <w:br/>
            </w:r>
            <w:r>
              <w:rPr>
                <w:noProof/>
                <w:sz w:val="20"/>
              </w:rPr>
              <w:t>2018/0107 (COD) 18. 4. 2018</w:t>
            </w:r>
          </w:p>
        </w:tc>
      </w:tr>
      <w:tr w:rsidR="00D66025" w14:paraId="22B8E9AA" w14:textId="77777777" w:rsidTr="00E148E5">
        <w:trPr>
          <w:cantSplit/>
        </w:trPr>
        <w:tc>
          <w:tcPr>
            <w:tcW w:w="652" w:type="dxa"/>
            <w:tcBorders>
              <w:right w:val="nil"/>
            </w:tcBorders>
            <w:shd w:val="clear" w:color="auto" w:fill="auto"/>
            <w:tcMar>
              <w:top w:w="85" w:type="dxa"/>
              <w:left w:w="85" w:type="dxa"/>
              <w:bottom w:w="85" w:type="dxa"/>
            </w:tcMar>
          </w:tcPr>
          <w:p w14:paraId="469B4B6C" w14:textId="77777777" w:rsidR="00D66025" w:rsidRDefault="00D66025" w:rsidP="00A6020F">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4EA93DE2" w14:textId="77777777" w:rsidR="00D66025" w:rsidRDefault="00D66025" w:rsidP="00E148E5">
            <w:pPr>
              <w:spacing w:after="0"/>
              <w:rPr>
                <w:noProof/>
                <w:sz w:val="20"/>
              </w:rPr>
            </w:pPr>
            <w:r>
              <w:rPr>
                <w:noProof/>
                <w:sz w:val="20"/>
              </w:rPr>
              <w:t>Návrh NAŘÍZENÍ EVROPSKÉHO PARLAMENTU A RADY o evropských předávacích a uchovávacích příkazech pro elektronické důkazy v trestních věcech</w:t>
            </w:r>
          </w:p>
        </w:tc>
        <w:tc>
          <w:tcPr>
            <w:tcW w:w="2126" w:type="dxa"/>
            <w:tcMar>
              <w:top w:w="85" w:type="dxa"/>
              <w:left w:w="85" w:type="dxa"/>
              <w:bottom w:w="85" w:type="dxa"/>
            </w:tcMar>
          </w:tcPr>
          <w:p w14:paraId="4DB7E429" w14:textId="77777777" w:rsidR="00D66025" w:rsidRDefault="00D66025" w:rsidP="00E148E5">
            <w:pPr>
              <w:spacing w:after="0"/>
              <w:jc w:val="left"/>
              <w:rPr>
                <w:noProof/>
                <w:sz w:val="20"/>
              </w:rPr>
            </w:pPr>
            <w:r>
              <w:rPr>
                <w:noProof/>
                <w:sz w:val="20"/>
              </w:rPr>
              <w:t>COM(2018)225 final</w:t>
            </w:r>
            <w:r>
              <w:rPr>
                <w:noProof/>
              </w:rPr>
              <w:t xml:space="preserve"> </w:t>
            </w:r>
            <w:r>
              <w:rPr>
                <w:noProof/>
              </w:rPr>
              <w:br/>
            </w:r>
            <w:r>
              <w:rPr>
                <w:noProof/>
                <w:sz w:val="20"/>
              </w:rPr>
              <w:t>2018/0108 (COD) 18. 4. 2018</w:t>
            </w:r>
          </w:p>
        </w:tc>
      </w:tr>
      <w:tr w:rsidR="00D66025" w14:paraId="17C36D19" w14:textId="77777777" w:rsidTr="00E148E5">
        <w:trPr>
          <w:cantSplit/>
        </w:trPr>
        <w:tc>
          <w:tcPr>
            <w:tcW w:w="652" w:type="dxa"/>
            <w:tcBorders>
              <w:right w:val="nil"/>
            </w:tcBorders>
            <w:shd w:val="clear" w:color="auto" w:fill="auto"/>
            <w:tcMar>
              <w:top w:w="85" w:type="dxa"/>
              <w:left w:w="85" w:type="dxa"/>
              <w:bottom w:w="85" w:type="dxa"/>
            </w:tcMar>
          </w:tcPr>
          <w:p w14:paraId="2AE8E066" w14:textId="77777777" w:rsidR="00D66025" w:rsidRDefault="00D66025" w:rsidP="00A6020F">
            <w:pPr>
              <w:pStyle w:val="ListParagraph"/>
              <w:numPr>
                <w:ilvl w:val="0"/>
                <w:numId w:val="31"/>
              </w:numPr>
              <w:spacing w:after="0"/>
              <w:rPr>
                <w:b/>
                <w:noProof/>
                <w:sz w:val="20"/>
              </w:rPr>
            </w:pPr>
          </w:p>
        </w:tc>
        <w:tc>
          <w:tcPr>
            <w:tcW w:w="12072" w:type="dxa"/>
            <w:shd w:val="clear" w:color="auto" w:fill="auto"/>
            <w:tcMar>
              <w:top w:w="85" w:type="dxa"/>
              <w:left w:w="85" w:type="dxa"/>
              <w:bottom w:w="85" w:type="dxa"/>
            </w:tcMar>
          </w:tcPr>
          <w:p w14:paraId="42F56107" w14:textId="77777777" w:rsidR="00D66025" w:rsidRDefault="00D66025" w:rsidP="00E148E5">
            <w:pPr>
              <w:spacing w:after="0"/>
              <w:rPr>
                <w:noProof/>
                <w:sz w:val="20"/>
              </w:rPr>
            </w:pPr>
            <w:r>
              <w:rPr>
                <w:noProof/>
                <w:sz w:val="20"/>
              </w:rPr>
              <w:t>Návrh SMĚRNICE EVROPSKÉHO PARLAMENTU A RADY o zlepšení genderové vyváženosti mezi členy dozorčí rady / nevýkonnými členy správní rady společností kotovaných na burzách a o souvisejících opatřeních</w:t>
            </w:r>
          </w:p>
        </w:tc>
        <w:tc>
          <w:tcPr>
            <w:tcW w:w="2126" w:type="dxa"/>
            <w:tcMar>
              <w:top w:w="85" w:type="dxa"/>
              <w:left w:w="85" w:type="dxa"/>
              <w:bottom w:w="85" w:type="dxa"/>
            </w:tcMar>
          </w:tcPr>
          <w:p w14:paraId="5A981751" w14:textId="77777777" w:rsidR="00D66025" w:rsidRDefault="00D66025" w:rsidP="00E148E5">
            <w:pPr>
              <w:spacing w:after="0"/>
              <w:jc w:val="left"/>
              <w:rPr>
                <w:noProof/>
                <w:sz w:val="20"/>
              </w:rPr>
            </w:pPr>
            <w:r>
              <w:rPr>
                <w:noProof/>
                <w:sz w:val="20"/>
              </w:rPr>
              <w:t>COM(2012)614 final</w:t>
            </w:r>
            <w:r>
              <w:rPr>
                <w:noProof/>
              </w:rPr>
              <w:t xml:space="preserve"> </w:t>
            </w:r>
            <w:r>
              <w:rPr>
                <w:noProof/>
              </w:rPr>
              <w:br/>
            </w:r>
            <w:r>
              <w:rPr>
                <w:noProof/>
                <w:sz w:val="20"/>
              </w:rPr>
              <w:t>2012/0299 (COD)</w:t>
            </w:r>
            <w:r>
              <w:rPr>
                <w:noProof/>
              </w:rPr>
              <w:t xml:space="preserve"> </w:t>
            </w:r>
            <w:r>
              <w:rPr>
                <w:noProof/>
              </w:rPr>
              <w:br/>
            </w:r>
            <w:r>
              <w:rPr>
                <w:noProof/>
                <w:sz w:val="20"/>
              </w:rPr>
              <w:t>14. 11. 2012</w:t>
            </w:r>
          </w:p>
        </w:tc>
      </w:tr>
      <w:tr w:rsidR="00D66025" w14:paraId="5C7C9ACB" w14:textId="77777777" w:rsidTr="00E148E5">
        <w:trPr>
          <w:cantSplit/>
        </w:trPr>
        <w:tc>
          <w:tcPr>
            <w:tcW w:w="652" w:type="dxa"/>
            <w:tcBorders>
              <w:right w:val="nil"/>
            </w:tcBorders>
            <w:shd w:val="clear" w:color="auto" w:fill="auto"/>
            <w:tcMar>
              <w:top w:w="85" w:type="dxa"/>
              <w:left w:w="85" w:type="dxa"/>
              <w:bottom w:w="85" w:type="dxa"/>
            </w:tcMar>
          </w:tcPr>
          <w:p w14:paraId="3F3D166C" w14:textId="77777777" w:rsidR="00D66025" w:rsidRDefault="00D66025" w:rsidP="00A6020F">
            <w:pPr>
              <w:pStyle w:val="ListParagraph"/>
              <w:numPr>
                <w:ilvl w:val="0"/>
                <w:numId w:val="31"/>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14:paraId="25920BDF" w14:textId="77777777" w:rsidR="00D66025" w:rsidRDefault="00D66025" w:rsidP="00E148E5">
            <w:pPr>
              <w:spacing w:after="0"/>
              <w:rPr>
                <w:noProof/>
                <w:sz w:val="20"/>
              </w:rPr>
            </w:pPr>
            <w:r>
              <w:rPr>
                <w:noProof/>
                <w:sz w:val="20"/>
              </w:rPr>
              <w:t>Návrh SMĚRNICE RADY o provádění zásady rovného zacházení s osobami bez ohledu na náboženské vyznání nebo víru, zdravotní postižení, věk nebo sexuální orientaci</w:t>
            </w:r>
          </w:p>
        </w:tc>
        <w:tc>
          <w:tcPr>
            <w:tcW w:w="2126" w:type="dxa"/>
            <w:tcMar>
              <w:top w:w="85" w:type="dxa"/>
              <w:left w:w="85" w:type="dxa"/>
              <w:bottom w:w="85" w:type="dxa"/>
            </w:tcMar>
          </w:tcPr>
          <w:p w14:paraId="6EDE2D4B" w14:textId="77777777" w:rsidR="00D66025" w:rsidRDefault="00D66025" w:rsidP="00E148E5">
            <w:pPr>
              <w:spacing w:after="0"/>
              <w:jc w:val="left"/>
              <w:rPr>
                <w:noProof/>
                <w:sz w:val="20"/>
              </w:rPr>
            </w:pPr>
            <w:r>
              <w:rPr>
                <w:noProof/>
                <w:sz w:val="20"/>
              </w:rPr>
              <w:t>COM(2008)426 final</w:t>
            </w:r>
            <w:r>
              <w:rPr>
                <w:noProof/>
              </w:rPr>
              <w:t xml:space="preserve"> </w:t>
            </w:r>
            <w:r>
              <w:rPr>
                <w:noProof/>
              </w:rPr>
              <w:br/>
            </w:r>
            <w:r>
              <w:rPr>
                <w:noProof/>
                <w:sz w:val="20"/>
              </w:rPr>
              <w:t>2008/0140 (CNS)</w:t>
            </w:r>
            <w:r>
              <w:rPr>
                <w:noProof/>
              </w:rPr>
              <w:t xml:space="preserve"> </w:t>
            </w:r>
            <w:r>
              <w:rPr>
                <w:noProof/>
              </w:rPr>
              <w:br/>
            </w:r>
            <w:r>
              <w:rPr>
                <w:noProof/>
                <w:sz w:val="20"/>
              </w:rPr>
              <w:t>2. 7. 2008</w:t>
            </w:r>
          </w:p>
        </w:tc>
      </w:tr>
    </w:tbl>
    <w:p w14:paraId="03DB9979" w14:textId="77777777" w:rsidR="00556761" w:rsidRDefault="00556761" w:rsidP="00935A4E">
      <w:pPr>
        <w:spacing w:after="600"/>
        <w:jc w:val="center"/>
        <w:rPr>
          <w:b/>
          <w:bCs/>
          <w:noProof/>
          <w:sz w:val="28"/>
          <w:szCs w:val="28"/>
          <w:u w:val="single"/>
        </w:rPr>
      </w:pPr>
    </w:p>
    <w:p w14:paraId="55242EF4" w14:textId="77777777" w:rsidR="00556761" w:rsidRDefault="00556761">
      <w:pPr>
        <w:spacing w:after="0"/>
        <w:jc w:val="left"/>
        <w:rPr>
          <w:b/>
          <w:bCs/>
          <w:noProof/>
          <w:sz w:val="28"/>
          <w:szCs w:val="28"/>
          <w:u w:val="single"/>
        </w:rPr>
      </w:pPr>
      <w:r>
        <w:rPr>
          <w:noProof/>
        </w:rPr>
        <w:br w:type="page"/>
      </w:r>
    </w:p>
    <w:p w14:paraId="70BF3D6E" w14:textId="1A9B5BF9" w:rsidR="00935A4E" w:rsidRDefault="00935A4E" w:rsidP="00935A4E">
      <w:pPr>
        <w:spacing w:after="600"/>
        <w:jc w:val="center"/>
        <w:rPr>
          <w:b/>
          <w:noProof/>
          <w:sz w:val="28"/>
          <w:szCs w:val="28"/>
          <w:u w:val="single"/>
        </w:rPr>
      </w:pPr>
      <w:r>
        <w:rPr>
          <w:b/>
          <w:bCs/>
          <w:noProof/>
          <w:sz w:val="28"/>
          <w:szCs w:val="28"/>
          <w:u w:val="single"/>
        </w:rPr>
        <w:t>Příloha IV: Návrhy, které budou staženy</w:t>
      </w:r>
      <w:r>
        <w:rPr>
          <w:rStyle w:val="FootnoteReference"/>
          <w:b/>
          <w:bCs/>
          <w:noProof/>
          <w:sz w:val="28"/>
          <w:szCs w:val="28"/>
          <w:u w:val="single"/>
        </w:rPr>
        <w:footnoteReference w:id="4"/>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2067"/>
        <w:gridCol w:w="7572"/>
        <w:gridCol w:w="4677"/>
      </w:tblGrid>
      <w:tr w:rsidR="00935A4E" w14:paraId="7916B95F" w14:textId="77777777" w:rsidTr="0021577E">
        <w:trPr>
          <w:cantSplit/>
          <w:tblHeader/>
        </w:trPr>
        <w:tc>
          <w:tcPr>
            <w:tcW w:w="511" w:type="dxa"/>
            <w:tcBorders>
              <w:top w:val="single" w:sz="4" w:space="0" w:color="auto"/>
              <w:left w:val="single" w:sz="4" w:space="0" w:color="auto"/>
              <w:bottom w:val="single" w:sz="4" w:space="0" w:color="auto"/>
              <w:right w:val="nil"/>
            </w:tcBorders>
            <w:shd w:val="clear" w:color="auto" w:fill="99CCFF"/>
            <w:tcMar>
              <w:top w:w="85" w:type="dxa"/>
              <w:bottom w:w="85" w:type="dxa"/>
              <w:right w:w="85" w:type="dxa"/>
            </w:tcMar>
          </w:tcPr>
          <w:p w14:paraId="73A49B45" w14:textId="77777777" w:rsidR="00935A4E" w:rsidRDefault="00935A4E" w:rsidP="00D66025">
            <w:pPr>
              <w:spacing w:before="60" w:after="60"/>
              <w:rPr>
                <w:b/>
                <w:bCs/>
                <w:noProof/>
                <w:sz w:val="20"/>
              </w:rPr>
            </w:pPr>
            <w:r>
              <w:rPr>
                <w:b/>
                <w:bCs/>
                <w:noProof/>
                <w:sz w:val="20"/>
              </w:rPr>
              <w:t>Č.</w:t>
            </w:r>
          </w:p>
        </w:tc>
        <w:tc>
          <w:tcPr>
            <w:tcW w:w="2067"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0CE59F14" w14:textId="77777777" w:rsidR="00935A4E" w:rsidRDefault="00935A4E" w:rsidP="00D66025">
            <w:pPr>
              <w:spacing w:before="60" w:after="60"/>
              <w:jc w:val="center"/>
              <w:rPr>
                <w:b/>
                <w:bCs/>
                <w:noProof/>
                <w:sz w:val="20"/>
              </w:rPr>
            </w:pPr>
            <w:r>
              <w:rPr>
                <w:b/>
                <w:bCs/>
                <w:noProof/>
                <w:sz w:val="20"/>
              </w:rPr>
              <w:t>Odkazy</w:t>
            </w:r>
          </w:p>
        </w:tc>
        <w:tc>
          <w:tcPr>
            <w:tcW w:w="7572"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6014833A" w14:textId="77777777" w:rsidR="00935A4E" w:rsidRDefault="00935A4E" w:rsidP="00D66025">
            <w:pPr>
              <w:spacing w:before="60" w:after="60"/>
              <w:jc w:val="center"/>
              <w:rPr>
                <w:b/>
                <w:bCs/>
                <w:noProof/>
                <w:sz w:val="20"/>
              </w:rPr>
            </w:pPr>
            <w:r>
              <w:rPr>
                <w:b/>
                <w:bCs/>
                <w:noProof/>
                <w:sz w:val="20"/>
              </w:rPr>
              <w:t>Název</w:t>
            </w:r>
          </w:p>
        </w:tc>
        <w:tc>
          <w:tcPr>
            <w:tcW w:w="4677"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0DFB346C" w14:textId="77777777" w:rsidR="00935A4E" w:rsidRDefault="00935A4E" w:rsidP="00D66025">
            <w:pPr>
              <w:spacing w:before="60" w:after="60"/>
              <w:jc w:val="center"/>
              <w:rPr>
                <w:b/>
                <w:bCs/>
                <w:noProof/>
                <w:sz w:val="20"/>
              </w:rPr>
            </w:pPr>
            <w:r>
              <w:rPr>
                <w:b/>
                <w:bCs/>
                <w:noProof/>
                <w:sz w:val="20"/>
              </w:rPr>
              <w:t>Důvod stažení</w:t>
            </w:r>
          </w:p>
        </w:tc>
      </w:tr>
      <w:tr w:rsidR="00935A4E" w14:paraId="5C3F4F3C" w14:textId="77777777" w:rsidTr="0021577E">
        <w:trPr>
          <w:cantSplit/>
        </w:trPr>
        <w:tc>
          <w:tcPr>
            <w:tcW w:w="14827" w:type="dxa"/>
            <w:gridSpan w:val="4"/>
            <w:shd w:val="clear" w:color="auto" w:fill="F68A42" w:themeFill="accent3"/>
            <w:tcMar>
              <w:top w:w="85" w:type="dxa"/>
              <w:bottom w:w="85" w:type="dxa"/>
              <w:right w:w="85" w:type="dxa"/>
            </w:tcMar>
          </w:tcPr>
          <w:p w14:paraId="77D25CCE" w14:textId="77777777" w:rsidR="00935A4E" w:rsidRDefault="00935A4E" w:rsidP="008F4115">
            <w:pPr>
              <w:keepNext/>
              <w:spacing w:before="60" w:after="60"/>
              <w:jc w:val="left"/>
              <w:rPr>
                <w:noProof/>
                <w:sz w:val="20"/>
              </w:rPr>
            </w:pPr>
            <w:r>
              <w:rPr>
                <w:b/>
                <w:bCs/>
                <w:noProof/>
                <w:color w:val="FFFFFF" w:themeColor="background1"/>
                <w:sz w:val="20"/>
              </w:rPr>
              <w:t>Hospodářství ve prospěch lidí</w:t>
            </w:r>
          </w:p>
        </w:tc>
      </w:tr>
      <w:tr w:rsidR="00935A4E" w14:paraId="26DB3F65" w14:textId="77777777" w:rsidTr="0021577E">
        <w:trPr>
          <w:cantSplit/>
        </w:trPr>
        <w:tc>
          <w:tcPr>
            <w:tcW w:w="511" w:type="dxa"/>
            <w:tcBorders>
              <w:right w:val="nil"/>
            </w:tcBorders>
            <w:shd w:val="clear" w:color="auto" w:fill="auto"/>
            <w:tcMar>
              <w:top w:w="85" w:type="dxa"/>
              <w:bottom w:w="85" w:type="dxa"/>
              <w:right w:w="108" w:type="dxa"/>
            </w:tcMar>
          </w:tcPr>
          <w:p w14:paraId="03CF8924" w14:textId="77777777" w:rsidR="00935A4E" w:rsidRDefault="00935A4E" w:rsidP="00935A4E">
            <w:pPr>
              <w:pStyle w:val="ListParagraph"/>
              <w:numPr>
                <w:ilvl w:val="0"/>
                <w:numId w:val="32"/>
              </w:numPr>
              <w:spacing w:after="0"/>
              <w:ind w:left="426"/>
              <w:rPr>
                <w:noProof/>
                <w:sz w:val="20"/>
              </w:rPr>
            </w:pPr>
          </w:p>
        </w:tc>
        <w:tc>
          <w:tcPr>
            <w:tcW w:w="2067" w:type="dxa"/>
            <w:tcMar>
              <w:top w:w="85" w:type="dxa"/>
              <w:bottom w:w="85" w:type="dxa"/>
              <w:right w:w="108" w:type="dxa"/>
            </w:tcMar>
          </w:tcPr>
          <w:p w14:paraId="4BCCE379" w14:textId="77777777" w:rsidR="00935A4E" w:rsidRDefault="00935A4E" w:rsidP="008F4115">
            <w:pPr>
              <w:jc w:val="left"/>
              <w:rPr>
                <w:noProof/>
                <w:sz w:val="20"/>
              </w:rPr>
            </w:pPr>
            <w:r>
              <w:rPr>
                <w:noProof/>
                <w:sz w:val="20"/>
              </w:rPr>
              <w:t>COM(2020)446 final</w:t>
            </w:r>
            <w:r>
              <w:rPr>
                <w:noProof/>
              </w:rPr>
              <w:t xml:space="preserve"> </w:t>
            </w:r>
            <w:r>
              <w:rPr>
                <w:noProof/>
              </w:rPr>
              <w:br/>
            </w:r>
            <w:r>
              <w:rPr>
                <w:noProof/>
                <w:sz w:val="20"/>
              </w:rPr>
              <w:t>2020/0109 (APP)</w:t>
            </w:r>
          </w:p>
        </w:tc>
        <w:tc>
          <w:tcPr>
            <w:tcW w:w="7572" w:type="dxa"/>
            <w:shd w:val="clear" w:color="auto" w:fill="auto"/>
            <w:tcMar>
              <w:top w:w="85" w:type="dxa"/>
              <w:bottom w:w="85" w:type="dxa"/>
              <w:right w:w="108" w:type="dxa"/>
            </w:tcMar>
          </w:tcPr>
          <w:p w14:paraId="0E3F780B" w14:textId="77777777" w:rsidR="00935A4E" w:rsidRPr="00D12D5E" w:rsidRDefault="00935A4E" w:rsidP="00D66025">
            <w:pPr>
              <w:spacing w:after="0"/>
              <w:rPr>
                <w:noProof/>
                <w:sz w:val="20"/>
              </w:rPr>
            </w:pPr>
            <w:r>
              <w:rPr>
                <w:noProof/>
                <w:sz w:val="20"/>
              </w:rPr>
              <w:t>Návrh NAŘÍZENÍ RADY, kterým se mění nařízení Rady (EU, EURATOM) č. 1311/2013, kterým se stanoví víceletý finanční rámec na období 2014–2020</w:t>
            </w:r>
          </w:p>
        </w:tc>
        <w:tc>
          <w:tcPr>
            <w:tcW w:w="4677" w:type="dxa"/>
            <w:tcMar>
              <w:top w:w="85" w:type="dxa"/>
              <w:bottom w:w="85" w:type="dxa"/>
              <w:right w:w="108" w:type="dxa"/>
            </w:tcMar>
          </w:tcPr>
          <w:p w14:paraId="33ED04BB" w14:textId="48884B63" w:rsidR="00935A4E" w:rsidRPr="00F60C2F" w:rsidRDefault="00935A4E" w:rsidP="00D66025">
            <w:pPr>
              <w:spacing w:after="0"/>
              <w:rPr>
                <w:noProof/>
                <w:sz w:val="20"/>
              </w:rPr>
            </w:pPr>
            <w:r>
              <w:rPr>
                <w:noProof/>
                <w:sz w:val="20"/>
              </w:rPr>
              <w:t xml:space="preserve">Zastaralé, neboť nařízení Rady (EU, EURATOM) č. 1311/2013 o víceletém finančním rámci na období 2014–2020 již není od konce roku 2020 použitelné. </w:t>
            </w:r>
          </w:p>
        </w:tc>
      </w:tr>
      <w:tr w:rsidR="00935A4E" w14:paraId="31DAD4C2" w14:textId="77777777" w:rsidTr="0021577E">
        <w:trPr>
          <w:cantSplit/>
        </w:trPr>
        <w:tc>
          <w:tcPr>
            <w:tcW w:w="511" w:type="dxa"/>
            <w:tcBorders>
              <w:right w:val="nil"/>
            </w:tcBorders>
            <w:shd w:val="clear" w:color="auto" w:fill="auto"/>
            <w:tcMar>
              <w:top w:w="85" w:type="dxa"/>
              <w:bottom w:w="85" w:type="dxa"/>
              <w:right w:w="108" w:type="dxa"/>
            </w:tcMar>
          </w:tcPr>
          <w:p w14:paraId="441BC7C7" w14:textId="77777777" w:rsidR="00935A4E" w:rsidRDefault="00935A4E" w:rsidP="00935A4E">
            <w:pPr>
              <w:pStyle w:val="ListParagraph"/>
              <w:numPr>
                <w:ilvl w:val="0"/>
                <w:numId w:val="32"/>
              </w:numPr>
              <w:spacing w:after="0"/>
              <w:ind w:left="426"/>
              <w:rPr>
                <w:noProof/>
                <w:sz w:val="20"/>
              </w:rPr>
            </w:pPr>
          </w:p>
        </w:tc>
        <w:tc>
          <w:tcPr>
            <w:tcW w:w="2067" w:type="dxa"/>
            <w:tcMar>
              <w:top w:w="85" w:type="dxa"/>
              <w:bottom w:w="85" w:type="dxa"/>
              <w:right w:w="108" w:type="dxa"/>
            </w:tcMar>
          </w:tcPr>
          <w:p w14:paraId="78CBFF12" w14:textId="77777777" w:rsidR="00935A4E" w:rsidRPr="003C4947" w:rsidRDefault="00935A4E" w:rsidP="0021577E">
            <w:pPr>
              <w:spacing w:after="0"/>
              <w:jc w:val="left"/>
              <w:rPr>
                <w:noProof/>
                <w:sz w:val="20"/>
              </w:rPr>
            </w:pPr>
            <w:r>
              <w:rPr>
                <w:noProof/>
                <w:sz w:val="20"/>
              </w:rPr>
              <w:t>COM(2020)404 final</w:t>
            </w:r>
            <w:r>
              <w:rPr>
                <w:noProof/>
              </w:rPr>
              <w:t xml:space="preserve"> </w:t>
            </w:r>
            <w:r>
              <w:rPr>
                <w:noProof/>
              </w:rPr>
              <w:br/>
            </w:r>
            <w:r>
              <w:rPr>
                <w:noProof/>
                <w:sz w:val="20"/>
              </w:rPr>
              <w:t>2020/0106 (COD)</w:t>
            </w:r>
          </w:p>
        </w:tc>
        <w:tc>
          <w:tcPr>
            <w:tcW w:w="7572" w:type="dxa"/>
            <w:shd w:val="clear" w:color="auto" w:fill="auto"/>
            <w:tcMar>
              <w:top w:w="85" w:type="dxa"/>
              <w:bottom w:w="85" w:type="dxa"/>
              <w:right w:w="108" w:type="dxa"/>
            </w:tcMar>
          </w:tcPr>
          <w:p w14:paraId="45055751" w14:textId="2D7CF865" w:rsidR="00935A4E" w:rsidRPr="00F97963" w:rsidRDefault="00935A4E" w:rsidP="00D66025">
            <w:pPr>
              <w:spacing w:after="0"/>
              <w:rPr>
                <w:noProof/>
                <w:sz w:val="20"/>
              </w:rPr>
            </w:pPr>
            <w:r>
              <w:rPr>
                <w:noProof/>
                <w:sz w:val="20"/>
              </w:rPr>
              <w:t>Návrh nařízení Evropského parlamentu a Rady, kterým se mění nařízení (EU) 2015/1017, pokud jde o vytvoření nástroje na podporu solventnosti</w:t>
            </w:r>
          </w:p>
        </w:tc>
        <w:tc>
          <w:tcPr>
            <w:tcW w:w="4677" w:type="dxa"/>
            <w:tcMar>
              <w:top w:w="85" w:type="dxa"/>
              <w:bottom w:w="85" w:type="dxa"/>
              <w:right w:w="108" w:type="dxa"/>
            </w:tcMar>
          </w:tcPr>
          <w:p w14:paraId="78F388FA" w14:textId="2FC0EC8F" w:rsidR="00935A4E" w:rsidRPr="003C4947" w:rsidRDefault="00935A4E" w:rsidP="00D66025">
            <w:pPr>
              <w:spacing w:after="0"/>
              <w:rPr>
                <w:noProof/>
                <w:sz w:val="20"/>
              </w:rPr>
            </w:pPr>
            <w:r>
              <w:rPr>
                <w:noProof/>
                <w:sz w:val="20"/>
              </w:rPr>
              <w:t>Zastaralé v souvislosti s dohodou o víceletém finančním rámci (2021–2027)/NextGenerationEU.</w:t>
            </w:r>
          </w:p>
        </w:tc>
      </w:tr>
      <w:tr w:rsidR="00935A4E" w14:paraId="11262B4F" w14:textId="77777777" w:rsidTr="0021577E">
        <w:tblPrEx>
          <w:tblCellMar>
            <w:top w:w="0" w:type="dxa"/>
            <w:left w:w="108" w:type="dxa"/>
            <w:bottom w:w="0" w:type="dxa"/>
            <w:right w:w="108" w:type="dxa"/>
          </w:tblCellMar>
        </w:tblPrEx>
        <w:trPr>
          <w:cantSplit/>
        </w:trPr>
        <w:tc>
          <w:tcPr>
            <w:tcW w:w="14827" w:type="dxa"/>
            <w:gridSpan w:val="4"/>
            <w:shd w:val="clear" w:color="auto" w:fill="585EAA" w:themeFill="accent4"/>
            <w:tcMar>
              <w:top w:w="85" w:type="dxa"/>
              <w:left w:w="85" w:type="dxa"/>
              <w:bottom w:w="85" w:type="dxa"/>
              <w:right w:w="85" w:type="dxa"/>
            </w:tcMar>
          </w:tcPr>
          <w:p w14:paraId="3320ECB8" w14:textId="77777777" w:rsidR="00935A4E" w:rsidRDefault="00935A4E" w:rsidP="008F4115">
            <w:pPr>
              <w:keepNext/>
              <w:spacing w:before="60" w:after="60"/>
              <w:rPr>
                <w:noProof/>
                <w:sz w:val="20"/>
              </w:rPr>
            </w:pPr>
            <w:r>
              <w:rPr>
                <w:b/>
                <w:bCs/>
                <w:noProof/>
                <w:color w:val="FFFFFF" w:themeColor="background1"/>
                <w:sz w:val="20"/>
              </w:rPr>
              <w:t>Silnější Evropa ve světě</w:t>
            </w:r>
          </w:p>
        </w:tc>
      </w:tr>
      <w:tr w:rsidR="00935A4E" w14:paraId="41A52FE9" w14:textId="77777777" w:rsidTr="0021577E">
        <w:trPr>
          <w:cantSplit/>
        </w:trPr>
        <w:tc>
          <w:tcPr>
            <w:tcW w:w="511" w:type="dxa"/>
            <w:tcBorders>
              <w:right w:val="nil"/>
            </w:tcBorders>
            <w:shd w:val="clear" w:color="auto" w:fill="auto"/>
            <w:tcMar>
              <w:top w:w="85" w:type="dxa"/>
              <w:bottom w:w="85" w:type="dxa"/>
              <w:right w:w="108" w:type="dxa"/>
            </w:tcMar>
          </w:tcPr>
          <w:p w14:paraId="00582EB9" w14:textId="77777777" w:rsidR="00935A4E" w:rsidRDefault="00935A4E" w:rsidP="00935A4E">
            <w:pPr>
              <w:pStyle w:val="ListParagraph"/>
              <w:numPr>
                <w:ilvl w:val="0"/>
                <w:numId w:val="32"/>
              </w:numPr>
              <w:spacing w:after="0"/>
              <w:ind w:left="426"/>
              <w:rPr>
                <w:noProof/>
                <w:sz w:val="20"/>
              </w:rPr>
            </w:pPr>
          </w:p>
        </w:tc>
        <w:tc>
          <w:tcPr>
            <w:tcW w:w="2067" w:type="dxa"/>
            <w:tcMar>
              <w:top w:w="85" w:type="dxa"/>
              <w:bottom w:w="85" w:type="dxa"/>
              <w:right w:w="108" w:type="dxa"/>
            </w:tcMar>
          </w:tcPr>
          <w:p w14:paraId="52052B73" w14:textId="77777777" w:rsidR="00935A4E" w:rsidRPr="003C4947" w:rsidRDefault="00935A4E" w:rsidP="008F4115">
            <w:pPr>
              <w:jc w:val="left"/>
              <w:rPr>
                <w:noProof/>
                <w:sz w:val="20"/>
              </w:rPr>
            </w:pPr>
            <w:r>
              <w:rPr>
                <w:noProof/>
                <w:sz w:val="20"/>
              </w:rPr>
              <w:t>COM(2020)461 final</w:t>
            </w:r>
            <w:r>
              <w:rPr>
                <w:noProof/>
              </w:rPr>
              <w:t xml:space="preserve"> </w:t>
            </w:r>
            <w:r>
              <w:rPr>
                <w:noProof/>
              </w:rPr>
              <w:br/>
            </w:r>
            <w:r>
              <w:rPr>
                <w:noProof/>
                <w:sz w:val="20"/>
              </w:rPr>
              <w:t>2020/0110 (COD)</w:t>
            </w:r>
          </w:p>
        </w:tc>
        <w:tc>
          <w:tcPr>
            <w:tcW w:w="7572" w:type="dxa"/>
            <w:shd w:val="clear" w:color="auto" w:fill="auto"/>
            <w:tcMar>
              <w:top w:w="85" w:type="dxa"/>
              <w:bottom w:w="85" w:type="dxa"/>
              <w:right w:w="108" w:type="dxa"/>
            </w:tcMar>
          </w:tcPr>
          <w:p w14:paraId="2B60B61E" w14:textId="77777777" w:rsidR="00935A4E" w:rsidRPr="003C4947" w:rsidRDefault="00935A4E" w:rsidP="00D66025">
            <w:pPr>
              <w:spacing w:after="0"/>
              <w:rPr>
                <w:noProof/>
                <w:sz w:val="20"/>
              </w:rPr>
            </w:pPr>
            <w:r>
              <w:rPr>
                <w:noProof/>
                <w:sz w:val="20"/>
              </w:rPr>
              <w:t xml:space="preserve">Návrh NAŘÍZENÍ EVROPSKÉHO PARLAMENTU A RADY, kterým se mění nařízení (ES) č. 1257/96 ze dne 20. června 1996 o humanitární pomoci </w:t>
            </w:r>
          </w:p>
        </w:tc>
        <w:tc>
          <w:tcPr>
            <w:tcW w:w="4677" w:type="dxa"/>
            <w:tcMar>
              <w:top w:w="85" w:type="dxa"/>
              <w:bottom w:w="85" w:type="dxa"/>
              <w:right w:w="108" w:type="dxa"/>
            </w:tcMar>
          </w:tcPr>
          <w:p w14:paraId="38376EDF" w14:textId="173FEA64" w:rsidR="00935A4E" w:rsidRPr="003C4947" w:rsidRDefault="00935A4E" w:rsidP="00D66025">
            <w:pPr>
              <w:spacing w:after="0"/>
              <w:rPr>
                <w:noProof/>
                <w:sz w:val="20"/>
              </w:rPr>
            </w:pPr>
            <w:r>
              <w:rPr>
                <w:noProof/>
                <w:sz w:val="20"/>
              </w:rPr>
              <w:t>Zastaralé v souvislosti s dohodou o víceletém finančním rámci (2021–2027)/NextGenerationEU.</w:t>
            </w:r>
          </w:p>
        </w:tc>
      </w:tr>
      <w:tr w:rsidR="00935A4E" w14:paraId="78ABCA5F" w14:textId="77777777" w:rsidTr="0021577E">
        <w:trPr>
          <w:cantSplit/>
          <w:trHeight w:val="845"/>
        </w:trPr>
        <w:tc>
          <w:tcPr>
            <w:tcW w:w="511" w:type="dxa"/>
            <w:tcBorders>
              <w:right w:val="nil"/>
            </w:tcBorders>
            <w:shd w:val="clear" w:color="auto" w:fill="auto"/>
            <w:tcMar>
              <w:top w:w="85" w:type="dxa"/>
              <w:bottom w:w="85" w:type="dxa"/>
              <w:right w:w="108" w:type="dxa"/>
            </w:tcMar>
          </w:tcPr>
          <w:p w14:paraId="792BE1BF" w14:textId="77777777" w:rsidR="00935A4E" w:rsidRDefault="00935A4E" w:rsidP="00935A4E">
            <w:pPr>
              <w:pStyle w:val="ListParagraph"/>
              <w:numPr>
                <w:ilvl w:val="0"/>
                <w:numId w:val="32"/>
              </w:numPr>
              <w:spacing w:after="0"/>
              <w:ind w:left="426"/>
              <w:rPr>
                <w:noProof/>
                <w:sz w:val="20"/>
              </w:rPr>
            </w:pPr>
          </w:p>
        </w:tc>
        <w:tc>
          <w:tcPr>
            <w:tcW w:w="2067" w:type="dxa"/>
            <w:tcMar>
              <w:top w:w="85" w:type="dxa"/>
              <w:bottom w:w="85" w:type="dxa"/>
              <w:right w:w="108" w:type="dxa"/>
            </w:tcMar>
          </w:tcPr>
          <w:p w14:paraId="23805001" w14:textId="0A0FB9E6" w:rsidR="00935A4E" w:rsidRPr="005B2634" w:rsidRDefault="00935A4E" w:rsidP="0021577E">
            <w:pPr>
              <w:spacing w:after="0"/>
              <w:jc w:val="left"/>
              <w:rPr>
                <w:noProof/>
                <w:sz w:val="20"/>
              </w:rPr>
            </w:pPr>
            <w:r>
              <w:rPr>
                <w:noProof/>
                <w:sz w:val="20"/>
              </w:rPr>
              <w:t>COM(2020)407 final</w:t>
            </w:r>
            <w:r>
              <w:rPr>
                <w:noProof/>
              </w:rPr>
              <w:t xml:space="preserve"> </w:t>
            </w:r>
            <w:r>
              <w:rPr>
                <w:noProof/>
              </w:rPr>
              <w:br/>
            </w:r>
            <w:r>
              <w:rPr>
                <w:noProof/>
                <w:sz w:val="20"/>
              </w:rPr>
              <w:t xml:space="preserve">2020/0107 (COD) </w:t>
            </w:r>
          </w:p>
        </w:tc>
        <w:tc>
          <w:tcPr>
            <w:tcW w:w="7572" w:type="dxa"/>
            <w:shd w:val="clear" w:color="auto" w:fill="auto"/>
            <w:tcMar>
              <w:top w:w="85" w:type="dxa"/>
              <w:bottom w:w="85" w:type="dxa"/>
              <w:right w:w="108" w:type="dxa"/>
            </w:tcMar>
          </w:tcPr>
          <w:p w14:paraId="0C89F455" w14:textId="77777777" w:rsidR="00935A4E" w:rsidRPr="005B2634" w:rsidRDefault="00935A4E" w:rsidP="0021577E">
            <w:pPr>
              <w:spacing w:after="0"/>
              <w:rPr>
                <w:noProof/>
                <w:sz w:val="20"/>
              </w:rPr>
            </w:pPr>
            <w:r>
              <w:rPr>
                <w:noProof/>
                <w:sz w:val="20"/>
              </w:rPr>
              <w:t>Návrh NAŘÍZENÍ EVROPSKÉHO PARLAMENTU A RADY, kterým se mění nařízení (EU) 2017/1601 o zřízení Evropského fondu pro udržitelný rozvoj (EFSD), záruky EFSD a záručního fondu EFSD</w:t>
            </w:r>
          </w:p>
        </w:tc>
        <w:tc>
          <w:tcPr>
            <w:tcW w:w="4677" w:type="dxa"/>
            <w:tcMar>
              <w:top w:w="85" w:type="dxa"/>
              <w:bottom w:w="85" w:type="dxa"/>
              <w:right w:w="108" w:type="dxa"/>
            </w:tcMar>
          </w:tcPr>
          <w:p w14:paraId="236F1CAC" w14:textId="185B6F8B" w:rsidR="00935A4E" w:rsidRPr="003C4947" w:rsidRDefault="00935A4E" w:rsidP="00D66025">
            <w:pPr>
              <w:spacing w:after="0"/>
              <w:rPr>
                <w:noProof/>
                <w:sz w:val="20"/>
              </w:rPr>
            </w:pPr>
            <w:r>
              <w:rPr>
                <w:noProof/>
                <w:sz w:val="20"/>
              </w:rPr>
              <w:t>Zastaralé v souvislosti s dohodou o víceletém finančním rámci (2021–2027)/NextGenerationEU.</w:t>
            </w:r>
          </w:p>
        </w:tc>
      </w:tr>
      <w:tr w:rsidR="00935A4E" w14:paraId="45C2B02B" w14:textId="77777777" w:rsidTr="0021577E">
        <w:trPr>
          <w:cantSplit/>
        </w:trPr>
        <w:tc>
          <w:tcPr>
            <w:tcW w:w="511" w:type="dxa"/>
            <w:tcBorders>
              <w:right w:val="nil"/>
            </w:tcBorders>
            <w:shd w:val="clear" w:color="auto" w:fill="auto"/>
            <w:tcMar>
              <w:top w:w="85" w:type="dxa"/>
              <w:bottom w:w="85" w:type="dxa"/>
              <w:right w:w="108" w:type="dxa"/>
            </w:tcMar>
          </w:tcPr>
          <w:p w14:paraId="717FA12F" w14:textId="77777777" w:rsidR="00935A4E" w:rsidRDefault="00935A4E" w:rsidP="00935A4E">
            <w:pPr>
              <w:pStyle w:val="ListParagraph"/>
              <w:numPr>
                <w:ilvl w:val="0"/>
                <w:numId w:val="32"/>
              </w:numPr>
              <w:spacing w:after="0"/>
              <w:ind w:left="426"/>
              <w:rPr>
                <w:noProof/>
                <w:sz w:val="20"/>
              </w:rPr>
            </w:pPr>
          </w:p>
        </w:tc>
        <w:tc>
          <w:tcPr>
            <w:tcW w:w="2067" w:type="dxa"/>
            <w:tcMar>
              <w:top w:w="85" w:type="dxa"/>
              <w:bottom w:w="85" w:type="dxa"/>
              <w:right w:w="108" w:type="dxa"/>
            </w:tcMar>
          </w:tcPr>
          <w:p w14:paraId="48577FE2" w14:textId="77777777" w:rsidR="00935A4E" w:rsidRPr="5F6F181F" w:rsidRDefault="00935A4E" w:rsidP="0021577E">
            <w:pPr>
              <w:spacing w:after="0"/>
              <w:jc w:val="left"/>
              <w:rPr>
                <w:noProof/>
                <w:sz w:val="20"/>
              </w:rPr>
            </w:pPr>
            <w:r>
              <w:rPr>
                <w:noProof/>
                <w:sz w:val="20"/>
              </w:rPr>
              <w:t>COM(2019)125 final</w:t>
            </w:r>
            <w:r>
              <w:rPr>
                <w:noProof/>
              </w:rPr>
              <w:t xml:space="preserve"> </w:t>
            </w:r>
            <w:r>
              <w:rPr>
                <w:noProof/>
              </w:rPr>
              <w:br/>
            </w:r>
            <w:r>
              <w:rPr>
                <w:noProof/>
                <w:sz w:val="20"/>
              </w:rPr>
              <w:t>2019/0070 (COD)</w:t>
            </w:r>
          </w:p>
        </w:tc>
        <w:tc>
          <w:tcPr>
            <w:tcW w:w="7572" w:type="dxa"/>
            <w:shd w:val="clear" w:color="auto" w:fill="auto"/>
            <w:tcMar>
              <w:top w:w="85" w:type="dxa"/>
              <w:bottom w:w="85" w:type="dxa"/>
              <w:right w:w="108" w:type="dxa"/>
            </w:tcMar>
          </w:tcPr>
          <w:p w14:paraId="5FD1EC06" w14:textId="6EEB6D35" w:rsidR="00935A4E" w:rsidRPr="5F6F181F" w:rsidRDefault="00935A4E" w:rsidP="00D66025">
            <w:pPr>
              <w:spacing w:after="0"/>
              <w:rPr>
                <w:noProof/>
                <w:sz w:val="20"/>
              </w:rPr>
            </w:pPr>
            <w:r>
              <w:rPr>
                <w:noProof/>
                <w:sz w:val="20"/>
              </w:rPr>
              <w:t>Návrh ROZHODNUTÍ EVROPSKÉHO PARLAMENTU A RADY, kterým se mění rozhodnutí Evropského parlamentu a Rady č. 1313/2013/EU o mechanismu civilní ochrany Unie</w:t>
            </w:r>
          </w:p>
        </w:tc>
        <w:tc>
          <w:tcPr>
            <w:tcW w:w="4677" w:type="dxa"/>
            <w:tcMar>
              <w:top w:w="85" w:type="dxa"/>
              <w:bottom w:w="85" w:type="dxa"/>
              <w:right w:w="108" w:type="dxa"/>
            </w:tcMar>
          </w:tcPr>
          <w:p w14:paraId="135883BD" w14:textId="128B84E9" w:rsidR="00935A4E" w:rsidRPr="5F6F181F" w:rsidRDefault="00935A4E" w:rsidP="00D66025">
            <w:pPr>
              <w:spacing w:after="0"/>
              <w:rPr>
                <w:noProof/>
                <w:sz w:val="20"/>
              </w:rPr>
            </w:pPr>
            <w:r>
              <w:rPr>
                <w:noProof/>
                <w:sz w:val="20"/>
              </w:rPr>
              <w:t>Zastaralé – obsah nahrazen COM(2020)220, kterým se mění rozhodnutí Evropského parlamentu a Rady č. 1313/2013/EU o mechanismu civilní ochrany Unie</w:t>
            </w:r>
          </w:p>
        </w:tc>
      </w:tr>
      <w:tr w:rsidR="00935A4E" w14:paraId="1F9ED496" w14:textId="77777777" w:rsidTr="0021577E">
        <w:trPr>
          <w:cantSplit/>
        </w:trPr>
        <w:tc>
          <w:tcPr>
            <w:tcW w:w="14827" w:type="dxa"/>
            <w:gridSpan w:val="4"/>
            <w:tcBorders>
              <w:bottom w:val="single" w:sz="4" w:space="0" w:color="auto"/>
            </w:tcBorders>
            <w:shd w:val="clear" w:color="auto" w:fill="DA5C57" w:themeFill="accent6"/>
          </w:tcPr>
          <w:p w14:paraId="58ED3889" w14:textId="77777777" w:rsidR="00935A4E" w:rsidRDefault="00935A4E" w:rsidP="008F4115">
            <w:pPr>
              <w:keepNext/>
              <w:spacing w:before="60" w:after="60"/>
              <w:rPr>
                <w:b/>
                <w:bCs/>
                <w:noProof/>
                <w:sz w:val="20"/>
              </w:rPr>
            </w:pPr>
            <w:r>
              <w:rPr>
                <w:b/>
                <w:bCs/>
                <w:noProof/>
                <w:color w:val="FFFFFF" w:themeColor="background1"/>
                <w:sz w:val="20"/>
              </w:rPr>
              <w:t>Podpora evropského způsobu života</w:t>
            </w:r>
          </w:p>
        </w:tc>
      </w:tr>
      <w:tr w:rsidR="00935A4E" w14:paraId="477270BF" w14:textId="77777777" w:rsidTr="0021577E">
        <w:trPr>
          <w:cantSplit/>
        </w:trPr>
        <w:tc>
          <w:tcPr>
            <w:tcW w:w="511" w:type="dxa"/>
            <w:tcBorders>
              <w:right w:val="nil"/>
            </w:tcBorders>
            <w:shd w:val="clear" w:color="auto" w:fill="auto"/>
            <w:tcMar>
              <w:top w:w="85" w:type="dxa"/>
              <w:bottom w:w="85" w:type="dxa"/>
              <w:right w:w="108" w:type="dxa"/>
            </w:tcMar>
          </w:tcPr>
          <w:p w14:paraId="2B4E38CA" w14:textId="77777777" w:rsidR="00935A4E" w:rsidRDefault="00935A4E" w:rsidP="00935A4E">
            <w:pPr>
              <w:pStyle w:val="ListParagraph"/>
              <w:numPr>
                <w:ilvl w:val="0"/>
                <w:numId w:val="32"/>
              </w:numPr>
              <w:spacing w:after="0"/>
              <w:ind w:left="426"/>
              <w:rPr>
                <w:noProof/>
                <w:sz w:val="20"/>
              </w:rPr>
            </w:pPr>
          </w:p>
        </w:tc>
        <w:tc>
          <w:tcPr>
            <w:tcW w:w="2067" w:type="dxa"/>
            <w:tcMar>
              <w:top w:w="85" w:type="dxa"/>
              <w:bottom w:w="85" w:type="dxa"/>
              <w:right w:w="108" w:type="dxa"/>
            </w:tcMar>
          </w:tcPr>
          <w:p w14:paraId="72E55CFF" w14:textId="77777777" w:rsidR="00935A4E" w:rsidRPr="003C4947" w:rsidRDefault="00935A4E" w:rsidP="008F4115">
            <w:pPr>
              <w:jc w:val="left"/>
              <w:rPr>
                <w:noProof/>
                <w:sz w:val="20"/>
              </w:rPr>
            </w:pPr>
            <w:r>
              <w:rPr>
                <w:noProof/>
                <w:sz w:val="20"/>
              </w:rPr>
              <w:t>COM(2014)340 final</w:t>
            </w:r>
            <w:r>
              <w:rPr>
                <w:noProof/>
              </w:rPr>
              <w:t xml:space="preserve"> </w:t>
            </w:r>
            <w:r>
              <w:rPr>
                <w:noProof/>
              </w:rPr>
              <w:br/>
            </w:r>
            <w:r>
              <w:rPr>
                <w:noProof/>
                <w:sz w:val="20"/>
              </w:rPr>
              <w:t>2014/0173 (COD)</w:t>
            </w:r>
          </w:p>
        </w:tc>
        <w:tc>
          <w:tcPr>
            <w:tcW w:w="7572" w:type="dxa"/>
            <w:shd w:val="clear" w:color="auto" w:fill="auto"/>
            <w:tcMar>
              <w:top w:w="85" w:type="dxa"/>
              <w:bottom w:w="85" w:type="dxa"/>
              <w:right w:w="108" w:type="dxa"/>
            </w:tcMar>
          </w:tcPr>
          <w:p w14:paraId="642D84A4" w14:textId="77777777" w:rsidR="00935A4E" w:rsidRPr="003C4947" w:rsidRDefault="00935A4E" w:rsidP="00D66025">
            <w:pPr>
              <w:spacing w:after="0"/>
              <w:rPr>
                <w:noProof/>
                <w:sz w:val="20"/>
              </w:rPr>
            </w:pPr>
            <w:r>
              <w:rPr>
                <w:noProof/>
                <w:sz w:val="20"/>
              </w:rPr>
              <w:t>Návrh NAŘÍZENÍ EVROPSKÉHO PARLAMENTU A RADY, kterým se mění nařízení (EU, Euratom) č. 883/2013, pokud jde o vytvoření funkce inspektora procesních záruk</w:t>
            </w:r>
          </w:p>
        </w:tc>
        <w:tc>
          <w:tcPr>
            <w:tcW w:w="4677" w:type="dxa"/>
            <w:tcMar>
              <w:top w:w="85" w:type="dxa"/>
              <w:bottom w:w="85" w:type="dxa"/>
              <w:right w:w="108" w:type="dxa"/>
            </w:tcMar>
          </w:tcPr>
          <w:p w14:paraId="414677E5" w14:textId="167C7093" w:rsidR="00935A4E" w:rsidRPr="003C4947" w:rsidRDefault="00935A4E" w:rsidP="00D66025">
            <w:pPr>
              <w:spacing w:after="0"/>
              <w:rPr>
                <w:noProof/>
                <w:sz w:val="20"/>
              </w:rPr>
            </w:pPr>
            <w:r>
              <w:rPr>
                <w:noProof/>
                <w:sz w:val="20"/>
              </w:rPr>
              <w:t>Zastaralé – obsah nahrazen nařízením (EU, Euratom) č. 2020/2223, kterým se mění „nařízení o úřadu OLAF“ (EU, Euratom) č. 883/2013, přijatým v prosinci 2020.</w:t>
            </w:r>
          </w:p>
        </w:tc>
      </w:tr>
    </w:tbl>
    <w:p w14:paraId="24BB6F86" w14:textId="1A16885B" w:rsidR="00A173B9" w:rsidRDefault="00A173B9" w:rsidP="0021577E">
      <w:pPr>
        <w:spacing w:after="0"/>
        <w:rPr>
          <w:noProof/>
          <w:sz w:val="20"/>
        </w:rPr>
      </w:pPr>
      <w:r>
        <w:rPr>
          <w:noProof/>
        </w:rPr>
        <w:br w:type="page"/>
      </w:r>
    </w:p>
    <w:p w14:paraId="5DD1A164" w14:textId="77777777" w:rsidR="00935A4E" w:rsidRDefault="00935A4E" w:rsidP="00935A4E">
      <w:pPr>
        <w:spacing w:after="0"/>
        <w:jc w:val="center"/>
        <w:rPr>
          <w:noProof/>
          <w:sz w:val="20"/>
        </w:rPr>
      </w:pPr>
    </w:p>
    <w:p w14:paraId="07822A48" w14:textId="77777777" w:rsidR="00935A4E" w:rsidRPr="0005353D" w:rsidRDefault="00935A4E" w:rsidP="00935A4E">
      <w:pPr>
        <w:spacing w:after="600"/>
        <w:jc w:val="center"/>
        <w:outlineLvl w:val="0"/>
        <w:rPr>
          <w:b/>
          <w:noProof/>
          <w:sz w:val="28"/>
          <w:szCs w:val="28"/>
          <w:u w:val="single"/>
        </w:rPr>
      </w:pPr>
      <w:r>
        <w:rPr>
          <w:b/>
          <w:noProof/>
          <w:sz w:val="28"/>
          <w:szCs w:val="28"/>
          <w:u w:val="single"/>
        </w:rPr>
        <w:t>Příloha V: Seznam předpisů, které mají být zrušeny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13"/>
        <w:gridCol w:w="1486"/>
        <w:gridCol w:w="6450"/>
        <w:gridCol w:w="6291"/>
      </w:tblGrid>
      <w:tr w:rsidR="00935A4E" w:rsidRPr="00511DB0" w14:paraId="336B4CB1" w14:textId="77777777" w:rsidTr="0021577E">
        <w:trPr>
          <w:cantSplit/>
          <w:tblHeader/>
        </w:trPr>
        <w:tc>
          <w:tcPr>
            <w:tcW w:w="174" w:type="pct"/>
            <w:tcBorders>
              <w:bottom w:val="single" w:sz="4" w:space="0" w:color="auto"/>
            </w:tcBorders>
            <w:shd w:val="clear" w:color="auto" w:fill="99CCFF"/>
            <w:vAlign w:val="center"/>
          </w:tcPr>
          <w:p w14:paraId="279CB1C6" w14:textId="77777777" w:rsidR="00935A4E" w:rsidRPr="0021577E" w:rsidRDefault="00935A4E" w:rsidP="008F4115">
            <w:pPr>
              <w:spacing w:after="0"/>
              <w:jc w:val="center"/>
              <w:rPr>
                <w:b/>
                <w:bCs/>
                <w:noProof/>
                <w:sz w:val="20"/>
              </w:rPr>
            </w:pPr>
            <w:r>
              <w:rPr>
                <w:b/>
                <w:bCs/>
                <w:noProof/>
                <w:sz w:val="20"/>
              </w:rPr>
              <w:t>Č.</w:t>
            </w:r>
          </w:p>
        </w:tc>
        <w:tc>
          <w:tcPr>
            <w:tcW w:w="504" w:type="pct"/>
            <w:tcBorders>
              <w:bottom w:val="single" w:sz="4" w:space="0" w:color="auto"/>
            </w:tcBorders>
            <w:shd w:val="clear" w:color="auto" w:fill="99CCFF"/>
            <w:vAlign w:val="center"/>
          </w:tcPr>
          <w:p w14:paraId="415CB373" w14:textId="77777777" w:rsidR="00935A4E" w:rsidRPr="0021577E" w:rsidRDefault="00935A4E" w:rsidP="008F4115">
            <w:pPr>
              <w:spacing w:after="0"/>
              <w:jc w:val="center"/>
              <w:rPr>
                <w:b/>
                <w:bCs/>
                <w:noProof/>
                <w:sz w:val="20"/>
              </w:rPr>
            </w:pPr>
            <w:r>
              <w:rPr>
                <w:b/>
                <w:bCs/>
                <w:noProof/>
                <w:sz w:val="20"/>
              </w:rPr>
              <w:t>Oblast politiky</w:t>
            </w:r>
          </w:p>
        </w:tc>
        <w:tc>
          <w:tcPr>
            <w:tcW w:w="2188" w:type="pct"/>
            <w:tcBorders>
              <w:bottom w:val="single" w:sz="4" w:space="0" w:color="auto"/>
            </w:tcBorders>
            <w:shd w:val="clear" w:color="auto" w:fill="99CCFF"/>
            <w:vAlign w:val="center"/>
          </w:tcPr>
          <w:p w14:paraId="1C5D174D" w14:textId="77777777" w:rsidR="00935A4E" w:rsidRPr="0021577E" w:rsidRDefault="00935A4E" w:rsidP="008F4115">
            <w:pPr>
              <w:spacing w:after="0"/>
              <w:jc w:val="center"/>
              <w:rPr>
                <w:b/>
                <w:bCs/>
                <w:noProof/>
                <w:sz w:val="20"/>
              </w:rPr>
            </w:pPr>
            <w:r>
              <w:rPr>
                <w:b/>
                <w:bCs/>
                <w:noProof/>
                <w:sz w:val="20"/>
              </w:rPr>
              <w:t>Název</w:t>
            </w:r>
          </w:p>
        </w:tc>
        <w:tc>
          <w:tcPr>
            <w:tcW w:w="2134" w:type="pct"/>
            <w:tcBorders>
              <w:bottom w:val="single" w:sz="4" w:space="0" w:color="auto"/>
            </w:tcBorders>
            <w:shd w:val="clear" w:color="auto" w:fill="99CCFF"/>
            <w:vAlign w:val="center"/>
          </w:tcPr>
          <w:p w14:paraId="3A539441" w14:textId="77777777" w:rsidR="00935A4E" w:rsidRPr="0021577E" w:rsidRDefault="00935A4E" w:rsidP="008F4115">
            <w:pPr>
              <w:spacing w:after="0"/>
              <w:jc w:val="center"/>
              <w:rPr>
                <w:b/>
                <w:bCs/>
                <w:noProof/>
                <w:sz w:val="20"/>
              </w:rPr>
            </w:pPr>
            <w:r>
              <w:rPr>
                <w:b/>
                <w:bCs/>
                <w:noProof/>
                <w:sz w:val="20"/>
              </w:rPr>
              <w:t xml:space="preserve">Důvody pro zrušení </w:t>
            </w:r>
          </w:p>
        </w:tc>
      </w:tr>
      <w:tr w:rsidR="00935A4E" w:rsidRPr="00511DB0" w14:paraId="27EF17E4" w14:textId="77777777" w:rsidTr="0021577E">
        <w:trPr>
          <w:cantSplit/>
          <w:trHeight w:val="609"/>
        </w:trPr>
        <w:tc>
          <w:tcPr>
            <w:tcW w:w="174" w:type="pct"/>
            <w:tcBorders>
              <w:top w:val="single" w:sz="4" w:space="0" w:color="auto"/>
              <w:left w:val="single" w:sz="4" w:space="0" w:color="auto"/>
              <w:bottom w:val="single" w:sz="4" w:space="0" w:color="auto"/>
              <w:right w:val="single" w:sz="4" w:space="0" w:color="auto"/>
            </w:tcBorders>
            <w:shd w:val="clear" w:color="auto" w:fill="auto"/>
          </w:tcPr>
          <w:p w14:paraId="3669FC4A" w14:textId="77777777" w:rsidR="00935A4E" w:rsidRPr="00922DAB" w:rsidRDefault="00935A4E" w:rsidP="00935A4E">
            <w:pPr>
              <w:numPr>
                <w:ilvl w:val="0"/>
                <w:numId w:val="33"/>
              </w:numPr>
              <w:spacing w:after="0"/>
              <w:ind w:left="357" w:hanging="357"/>
              <w:jc w:val="left"/>
              <w:rPr>
                <w:noProof/>
                <w:sz w:val="20"/>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D9AECEB" w14:textId="5234A51F" w:rsidR="00935A4E" w:rsidRPr="00922DAB" w:rsidRDefault="00935A4E" w:rsidP="0021577E">
            <w:pPr>
              <w:spacing w:after="0"/>
              <w:rPr>
                <w:noProof/>
                <w:sz w:val="20"/>
              </w:rPr>
            </w:pPr>
            <w:r>
              <w:rPr>
                <w:noProof/>
                <w:sz w:val="20"/>
              </w:rPr>
              <w:t>Energie</w:t>
            </w:r>
          </w:p>
        </w:tc>
        <w:tc>
          <w:tcPr>
            <w:tcW w:w="2188" w:type="pct"/>
            <w:tcBorders>
              <w:top w:val="single" w:sz="4" w:space="0" w:color="auto"/>
              <w:left w:val="single" w:sz="4" w:space="0" w:color="auto"/>
              <w:bottom w:val="single" w:sz="4" w:space="0" w:color="auto"/>
              <w:right w:val="single" w:sz="4" w:space="0" w:color="auto"/>
            </w:tcBorders>
            <w:shd w:val="clear" w:color="auto" w:fill="auto"/>
          </w:tcPr>
          <w:p w14:paraId="3B7FE8B6" w14:textId="06D2E9D0" w:rsidR="00935A4E" w:rsidRPr="00922DAB" w:rsidRDefault="00285A10" w:rsidP="0021577E">
            <w:pPr>
              <w:spacing w:after="0"/>
              <w:rPr>
                <w:noProof/>
                <w:sz w:val="20"/>
              </w:rPr>
            </w:pPr>
            <w:r>
              <w:rPr>
                <w:noProof/>
                <w:sz w:val="20"/>
              </w:rPr>
              <w:t>NAŘÍZENÍ EVROPSKÉHO PARLAMENTU A RADY (ES) č. 106/2008 ze dne 15. ledna 2008 o programu Společenství na označování energetické účinnosti kancelářských přístrojů štítky</w:t>
            </w:r>
          </w:p>
        </w:tc>
        <w:tc>
          <w:tcPr>
            <w:tcW w:w="2134" w:type="pct"/>
            <w:tcBorders>
              <w:top w:val="single" w:sz="4" w:space="0" w:color="auto"/>
              <w:left w:val="single" w:sz="4" w:space="0" w:color="auto"/>
              <w:bottom w:val="single" w:sz="4" w:space="0" w:color="auto"/>
              <w:right w:val="single" w:sz="4" w:space="0" w:color="auto"/>
            </w:tcBorders>
            <w:shd w:val="clear" w:color="auto" w:fill="auto"/>
          </w:tcPr>
          <w:p w14:paraId="350F52FA" w14:textId="77777777" w:rsidR="00935A4E" w:rsidRPr="00922DAB" w:rsidRDefault="00935A4E" w:rsidP="0021577E">
            <w:pPr>
              <w:spacing w:after="0"/>
              <w:rPr>
                <w:noProof/>
                <w:sz w:val="20"/>
              </w:rPr>
            </w:pPr>
            <w:r>
              <w:rPr>
                <w:noProof/>
                <w:sz w:val="20"/>
              </w:rPr>
              <w:t>Toto nařízení se týká dohody mezi EU a USA o označování štítkem Energy Star, jejíž platnost skončila v roce 2018.</w:t>
            </w:r>
          </w:p>
        </w:tc>
      </w:tr>
    </w:tbl>
    <w:p w14:paraId="1A743BDB" w14:textId="77777777" w:rsidR="00935A4E" w:rsidRDefault="00935A4E" w:rsidP="00935A4E">
      <w:pPr>
        <w:spacing w:after="0"/>
        <w:jc w:val="center"/>
        <w:rPr>
          <w:noProof/>
          <w:sz w:val="20"/>
        </w:rPr>
      </w:pPr>
    </w:p>
    <w:p w14:paraId="53777B35" w14:textId="77777777" w:rsidR="00935A4E" w:rsidRDefault="00935A4E" w:rsidP="00E76D24">
      <w:pPr>
        <w:spacing w:after="0"/>
        <w:jc w:val="left"/>
        <w:rPr>
          <w:noProof/>
          <w:sz w:val="20"/>
        </w:rPr>
      </w:pPr>
    </w:p>
    <w:sectPr w:rsidR="00935A4E" w:rsidSect="00667532">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85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7F9B0" w14:textId="77777777" w:rsidR="00B02EF2" w:rsidRDefault="00B02EF2">
      <w:pPr>
        <w:spacing w:after="0"/>
      </w:pPr>
      <w:r>
        <w:separator/>
      </w:r>
    </w:p>
  </w:endnote>
  <w:endnote w:type="continuationSeparator" w:id="0">
    <w:p w14:paraId="41BAD08A" w14:textId="77777777" w:rsidR="00B02EF2" w:rsidRDefault="00B02EF2">
      <w:pPr>
        <w:spacing w:after="0"/>
      </w:pPr>
      <w:r>
        <w:continuationSeparator/>
      </w:r>
    </w:p>
  </w:endnote>
  <w:endnote w:type="continuationNotice" w:id="1">
    <w:p w14:paraId="297EE7EC" w14:textId="77777777" w:rsidR="00B02EF2" w:rsidRDefault="00B02E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6BAA" w14:textId="77777777" w:rsidR="008829FA" w:rsidRPr="008829FA" w:rsidRDefault="008829FA" w:rsidP="00882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F715" w14:textId="4E203274" w:rsidR="00F53CD4" w:rsidRPr="008829FA" w:rsidRDefault="008829FA" w:rsidP="008829FA">
    <w:pPr>
      <w:pStyle w:val="FooterCoverPage"/>
      <w:rPr>
        <w:rFonts w:ascii="Arial" w:hAnsi="Arial" w:cs="Arial"/>
        <w:b/>
        <w:sz w:val="48"/>
      </w:rPr>
    </w:pPr>
    <w:r w:rsidRPr="008829FA">
      <w:rPr>
        <w:rFonts w:ascii="Arial" w:hAnsi="Arial" w:cs="Arial"/>
        <w:b/>
        <w:sz w:val="48"/>
      </w:rPr>
      <w:t>CS</w:t>
    </w:r>
    <w:r w:rsidRPr="008829FA">
      <w:rPr>
        <w:rFonts w:ascii="Arial" w:hAnsi="Arial" w:cs="Arial"/>
        <w:b/>
        <w:sz w:val="48"/>
      </w:rPr>
      <w:tab/>
    </w:r>
    <w:r w:rsidRPr="008829FA">
      <w:rPr>
        <w:rFonts w:ascii="Arial" w:hAnsi="Arial" w:cs="Arial"/>
        <w:b/>
        <w:sz w:val="48"/>
      </w:rPr>
      <w:tab/>
    </w:r>
    <w:r w:rsidRPr="008829FA">
      <w:tab/>
    </w:r>
    <w:r w:rsidRPr="008829FA">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1408" w14:textId="77777777" w:rsidR="008829FA" w:rsidRPr="008829FA" w:rsidRDefault="008829FA" w:rsidP="008829F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E0D3" w14:textId="77777777" w:rsidR="00B02EF2" w:rsidRDefault="00B02EF2">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E0D4" w14:textId="1C9F2D5C" w:rsidR="00B02EF2" w:rsidRDefault="00B02EF2" w:rsidP="00C81A35">
    <w:pPr>
      <w:pStyle w:val="FooterLine"/>
      <w:spacing w:before="0" w:line="240" w:lineRule="auto"/>
      <w:jc w:val="right"/>
    </w:pPr>
    <w:r>
      <w:fldChar w:fldCharType="begin"/>
    </w:r>
    <w:r>
      <w:instrText>PAGE   \* MERGEFORMAT</w:instrText>
    </w:r>
    <w:r>
      <w:fldChar w:fldCharType="separate"/>
    </w:r>
    <w:r w:rsidR="008829FA">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062222"/>
      <w:docPartObj>
        <w:docPartGallery w:val="Page Numbers (Bottom of Page)"/>
        <w:docPartUnique/>
      </w:docPartObj>
    </w:sdtPr>
    <w:sdtEndPr>
      <w:rPr>
        <w:noProof/>
      </w:rPr>
    </w:sdtEndPr>
    <w:sdtContent>
      <w:p w14:paraId="1DC9E0D6" w14:textId="77777777" w:rsidR="00B02EF2" w:rsidRDefault="00B02EF2">
        <w:pPr>
          <w:pStyle w:val="Footer"/>
          <w:jc w:val="center"/>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30903" w14:textId="77777777" w:rsidR="00B02EF2" w:rsidRDefault="00B02EF2">
      <w:pPr>
        <w:spacing w:after="0"/>
      </w:pPr>
      <w:r>
        <w:separator/>
      </w:r>
    </w:p>
  </w:footnote>
  <w:footnote w:type="continuationSeparator" w:id="0">
    <w:p w14:paraId="4CFCBE57" w14:textId="77777777" w:rsidR="00B02EF2" w:rsidRDefault="00B02EF2">
      <w:pPr>
        <w:spacing w:after="0"/>
      </w:pPr>
      <w:r>
        <w:continuationSeparator/>
      </w:r>
    </w:p>
  </w:footnote>
  <w:footnote w:type="continuationNotice" w:id="1">
    <w:p w14:paraId="1B69A3FF" w14:textId="77777777" w:rsidR="00B02EF2" w:rsidRDefault="00B02EF2">
      <w:pPr>
        <w:spacing w:after="0"/>
      </w:pPr>
    </w:p>
  </w:footnote>
  <w:footnote w:id="2">
    <w:p w14:paraId="1DC9E0D7" w14:textId="7835DAD4" w:rsidR="00B02EF2" w:rsidRDefault="00B02EF2">
      <w:pPr>
        <w:pStyle w:val="FootnoteText"/>
      </w:pPr>
      <w:r>
        <w:rPr>
          <w:rStyle w:val="FootnoteReference"/>
        </w:rPr>
        <w:footnoteRef/>
      </w:r>
      <w:r>
        <w:tab/>
        <w:t>Tato příloha obsahuje další informace o iniciativách v rámci pracovního programu Komise, jež jsou k dispozici, a to v souladu s interinstitucionální dohodou o zdokonalení tvorby právních předpisů. Informace jsou uvedeny v závorkách za popisem každé iniciativy a jsou pouze orientační a v průběhu přípravného procesu se mohou změnit, zejména s ohledem na výsledek posouzení dopadů.</w:t>
      </w:r>
    </w:p>
  </w:footnote>
  <w:footnote w:id="3">
    <w:p w14:paraId="44B2216A" w14:textId="77777777" w:rsidR="00B02EF2" w:rsidRDefault="00B02EF2" w:rsidP="00ED6F51">
      <w:pPr>
        <w:pStyle w:val="FootnoteText"/>
      </w:pPr>
      <w:r>
        <w:rPr>
          <w:rStyle w:val="FootnoteReference"/>
        </w:rPr>
        <w:footnoteRef/>
      </w:r>
      <w:r>
        <w:tab/>
        <w:t>Tato příloha stanoví nejvýznamnější revize, hodnocení a kontroly účelnosti v rámci programu REFIT, které Komise provede v roce 2022.</w:t>
      </w:r>
    </w:p>
  </w:footnote>
  <w:footnote w:id="4">
    <w:p w14:paraId="4547B785" w14:textId="77777777" w:rsidR="00B02EF2" w:rsidRDefault="00B02EF2" w:rsidP="00935A4E">
      <w:pPr>
        <w:pStyle w:val="FootnoteText"/>
      </w:pPr>
      <w:r>
        <w:rPr>
          <w:rStyle w:val="FootnoteReference"/>
        </w:rPr>
        <w:footnoteRef/>
      </w:r>
      <w:r>
        <w:tab/>
        <w:t xml:space="preserve">Tento seznam obsahuje projednávané legislativní návrhy, které Komise hodlá během příštích šesti měsíců stáhnout.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D209D" w14:textId="77777777" w:rsidR="008829FA" w:rsidRPr="008829FA" w:rsidRDefault="008829FA" w:rsidP="00882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90EB" w14:textId="77777777" w:rsidR="008829FA" w:rsidRPr="008829FA" w:rsidRDefault="008829FA" w:rsidP="008829F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C70F" w14:textId="77777777" w:rsidR="008829FA" w:rsidRPr="008829FA" w:rsidRDefault="008829FA" w:rsidP="008829F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E0D1" w14:textId="77777777" w:rsidR="00B02EF2" w:rsidRDefault="00B02E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E0D2" w14:textId="77777777" w:rsidR="00B02EF2" w:rsidRDefault="00B02E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E0D5" w14:textId="77777777" w:rsidR="00B02EF2" w:rsidRDefault="00B02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7" w15:restartNumberingAfterBreak="0">
    <w:nsid w:val="1D9F1557"/>
    <w:multiLevelType w:val="hybridMultilevel"/>
    <w:tmpl w:val="CE262274"/>
    <w:lvl w:ilvl="0" w:tplc="BABC334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C5AB3"/>
    <w:multiLevelType w:val="hybridMultilevel"/>
    <w:tmpl w:val="AFB8D086"/>
    <w:lvl w:ilvl="0" w:tplc="E7B8FBEC">
      <w:start w:val="1"/>
      <w:numFmt w:val="decimal"/>
      <w:lvlText w:val="%1."/>
      <w:lvlJc w:val="left"/>
      <w:pPr>
        <w:ind w:left="786"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E1D7B"/>
    <w:multiLevelType w:val="hybridMultilevel"/>
    <w:tmpl w:val="777C2F5C"/>
    <w:lvl w:ilvl="0" w:tplc="BABC334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367B23"/>
    <w:multiLevelType w:val="hybridMultilevel"/>
    <w:tmpl w:val="07A23A3C"/>
    <w:lvl w:ilvl="0" w:tplc="65AAA550">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9305699"/>
    <w:multiLevelType w:val="hybridMultilevel"/>
    <w:tmpl w:val="39EEEEA2"/>
    <w:lvl w:ilvl="0" w:tplc="E6560C9C">
      <w:start w:val="1"/>
      <w:numFmt w:val="decimal"/>
      <w:lvlText w:val="%1."/>
      <w:lvlJc w:val="left"/>
      <w:pPr>
        <w:ind w:left="1146" w:hanging="360"/>
      </w:pPr>
      <w:rPr>
        <w:rFonts w:hint="default"/>
        <w:color w:val="000000" w:themeColor="text1"/>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2"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2D293CE3"/>
    <w:multiLevelType w:val="multilevel"/>
    <w:tmpl w:val="C5CA52C6"/>
    <w:lvl w:ilvl="0">
      <w:start w:val="1"/>
      <w:numFmt w:val="decimal"/>
      <w:pStyle w:val="LegalNumPar"/>
      <w:lvlText w:val="%1."/>
      <w:lvlJc w:val="left"/>
      <w:pPr>
        <w:tabs>
          <w:tab w:val="num" w:pos="476"/>
        </w:tabs>
        <w:ind w:left="476" w:hanging="476"/>
      </w:pPr>
      <w:rPr>
        <w:rFonts w:hint="default"/>
        <w:sz w:val="20"/>
        <w:szCs w:val="20"/>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B5542A"/>
    <w:multiLevelType w:val="hybridMultilevel"/>
    <w:tmpl w:val="3A7035EA"/>
    <w:lvl w:ilvl="0" w:tplc="862AA354">
      <w:start w:val="1"/>
      <w:numFmt w:val="lowerLetter"/>
      <w:lvlText w:val="%1)"/>
      <w:lvlJc w:val="left"/>
      <w:pPr>
        <w:ind w:left="411" w:hanging="360"/>
      </w:pPr>
      <w:rPr>
        <w:rFonts w:hint="default"/>
        <w:b w:val="0"/>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5" w15:restartNumberingAfterBreak="0">
    <w:nsid w:val="312213BA"/>
    <w:multiLevelType w:val="hybridMultilevel"/>
    <w:tmpl w:val="B932620E"/>
    <w:lvl w:ilvl="0" w:tplc="001C89F4">
      <w:start w:val="1"/>
      <w:numFmt w:val="decimal"/>
      <w:lvlText w:val="%1."/>
      <w:lvlJc w:val="left"/>
      <w:pPr>
        <w:ind w:left="1146" w:hanging="360"/>
      </w:pPr>
      <w:rPr>
        <w:rFonts w:hint="default"/>
        <w:color w:val="000000" w:themeColor="text1"/>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6" w15:restartNumberingAfterBreak="0">
    <w:nsid w:val="357B7E92"/>
    <w:multiLevelType w:val="hybridMultilevel"/>
    <w:tmpl w:val="8CB448C6"/>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36CC7BB3"/>
    <w:multiLevelType w:val="hybridMultilevel"/>
    <w:tmpl w:val="C954435A"/>
    <w:lvl w:ilvl="0" w:tplc="BEDCA89A">
      <w:start w:val="1"/>
      <w:numFmt w:val="lowerLetter"/>
      <w:lvlText w:val="%1)"/>
      <w:lvlJc w:val="left"/>
      <w:pPr>
        <w:ind w:left="501" w:hanging="360"/>
      </w:pPr>
      <w:rPr>
        <w:rFonts w:hint="default"/>
        <w:b w:val="0"/>
      </w:rPr>
    </w:lvl>
    <w:lvl w:ilvl="1" w:tplc="080C0019" w:tentative="1">
      <w:start w:val="1"/>
      <w:numFmt w:val="lowerLetter"/>
      <w:lvlText w:val="%2."/>
      <w:lvlJc w:val="left"/>
      <w:pPr>
        <w:ind w:left="1221" w:hanging="360"/>
      </w:pPr>
    </w:lvl>
    <w:lvl w:ilvl="2" w:tplc="080C001B" w:tentative="1">
      <w:start w:val="1"/>
      <w:numFmt w:val="lowerRoman"/>
      <w:lvlText w:val="%3."/>
      <w:lvlJc w:val="right"/>
      <w:pPr>
        <w:ind w:left="1941" w:hanging="180"/>
      </w:pPr>
    </w:lvl>
    <w:lvl w:ilvl="3" w:tplc="080C000F" w:tentative="1">
      <w:start w:val="1"/>
      <w:numFmt w:val="decimal"/>
      <w:lvlText w:val="%4."/>
      <w:lvlJc w:val="left"/>
      <w:pPr>
        <w:ind w:left="2661" w:hanging="360"/>
      </w:pPr>
    </w:lvl>
    <w:lvl w:ilvl="4" w:tplc="080C0019" w:tentative="1">
      <w:start w:val="1"/>
      <w:numFmt w:val="lowerLetter"/>
      <w:lvlText w:val="%5."/>
      <w:lvlJc w:val="left"/>
      <w:pPr>
        <w:ind w:left="3381" w:hanging="360"/>
      </w:pPr>
    </w:lvl>
    <w:lvl w:ilvl="5" w:tplc="080C001B" w:tentative="1">
      <w:start w:val="1"/>
      <w:numFmt w:val="lowerRoman"/>
      <w:lvlText w:val="%6."/>
      <w:lvlJc w:val="right"/>
      <w:pPr>
        <w:ind w:left="4101" w:hanging="180"/>
      </w:pPr>
    </w:lvl>
    <w:lvl w:ilvl="6" w:tplc="080C000F" w:tentative="1">
      <w:start w:val="1"/>
      <w:numFmt w:val="decimal"/>
      <w:lvlText w:val="%7."/>
      <w:lvlJc w:val="left"/>
      <w:pPr>
        <w:ind w:left="4821" w:hanging="360"/>
      </w:pPr>
    </w:lvl>
    <w:lvl w:ilvl="7" w:tplc="080C0019" w:tentative="1">
      <w:start w:val="1"/>
      <w:numFmt w:val="lowerLetter"/>
      <w:lvlText w:val="%8."/>
      <w:lvlJc w:val="left"/>
      <w:pPr>
        <w:ind w:left="5541" w:hanging="360"/>
      </w:pPr>
    </w:lvl>
    <w:lvl w:ilvl="8" w:tplc="080C001B" w:tentative="1">
      <w:start w:val="1"/>
      <w:numFmt w:val="lowerRoman"/>
      <w:lvlText w:val="%9."/>
      <w:lvlJc w:val="right"/>
      <w:pPr>
        <w:ind w:left="6261" w:hanging="180"/>
      </w:pPr>
    </w:lvl>
  </w:abstractNum>
  <w:abstractNum w:abstractNumId="19"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387F1579"/>
    <w:multiLevelType w:val="hybridMultilevel"/>
    <w:tmpl w:val="0394B6BE"/>
    <w:lvl w:ilvl="0" w:tplc="BABC334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C4849F2"/>
    <w:multiLevelType w:val="hybridMultilevel"/>
    <w:tmpl w:val="0B8654AC"/>
    <w:lvl w:ilvl="0" w:tplc="080C0017">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E6D159E"/>
    <w:multiLevelType w:val="hybridMultilevel"/>
    <w:tmpl w:val="4198CA5E"/>
    <w:lvl w:ilvl="0" w:tplc="6516922C">
      <w:start w:val="1"/>
      <w:numFmt w:val="decimal"/>
      <w:lvlText w:val="%1."/>
      <w:lvlJc w:val="left"/>
      <w:pPr>
        <w:ind w:left="788" w:hanging="363"/>
      </w:pPr>
      <w:rPr>
        <w:rFonts w:hint="default"/>
        <w:color w:val="000000" w:themeColor="text1"/>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4"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86C143F"/>
    <w:multiLevelType w:val="hybridMultilevel"/>
    <w:tmpl w:val="17546D64"/>
    <w:lvl w:ilvl="0" w:tplc="AB487E34">
      <w:start w:val="1"/>
      <w:numFmt w:val="decimal"/>
      <w:suff w:val="nothing"/>
      <w:lvlText w:val="%1."/>
      <w:lvlJc w:val="left"/>
      <w:pPr>
        <w:ind w:left="0" w:firstLine="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48CC00BA"/>
    <w:multiLevelType w:val="hybridMultilevel"/>
    <w:tmpl w:val="C9626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4F2565"/>
    <w:multiLevelType w:val="hybridMultilevel"/>
    <w:tmpl w:val="7C2C2EB2"/>
    <w:lvl w:ilvl="0" w:tplc="BABC3342">
      <w:start w:val="1"/>
      <w:numFmt w:val="lowerLetter"/>
      <w:lvlText w:val="%1)"/>
      <w:lvlJc w:val="lef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C0B00CE"/>
    <w:multiLevelType w:val="hybridMultilevel"/>
    <w:tmpl w:val="B0041B3E"/>
    <w:lvl w:ilvl="0" w:tplc="64765E68">
      <w:start w:val="1"/>
      <w:numFmt w:val="lowerLetter"/>
      <w:lvlText w:val="%1)"/>
      <w:lvlJc w:val="left"/>
      <w:pPr>
        <w:ind w:left="720" w:hanging="360"/>
      </w:pPr>
      <w:rPr>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540751D6"/>
    <w:multiLevelType w:val="hybridMultilevel"/>
    <w:tmpl w:val="4828BA3E"/>
    <w:lvl w:ilvl="0" w:tplc="F63AB8D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95456A"/>
    <w:multiLevelType w:val="hybridMultilevel"/>
    <w:tmpl w:val="4A249890"/>
    <w:lvl w:ilvl="0" w:tplc="BABC334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D95450"/>
    <w:multiLevelType w:val="hybridMultilevel"/>
    <w:tmpl w:val="D8303B1A"/>
    <w:lvl w:ilvl="0" w:tplc="E876B9C4">
      <w:start w:val="1"/>
      <w:numFmt w:val="decimal"/>
      <w:lvlText w:val="%1."/>
      <w:lvlJc w:val="left"/>
      <w:pPr>
        <w:ind w:left="360" w:hanging="360"/>
      </w:pPr>
      <w:rPr>
        <w:b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E246713"/>
    <w:multiLevelType w:val="hybridMultilevel"/>
    <w:tmpl w:val="95767378"/>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DE2F03"/>
    <w:multiLevelType w:val="hybridMultilevel"/>
    <w:tmpl w:val="D10C71D4"/>
    <w:lvl w:ilvl="0" w:tplc="740EACCA">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6326AA2"/>
    <w:multiLevelType w:val="hybridMultilevel"/>
    <w:tmpl w:val="7C2C2EB2"/>
    <w:lvl w:ilvl="0" w:tplc="BABC3342">
      <w:start w:val="1"/>
      <w:numFmt w:val="lowerLetter"/>
      <w:lvlText w:val="%1)"/>
      <w:lvlJc w:val="lef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77304A1"/>
    <w:multiLevelType w:val="hybridMultilevel"/>
    <w:tmpl w:val="8EDC2724"/>
    <w:lvl w:ilvl="0" w:tplc="BABC334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CB65299"/>
    <w:multiLevelType w:val="hybridMultilevel"/>
    <w:tmpl w:val="E3C20FA0"/>
    <w:lvl w:ilvl="0" w:tplc="BABC334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E30C7F"/>
    <w:multiLevelType w:val="hybridMultilevel"/>
    <w:tmpl w:val="B6626048"/>
    <w:lvl w:ilvl="0" w:tplc="BABC334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F84FE6"/>
    <w:multiLevelType w:val="hybridMultilevel"/>
    <w:tmpl w:val="C7327BEC"/>
    <w:lvl w:ilvl="0" w:tplc="6516922C">
      <w:start w:val="1"/>
      <w:numFmt w:val="decimal"/>
      <w:lvlText w:val="%1."/>
      <w:lvlJc w:val="left"/>
      <w:pPr>
        <w:ind w:left="788" w:hanging="363"/>
      </w:pPr>
      <w:rPr>
        <w:rFonts w:hint="default"/>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B681A3A"/>
    <w:multiLevelType w:val="hybridMultilevel"/>
    <w:tmpl w:val="88DE1966"/>
    <w:lvl w:ilvl="0" w:tplc="FAF2A9C6">
      <w:start w:val="1"/>
      <w:numFmt w:val="decimal"/>
      <w:lvlText w:val="%1."/>
      <w:lvlJc w:val="left"/>
      <w:pPr>
        <w:tabs>
          <w:tab w:val="num" w:pos="590"/>
        </w:tabs>
        <w:ind w:left="590" w:hanging="363"/>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3"/>
  </w:num>
  <w:num w:numId="2">
    <w:abstractNumId w:val="24"/>
  </w:num>
  <w:num w:numId="3">
    <w:abstractNumId w:val="21"/>
  </w:num>
  <w:num w:numId="4">
    <w:abstractNumId w:val="12"/>
  </w:num>
  <w:num w:numId="5">
    <w:abstractNumId w:val="4"/>
  </w:num>
  <w:num w:numId="6">
    <w:abstractNumId w:val="3"/>
  </w:num>
  <w:num w:numId="7">
    <w:abstractNumId w:val="30"/>
  </w:num>
  <w:num w:numId="8">
    <w:abstractNumId w:val="19"/>
  </w:num>
  <w:num w:numId="9">
    <w:abstractNumId w:val="6"/>
  </w:num>
  <w:num w:numId="10">
    <w:abstractNumId w:val="17"/>
  </w:num>
  <w:num w:numId="11">
    <w:abstractNumId w:val="0"/>
  </w:num>
  <w:num w:numId="12">
    <w:abstractNumId w:val="2"/>
  </w:num>
  <w:num w:numId="13">
    <w:abstractNumId w:val="25"/>
  </w:num>
  <w:num w:numId="14">
    <w:abstractNumId w:val="5"/>
  </w:num>
  <w:num w:numId="15">
    <w:abstractNumId w:val="1"/>
  </w:num>
  <w:num w:numId="16">
    <w:abstractNumId w:val="38"/>
  </w:num>
  <w:num w:numId="17">
    <w:abstractNumId w:val="13"/>
  </w:num>
  <w:num w:numId="18">
    <w:abstractNumId w:val="28"/>
  </w:num>
  <w:num w:numId="19">
    <w:abstractNumId w:val="10"/>
  </w:num>
  <w:num w:numId="20">
    <w:abstractNumId w:val="35"/>
  </w:num>
  <w:num w:numId="21">
    <w:abstractNumId w:val="29"/>
  </w:num>
  <w:num w:numId="22">
    <w:abstractNumId w:val="22"/>
  </w:num>
  <w:num w:numId="23">
    <w:abstractNumId w:val="18"/>
  </w:num>
  <w:num w:numId="24">
    <w:abstractNumId w:val="8"/>
  </w:num>
  <w:num w:numId="25">
    <w:abstractNumId w:val="15"/>
  </w:num>
  <w:num w:numId="26">
    <w:abstractNumId w:val="11"/>
  </w:num>
  <w:num w:numId="27">
    <w:abstractNumId w:val="23"/>
  </w:num>
  <w:num w:numId="28">
    <w:abstractNumId w:val="41"/>
  </w:num>
  <w:num w:numId="29">
    <w:abstractNumId w:val="42"/>
  </w:num>
  <w:num w:numId="30">
    <w:abstractNumId w:val="33"/>
  </w:num>
  <w:num w:numId="31">
    <w:abstractNumId w:val="16"/>
  </w:num>
  <w:num w:numId="32">
    <w:abstractNumId w:val="31"/>
  </w:num>
  <w:num w:numId="33">
    <w:abstractNumId w:val="26"/>
  </w:num>
  <w:num w:numId="34">
    <w:abstractNumId w:val="27"/>
  </w:num>
  <w:num w:numId="35">
    <w:abstractNumId w:val="36"/>
  </w:num>
  <w:num w:numId="36">
    <w:abstractNumId w:val="34"/>
  </w:num>
  <w:num w:numId="37">
    <w:abstractNumId w:val="14"/>
  </w:num>
  <w:num w:numId="38">
    <w:abstractNumId w:val="37"/>
  </w:num>
  <w:num w:numId="39">
    <w:abstractNumId w:val="9"/>
  </w:num>
  <w:num w:numId="40">
    <w:abstractNumId w:val="39"/>
  </w:num>
  <w:num w:numId="41">
    <w:abstractNumId w:val="7"/>
  </w:num>
  <w:num w:numId="42">
    <w:abstractNumId w:val="20"/>
  </w:num>
  <w:num w:numId="43">
    <w:abstractNumId w:val="32"/>
  </w:num>
  <w:num w:numId="44">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14745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  "/>
    <w:docVar w:name="LW_ANNEX_NBR_FIRST" w:val="1"/>
    <w:docVar w:name="LW_ANNEX_NBR_LAST" w:val="5"/>
    <w:docVar w:name="LW_ANNEX_UNIQUE" w:val="0"/>
    <w:docVar w:name="LW_CORRIGENDUM" w:val="&lt;UNUSED&gt;"/>
    <w:docVar w:name="LW_COVERPAGE_EXISTS" w:val="True"/>
    <w:docVar w:name="LW_COVERPAGE_GUID" w:val="734C7F32-DC3B-42E1-8493-A090E8A160DD"/>
    <w:docVar w:name="LW_COVERPAGE_TYPE" w:val="1"/>
    <w:docVar w:name="LW_CROSSREFERENCE" w:val="&lt;UNUSED&gt;"/>
    <w:docVar w:name="LW_DocType" w:val="EUROLOOK"/>
    <w:docVar w:name="LW_EMISSION" w:val="19.10.2021"/>
    <w:docVar w:name="LW_EMISSION_ISODATE" w:val="2021-10-19"/>
    <w:docVar w:name="LW_EMISSION_LOCATION" w:val="STR"/>
    <w:docVar w:name="LW_EMISSION_PREFIX" w:val="Ve \u352?trasburku dne "/>
    <w:docVar w:name="LW_EMISSION_SUFFIX" w:val=" "/>
    <w:docVar w:name="LW_ID_DOCTYPE_NONLW" w:val="CP-039"/>
    <w:docVar w:name="LW_LANGUE" w:val="CS"/>
    <w:docVar w:name="LW_LEVEL_OF_SENSITIVITY" w:val="Standard treatment"/>
    <w:docVar w:name="LW_NOM.INST" w:val="EVROPSKÁ KOMISE"/>
    <w:docVar w:name="LW_NOM.INST_JOINTDOC" w:val="&lt;EMPTY&gt;"/>
    <w:docVar w:name="LW_OBJETACTEPRINCIPAL.CP" w:val="Pracovní program Komise na rok 2022_x000d__x000d__x000d__x000d__x000d__x000d__x000d__x000d__x000d__x000d__x000d__x000d__x000d__x000d__x000d__x000d__x000d__x000d__x000d__x000d__x000d__x000d__x000b__x000d__x000d__x000d__x000d__x000d__x000d__x000d__x000d__x000d__x000d__x000d__x000d__x000d__x000d__x000d__x000d__x000d__x000d__x000d__x000d__x000d__x000d__x000d__x000d__x000d__x000d__x000b__x000d__x000d__x000d__x000d__x000d__x000d__x000d__x000d__x000d__x000d__x000d__x000d__x000d__x000d__x000d__x000d__x000d__x000d__x000d__x000d__x000d__x000d__x000d__x000d__x000d__x000d__x000b_Spole\u269?n\u283? za siln\u283?j\u353?í Evropu_x000d__x000d__x000d__x000d__x000d__x000d__x000d__x000d__x000d__x000d__x000d__x000b__x000d__x000d__x000d__x000d__x000d__x000d__x000d__x000d__x000d__x000d__x000d__x000d__x000d__x000d__x000d__x000d__x000d__x000d__x000d__x000d__x000d__x000d__x000d__x000d__x000d__x000d__x000d__x000d__x000d__x000d__x000d__x000b_"/>
    <w:docVar w:name="LW_PART_NBR" w:val="&lt;UNUSED&gt;"/>
    <w:docVar w:name="LW_PART_NBR_TOTAL" w:val="&lt;UNUSED&gt;"/>
    <w:docVar w:name="LW_REF.INST.NEW" w:val="COM"/>
    <w:docVar w:name="LW_REF.INST.NEW_ADOPTED" w:val="final"/>
    <w:docVar w:name="LW_REF.INST.NEW_TEXT" w:val="(2021)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u344?ÍLOHY_x000b_"/>
    <w:docVar w:name="LW_TYPEACTEPRINCIPAL.CP" w:val="SD\u282?LENÍ KOMISE EVROPSKÉMU PARLAMENTU, RAD\u282?, EVROPSKÉMU HOSPODÁ\u344?SKÉMU A SOCIÁLNÍMU VÝBORU A VÝBORU REGION\u366?"/>
    <w:docVar w:name="LwApiVersions" w:val="LW4CoDe 1.23.1.0; LW 8.0, Build 20210728"/>
  </w:docVars>
  <w:rsids>
    <w:rsidRoot w:val="000A53D2"/>
    <w:rsid w:val="000010D1"/>
    <w:rsid w:val="0000236F"/>
    <w:rsid w:val="00004116"/>
    <w:rsid w:val="00004A71"/>
    <w:rsid w:val="00005FE6"/>
    <w:rsid w:val="0001701E"/>
    <w:rsid w:val="00020411"/>
    <w:rsid w:val="00026721"/>
    <w:rsid w:val="000275EC"/>
    <w:rsid w:val="00033426"/>
    <w:rsid w:val="00062F08"/>
    <w:rsid w:val="000645B1"/>
    <w:rsid w:val="00065970"/>
    <w:rsid w:val="00083564"/>
    <w:rsid w:val="00091E05"/>
    <w:rsid w:val="000966BA"/>
    <w:rsid w:val="00096936"/>
    <w:rsid w:val="00097B09"/>
    <w:rsid w:val="000A277E"/>
    <w:rsid w:val="000A3699"/>
    <w:rsid w:val="000A53D2"/>
    <w:rsid w:val="000A58AB"/>
    <w:rsid w:val="000B1113"/>
    <w:rsid w:val="000B430D"/>
    <w:rsid w:val="000C29EB"/>
    <w:rsid w:val="000C44A1"/>
    <w:rsid w:val="000C685C"/>
    <w:rsid w:val="000C7251"/>
    <w:rsid w:val="000D4728"/>
    <w:rsid w:val="000D6C6C"/>
    <w:rsid w:val="000D762B"/>
    <w:rsid w:val="000E1B8E"/>
    <w:rsid w:val="000E35B5"/>
    <w:rsid w:val="000E5E73"/>
    <w:rsid w:val="000F7613"/>
    <w:rsid w:val="00105B67"/>
    <w:rsid w:val="001119A1"/>
    <w:rsid w:val="00112028"/>
    <w:rsid w:val="00113A43"/>
    <w:rsid w:val="00122F44"/>
    <w:rsid w:val="00131583"/>
    <w:rsid w:val="001331CE"/>
    <w:rsid w:val="00136E09"/>
    <w:rsid w:val="00144075"/>
    <w:rsid w:val="00150F27"/>
    <w:rsid w:val="0015128E"/>
    <w:rsid w:val="00154D70"/>
    <w:rsid w:val="00161E46"/>
    <w:rsid w:val="001778A3"/>
    <w:rsid w:val="001801AD"/>
    <w:rsid w:val="00185F56"/>
    <w:rsid w:val="001A2099"/>
    <w:rsid w:val="001A2D3C"/>
    <w:rsid w:val="001B48A9"/>
    <w:rsid w:val="001C55F4"/>
    <w:rsid w:val="001D4866"/>
    <w:rsid w:val="001D75F6"/>
    <w:rsid w:val="001F1AF7"/>
    <w:rsid w:val="001F2B19"/>
    <w:rsid w:val="001F3355"/>
    <w:rsid w:val="0020144D"/>
    <w:rsid w:val="00203419"/>
    <w:rsid w:val="0020679B"/>
    <w:rsid w:val="0020713B"/>
    <w:rsid w:val="0021066C"/>
    <w:rsid w:val="00213E5D"/>
    <w:rsid w:val="0021577E"/>
    <w:rsid w:val="00227FF9"/>
    <w:rsid w:val="00235BEA"/>
    <w:rsid w:val="00235DC7"/>
    <w:rsid w:val="00240CC0"/>
    <w:rsid w:val="00245120"/>
    <w:rsid w:val="002476B4"/>
    <w:rsid w:val="002565BB"/>
    <w:rsid w:val="00260BE7"/>
    <w:rsid w:val="002658DC"/>
    <w:rsid w:val="002658E4"/>
    <w:rsid w:val="00271A7D"/>
    <w:rsid w:val="002744A6"/>
    <w:rsid w:val="00274C75"/>
    <w:rsid w:val="0028254E"/>
    <w:rsid w:val="00283564"/>
    <w:rsid w:val="00285A10"/>
    <w:rsid w:val="00296931"/>
    <w:rsid w:val="002A0BE4"/>
    <w:rsid w:val="002A7E32"/>
    <w:rsid w:val="002B7AC7"/>
    <w:rsid w:val="002D5EE1"/>
    <w:rsid w:val="002E5656"/>
    <w:rsid w:val="002E59F6"/>
    <w:rsid w:val="00300AFE"/>
    <w:rsid w:val="00303E9B"/>
    <w:rsid w:val="003162DF"/>
    <w:rsid w:val="003168B8"/>
    <w:rsid w:val="00342B97"/>
    <w:rsid w:val="00343353"/>
    <w:rsid w:val="00356F11"/>
    <w:rsid w:val="003658F4"/>
    <w:rsid w:val="0036798D"/>
    <w:rsid w:val="00370358"/>
    <w:rsid w:val="00377B8D"/>
    <w:rsid w:val="00377F28"/>
    <w:rsid w:val="00380360"/>
    <w:rsid w:val="00386152"/>
    <w:rsid w:val="003A356B"/>
    <w:rsid w:val="003A3EEC"/>
    <w:rsid w:val="003B1C7C"/>
    <w:rsid w:val="003B2747"/>
    <w:rsid w:val="003B4ECE"/>
    <w:rsid w:val="003C58BF"/>
    <w:rsid w:val="003C65C2"/>
    <w:rsid w:val="003D4024"/>
    <w:rsid w:val="003E008D"/>
    <w:rsid w:val="003E02A5"/>
    <w:rsid w:val="003E143D"/>
    <w:rsid w:val="003E5430"/>
    <w:rsid w:val="003E77E5"/>
    <w:rsid w:val="004103A3"/>
    <w:rsid w:val="0041195F"/>
    <w:rsid w:val="00413233"/>
    <w:rsid w:val="00424362"/>
    <w:rsid w:val="00431DDD"/>
    <w:rsid w:val="0043457B"/>
    <w:rsid w:val="0044406B"/>
    <w:rsid w:val="00445A0A"/>
    <w:rsid w:val="0046004B"/>
    <w:rsid w:val="00460891"/>
    <w:rsid w:val="00461B22"/>
    <w:rsid w:val="00465E5C"/>
    <w:rsid w:val="004668F3"/>
    <w:rsid w:val="00484760"/>
    <w:rsid w:val="0048508D"/>
    <w:rsid w:val="00487401"/>
    <w:rsid w:val="004960AC"/>
    <w:rsid w:val="004A2D49"/>
    <w:rsid w:val="004C3B4E"/>
    <w:rsid w:val="004E074A"/>
    <w:rsid w:val="004E7A8D"/>
    <w:rsid w:val="004F273E"/>
    <w:rsid w:val="004F575C"/>
    <w:rsid w:val="00500B2F"/>
    <w:rsid w:val="00512703"/>
    <w:rsid w:val="00515678"/>
    <w:rsid w:val="005239F3"/>
    <w:rsid w:val="0054700D"/>
    <w:rsid w:val="005521CD"/>
    <w:rsid w:val="00556761"/>
    <w:rsid w:val="005577A2"/>
    <w:rsid w:val="005604E2"/>
    <w:rsid w:val="00566E0A"/>
    <w:rsid w:val="0057473F"/>
    <w:rsid w:val="00574F58"/>
    <w:rsid w:val="005753B6"/>
    <w:rsid w:val="00585E76"/>
    <w:rsid w:val="00586E8A"/>
    <w:rsid w:val="005874E8"/>
    <w:rsid w:val="005900CD"/>
    <w:rsid w:val="005A1F99"/>
    <w:rsid w:val="005A2216"/>
    <w:rsid w:val="005A3E3C"/>
    <w:rsid w:val="005A5FCF"/>
    <w:rsid w:val="005A6E30"/>
    <w:rsid w:val="005B329E"/>
    <w:rsid w:val="005C0D41"/>
    <w:rsid w:val="005C12CC"/>
    <w:rsid w:val="005C1C1A"/>
    <w:rsid w:val="005C303D"/>
    <w:rsid w:val="005D0EE0"/>
    <w:rsid w:val="005D29EF"/>
    <w:rsid w:val="005D2C92"/>
    <w:rsid w:val="005D4474"/>
    <w:rsid w:val="005E2A17"/>
    <w:rsid w:val="005E7E71"/>
    <w:rsid w:val="00610929"/>
    <w:rsid w:val="00610AEB"/>
    <w:rsid w:val="006141C5"/>
    <w:rsid w:val="00617CEC"/>
    <w:rsid w:val="00622AA0"/>
    <w:rsid w:val="00623002"/>
    <w:rsid w:val="00623D08"/>
    <w:rsid w:val="0063026E"/>
    <w:rsid w:val="00635415"/>
    <w:rsid w:val="0064230A"/>
    <w:rsid w:val="00645BC1"/>
    <w:rsid w:val="00646302"/>
    <w:rsid w:val="00655496"/>
    <w:rsid w:val="00665884"/>
    <w:rsid w:val="00667532"/>
    <w:rsid w:val="00671090"/>
    <w:rsid w:val="00680116"/>
    <w:rsid w:val="00682437"/>
    <w:rsid w:val="006824AA"/>
    <w:rsid w:val="006A225F"/>
    <w:rsid w:val="006B0DA1"/>
    <w:rsid w:val="006B2784"/>
    <w:rsid w:val="006B3BF8"/>
    <w:rsid w:val="006B4BFD"/>
    <w:rsid w:val="006E0D4D"/>
    <w:rsid w:val="006E0E2F"/>
    <w:rsid w:val="006E60F0"/>
    <w:rsid w:val="006E7DCA"/>
    <w:rsid w:val="006F42F9"/>
    <w:rsid w:val="007024B3"/>
    <w:rsid w:val="00707306"/>
    <w:rsid w:val="00710BBC"/>
    <w:rsid w:val="00710E10"/>
    <w:rsid w:val="00715161"/>
    <w:rsid w:val="007213B4"/>
    <w:rsid w:val="007261BC"/>
    <w:rsid w:val="007377E7"/>
    <w:rsid w:val="00741FB8"/>
    <w:rsid w:val="00747CC3"/>
    <w:rsid w:val="0075348C"/>
    <w:rsid w:val="0075601D"/>
    <w:rsid w:val="00760B1B"/>
    <w:rsid w:val="00772B68"/>
    <w:rsid w:val="00790939"/>
    <w:rsid w:val="00790AC8"/>
    <w:rsid w:val="00793662"/>
    <w:rsid w:val="007A3294"/>
    <w:rsid w:val="007A5A62"/>
    <w:rsid w:val="007A7968"/>
    <w:rsid w:val="007E60E3"/>
    <w:rsid w:val="007F5BB6"/>
    <w:rsid w:val="00801154"/>
    <w:rsid w:val="00801931"/>
    <w:rsid w:val="00805344"/>
    <w:rsid w:val="0081508B"/>
    <w:rsid w:val="0082060F"/>
    <w:rsid w:val="0082321B"/>
    <w:rsid w:val="00823A79"/>
    <w:rsid w:val="0083432A"/>
    <w:rsid w:val="008362FF"/>
    <w:rsid w:val="008478FD"/>
    <w:rsid w:val="00847C0A"/>
    <w:rsid w:val="00863059"/>
    <w:rsid w:val="00863F86"/>
    <w:rsid w:val="00874178"/>
    <w:rsid w:val="00874D20"/>
    <w:rsid w:val="00881E9F"/>
    <w:rsid w:val="0088240B"/>
    <w:rsid w:val="008829FA"/>
    <w:rsid w:val="00883A3D"/>
    <w:rsid w:val="0088492D"/>
    <w:rsid w:val="00892B2D"/>
    <w:rsid w:val="008939FB"/>
    <w:rsid w:val="008951B1"/>
    <w:rsid w:val="008964F3"/>
    <w:rsid w:val="008B02BF"/>
    <w:rsid w:val="008C3041"/>
    <w:rsid w:val="008C7726"/>
    <w:rsid w:val="008C7CF1"/>
    <w:rsid w:val="008D5D6A"/>
    <w:rsid w:val="008F4115"/>
    <w:rsid w:val="009010CF"/>
    <w:rsid w:val="009079BC"/>
    <w:rsid w:val="00922DAB"/>
    <w:rsid w:val="00925F35"/>
    <w:rsid w:val="00932416"/>
    <w:rsid w:val="00932804"/>
    <w:rsid w:val="00934138"/>
    <w:rsid w:val="00935A4E"/>
    <w:rsid w:val="009426C1"/>
    <w:rsid w:val="00947A2F"/>
    <w:rsid w:val="00964F24"/>
    <w:rsid w:val="00966AC9"/>
    <w:rsid w:val="0097185B"/>
    <w:rsid w:val="00973DA7"/>
    <w:rsid w:val="0097659E"/>
    <w:rsid w:val="00980CAF"/>
    <w:rsid w:val="00984231"/>
    <w:rsid w:val="009847F3"/>
    <w:rsid w:val="00985D8D"/>
    <w:rsid w:val="00993507"/>
    <w:rsid w:val="009A2728"/>
    <w:rsid w:val="009A7585"/>
    <w:rsid w:val="009B3FD3"/>
    <w:rsid w:val="009B41FF"/>
    <w:rsid w:val="009C2A8E"/>
    <w:rsid w:val="009C2D2E"/>
    <w:rsid w:val="009C45DF"/>
    <w:rsid w:val="009C4DD0"/>
    <w:rsid w:val="009C67B2"/>
    <w:rsid w:val="009D0475"/>
    <w:rsid w:val="009D3B74"/>
    <w:rsid w:val="009D4E36"/>
    <w:rsid w:val="009D508B"/>
    <w:rsid w:val="009E77A5"/>
    <w:rsid w:val="009F0DA3"/>
    <w:rsid w:val="009F1F71"/>
    <w:rsid w:val="00A06848"/>
    <w:rsid w:val="00A10045"/>
    <w:rsid w:val="00A12F16"/>
    <w:rsid w:val="00A1580F"/>
    <w:rsid w:val="00A173B9"/>
    <w:rsid w:val="00A23611"/>
    <w:rsid w:val="00A242EE"/>
    <w:rsid w:val="00A246AB"/>
    <w:rsid w:val="00A27ADB"/>
    <w:rsid w:val="00A30443"/>
    <w:rsid w:val="00A306C5"/>
    <w:rsid w:val="00A477BF"/>
    <w:rsid w:val="00A4782B"/>
    <w:rsid w:val="00A5337B"/>
    <w:rsid w:val="00A54996"/>
    <w:rsid w:val="00A6020F"/>
    <w:rsid w:val="00A608B9"/>
    <w:rsid w:val="00A62ED5"/>
    <w:rsid w:val="00A65422"/>
    <w:rsid w:val="00A66056"/>
    <w:rsid w:val="00A700CD"/>
    <w:rsid w:val="00A763A3"/>
    <w:rsid w:val="00A76BD5"/>
    <w:rsid w:val="00A9394B"/>
    <w:rsid w:val="00A954D7"/>
    <w:rsid w:val="00A9779F"/>
    <w:rsid w:val="00AB404B"/>
    <w:rsid w:val="00AB725E"/>
    <w:rsid w:val="00AC6A3E"/>
    <w:rsid w:val="00AC790F"/>
    <w:rsid w:val="00AC795D"/>
    <w:rsid w:val="00AD039E"/>
    <w:rsid w:val="00AD4221"/>
    <w:rsid w:val="00AE0B86"/>
    <w:rsid w:val="00AF305F"/>
    <w:rsid w:val="00AF3D9B"/>
    <w:rsid w:val="00B02EF2"/>
    <w:rsid w:val="00B03E7E"/>
    <w:rsid w:val="00B05B0C"/>
    <w:rsid w:val="00B16B41"/>
    <w:rsid w:val="00B20DEA"/>
    <w:rsid w:val="00B26271"/>
    <w:rsid w:val="00B2717D"/>
    <w:rsid w:val="00B33384"/>
    <w:rsid w:val="00B40223"/>
    <w:rsid w:val="00B40A6F"/>
    <w:rsid w:val="00B452A7"/>
    <w:rsid w:val="00B60FA4"/>
    <w:rsid w:val="00B626E1"/>
    <w:rsid w:val="00B65979"/>
    <w:rsid w:val="00B66F94"/>
    <w:rsid w:val="00B703C8"/>
    <w:rsid w:val="00B70F1C"/>
    <w:rsid w:val="00B72124"/>
    <w:rsid w:val="00B73D19"/>
    <w:rsid w:val="00B75C73"/>
    <w:rsid w:val="00B81024"/>
    <w:rsid w:val="00B92132"/>
    <w:rsid w:val="00B95163"/>
    <w:rsid w:val="00B97134"/>
    <w:rsid w:val="00B97281"/>
    <w:rsid w:val="00BA2ADF"/>
    <w:rsid w:val="00BA3555"/>
    <w:rsid w:val="00BB2EC6"/>
    <w:rsid w:val="00BB4A94"/>
    <w:rsid w:val="00BB4E39"/>
    <w:rsid w:val="00BB6007"/>
    <w:rsid w:val="00BC586B"/>
    <w:rsid w:val="00BE496F"/>
    <w:rsid w:val="00BE4FE4"/>
    <w:rsid w:val="00BF13B3"/>
    <w:rsid w:val="00BF5C48"/>
    <w:rsid w:val="00C0002C"/>
    <w:rsid w:val="00C238D0"/>
    <w:rsid w:val="00C24894"/>
    <w:rsid w:val="00C30FA3"/>
    <w:rsid w:val="00C31A5E"/>
    <w:rsid w:val="00C31C91"/>
    <w:rsid w:val="00C365CA"/>
    <w:rsid w:val="00C3728E"/>
    <w:rsid w:val="00C4528F"/>
    <w:rsid w:val="00C461B8"/>
    <w:rsid w:val="00C540BA"/>
    <w:rsid w:val="00C654D6"/>
    <w:rsid w:val="00C67358"/>
    <w:rsid w:val="00C70217"/>
    <w:rsid w:val="00C702D9"/>
    <w:rsid w:val="00C8197D"/>
    <w:rsid w:val="00C81A35"/>
    <w:rsid w:val="00C9362C"/>
    <w:rsid w:val="00C944C8"/>
    <w:rsid w:val="00C94502"/>
    <w:rsid w:val="00CA6E28"/>
    <w:rsid w:val="00CA7D08"/>
    <w:rsid w:val="00CB49DF"/>
    <w:rsid w:val="00CC21B2"/>
    <w:rsid w:val="00CC62BF"/>
    <w:rsid w:val="00CD24E9"/>
    <w:rsid w:val="00CD7C6A"/>
    <w:rsid w:val="00CE1B49"/>
    <w:rsid w:val="00CE40D1"/>
    <w:rsid w:val="00CE7128"/>
    <w:rsid w:val="00CF4376"/>
    <w:rsid w:val="00CF755B"/>
    <w:rsid w:val="00CF7961"/>
    <w:rsid w:val="00D10759"/>
    <w:rsid w:val="00D122C5"/>
    <w:rsid w:val="00D209C0"/>
    <w:rsid w:val="00D2718F"/>
    <w:rsid w:val="00D31875"/>
    <w:rsid w:val="00D43F9A"/>
    <w:rsid w:val="00D46FAD"/>
    <w:rsid w:val="00D50DA7"/>
    <w:rsid w:val="00D51A74"/>
    <w:rsid w:val="00D52624"/>
    <w:rsid w:val="00D55470"/>
    <w:rsid w:val="00D56A41"/>
    <w:rsid w:val="00D66025"/>
    <w:rsid w:val="00D76BBE"/>
    <w:rsid w:val="00D8432D"/>
    <w:rsid w:val="00D92AFF"/>
    <w:rsid w:val="00D94690"/>
    <w:rsid w:val="00D9737E"/>
    <w:rsid w:val="00DB21BA"/>
    <w:rsid w:val="00DE41CE"/>
    <w:rsid w:val="00DF3297"/>
    <w:rsid w:val="00E04708"/>
    <w:rsid w:val="00E10D67"/>
    <w:rsid w:val="00E1209D"/>
    <w:rsid w:val="00E148E5"/>
    <w:rsid w:val="00E26493"/>
    <w:rsid w:val="00E356A8"/>
    <w:rsid w:val="00E42B99"/>
    <w:rsid w:val="00E54E67"/>
    <w:rsid w:val="00E550B4"/>
    <w:rsid w:val="00E61658"/>
    <w:rsid w:val="00E6263E"/>
    <w:rsid w:val="00E72E31"/>
    <w:rsid w:val="00E76D24"/>
    <w:rsid w:val="00E81B0F"/>
    <w:rsid w:val="00E82142"/>
    <w:rsid w:val="00E84EDD"/>
    <w:rsid w:val="00E85489"/>
    <w:rsid w:val="00E97864"/>
    <w:rsid w:val="00EA0011"/>
    <w:rsid w:val="00EA2B8F"/>
    <w:rsid w:val="00EA3EBD"/>
    <w:rsid w:val="00EA4FA8"/>
    <w:rsid w:val="00EB2E8B"/>
    <w:rsid w:val="00EB2FE7"/>
    <w:rsid w:val="00EC612F"/>
    <w:rsid w:val="00ED133B"/>
    <w:rsid w:val="00ED6F51"/>
    <w:rsid w:val="00ED7340"/>
    <w:rsid w:val="00EE0E91"/>
    <w:rsid w:val="00EF396E"/>
    <w:rsid w:val="00EF56CF"/>
    <w:rsid w:val="00F10014"/>
    <w:rsid w:val="00F13D01"/>
    <w:rsid w:val="00F205B8"/>
    <w:rsid w:val="00F35308"/>
    <w:rsid w:val="00F4650D"/>
    <w:rsid w:val="00F51D1B"/>
    <w:rsid w:val="00F52418"/>
    <w:rsid w:val="00F53CD4"/>
    <w:rsid w:val="00F5697E"/>
    <w:rsid w:val="00F60C2F"/>
    <w:rsid w:val="00F61B7D"/>
    <w:rsid w:val="00F67914"/>
    <w:rsid w:val="00F83E5B"/>
    <w:rsid w:val="00F86980"/>
    <w:rsid w:val="00F92D4A"/>
    <w:rsid w:val="00FA0206"/>
    <w:rsid w:val="00FA31CD"/>
    <w:rsid w:val="00FA5F5E"/>
    <w:rsid w:val="00FC1596"/>
    <w:rsid w:val="00FC4BDD"/>
    <w:rsid w:val="00FD2600"/>
    <w:rsid w:val="00FE0662"/>
    <w:rsid w:val="00FE1B82"/>
    <w:rsid w:val="00FE40BB"/>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DC9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GB" w:bidi="ne-NP"/>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semiHidden/>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spacing w:line="360" w:lineRule="auto"/>
      <w:jc w:val="left"/>
    </w:pPr>
    <w:rPr>
      <w:rFonts w:eastAsiaTheme="minorHAnsi" w:cstheme="minorBidi"/>
      <w:szCs w:val="22"/>
    </w:rPr>
  </w:style>
  <w:style w:type="paragraph" w:customStyle="1" w:styleId="LegalNumPar2">
    <w:name w:val="LegalNumPar2"/>
    <w:basedOn w:val="Normal"/>
    <w:pPr>
      <w:numPr>
        <w:ilvl w:val="1"/>
        <w:numId w:val="17"/>
      </w:numPr>
      <w:spacing w:line="360" w:lineRule="auto"/>
      <w:jc w:val="left"/>
    </w:pPr>
    <w:rPr>
      <w:rFonts w:eastAsiaTheme="minorHAnsi" w:cstheme="minorBidi"/>
      <w:szCs w:val="22"/>
    </w:rPr>
  </w:style>
  <w:style w:type="paragraph" w:customStyle="1" w:styleId="LegalNumPar3">
    <w:name w:val="LegalNumPar3"/>
    <w:basedOn w:val="Normal"/>
    <w:pPr>
      <w:numPr>
        <w:ilvl w:val="2"/>
        <w:numId w:val="17"/>
      </w:numPr>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 w:type="character" w:customStyle="1" w:styleId="HeaderChar">
    <w:name w:val="Header Char"/>
    <w:basedOn w:val="DefaultParagraphFont"/>
    <w:link w:val="Header"/>
    <w:uiPriority w:val="99"/>
    <w:rPr>
      <w:sz w:val="24"/>
      <w:lang w:bidi="ar-SA"/>
    </w:rPr>
  </w:style>
  <w:style w:type="character" w:customStyle="1" w:styleId="FootnoteTextChar">
    <w:name w:val="Footnote Text Char"/>
    <w:basedOn w:val="DefaultParagraphFont"/>
    <w:link w:val="FootnoteText"/>
    <w:semiHidden/>
    <w:rPr>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character" w:customStyle="1" w:styleId="normaltextrun">
    <w:name w:val="normaltextrun"/>
    <w:basedOn w:val="DefaultParagraphFont"/>
    <w:rsid w:val="00AC795D"/>
  </w:style>
  <w:style w:type="character" w:customStyle="1" w:styleId="eop">
    <w:name w:val="eop"/>
    <w:basedOn w:val="DefaultParagraphFont"/>
    <w:rsid w:val="00AC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1290">
      <w:bodyDiv w:val="1"/>
      <w:marLeft w:val="0"/>
      <w:marRight w:val="0"/>
      <w:marTop w:val="0"/>
      <w:marBottom w:val="0"/>
      <w:divBdr>
        <w:top w:val="none" w:sz="0" w:space="0" w:color="auto"/>
        <w:left w:val="none" w:sz="0" w:space="0" w:color="auto"/>
        <w:bottom w:val="none" w:sz="0" w:space="0" w:color="auto"/>
        <w:right w:val="none" w:sz="0" w:space="0" w:color="auto"/>
      </w:divBdr>
    </w:div>
    <w:div w:id="470294323">
      <w:bodyDiv w:val="1"/>
      <w:marLeft w:val="0"/>
      <w:marRight w:val="0"/>
      <w:marTop w:val="0"/>
      <w:marBottom w:val="0"/>
      <w:divBdr>
        <w:top w:val="none" w:sz="0" w:space="0" w:color="auto"/>
        <w:left w:val="none" w:sz="0" w:space="0" w:color="auto"/>
        <w:bottom w:val="none" w:sz="0" w:space="0" w:color="auto"/>
        <w:right w:val="none" w:sz="0" w:space="0" w:color="auto"/>
      </w:divBdr>
    </w:div>
    <w:div w:id="862128437">
      <w:bodyDiv w:val="1"/>
      <w:marLeft w:val="0"/>
      <w:marRight w:val="0"/>
      <w:marTop w:val="0"/>
      <w:marBottom w:val="0"/>
      <w:divBdr>
        <w:top w:val="none" w:sz="0" w:space="0" w:color="auto"/>
        <w:left w:val="none" w:sz="0" w:space="0" w:color="auto"/>
        <w:bottom w:val="none" w:sz="0" w:space="0" w:color="auto"/>
        <w:right w:val="none" w:sz="0" w:space="0" w:color="auto"/>
      </w:divBdr>
    </w:div>
    <w:div w:id="1190140997">
      <w:bodyDiv w:val="1"/>
      <w:marLeft w:val="0"/>
      <w:marRight w:val="0"/>
      <w:marTop w:val="0"/>
      <w:marBottom w:val="0"/>
      <w:divBdr>
        <w:top w:val="none" w:sz="0" w:space="0" w:color="auto"/>
        <w:left w:val="none" w:sz="0" w:space="0" w:color="auto"/>
        <w:bottom w:val="none" w:sz="0" w:space="0" w:color="auto"/>
        <w:right w:val="none" w:sz="0" w:space="0" w:color="auto"/>
      </w:divBdr>
    </w:div>
    <w:div w:id="1463765545">
      <w:bodyDiv w:val="1"/>
      <w:marLeft w:val="0"/>
      <w:marRight w:val="0"/>
      <w:marTop w:val="0"/>
      <w:marBottom w:val="0"/>
      <w:divBdr>
        <w:top w:val="none" w:sz="0" w:space="0" w:color="auto"/>
        <w:left w:val="none" w:sz="0" w:space="0" w:color="auto"/>
        <w:bottom w:val="none" w:sz="0" w:space="0" w:color="auto"/>
        <w:right w:val="none" w:sz="0" w:space="0" w:color="auto"/>
      </w:divBdr>
    </w:div>
    <w:div w:id="1766069407">
      <w:bodyDiv w:val="1"/>
      <w:marLeft w:val="0"/>
      <w:marRight w:val="0"/>
      <w:marTop w:val="0"/>
      <w:marBottom w:val="0"/>
      <w:divBdr>
        <w:top w:val="none" w:sz="0" w:space="0" w:color="auto"/>
        <w:left w:val="none" w:sz="0" w:space="0" w:color="auto"/>
        <w:bottom w:val="none" w:sz="0" w:space="0" w:color="auto"/>
        <w:right w:val="none" w:sz="0" w:space="0" w:color="auto"/>
      </w:divBdr>
    </w:div>
    <w:div w:id="1951938113">
      <w:bodyDiv w:val="1"/>
      <w:marLeft w:val="0"/>
      <w:marRight w:val="0"/>
      <w:marTop w:val="0"/>
      <w:marBottom w:val="0"/>
      <w:divBdr>
        <w:top w:val="none" w:sz="0" w:space="0" w:color="auto"/>
        <w:left w:val="none" w:sz="0" w:space="0" w:color="auto"/>
        <w:bottom w:val="none" w:sz="0" w:space="0" w:color="auto"/>
        <w:right w:val="none" w:sz="0" w:space="0" w:color="auto"/>
      </w:divBdr>
    </w:div>
    <w:div w:id="201807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VDL Priorities">
      <a:dk1>
        <a:sysClr val="windowText" lastClr="000000"/>
      </a:dk1>
      <a:lt1>
        <a:sysClr val="window" lastClr="FFFFFF"/>
      </a:lt1>
      <a:dk2>
        <a:srgbClr val="0E4194"/>
      </a:dk2>
      <a:lt2>
        <a:srgbClr val="EEECE1"/>
      </a:lt2>
      <a:accent1>
        <a:srgbClr val="9ACA3C"/>
      </a:accent1>
      <a:accent2>
        <a:srgbClr val="18BAA8"/>
      </a:accent2>
      <a:accent3>
        <a:srgbClr val="F68A42"/>
      </a:accent3>
      <a:accent4>
        <a:srgbClr val="585EAA"/>
      </a:accent4>
      <a:accent5>
        <a:srgbClr val="00ADDC"/>
      </a:accent5>
      <a:accent6>
        <a:srgbClr val="DA5C5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e56fd78c-c7c8-4bfb-a8bc-c276a0f72d9b" xsi:nil="true"/>
    <EC_Collab_Status xmlns="e56fd78c-c7c8-4bfb-a8bc-c276a0f72d9b">Not Started</EC_Collab_Status>
    <_Status xmlns="http://schemas.microsoft.com/sharepoint/v3/fields">Not Started</_Status>
    <EC_Collab_DocumentLanguage xmlns="e56fd78c-c7c8-4bfb-a8bc-c276a0f72d9b">EN</EC_Collab_DocumentLanguage>
  </documentManagement>
</p:propertie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EurolookProperties>
  <ProductCustomizationId/>
  <Created>
    <Version>10.0.37611.0</Version>
    <Date>2018-10-23T14:12:56</Date>
    <Language>EN</Language>
    <Note/>
  </Created>
  <Edited>
    <Version>10.0.42447.0</Version>
    <Date>2021-10-27T10:03:10</Date>
  </Edited>
  <DocumentModel>
    <Id>6cbda13a-4db2-46c6-876a-ef72275827ef</Id>
    <Name>Report</Name>
  </DocumentModel>
  <DocumentDate>2018-10-23T14:12:56</DocumentDate>
  <DocumentVersion>0.1</DocumentVersion>
  <CompatibilityMode>Eurolook10</CompatibilityMode>
</Eurolook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5F8647E9148679489C08DFB96BDB6683" ma:contentTypeVersion="0" ma:contentTypeDescription="Create a new document in this library." ma:contentTypeScope="" ma:versionID="e5e0310dc89cda28f9b2243fee64c37a">
  <xsd:schema xmlns:xsd="http://www.w3.org/2001/XMLSchema" xmlns:xs="http://www.w3.org/2001/XMLSchema" xmlns:p="http://schemas.microsoft.com/office/2006/metadata/properties" xmlns:ns2="http://schemas.microsoft.com/sharepoint/v3/fields" xmlns:ns3="e56fd78c-c7c8-4bfb-a8bc-c276a0f72d9b" targetNamespace="http://schemas.microsoft.com/office/2006/metadata/properties" ma:root="true" ma:fieldsID="ba038ae6dcbbedaf69b50cf88c970fa2" ns2:_="" ns3:_="">
    <xsd:import namespace="http://schemas.microsoft.com/sharepoint/v3/fields"/>
    <xsd:import namespace="e56fd78c-c7c8-4bfb-a8bc-c276a0f72d9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6fd78c-c7c8-4bfb-a8bc-c276a0f72d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0292E00D-0750-4C17-933C-F6ACDABD0502}">
  <ds:schemaRefs>
    <ds:schemaRef ds:uri="http://schemas.microsoft.com/sharepoint/v3/fields"/>
    <ds:schemaRef ds:uri="http://schemas.openxmlformats.org/package/2006/metadata/core-properties"/>
    <ds:schemaRef ds:uri="http://schemas.microsoft.com/office/2006/documentManagement/types"/>
    <ds:schemaRef ds:uri="e56fd78c-c7c8-4bfb-a8bc-c276a0f72d9b"/>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AE9252D5-4B58-4FAE-8400-0253905BC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6fd78c-c7c8-4bfb-a8bc-c276a0f7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A8EE44-009E-4BD8-9B8D-4451FCE44476}">
  <ds:schemaRefs>
    <ds:schemaRef ds:uri="http://schemas.microsoft.com/sharepoint/v3/contenttype/forms"/>
  </ds:schemaRefs>
</ds:datastoreItem>
</file>

<file path=customXml/itemProps7.xml><?xml version="1.0" encoding="utf-8"?>
<ds:datastoreItem xmlns:ds="http://schemas.openxmlformats.org/officeDocument/2006/customXml" ds:itemID="{40DABBF3-B9BB-4739-A3B6-F27C59AD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7964</Words>
  <Characters>45398</Characters>
  <Application>Microsoft Office Word</Application>
  <DocSecurity>0</DocSecurity>
  <PresentationFormat>Microsoft Word 14.0</PresentationFormat>
  <Lines>378</Lines>
  <Paragraphs>106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2021-10-18T14:59:00Z</dcterms:created>
  <dcterms:modified xsi:type="dcterms:W3CDTF">2021-10-28T15:27:00Z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First annex">
    <vt:lpwstr>1</vt:lpwstr>
  </property>
  <property fmtid="{D5CDD505-2E9C-101B-9397-08002B2CF9AE}" pid="6" name="Last annex">
    <vt:lpwstr>5</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PTemplateID">
    <vt:lpwstr>CP-039</vt:lpwstr>
  </property>
  <property fmtid="{D5CDD505-2E9C-101B-9397-08002B2CF9AE}" pid="11" name="_LW_INVALIDATED_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0x010100258AA79CEB83498886A3A08681123250005F8647E9148679489C08DFB96BDB6683</vt:lpwstr>
  </property>
  <property fmtid="{D5CDD505-2E9C-101B-9397-08002B2CF9AE}" pid="12" name="_LW_INVALIDATED__LW_INVALIDATED__LW_INVALIDATED__LW_INVALIDATED__LW_INVALIDATED__LW_INVALIDATED__LW_INVALIDATED__LW_INVALIDATED__LW_INVALIDATED__LW_INVALIDATED_ContentTypeId">
    <vt:lpwstr>0x010100258AA79CEB83498886A3A08681123250005F8647E9148679489C08DFB96BDB6683</vt:lpwstr>
  </property>
  <property fmtid="{D5CDD505-2E9C-101B-9397-08002B2CF9AE}" pid="13" name="_LW_INVALIDATED__LW_INVALIDATED__LW_INVALIDATED__LW_INVALIDATED__LW_INVALIDATED__LW_INVALIDATED__LW_INVALIDATED__LW_INVALIDATED__LW_INVALIDATED_ContentTypeId">
    <vt:lpwstr>0x010100258AA79CEB83498886A3A08681123250005F8647E9148679489C08DFB96BDB6683</vt:lpwstr>
  </property>
</Properties>
</file>